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19/10/2026 à 09:55</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48 ACHAT  |  0 NEUTRE  |  0 VENTE  (sur 48 sociétés)</w:t>
      </w:r>
    </w:p>
    <w:p>
      <w:pPr>
        <w:spacing w:before="20" w:after="20"/>
        <w:ind w:left="360" w:right="360"/>
        <w:shd w:val="clear" w:color="auto" w:fill="EBF5FB"/>
      </w:pPr>
      <w:r>
        <w:rPr>
          <w:b/>
          <w:sz w:val="19"/>
        </w:rPr>
        <w:t xml:space="preserve">Top opportunité :  </w:t>
      </w:r>
      <w:r>
        <w:rPr>
          <w:color w:val="008000"/>
          <w:sz w:val="19"/>
        </w:rPr>
        <w:t>ECOC  (score 79/100)</w:t>
      </w:r>
    </w:p>
    <w:p>
      <w:pPr>
        <w:spacing w:before="20" w:after="20"/>
        <w:ind w:left="360" w:right="360"/>
        <w:shd w:val="clear" w:color="auto" w:fill="EBF5FB"/>
      </w:pPr>
      <w:r>
        <w:rPr>
          <w:b/>
          <w:sz w:val="19"/>
        </w:rPr>
        <w:t xml:space="preserve">Secteur surperformant :  </w:t>
      </w:r>
      <w:r>
        <w:rPr>
          <w:color w:val="008000"/>
          <w:sz w:val="19"/>
        </w:rPr>
        <w:t>Services Financiers  (+43.2%)</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20 sociétés — vérifier avant d'investir</w:t>
      </w:r>
    </w:p>
    <w:p>
      <w:pPr>
        <w:spacing w:before="20" w:after="20"/>
        <w:ind w:left="360" w:right="360"/>
        <w:shd w:val="clear" w:color="auto" w:fill="EBF5FB"/>
      </w:pPr>
      <w:r>
        <w:rPr>
          <w:b/>
          <w:sz w:val="19"/>
        </w:rPr>
        <w:t xml:space="preserve">⚠️ Liquidité réduite :  </w:t>
      </w:r>
      <w:r>
        <w:rPr>
          <w:color w:val="C00000"/>
          <w:sz w:val="19"/>
        </w:rPr>
        <w:t>14 titres à faible liquidité — risque de sortie</w:t>
      </w:r>
    </w:p>
    <w:p/>
    <w:p>
      <w:r>
        <w:br w:type="page"/>
      </w:r>
    </w:p>
    <w:p>
      <w:pPr>
        <w:pStyle w:val="Heading1"/>
      </w:pPr>
      <w:r>
        <w:t>SYNTHÈSE GÉNÉRALE</w:t>
      </w:r>
    </w:p>
    <w:p>
      <w:pPr>
        <w:spacing w:after="240"/>
      </w:pPr>
      <w:r>
        <w:t xml:space="preserve">Ce rapport présente une analyse détaillée de 48 sociétés cotées à la Bourse Régionale des Valeurs Mobilières (BRVM). </w:t>
      </w:r>
      <w:r>
        <w:t xml:space="preserve">L'indice BRVM Composite s'établit à 532.61 points </w:t>
      </w:r>
      <w:r>
        <w:rPr>
          <w:color w:val="C00000"/>
        </w:rPr>
        <w:t>(-0.94%)</w:t>
      </w:r>
      <w:r>
        <w:t xml:space="preserve"> sur la séance. </w:t>
      </w:r>
      <w:r>
        <w:t>La capitalisation globale du marché atteint 20 886,210 milliards FCFA.</w:t>
      </w:r>
    </w:p>
    <w:p/>
    <w:p>
      <w:pPr>
        <w:pStyle w:val="Heading3"/>
      </w:pPr>
      <w:r>
        <w:t>📊 Évolution de l'indice BRVM Composite (100 derniers jours)</w:t>
      </w:r>
    </w:p>
    <w:p>
      <w:r>
        <w:rPr>
          <w:b/>
        </w:rPr>
        <w:t xml:space="preserve">BRVM Composite — </w:t>
      </w:r>
      <w:r>
        <w:t xml:space="preserve">Sur les 100 derniers jours de cotation (2026-05-26 au 2026-10-16), l'indice BRVM Composite a évolué de </w:t>
      </w:r>
      <w:r>
        <w:rPr>
          <w:b/>
          <w:color w:val="008000"/>
        </w:rPr>
        <w:t>+26.71%</w:t>
      </w:r>
      <w:r>
        <w:t>, passant de 420.33 pts à 532.61 pts. Le plus haut atteint est 555.90 pts et le plus bas 420.33 pts. Sur l'ensemble de la période, la moyenne de l'indice s'établit à 494.55 pts, la médiane à 485.46 pts et le mode à 537.67 pts</w:t>
      </w:r>
      <w:r>
        <w:t xml:space="preserve"> (distribution symétrique). </w:t>
      </w:r>
      <w:r>
        <w:t xml:space="preserve">L'écart-type de 43.59 pts (CV=8.8%) traduit une modérée dispersion des cotations. Le kurtosis de -1.43 indique une distribution platykurtique — fluctuations régulières.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+28.90%</w:t>
      </w:r>
      <w:r>
        <w:t xml:space="preserve"> sur la période, passant de 16 203,402 Mds FCFA à 20 886,210 Mds FCFA. Le pic de capitalisation observé est de 21 529,927 Mds FCFA et le plancher de 16 203,402 Mds FCFA. La moyenne de la capitalisation sur la période s'établit à 19 119,047 Mds FCFA, la médiane à 18 701,240 Mds FCFA et le mode à 16 203,402 Mds FCFA</w:t>
      </w:r>
      <w:r>
        <w:t xml:space="preserve"> (distribution symétrique). </w:t>
      </w:r>
      <w:r>
        <w:t>L'écart-type de 1 754,298 Mds FCFA (CV=9.2%) reflète une modérée variabilité de la valorisation du marché. Le kurtosis de -1.45 indique une distribution platykurtique — valorisation régulière.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SNTS - SNTS - SONATEL SN</w:t>
      </w:r>
      <w:r>
        <w:t xml:space="preserve"> | Prix: 43500 FCFA | </w:t>
      </w:r>
      <w:r>
        <w:rPr>
          <w:b/>
          <w:color w:val="008000"/>
        </w:rPr>
        <w:t>ACHAT FORT</w:t>
      </w:r>
      <w:r>
        <w:t xml:space="preserve"> | Confiance: Élevée | Risque: Moyen</w:t>
      </w:r>
    </w:p>
    <w:p>
      <w:pPr>
        <w:pStyle w:val="ListNumber"/>
      </w:pPr>
      <w:r>
        <w:rPr>
          <w:b/>
        </w:rPr>
        <w:t>ABJC - ABJC - SERVAIR ABIDJAN CI</w:t>
      </w:r>
      <w:r>
        <w:t xml:space="preserve"> | Prix: 3000 FCFA | </w:t>
      </w:r>
      <w:r>
        <w:rPr>
          <w:b/>
          <w:color w:val="008000"/>
        </w:rPr>
        <w:t>ACHAT</w:t>
      </w:r>
      <w:r>
        <w:t xml:space="preserve"> | Confiance: Moyen | Risque: Faible</w:t>
      </w:r>
    </w:p>
    <w:p>
      <w:pPr>
        <w:pStyle w:val="ListNumber"/>
      </w:pPr>
      <w:r>
        <w:rPr>
          <w:b/>
        </w:rPr>
        <w:t>BBGC - BRIDGE BANK GROUP COTE D'IVOIRE</w:t>
      </w:r>
      <w:r>
        <w:t xml:space="preserve"> | Prix: 10390 FCFA | </w:t>
      </w:r>
      <w:r>
        <w:rPr>
          <w:b/>
          <w:color w:val="008000"/>
        </w:rPr>
        <w:t>ACHAT</w:t>
      </w:r>
      <w:r>
        <w:t xml:space="preserve"> | Confiance: Moyen | Risque: Moyen</w:t>
      </w:r>
    </w:p>
    <w:p>
      <w:pPr>
        <w:pStyle w:val="ListNumber"/>
      </w:pPr>
      <w:r>
        <w:rPr>
          <w:b/>
        </w:rPr>
        <w:t>BICB - BIIC BN - Banque internationale pour le commerce du benin</w:t>
      </w:r>
      <w:r>
        <w:t xml:space="preserve"> | Prix: 8400 FCFA | </w:t>
      </w:r>
      <w:r>
        <w:rPr>
          <w:b/>
          <w:color w:val="008000"/>
        </w:rPr>
        <w:t>ACHAT</w:t>
      </w:r>
      <w:r>
        <w:t xml:space="preserve"> | Confiance: Faible | Risque: Moyen</w:t>
      </w:r>
    </w:p>
    <w:p>
      <w:pPr>
        <w:pStyle w:val="ListNumber"/>
      </w:pPr>
      <w:r>
        <w:rPr>
          <w:b/>
        </w:rPr>
        <w:t>BICC - BICI CI - Banque internationale pour le commerce et l'industrie de la Côte d'Ivoire</w:t>
      </w:r>
      <w:r>
        <w:t xml:space="preserve"> | Prix: 32400 FCFA | </w:t>
      </w:r>
      <w:r>
        <w:rPr>
          <w:b/>
          <w:color w:val="008000"/>
        </w:rPr>
        <w:t>ACHAT</w:t>
      </w:r>
      <w:r>
        <w:t xml:space="preserve"> | Confiance: Moyen | Risque: Moyen</w:t>
      </w:r>
    </w:p>
    <w:p>
      <w:pPr>
        <w:pStyle w:val="ListNumber"/>
      </w:pPr>
      <w:r>
        <w:rPr>
          <w:b/>
        </w:rPr>
        <w:t>BNBC - BNBC - BERNABE CI</w:t>
      </w:r>
      <w:r>
        <w:t xml:space="preserve"> | Prix: 1805 FCFA | </w:t>
      </w:r>
      <w:r>
        <w:rPr>
          <w:b/>
          <w:color w:val="008000"/>
        </w:rPr>
        <w:t>ACHAT</w:t>
      </w:r>
      <w:r>
        <w:t xml:space="preserve"> | Confiance: Faible | Risque: Faible</w:t>
      </w:r>
    </w:p>
    <w:p>
      <w:pPr>
        <w:pStyle w:val="ListNumber"/>
      </w:pPr>
      <w:r>
        <w:rPr>
          <w:b/>
        </w:rPr>
        <w:t>BOAB - BANK OF AFRICA BENIN</w:t>
      </w:r>
      <w:r>
        <w:t xml:space="preserve"> | Prix: 9000 FCFA | </w:t>
      </w:r>
      <w:r>
        <w:rPr>
          <w:b/>
          <w:color w:val="008000"/>
        </w:rPr>
        <w:t>ACHAT</w:t>
      </w:r>
      <w:r>
        <w:t xml:space="preserve"> | Confiance: Faible | Risque: Faible</w:t>
      </w:r>
    </w:p>
    <w:p>
      <w:pPr>
        <w:pStyle w:val="ListNumber"/>
      </w:pPr>
      <w:r>
        <w:rPr>
          <w:b/>
        </w:rPr>
        <w:t>BOABF - BANK OF AFRICA BURKINA FASO</w:t>
      </w:r>
      <w:r>
        <w:t xml:space="preserve"> | Prix: 8010 FCFA | </w:t>
      </w:r>
      <w:r>
        <w:rPr>
          <w:b/>
          <w:color w:val="008000"/>
        </w:rPr>
        <w:t>ACHAT</w:t>
      </w:r>
      <w:r>
        <w:t xml:space="preserve"> | Confiance: Faible | Risque: Moyen</w:t>
      </w:r>
    </w:p>
    <w:p>
      <w:pPr>
        <w:pStyle w:val="ListNumber"/>
      </w:pPr>
      <w:r>
        <w:rPr>
          <w:b/>
        </w:rPr>
        <w:t>BOAC - BANK OF AFRICA COTE D'IVOIRE</w:t>
      </w:r>
      <w:r>
        <w:t xml:space="preserve"> | Prix: 11395 FCFA | </w:t>
      </w:r>
      <w:r>
        <w:rPr>
          <w:b/>
          <w:color w:val="008000"/>
        </w:rPr>
        <w:t>ACHAT</w:t>
      </w:r>
      <w:r>
        <w:t xml:space="preserve"> | Confiance: Moyen | Risque: Faible</w:t>
      </w:r>
    </w:p>
    <w:p>
      <w:pPr>
        <w:pStyle w:val="ListNumber"/>
      </w:pPr>
      <w:r>
        <w:rPr>
          <w:b/>
        </w:rPr>
        <w:t>BOAM - BANK OF AFRICA MALI</w:t>
      </w:r>
      <w:r>
        <w:t xml:space="preserve"> | Prix: 5700 FCFA | </w:t>
      </w:r>
      <w:r>
        <w:rPr>
          <w:b/>
          <w:color w:val="008000"/>
        </w:rPr>
        <w:t>ACHAT</w:t>
      </w:r>
      <w:r>
        <w:t xml:space="preserve"> | Confiance: Moyen | Risque: Moyen</w:t>
      </w:r>
    </w:p>
    <w:p/>
    <w:p>
      <w:pPr>
        <w:pStyle w:val="Heading2"/>
      </w:pPr>
      <w:r>
        <w:t>📉 TOP 10 DES ACTIONS À ÉVITER</w:t>
      </w:r>
    </w:p>
    <w:p>
      <w:r>
        <w:t>Ces actions présentent des signaux de vente ou de dégradation fondamentale. Il est conseillé de les céder immédiatement ou d'éviter d'y investir.</w:t>
      </w:r>
    </w:p>
    <w:p>
      <w:r>
        <w:rPr>
          <w:i/>
        </w:rPr>
        <w:t>✅ Aucune action à éviter ce jour.</w:t>
      </w:r>
      <w:r>
        <w:t xml:space="preserve"> L'ensemble des 48 sociétés analysées présentent des signaux neutres ou positifs. Aucun signal de vente fort n'a été détecté par l'analyse Multi-AI.</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Financiers</w:t>
      </w:r>
    </w:p>
    <w:p>
      <w:r>
        <w:rPr>
          <w:b/>
        </w:rPr>
        <w:t xml:space="preserve">Nombre de sociétés: </w:t>
      </w:r>
      <w:r>
        <w:t xml:space="preserve">1  |  </w:t>
      </w:r>
      <w:r>
        <w:rPr>
          <w:b/>
        </w:rPr>
        <w:t xml:space="preserve">Performance moyenne (100j): </w:t>
      </w:r>
      <w:r>
        <w:rPr>
          <w:color w:val="008000"/>
        </w:rPr>
        <w:t>43.21%</w:t>
      </w:r>
      <w:r>
        <w:t xml:space="preserve">  |  </w:t>
      </w:r>
      <w:r>
        <w:rPr>
          <w:b/>
        </w:rPr>
        <w:t xml:space="preserve">vs BRVM Composite: </w:t>
      </w:r>
      <w:r>
        <w:rPr>
          <w:b/>
          <w:color w:val="008000"/>
        </w:rPr>
        <w:t>+16.50%  🟢 Surperformance</w:t>
      </w:r>
      <w:r>
        <w:br/>
      </w:r>
      <w:r>
        <w:rPr>
          <w:b/>
        </w:rPr>
        <w:t xml:space="preserve">Sentiment général: </w:t>
      </w:r>
      <w:r>
        <w:t xml:space="preserve">ACHAT  |  </w:t>
      </w:r>
      <w:r>
        <w:rPr>
          <w:b/>
        </w:rPr>
        <w:t xml:space="preserve">Risque moyen: </w:t>
      </w:r>
      <w:r>
        <w:t xml:space="preserve">Moyen  |  </w:t>
      </w:r>
      <w:r>
        <w:rPr>
          <w:b/>
        </w:rPr>
        <w:t xml:space="preserve">Prix moyen: </w:t>
      </w:r>
      <w:r>
        <w:t>10390 FCFA</w:t>
        <w:br/>
      </w:r>
      <w:r>
        <w:rPr>
          <w:b/>
        </w:rPr>
        <w:br/>
        <w:t xml:space="preserve">Sociétés: </w:t>
      </w:r>
      <w:r>
        <w:t>BBGC (BRIDGE BANK GROUP COTE D'IVOIRE)</w:t>
      </w:r>
    </w:p>
    <w:p/>
    <w:p>
      <w:pPr>
        <w:pStyle w:val="Heading3"/>
      </w:pPr>
      <w:r>
        <w:t>Secteur: SERVICES PUBLICS</w:t>
      </w:r>
    </w:p>
    <w:p>
      <w:r>
        <w:rPr>
          <w:b/>
        </w:rPr>
        <w:t xml:space="preserve">Nombre de sociétés: </w:t>
      </w:r>
      <w:r>
        <w:t xml:space="preserve">2  |  </w:t>
      </w:r>
      <w:r>
        <w:rPr>
          <w:b/>
        </w:rPr>
        <w:t xml:space="preserve">Performance moyenne (100j): </w:t>
      </w:r>
      <w:r>
        <w:rPr>
          <w:color w:val="008000"/>
        </w:rPr>
        <w:t>30.40%</w:t>
      </w:r>
      <w:r>
        <w:t xml:space="preserve">  |  </w:t>
      </w:r>
      <w:r>
        <w:rPr>
          <w:b/>
        </w:rPr>
        <w:t xml:space="preserve">vs BRVM Composite: </w:t>
      </w:r>
      <w:r>
        <w:rPr>
          <w:b/>
          <w:color w:val="008000"/>
        </w:rPr>
        <w:t>+3.69%  🟢 Surperformance</w:t>
      </w:r>
      <w:r>
        <w:br/>
      </w:r>
      <w:r>
        <w:rPr>
          <w:b/>
        </w:rPr>
        <w:t xml:space="preserve">Sentiment général: </w:t>
      </w:r>
      <w:r>
        <w:t xml:space="preserve">ACHAT  |  </w:t>
      </w:r>
      <w:r>
        <w:rPr>
          <w:b/>
        </w:rPr>
        <w:t xml:space="preserve">Risque moyen: </w:t>
      </w:r>
      <w:r>
        <w:t xml:space="preserve">Moyen  |  </w:t>
      </w:r>
      <w:r>
        <w:rPr>
          <w:b/>
        </w:rPr>
        <w:t xml:space="preserve">Prix moyen: </w:t>
      </w:r>
      <w:r>
        <w:t>9350 FCFA</w:t>
        <w:br/>
      </w:r>
      <w:r>
        <w:rPr>
          <w:b/>
        </w:rPr>
        <w:br/>
        <w:t xml:space="preserve">Sociétés: </w:t>
      </w:r>
      <w:r>
        <w:t>CIEC (CIEC - Compagnie Ivoirienne d'Electricité), SDCC (SDCC - Société de Distribution d'Eau de Côte d'Ivoire)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29.67%</w:t>
      </w:r>
      <w:r>
        <w:t xml:space="preserve">  |  </w:t>
      </w:r>
      <w:r>
        <w:rPr>
          <w:b/>
        </w:rPr>
        <w:t xml:space="preserve">vs BRVM Composite: </w:t>
      </w:r>
      <w:r>
        <w:rPr>
          <w:b/>
          <w:color w:val="008000"/>
        </w:rPr>
        <w:t>+2.96%  🟢 Surperformance</w:t>
      </w:r>
      <w:r>
        <w:br/>
      </w:r>
      <w:r>
        <w:rPr>
          <w:b/>
        </w:rPr>
        <w:t xml:space="preserve">Sentiment général: </w:t>
      </w:r>
      <w:r>
        <w:t xml:space="preserve">ACHAT  |  </w:t>
      </w:r>
      <w:r>
        <w:rPr>
          <w:b/>
        </w:rPr>
        <w:t xml:space="preserve">Risque moyen: </w:t>
      </w:r>
      <w:r>
        <w:t xml:space="preserve">Moyen  |  </w:t>
      </w:r>
      <w:r>
        <w:rPr>
          <w:b/>
        </w:rPr>
        <w:t xml:space="preserve">Prix moyen: </w:t>
      </w:r>
      <w:r>
        <w:t>22365 FCFA</w:t>
        <w:br/>
      </w:r>
      <w:r>
        <w:rPr>
          <w:b/>
        </w:rPr>
        <w:br/>
        <w:t xml:space="preserve">Sociétés: </w:t>
      </w:r>
      <w:r>
        <w:t>ONTBF (ONTBF - ONATEL BURKINA FASO), ORAC (ORAC - ORANGE COTE D'IVOIRE), SNTS (SNTS - SONATEL SN)</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25.78%</w:t>
      </w:r>
      <w:r>
        <w:t xml:space="preserve">  |  </w:t>
      </w:r>
      <w:r>
        <w:rPr>
          <w:b/>
        </w:rPr>
        <w:t xml:space="preserve">vs BRVM Composite: </w:t>
      </w:r>
      <w:r>
        <w:rPr>
          <w:b/>
          <w:color w:val="C00000"/>
        </w:rPr>
        <w:t>-0.93%  🔴 Sous-performance</w:t>
      </w:r>
      <w:r>
        <w:br/>
      </w:r>
      <w:r>
        <w:rPr>
          <w:b/>
        </w:rPr>
        <w:t xml:space="preserve">Sentiment général: </w:t>
      </w:r>
      <w:r>
        <w:t xml:space="preserve">ACHAT  |  </w:t>
      </w:r>
      <w:r>
        <w:rPr>
          <w:b/>
        </w:rPr>
        <w:t xml:space="preserve">Risque moyen: </w:t>
      </w:r>
      <w:r>
        <w:t xml:space="preserve">Moyen  |  </w:t>
      </w:r>
      <w:r>
        <w:rPr>
          <w:b/>
        </w:rPr>
        <w:t xml:space="preserve">Prix moyen: </w:t>
      </w:r>
      <w:r>
        <w:t>13134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ENERGIE</w:t>
      </w:r>
    </w:p>
    <w:p>
      <w:r>
        <w:rPr>
          <w:b/>
        </w:rPr>
        <w:t xml:space="preserve">Nombre de sociétés: </w:t>
      </w:r>
      <w:r>
        <w:t xml:space="preserve">4  |  </w:t>
      </w:r>
      <w:r>
        <w:rPr>
          <w:b/>
        </w:rPr>
        <w:t xml:space="preserve">Performance moyenne (100j): </w:t>
      </w:r>
      <w:r>
        <w:rPr>
          <w:color w:val="008000"/>
        </w:rPr>
        <w:t>13.79%</w:t>
      </w:r>
      <w:r>
        <w:t xml:space="preserve">  |  </w:t>
      </w:r>
      <w:r>
        <w:rPr>
          <w:b/>
        </w:rPr>
        <w:t xml:space="preserve">vs BRVM Composite: </w:t>
      </w:r>
      <w:r>
        <w:rPr>
          <w:b/>
          <w:color w:val="C00000"/>
        </w:rPr>
        <w:t>-12.92%  🔴 Sous-performance</w:t>
      </w:r>
      <w:r>
        <w:br/>
      </w:r>
      <w:r>
        <w:rPr>
          <w:b/>
        </w:rPr>
        <w:t xml:space="preserve">Sentiment général: </w:t>
      </w:r>
      <w:r>
        <w:t xml:space="preserve">ACHAT  |  </w:t>
      </w:r>
      <w:r>
        <w:rPr>
          <w:b/>
        </w:rPr>
        <w:t xml:space="preserve">Risque moyen: </w:t>
      </w:r>
      <w:r>
        <w:t xml:space="preserve">Faible  |  </w:t>
      </w:r>
      <w:r>
        <w:rPr>
          <w:b/>
        </w:rPr>
        <w:t xml:space="preserve">Prix moyen: </w:t>
      </w:r>
      <w:r>
        <w:t>6084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10.85%</w:t>
      </w:r>
      <w:r>
        <w:t xml:space="preserve">  |  </w:t>
      </w:r>
      <w:r>
        <w:rPr>
          <w:b/>
        </w:rPr>
        <w:t xml:space="preserve">vs BRVM Composite: </w:t>
      </w:r>
      <w:r>
        <w:rPr>
          <w:b/>
          <w:color w:val="C00000"/>
        </w:rPr>
        <w:t>-15.87%  🔴 Sous-performance</w:t>
      </w:r>
      <w:r>
        <w:br/>
      </w:r>
      <w:r>
        <w:rPr>
          <w:b/>
        </w:rPr>
        <w:t xml:space="preserve">Sentiment général: </w:t>
      </w:r>
      <w:r>
        <w:t xml:space="preserve">ACHAT  |  </w:t>
      </w:r>
      <w:r>
        <w:rPr>
          <w:b/>
        </w:rPr>
        <w:t xml:space="preserve">Risque moyen: </w:t>
      </w:r>
      <w:r>
        <w:t xml:space="preserve">Faible  |  </w:t>
      </w:r>
      <w:r>
        <w:rPr>
          <w:b/>
        </w:rPr>
        <w:t xml:space="preserve">Prix moyen: </w:t>
      </w:r>
      <w:r>
        <w:t>18054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7.15%</w:t>
      </w:r>
      <w:r>
        <w:t xml:space="preserve">  |  </w:t>
      </w:r>
      <w:r>
        <w:rPr>
          <w:b/>
        </w:rPr>
        <w:t xml:space="preserve">vs BRVM Composite: </w:t>
      </w:r>
      <w:r>
        <w:rPr>
          <w:b/>
          <w:color w:val="C00000"/>
        </w:rPr>
        <w:t>-19.56%  🔴 Sous-performance</w:t>
      </w:r>
      <w:r>
        <w:br/>
      </w:r>
      <w:r>
        <w:rPr>
          <w:b/>
        </w:rPr>
        <w:t xml:space="preserve">Sentiment général: </w:t>
      </w:r>
      <w:r>
        <w:t xml:space="preserve">ACHAT  |  </w:t>
      </w:r>
      <w:r>
        <w:rPr>
          <w:b/>
        </w:rPr>
        <w:t xml:space="preserve">Risque moyen: </w:t>
      </w:r>
      <w:r>
        <w:t xml:space="preserve">Faible  |  </w:t>
      </w:r>
      <w:r>
        <w:rPr>
          <w:b/>
        </w:rPr>
        <w:t xml:space="preserve">Prix moyen: </w:t>
      </w:r>
      <w:r>
        <w:t>2685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INDUSTRIELS</w:t>
      </w:r>
    </w:p>
    <w:p>
      <w:r>
        <w:rPr>
          <w:b/>
        </w:rPr>
        <w:t xml:space="preserve">Nombre de sociétés: </w:t>
      </w:r>
      <w:r>
        <w:t xml:space="preserve">6  |  </w:t>
      </w:r>
      <w:r>
        <w:rPr>
          <w:b/>
        </w:rPr>
        <w:t xml:space="preserve">Performance moyenne (100j): </w:t>
      </w:r>
      <w:r>
        <w:rPr>
          <w:color w:val="C00000"/>
        </w:rPr>
        <w:t>-10.06%</w:t>
      </w:r>
      <w:r>
        <w:t xml:space="preserve">  |  </w:t>
      </w:r>
      <w:r>
        <w:rPr>
          <w:b/>
        </w:rPr>
        <w:t xml:space="preserve">vs BRVM Composite: </w:t>
      </w:r>
      <w:r>
        <w:rPr>
          <w:b/>
          <w:color w:val="C00000"/>
        </w:rPr>
        <w:t>-36.77%  🔴 Sous-performance</w:t>
      </w:r>
      <w:r>
        <w:br/>
      </w:r>
      <w:r>
        <w:rPr>
          <w:b/>
        </w:rPr>
        <w:t xml:space="preserve">Sentiment général: </w:t>
      </w:r>
      <w:r>
        <w:t xml:space="preserve">ACHAT  |  </w:t>
      </w:r>
      <w:r>
        <w:rPr>
          <w:b/>
        </w:rPr>
        <w:t xml:space="preserve">Risque moyen: </w:t>
      </w:r>
      <w:r>
        <w:t xml:space="preserve">Faible  |  </w:t>
      </w:r>
      <w:r>
        <w:rPr>
          <w:b/>
        </w:rPr>
        <w:t xml:space="preserve">Prix moyen: </w:t>
      </w:r>
      <w:r>
        <w:t>2298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CIEC, ECOC, NTLC, ONTBF, SDSC, SGBC, SLBC, UNXC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ABJC, BBGC, BICC, BOAC, BOAM, BOAS, CABC, CBIBF, LNBB, NEIC, NSBC, ORAC, PRSC, SCRC, SEMC, SHEC, SICC, SNTS, TTLC, TTLS</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BICB, BNBC, BOAB, BOABF, BOAN, CFAC, ETIT, FTSC, ORGT, PALC, SAFC, SDCC, SIBC, SIVC, SMBC, SOGC, SPHC, STAC, STBC, UNLC</w:t>
            </w:r>
          </w:p>
        </w:tc>
        <w:tc>
          <w:tcPr>
            <w:tcW w:type="dxa" w:w="2160"/>
            <w:shd w:fill="FFC7CE" w:val="clear"/>
          </w:tcPr>
          <w:p>
            <w:pPr>
              <w:spacing w:before="40" w:after="40"/>
            </w:pPr>
            <w:r/>
            <w:r>
              <w:rPr>
                <w:b w:val="0"/>
                <w:sz w:val="16"/>
              </w:rPr>
              <w:t>—</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994473</w:t>
            </w:r>
          </w:p>
        </w:tc>
        <w:tc>
          <w:tcPr>
            <w:tcW w:type="dxa" w:w="1728"/>
          </w:tcPr>
          <w:p>
            <w:r>
              <w:t>66179631 FCFA</w:t>
            </w:r>
          </w:p>
        </w:tc>
        <w:tc>
          <w:tcPr>
            <w:tcW w:type="dxa" w:w="1728"/>
          </w:tcPr>
          <w:p>
            <w:r>
              <w:t>124.14%</w:t>
            </w:r>
          </w:p>
        </w:tc>
        <w:tc>
          <w:tcPr>
            <w:tcW w:type="dxa" w:w="1728"/>
          </w:tcPr>
          <w:p>
            <w:r>
              <w:t>ACHAT</w:t>
            </w:r>
          </w:p>
        </w:tc>
      </w:tr>
      <w:tr>
        <w:tc>
          <w:tcPr>
            <w:tcW w:type="dxa" w:w="1728"/>
          </w:tcPr>
          <w:p>
            <w:r>
              <w:t>SNTS (SNTS - SONATEL SN)</w:t>
            </w:r>
          </w:p>
        </w:tc>
        <w:tc>
          <w:tcPr>
            <w:tcW w:type="dxa" w:w="1728"/>
          </w:tcPr>
          <w:p>
            <w:r>
              <w:t>27984</w:t>
            </w:r>
          </w:p>
        </w:tc>
        <w:tc>
          <w:tcPr>
            <w:tcW w:type="dxa" w:w="1728"/>
          </w:tcPr>
          <w:p>
            <w:r>
              <w:t>1217999742 FCFA</w:t>
            </w:r>
          </w:p>
        </w:tc>
        <w:tc>
          <w:tcPr>
            <w:tcW w:type="dxa" w:w="1728"/>
          </w:tcPr>
          <w:p>
            <w:r>
              <w:t>52.90%</w:t>
            </w:r>
          </w:p>
        </w:tc>
        <w:tc>
          <w:tcPr>
            <w:tcW w:type="dxa" w:w="1728"/>
          </w:tcPr>
          <w:p>
            <w:r>
              <w:t>ACHAT FORT</w:t>
            </w:r>
          </w:p>
        </w:tc>
      </w:tr>
      <w:tr>
        <w:tc>
          <w:tcPr>
            <w:tcW w:type="dxa" w:w="1728"/>
          </w:tcPr>
          <w:p>
            <w:r>
              <w:t>BBGC (BRIDGE BANK GROUP COTE D'IVOIRE)</w:t>
            </w:r>
          </w:p>
        </w:tc>
        <w:tc>
          <w:tcPr>
            <w:tcW w:type="dxa" w:w="1728"/>
          </w:tcPr>
          <w:p>
            <w:r>
              <w:t>27889</w:t>
            </w:r>
          </w:p>
        </w:tc>
        <w:tc>
          <w:tcPr>
            <w:tcW w:type="dxa" w:w="1728"/>
          </w:tcPr>
          <w:p>
            <w:r>
              <w:t>261950722 FCFA</w:t>
            </w:r>
          </w:p>
        </w:tc>
        <w:tc>
          <w:tcPr>
            <w:tcW w:type="dxa" w:w="1728"/>
          </w:tcPr>
          <w:p>
            <w:r>
              <w:t>43.21%</w:t>
            </w:r>
          </w:p>
        </w:tc>
        <w:tc>
          <w:tcPr>
            <w:tcW w:type="dxa" w:w="1728"/>
          </w:tcPr>
          <w:p>
            <w:r>
              <w:t>ACHAT</w:t>
            </w:r>
          </w:p>
        </w:tc>
      </w:tr>
      <w:tr>
        <w:tc>
          <w:tcPr>
            <w:tcW w:type="dxa" w:w="1728"/>
          </w:tcPr>
          <w:p>
            <w:r>
              <w:t>BOAS (BANK OF AFRICA SENEGAL)</w:t>
            </w:r>
          </w:p>
        </w:tc>
        <w:tc>
          <w:tcPr>
            <w:tcW w:type="dxa" w:w="1728"/>
          </w:tcPr>
          <w:p>
            <w:r>
              <w:t>11790</w:t>
            </w:r>
          </w:p>
        </w:tc>
        <w:tc>
          <w:tcPr>
            <w:tcW w:type="dxa" w:w="1728"/>
          </w:tcPr>
          <w:p>
            <w:r>
              <w:t>95001493 FCFA</w:t>
            </w:r>
          </w:p>
        </w:tc>
        <w:tc>
          <w:tcPr>
            <w:tcW w:type="dxa" w:w="1728"/>
          </w:tcPr>
          <w:p>
            <w:r>
              <w:t>5.23%</w:t>
            </w:r>
          </w:p>
        </w:tc>
        <w:tc>
          <w:tcPr>
            <w:tcW w:type="dxa" w:w="1728"/>
          </w:tcPr>
          <w:p>
            <w:r>
              <w:t>ACHAT</w:t>
            </w:r>
          </w:p>
        </w:tc>
      </w:tr>
      <w:tr>
        <w:tc>
          <w:tcPr>
            <w:tcW w:type="dxa" w:w="1728"/>
          </w:tcPr>
          <w:p>
            <w:r>
              <w:t>SIBC (SIBC - SOCIETE IVOIRIENNE DE BANQUE)</w:t>
            </w:r>
          </w:p>
        </w:tc>
        <w:tc>
          <w:tcPr>
            <w:tcW w:type="dxa" w:w="1728"/>
          </w:tcPr>
          <w:p>
            <w:r>
              <w:t>11644</w:t>
            </w:r>
          </w:p>
        </w:tc>
        <w:tc>
          <w:tcPr>
            <w:tcW w:type="dxa" w:w="1728"/>
          </w:tcPr>
          <w:p>
            <w:r>
              <w:t>103931203 FCFA</w:t>
            </w:r>
          </w:p>
        </w:tc>
        <w:tc>
          <w:tcPr>
            <w:tcW w:type="dxa" w:w="1728"/>
          </w:tcPr>
          <w:p>
            <w:r>
              <w:t>13.31%</w:t>
            </w:r>
          </w:p>
        </w:tc>
        <w:tc>
          <w:tcPr>
            <w:tcW w:type="dxa" w:w="1728"/>
          </w:tcPr>
          <w:p>
            <w:r>
              <w:t>ACHAT</w:t>
            </w:r>
          </w:p>
        </w:tc>
      </w:tr>
      <w:tr>
        <w:tc>
          <w:tcPr>
            <w:tcW w:type="dxa" w:w="1728"/>
          </w:tcPr>
          <w:p>
            <w:r>
              <w:t>SDSC (SDSC - AFRICA GLOBAL LOGISTICS CI)</w:t>
            </w:r>
          </w:p>
        </w:tc>
        <w:tc>
          <w:tcPr>
            <w:tcW w:type="dxa" w:w="1728"/>
          </w:tcPr>
          <w:p>
            <w:r>
              <w:t>11626</w:t>
            </w:r>
          </w:p>
        </w:tc>
        <w:tc>
          <w:tcPr>
            <w:tcW w:type="dxa" w:w="1728"/>
          </w:tcPr>
          <w:p>
            <w:r>
              <w:t>33643711 FCFA</w:t>
            </w:r>
          </w:p>
        </w:tc>
        <w:tc>
          <w:tcPr>
            <w:tcW w:type="dxa" w:w="1728"/>
          </w:tcPr>
          <w:p>
            <w:r>
              <w:t>69.82%</w:t>
            </w:r>
          </w:p>
        </w:tc>
        <w:tc>
          <w:tcPr>
            <w:tcW w:type="dxa" w:w="1728"/>
          </w:tcPr>
          <w:p>
            <w:r>
              <w:t>ACHAT</w:t>
            </w:r>
          </w:p>
        </w:tc>
      </w:tr>
      <w:tr>
        <w:tc>
          <w:tcPr>
            <w:tcW w:type="dxa" w:w="1728"/>
          </w:tcPr>
          <w:p>
            <w:r>
              <w:t>SCRC (SCRC - SUCRIVOIRE)</w:t>
            </w:r>
          </w:p>
        </w:tc>
        <w:tc>
          <w:tcPr>
            <w:tcW w:type="dxa" w:w="1728"/>
          </w:tcPr>
          <w:p>
            <w:r>
              <w:t>10826</w:t>
            </w:r>
          </w:p>
        </w:tc>
        <w:tc>
          <w:tcPr>
            <w:tcW w:type="dxa" w:w="1728"/>
          </w:tcPr>
          <w:p>
            <w:r>
              <w:t>29634021 FCFA</w:t>
            </w:r>
          </w:p>
        </w:tc>
        <w:tc>
          <w:tcPr>
            <w:tcW w:type="dxa" w:w="1728"/>
          </w:tcPr>
          <w:p>
            <w:r>
              <w:t>2.95%</w:t>
            </w:r>
          </w:p>
        </w:tc>
        <w:tc>
          <w:tcPr>
            <w:tcW w:type="dxa" w:w="1728"/>
          </w:tcPr>
          <w:p>
            <w:r>
              <w:t>ACHAT</w:t>
            </w:r>
          </w:p>
        </w:tc>
      </w:tr>
      <w:tr>
        <w:tc>
          <w:tcPr>
            <w:tcW w:type="dxa" w:w="1728"/>
          </w:tcPr>
          <w:p>
            <w:r>
              <w:t>BOAC (BANK OF AFRICA COTE D'IVOIRE)</w:t>
            </w:r>
          </w:p>
        </w:tc>
        <w:tc>
          <w:tcPr>
            <w:tcW w:type="dxa" w:w="1728"/>
          </w:tcPr>
          <w:p>
            <w:r>
              <w:t>9914</w:t>
            </w:r>
          </w:p>
        </w:tc>
        <w:tc>
          <w:tcPr>
            <w:tcW w:type="dxa" w:w="1728"/>
          </w:tcPr>
          <w:p>
            <w:r>
              <w:t>111324829 FCFA</w:t>
            </w:r>
          </w:p>
        </w:tc>
        <w:tc>
          <w:tcPr>
            <w:tcW w:type="dxa" w:w="1728"/>
          </w:tcPr>
          <w:p>
            <w:r>
              <w:t>29.12%</w:t>
            </w:r>
          </w:p>
        </w:tc>
        <w:tc>
          <w:tcPr>
            <w:tcW w:type="dxa" w:w="1728"/>
          </w:tcPr>
          <w:p>
            <w:r>
              <w:t>ACHAT</w:t>
            </w:r>
          </w:p>
        </w:tc>
      </w:tr>
      <w:tr>
        <w:tc>
          <w:tcPr>
            <w:tcW w:type="dxa" w:w="1728"/>
          </w:tcPr>
          <w:p>
            <w:r>
              <w:t>UNXC (UNXC - UNIWAX COTE D'IVOIRE)</w:t>
            </w:r>
          </w:p>
        </w:tc>
        <w:tc>
          <w:tcPr>
            <w:tcW w:type="dxa" w:w="1728"/>
          </w:tcPr>
          <w:p>
            <w:r>
              <w:t>9505</w:t>
            </w:r>
          </w:p>
        </w:tc>
        <w:tc>
          <w:tcPr>
            <w:tcW w:type="dxa" w:w="1728"/>
          </w:tcPr>
          <w:p>
            <w:r>
              <w:t>21811960 FCFA</w:t>
            </w:r>
          </w:p>
        </w:tc>
        <w:tc>
          <w:tcPr>
            <w:tcW w:type="dxa" w:w="1728"/>
          </w:tcPr>
          <w:p>
            <w:r>
              <w:t>20.51%</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TTLC (TTLC - TOTAL ENERGIES MARKETING COTE D'IVOIRE)</w:t>
            </w:r>
          </w:p>
        </w:tc>
        <w:tc>
          <w:tcPr>
            <w:tcW w:type="dxa" w:w="1728"/>
          </w:tcPr>
          <w:p>
            <w:r>
              <w:t>3529</w:t>
            </w:r>
          </w:p>
        </w:tc>
        <w:tc>
          <w:tcPr>
            <w:tcW w:type="dxa" w:w="1728"/>
          </w:tcPr>
          <w:p>
            <w:r>
              <w:t>10796050 FCFA</w:t>
            </w:r>
          </w:p>
        </w:tc>
        <w:tc>
          <w:tcPr>
            <w:tcW w:type="dxa" w:w="1728"/>
          </w:tcPr>
          <w:p>
            <w:r>
              <w:t>8.01%</w:t>
            </w:r>
          </w:p>
        </w:tc>
        <w:tc>
          <w:tcPr>
            <w:tcW w:type="dxa" w:w="1728"/>
          </w:tcPr>
          <w:p>
            <w:r>
              <w:t>ACHAT</w:t>
            </w:r>
          </w:p>
        </w:tc>
      </w:tr>
      <w:tr>
        <w:tc>
          <w:tcPr>
            <w:tcW w:type="dxa" w:w="1728"/>
          </w:tcPr>
          <w:p>
            <w:r>
              <w:t>SIVC (SIVC - ERIUM CI (Ex AIR LIQUIDECI))</w:t>
            </w:r>
          </w:p>
        </w:tc>
        <w:tc>
          <w:tcPr>
            <w:tcW w:type="dxa" w:w="1728"/>
          </w:tcPr>
          <w:p>
            <w:r>
              <w:t>3181</w:t>
            </w:r>
          </w:p>
        </w:tc>
        <w:tc>
          <w:tcPr>
            <w:tcW w:type="dxa" w:w="1728"/>
          </w:tcPr>
          <w:p>
            <w:r>
              <w:t>6328247 FCFA</w:t>
            </w:r>
          </w:p>
        </w:tc>
        <w:tc>
          <w:tcPr>
            <w:tcW w:type="dxa" w:w="1728"/>
          </w:tcPr>
          <w:p>
            <w:r>
              <w:t>-37.74%</w:t>
            </w:r>
          </w:p>
        </w:tc>
        <w:tc>
          <w:tcPr>
            <w:tcW w:type="dxa" w:w="1728"/>
          </w:tcPr>
          <w:p>
            <w:r>
              <w:t>ACHAT</w:t>
            </w:r>
          </w:p>
        </w:tc>
      </w:tr>
      <w:tr>
        <w:tc>
          <w:tcPr>
            <w:tcW w:type="dxa" w:w="1728"/>
          </w:tcPr>
          <w:p>
            <w:r>
              <w:t>ORGT (ORGT - ORAGROUP TOGO)</w:t>
            </w:r>
          </w:p>
        </w:tc>
        <w:tc>
          <w:tcPr>
            <w:tcW w:type="dxa" w:w="1728"/>
          </w:tcPr>
          <w:p>
            <w:r>
              <w:t>3106</w:t>
            </w:r>
          </w:p>
        </w:tc>
        <w:tc>
          <w:tcPr>
            <w:tcW w:type="dxa" w:w="1728"/>
          </w:tcPr>
          <w:p>
            <w:r>
              <w:t>9054457 FCFA</w:t>
            </w:r>
          </w:p>
        </w:tc>
        <w:tc>
          <w:tcPr>
            <w:tcW w:type="dxa" w:w="1728"/>
          </w:tcPr>
          <w:p>
            <w:r>
              <w:t>1.46%</w:t>
            </w:r>
          </w:p>
        </w:tc>
        <w:tc>
          <w:tcPr>
            <w:tcW w:type="dxa" w:w="1728"/>
          </w:tcPr>
          <w:p>
            <w:r>
              <w:t>ACHAT</w:t>
            </w:r>
          </w:p>
        </w:tc>
      </w:tr>
      <w:tr>
        <w:tc>
          <w:tcPr>
            <w:tcW w:type="dxa" w:w="1728"/>
          </w:tcPr>
          <w:p>
            <w:r>
              <w:t>FTSC (FTSC - FILTISAC COTE D'IVOIRE)</w:t>
            </w:r>
          </w:p>
        </w:tc>
        <w:tc>
          <w:tcPr>
            <w:tcW w:type="dxa" w:w="1728"/>
          </w:tcPr>
          <w:p>
            <w:r>
              <w:t>2767</w:t>
            </w:r>
          </w:p>
        </w:tc>
        <w:tc>
          <w:tcPr>
            <w:tcW w:type="dxa" w:w="1728"/>
          </w:tcPr>
          <w:p>
            <w:r>
              <w:t>5325950 FCFA</w:t>
            </w:r>
          </w:p>
        </w:tc>
        <w:tc>
          <w:tcPr>
            <w:tcW w:type="dxa" w:w="1728"/>
          </w:tcPr>
          <w:p>
            <w:r>
              <w:t>-21.74%</w:t>
            </w:r>
          </w:p>
        </w:tc>
        <w:tc>
          <w:tcPr>
            <w:tcW w:type="dxa" w:w="1728"/>
          </w:tcPr>
          <w:p>
            <w:r>
              <w:t>ACHAT</w:t>
            </w:r>
          </w:p>
        </w:tc>
      </w:tr>
      <w:tr>
        <w:tc>
          <w:tcPr>
            <w:tcW w:type="dxa" w:w="1728"/>
          </w:tcPr>
          <w:p>
            <w:r>
              <w:t>SOGC (SOGC - Société des caoutchoucs de Grand-Béréby)</w:t>
            </w:r>
          </w:p>
        </w:tc>
        <w:tc>
          <w:tcPr>
            <w:tcW w:type="dxa" w:w="1728"/>
          </w:tcPr>
          <w:p>
            <w:r>
              <w:t>2744</w:t>
            </w:r>
          </w:p>
        </w:tc>
        <w:tc>
          <w:tcPr>
            <w:tcW w:type="dxa" w:w="1728"/>
          </w:tcPr>
          <w:p>
            <w:r>
              <w:t>21416007 FCFA</w:t>
            </w:r>
          </w:p>
        </w:tc>
        <w:tc>
          <w:tcPr>
            <w:tcW w:type="dxa" w:w="1728"/>
          </w:tcPr>
          <w:p>
            <w:r>
              <w:t>0.27%</w:t>
            </w:r>
          </w:p>
        </w:tc>
        <w:tc>
          <w:tcPr>
            <w:tcW w:type="dxa" w:w="1728"/>
          </w:tcPr>
          <w:p>
            <w:r>
              <w:t>ACHAT</w:t>
            </w:r>
          </w:p>
        </w:tc>
      </w:tr>
      <w:tr>
        <w:tc>
          <w:tcPr>
            <w:tcW w:type="dxa" w:w="1728"/>
          </w:tcPr>
          <w:p>
            <w:r>
              <w:t>ECOC (ECOC - ECOBANK COTE D'IVOIRE)</w:t>
            </w:r>
          </w:p>
        </w:tc>
        <w:tc>
          <w:tcPr>
            <w:tcW w:type="dxa" w:w="1728"/>
          </w:tcPr>
          <w:p>
            <w:r>
              <w:t>2698</w:t>
            </w:r>
          </w:p>
        </w:tc>
        <w:tc>
          <w:tcPr>
            <w:tcW w:type="dxa" w:w="1728"/>
          </w:tcPr>
          <w:p>
            <w:r>
              <w:t>44751499 FCFA</w:t>
            </w:r>
          </w:p>
        </w:tc>
        <w:tc>
          <w:tcPr>
            <w:tcW w:type="dxa" w:w="1728"/>
          </w:tcPr>
          <w:p>
            <w:r>
              <w:t>-2.45%</w:t>
            </w:r>
          </w:p>
        </w:tc>
        <w:tc>
          <w:tcPr>
            <w:tcW w:type="dxa" w:w="1728"/>
          </w:tcPr>
          <w:p>
            <w:r>
              <w:t>ACHAT</w:t>
            </w:r>
          </w:p>
        </w:tc>
      </w:tr>
      <w:tr>
        <w:tc>
          <w:tcPr>
            <w:tcW w:type="dxa" w:w="1728"/>
          </w:tcPr>
          <w:p>
            <w:r>
              <w:t>CFAC (CFAC - CFAO MOTORS CI)</w:t>
            </w:r>
          </w:p>
        </w:tc>
        <w:tc>
          <w:tcPr>
            <w:tcW w:type="dxa" w:w="1728"/>
          </w:tcPr>
          <w:p>
            <w:r>
              <w:t>2683</w:t>
            </w:r>
          </w:p>
        </w:tc>
        <w:tc>
          <w:tcPr>
            <w:tcW w:type="dxa" w:w="1728"/>
          </w:tcPr>
          <w:p>
            <w:r>
              <w:t>3983594 FCFA</w:t>
            </w:r>
          </w:p>
        </w:tc>
        <w:tc>
          <w:tcPr>
            <w:tcW w:type="dxa" w:w="1728"/>
          </w:tcPr>
          <w:p>
            <w:r>
              <w:t>-2.36%</w:t>
            </w:r>
          </w:p>
        </w:tc>
        <w:tc>
          <w:tcPr>
            <w:tcW w:type="dxa" w:w="1728"/>
          </w:tcPr>
          <w:p>
            <w:r>
              <w:t>ACHAT</w:t>
            </w:r>
          </w:p>
        </w:tc>
      </w:tr>
      <w:tr>
        <w:tc>
          <w:tcPr>
            <w:tcW w:type="dxa" w:w="1728"/>
          </w:tcPr>
          <w:p>
            <w:r>
              <w:t>NEIC (NEIC - NEI-CEDA CI)</w:t>
            </w:r>
          </w:p>
        </w:tc>
        <w:tc>
          <w:tcPr>
            <w:tcW w:type="dxa" w:w="1728"/>
          </w:tcPr>
          <w:p>
            <w:r>
              <w:t>2615</w:t>
            </w:r>
          </w:p>
        </w:tc>
        <w:tc>
          <w:tcPr>
            <w:tcW w:type="dxa" w:w="1728"/>
          </w:tcPr>
          <w:p>
            <w:r>
              <w:t>5818688 FCFA</w:t>
            </w:r>
          </w:p>
        </w:tc>
        <w:tc>
          <w:tcPr>
            <w:tcW w:type="dxa" w:w="1728"/>
          </w:tcPr>
          <w:p>
            <w:r>
              <w:t>10.79%</w:t>
            </w:r>
          </w:p>
        </w:tc>
        <w:tc>
          <w:tcPr>
            <w:tcW w:type="dxa" w:w="1728"/>
          </w:tcPr>
          <w:p>
            <w:r>
              <w:t>ACHAT</w:t>
            </w:r>
          </w:p>
        </w:tc>
      </w:tr>
      <w:tr>
        <w:tc>
          <w:tcPr>
            <w:tcW w:type="dxa" w:w="1728"/>
          </w:tcPr>
          <w:p>
            <w:r>
              <w:t>ABJC (ABJC - SERVAIR ABIDJAN CI)</w:t>
            </w:r>
          </w:p>
        </w:tc>
        <w:tc>
          <w:tcPr>
            <w:tcW w:type="dxa" w:w="1728"/>
          </w:tcPr>
          <w:p>
            <w:r>
              <w:t>2206</w:t>
            </w:r>
          </w:p>
        </w:tc>
        <w:tc>
          <w:tcPr>
            <w:tcW w:type="dxa" w:w="1728"/>
          </w:tcPr>
          <w:p>
            <w:r>
              <w:t>7976753 FCFA</w:t>
            </w:r>
          </w:p>
        </w:tc>
        <w:tc>
          <w:tcPr>
            <w:tcW w:type="dxa" w:w="1728"/>
          </w:tcPr>
          <w:p>
            <w:r>
              <w:t>4.17%</w:t>
            </w:r>
          </w:p>
        </w:tc>
        <w:tc>
          <w:tcPr>
            <w:tcW w:type="dxa" w:w="1728"/>
          </w:tcPr>
          <w:p>
            <w:r>
              <w:t>ACHAT</w:t>
            </w:r>
          </w:p>
        </w:tc>
      </w:tr>
      <w:tr>
        <w:tc>
          <w:tcPr>
            <w:tcW w:type="dxa" w:w="1728"/>
          </w:tcPr>
          <w:p>
            <w:r>
              <w:t>BNBC (BNBC - BERNABE CI)</w:t>
            </w:r>
          </w:p>
        </w:tc>
        <w:tc>
          <w:tcPr>
            <w:tcW w:type="dxa" w:w="1728"/>
          </w:tcPr>
          <w:p>
            <w:r>
              <w:t>1831</w:t>
            </w:r>
          </w:p>
        </w:tc>
        <w:tc>
          <w:tcPr>
            <w:tcW w:type="dxa" w:w="1728"/>
          </w:tcPr>
          <w:p>
            <w:r>
              <w:t>3421878 FCFA</w:t>
            </w:r>
          </w:p>
        </w:tc>
        <w:tc>
          <w:tcPr>
            <w:tcW w:type="dxa" w:w="1728"/>
          </w:tcPr>
          <w:p>
            <w:r>
              <w:t>20.74%</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BOABF - BANK OF AFRICA BURKINA FASO</w:t>
      </w:r>
    </w:p>
    <w:p>
      <w:r>
        <w:rPr>
          <w:b/>
        </w:rPr>
        <w:t xml:space="preserve">Score de divergence: </w:t>
      </w:r>
      <w:r>
        <w:t>5/8</w:t>
        <w:br/>
      </w:r>
      <w:r>
        <w:rPr>
          <w:b/>
        </w:rPr>
        <w:t xml:space="preserve">Description: </w:t>
      </w:r>
      <w:r>
        <w:t>Signaux de vente: MM, MACD | Recommandation finale: ACHAT</w:t>
        <w:br/>
      </w:r>
    </w:p>
    <w:p/>
    <w:p>
      <w:pPr>
        <w:pStyle w:val="Heading3"/>
      </w:pPr>
      <w:r>
        <w:t>2. BOAN - BANK OF AFRICA NIGER</w:t>
      </w:r>
    </w:p>
    <w:p>
      <w:r>
        <w:rPr>
          <w:b/>
        </w:rPr>
        <w:t xml:space="preserve">Score de divergence: </w:t>
      </w:r>
      <w:r>
        <w:t>5/8</w:t>
        <w:br/>
      </w:r>
      <w:r>
        <w:rPr>
          <w:b/>
        </w:rPr>
        <w:t xml:space="preserve">Description: </w:t>
      </w:r>
      <w:r>
        <w:t>Signaux de vente: MM, MACD | Recommandation finale: ACHAT</w:t>
        <w:br/>
      </w:r>
    </w:p>
    <w:p/>
    <w:p>
      <w:pPr>
        <w:pStyle w:val="Heading3"/>
      </w:pPr>
      <w:r>
        <w:t>3. CFAC - CFAC - CFAO MOTORS CI</w:t>
      </w:r>
    </w:p>
    <w:p>
      <w:r>
        <w:rPr>
          <w:b/>
        </w:rPr>
        <w:t xml:space="preserve">Score de divergence: </w:t>
      </w:r>
      <w:r>
        <w:t>5/8</w:t>
        <w:br/>
      </w:r>
      <w:r>
        <w:rPr>
          <w:b/>
        </w:rPr>
        <w:t xml:space="preserve">Description: </w:t>
      </w:r>
      <w:r>
        <w:t>Signaux de vente: MM, MACD | Recommandation finale: ACHAT</w:t>
        <w:br/>
      </w:r>
    </w:p>
    <w:p/>
    <w:p>
      <w:pPr>
        <w:pStyle w:val="Heading3"/>
      </w:pPr>
      <w:r>
        <w:t>4. SDCC - SDCC - Société de Distribution d'Eau de Côte d'Ivoire</w:t>
      </w:r>
    </w:p>
    <w:p>
      <w:r>
        <w:rPr>
          <w:b/>
        </w:rPr>
        <w:t xml:space="preserve">Score de divergence: </w:t>
      </w:r>
      <w:r>
        <w:t>5/8</w:t>
        <w:br/>
      </w:r>
      <w:r>
        <w:rPr>
          <w:b/>
        </w:rPr>
        <w:t xml:space="preserve">Description: </w:t>
      </w:r>
      <w:r>
        <w:t>Signaux de vente: MM, MACD | Recommandation finale: ACHAT</w:t>
        <w:br/>
      </w:r>
    </w:p>
    <w:p/>
    <w:p>
      <w:pPr>
        <w:pStyle w:val="Heading3"/>
      </w:pPr>
      <w:r>
        <w:t>5. STAC - STAC - SETAO COTE D'IVOIRE</w:t>
      </w:r>
    </w:p>
    <w:p>
      <w:r>
        <w:rPr>
          <w:b/>
        </w:rPr>
        <w:t xml:space="preserve">Score de divergence: </w:t>
      </w:r>
      <w:r>
        <w:t>5/8</w:t>
        <w:br/>
      </w:r>
      <w:r>
        <w:rPr>
          <w:b/>
        </w:rPr>
        <w:t xml:space="preserve">Description: </w:t>
      </w:r>
      <w:r>
        <w:t>Signaux de vente: MM, MACD | Recommandation finale: ACHAT</w:t>
        <w:br/>
      </w:r>
    </w:p>
    <w:p/>
    <w:p>
      <w:pPr>
        <w:pStyle w:val="Heading3"/>
      </w:pPr>
      <w:r>
        <w:t>6. STBC - STBC - SITAB COTE D'IVOIRE</w:t>
      </w:r>
    </w:p>
    <w:p>
      <w:r>
        <w:rPr>
          <w:b/>
        </w:rPr>
        <w:t xml:space="preserve">Score de divergence: </w:t>
      </w:r>
      <w:r>
        <w:t>5/8</w:t>
        <w:br/>
      </w:r>
      <w:r>
        <w:rPr>
          <w:b/>
        </w:rPr>
        <w:t xml:space="preserve">Description: </w:t>
      </w:r>
      <w:r>
        <w:t>Signaux de vente: MM, MACD | Recommandation finale: ACHAT</w:t>
        <w:br/>
      </w:r>
    </w:p>
    <w:p/>
    <w:p>
      <w:pPr>
        <w:pStyle w:val="Heading3"/>
      </w:pPr>
      <w:r>
        <w:t>7. BICB - BIIC BN - Banque internationale pour le commerce du benin</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8. BNBC - BNBC - BERNABE CI</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9. BOAB - BANK OF AFRICA BENIN</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10. ETIT - ETIT - Ecobank Transnational Incorporated Togo</w:t>
      </w:r>
    </w:p>
    <w:p>
      <w:r>
        <w:rPr>
          <w:b/>
        </w:rPr>
        <w:t xml:space="preserve">Score de divergence: </w:t>
      </w:r>
      <w:r>
        <w:t>4/8</w:t>
        <w:br/>
      </w:r>
      <w:r>
        <w:rPr>
          <w:b/>
        </w:rPr>
        <w:t xml:space="preserve">Description: </w:t>
      </w:r>
      <w:r>
        <w:t>Signaux d'achat: Stochastique | Signaux de vente: MM, MACD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29</w:t>
            </w:r>
          </w:p>
        </w:tc>
        <w:tc>
          <w:tcPr>
            <w:tcW w:type="dxa" w:w="2160"/>
          </w:tcPr>
          <w:p>
            <w:r>
              <w:t>0</w:t>
            </w:r>
          </w:p>
        </w:tc>
      </w:tr>
      <w:tr>
        <w:tc>
          <w:tcPr>
            <w:tcW w:type="dxa" w:w="2160"/>
          </w:tcPr>
          <w:p>
            <w:r>
              <w:t>Risque Moyen</w:t>
            </w:r>
          </w:p>
        </w:tc>
        <w:tc>
          <w:tcPr>
            <w:tcW w:type="dxa" w:w="2160"/>
          </w:tcPr>
          <w:p>
            <w:r>
              <w:t>0</w:t>
            </w:r>
          </w:p>
        </w:tc>
        <w:tc>
          <w:tcPr>
            <w:tcW w:type="dxa" w:w="2160"/>
          </w:tcPr>
          <w:p>
            <w:r>
              <w:t>19</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ABJC (ABJC - SERVAIR ABIDJAN CI)</w:t>
      </w:r>
    </w:p>
    <w:p>
      <w:pPr>
        <w:pStyle w:val="ListBullet"/>
      </w:pPr>
      <w:r>
        <w:t>• BNBC (BNBC - BERNABE CI)</w:t>
      </w:r>
    </w:p>
    <w:p>
      <w:pPr>
        <w:pStyle w:val="ListBullet"/>
      </w:pPr>
      <w:r>
        <w:t>• BOAB (BANK OF AFRICA BENIN)</w:t>
      </w:r>
    </w:p>
    <w:p>
      <w:pPr>
        <w:pStyle w:val="ListBullet"/>
      </w:pPr>
      <w:r>
        <w:t>• BOAC (BANK OF AFRICA COTE D'IVOIRE)</w:t>
      </w:r>
    </w:p>
    <w:p>
      <w:pPr>
        <w:pStyle w:val="ListBullet"/>
      </w:pPr>
      <w:r>
        <w:t>• BOAS (BANK OF AFRICA SENEGAL)</w:t>
      </w:r>
    </w:p>
    <w:p>
      <w:pPr>
        <w:pStyle w:val="ListBullet"/>
      </w:pPr>
      <w:r>
        <w:t>• CABC (CABC - SICABLE COTE D'IVOIRE)</w:t>
      </w:r>
    </w:p>
    <w:p>
      <w:pPr>
        <w:pStyle w:val="ListBullet"/>
      </w:pPr>
      <w:r>
        <w:t>• CFAC (CFAC - CFAO MOTORS CI)</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NTLC (NTLC - NESTLE COTE D'IVOIRE)</w:t>
      </w:r>
    </w:p>
    <w:p>
      <w:pPr>
        <w:pStyle w:val="ListBullet"/>
      </w:pPr>
      <w:r>
        <w:t>• ONTBF (ONTBF - ONATEL BURKINA FASO)</w:t>
      </w:r>
    </w:p>
    <w:p>
      <w:pPr>
        <w:pStyle w:val="ListBullet"/>
      </w:pPr>
      <w:r>
        <w:t>• ORGT (ORGT - ORAGROUP TOGO)</w:t>
      </w:r>
    </w:p>
    <w:p>
      <w:pPr>
        <w:pStyle w:val="ListBullet"/>
      </w:pPr>
      <w:r>
        <w:t>• PALC (PALC - PALM COTE D'IVOIRE)</w:t>
      </w:r>
    </w:p>
    <w:p>
      <w:pPr>
        <w:pStyle w:val="ListBullet"/>
      </w:pPr>
      <w:r>
        <w:t>• PRSC (PRSC - TRACTAFRIC MOTORS CI)</w:t>
      </w:r>
    </w:p>
    <w:p>
      <w:pPr>
        <w:pStyle w:val="ListBullet"/>
      </w:pPr>
      <w:r>
        <w:t>• SDCC (SDCC - Société de Distribution d'Eau de Côte d'Ivoire)</w:t>
      </w:r>
    </w:p>
    <w:p>
      <w:pPr>
        <w:pStyle w:val="ListBullet"/>
      </w:pPr>
      <w:r>
        <w:t>• SDSC (SDSC - AFRICA GLOBAL LOGISTICS CI)</w:t>
      </w:r>
    </w:p>
    <w:p>
      <w:pPr>
        <w:pStyle w:val="ListBullet"/>
      </w:pPr>
      <w:r>
        <w:t>• SEMC (SEMC - EVIOSYS PACKAGING SIEM CI)</w:t>
      </w:r>
    </w:p>
    <w:p>
      <w:pPr>
        <w:pStyle w:val="ListBullet"/>
      </w:pPr>
      <w:r>
        <w:t>• SGBC (SGBC - SOCIETE GENERALE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SMBC (SMBC - Société Multinationale de Bitumes COTE D'IVOIRE)</w:t>
      </w:r>
    </w:p>
    <w:p>
      <w:pPr>
        <w:pStyle w:val="ListBullet"/>
      </w:pPr>
      <w:r>
        <w:t>• SOGC (SOGC - Société des caoutchoucs de Grand-Béréby)</w:t>
      </w:r>
    </w:p>
    <w:p>
      <w:pPr>
        <w:pStyle w:val="ListBullet"/>
      </w:pPr>
      <w:r>
        <w:t>• SPHC (SPHC - Société Africaine de Plantation d'Hévéas de Côte d'Ivoire)</w:t>
      </w:r>
    </w:p>
    <w:p>
      <w:pPr>
        <w:pStyle w:val="ListBullet"/>
      </w:pPr>
      <w:r>
        <w:t>• STBC (STBC - SITAB COTE D'IVOIRE)</w:t>
      </w:r>
    </w:p>
    <w:p>
      <w:pPr>
        <w:pStyle w:val="ListBullet"/>
      </w:pPr>
      <w:r>
        <w:t>• TTLC (TTLC - TOTAL ENERGIES MARKETING COTE D'IVOIRE)</w:t>
      </w:r>
    </w:p>
    <w:p>
      <w:pPr>
        <w:pStyle w:val="ListBullet"/>
      </w:pPr>
      <w:r>
        <w:t>• TTLS (TTLS - TOTAL ENERGIES MARKETING SENEGAL)</w:t>
      </w:r>
    </w:p>
    <w:p>
      <w:pPr>
        <w:pStyle w:val="ListBullet"/>
      </w:pPr>
      <w:r>
        <w:t>• UNXC (UNXC - UNIWAX COTE D'IVOIRE)</w:t>
      </w:r>
    </w:p>
    <w:p/>
    <w:p>
      <w:pPr>
        <w:pStyle w:val="Heading3"/>
      </w:pPr>
      <w:r>
        <w:t>🟡 Risque Moyen - Moyen Terme</w:t>
      </w:r>
    </w:p>
    <w:p>
      <w:pPr>
        <w:pStyle w:val="ListBullet"/>
      </w:pPr>
      <w:r>
        <w:t>• BBGC (BRIDGE BANK GROUP COTE D'IVOIRE)</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BOABF (BANK OF AFRICA BURKINA FASO)</w:t>
      </w:r>
    </w:p>
    <w:p>
      <w:pPr>
        <w:pStyle w:val="ListBullet"/>
      </w:pPr>
      <w:r>
        <w:t>• BOAM (BANK OF AFRICA MALI)</w:t>
      </w:r>
    </w:p>
    <w:p>
      <w:pPr>
        <w:pStyle w:val="ListBullet"/>
      </w:pPr>
      <w:r>
        <w:t>• BOAN (BANK OF AFRICA NIGER)</w:t>
      </w:r>
    </w:p>
    <w:p>
      <w:pPr>
        <w:pStyle w:val="ListBullet"/>
      </w:pPr>
      <w:r>
        <w:t>• CBIBF (CBIBF - CORIS BANK INTERNATIONAL BURKINA FASO)</w:t>
      </w:r>
    </w:p>
    <w:p>
      <w:pPr>
        <w:pStyle w:val="ListBullet"/>
      </w:pPr>
      <w:r>
        <w:t>• CIEC (CIEC - Compagnie Ivoirienne d'Electricité)</w:t>
      </w:r>
    </w:p>
    <w:p>
      <w:pPr>
        <w:pStyle w:val="ListBullet"/>
      </w:pPr>
      <w:r>
        <w:t>• ETIT (ETIT - Ecobank Transnational Incorporated Togo)</w:t>
      </w:r>
    </w:p>
    <w:p>
      <w:pPr>
        <w:pStyle w:val="ListBullet"/>
      </w:pPr>
      <w:r>
        <w:t>• NEIC (NEIC - NEI-CEDA CI)</w:t>
      </w:r>
    </w:p>
    <w:p>
      <w:pPr>
        <w:pStyle w:val="ListBullet"/>
      </w:pPr>
      <w:r>
        <w:t>• NSBC (NSBC - NSIA BANQUE COTE D'IVOIRE)</w:t>
      </w:r>
    </w:p>
    <w:p>
      <w:pPr>
        <w:pStyle w:val="ListBullet"/>
      </w:pPr>
      <w:r>
        <w:t>• ORAC (ORAC - ORANGE COTE D'IVOIRE)</w:t>
      </w:r>
    </w:p>
    <w:p>
      <w:pPr>
        <w:pStyle w:val="ListBullet"/>
      </w:pPr>
      <w:r>
        <w:t>• SAFC (SAFCA CI)</w:t>
      </w:r>
    </w:p>
    <w:p>
      <w:pPr>
        <w:pStyle w:val="ListBullet"/>
      </w:pPr>
      <w:r>
        <w:t>• SCRC (SCRC - SUCRIVOIRE)</w:t>
      </w:r>
    </w:p>
    <w:p>
      <w:pPr>
        <w:pStyle w:val="ListBullet"/>
      </w:pPr>
      <w:r>
        <w:t>• SHEC (SHEC - VIVO ENERGY COTE D'IVOIRE)</w:t>
      </w:r>
    </w:p>
    <w:p>
      <w:pPr>
        <w:pStyle w:val="ListBullet"/>
      </w:pPr>
      <w:r>
        <w:t>• SICC (SICC - SICOR COTE D'IVOIRE)</w:t>
      </w:r>
    </w:p>
    <w:p>
      <w:pPr>
        <w:pStyle w:val="ListBullet"/>
      </w:pPr>
      <w:r>
        <w:t>• SNTS (SNTS - SONATEL SN)</w:t>
      </w:r>
    </w:p>
    <w:p>
      <w:pPr>
        <w:pStyle w:val="ListBullet"/>
      </w:pPr>
      <w:r>
        <w:t>• STAC (STAC - SETAO COTE D'IVOIRE)</w:t>
      </w:r>
    </w:p>
    <w:p>
      <w:pPr>
        <w:pStyle w:val="ListBullet"/>
      </w:pPr>
      <w:r>
        <w:t>• UNLC (UNLC - UNILEVER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pStyle w:val="ListBullet"/>
        <w:spacing w:before="20" w:after="20"/>
        <w:ind w:left="360"/>
      </w:pPr>
      <w:r>
        <w:rPr>
          <w:sz w:val="18"/>
        </w:rPr>
        <w:t>**BCE** : Christine Lagarde indique que la BCE pourrait réagir plus rapidement qu'en 2022 sur les taux ; la vente massive d'obligations contribuera à ralentir l'inflation (sentiment neutre).</w:t>
      </w:r>
    </w:p>
    <w:p>
      <w:pPr>
        <w:pStyle w:val="ListBullet"/>
        <w:spacing w:before="20" w:after="20"/>
        <w:ind w:left="360"/>
      </w:pPr>
      <w:r>
        <w:rPr>
          <w:color w:val="008000"/>
          <w:sz w:val="18"/>
        </w:rPr>
        <w:t>**Wall Street / tokenisation** : intérêt croissant pour les actions tokenisées et le trading 24/7 (sentiment positif, mais effet de long terme).</w:t>
      </w:r>
    </w:p>
    <w:p>
      <w:pPr>
        <w:pStyle w:val="ListBullet"/>
        <w:spacing w:before="20" w:after="20"/>
        <w:ind w:left="360"/>
      </w:pPr>
      <w:r>
        <w:rPr>
          <w:sz w:val="18"/>
        </w:rPr>
        <w:t>**FMI/Banque mondiale** : assemblées annuelles dominées par dette et inflation, avec focus Afrique.</w:t>
      </w:r>
    </w:p>
    <w:p>
      <w:pPr>
        <w:pStyle w:val="Heading3"/>
      </w:pPr>
      <w:r>
        <w:rPr>
          <w:color w:val="500050"/>
        </w:rPr>
        <w:t>⚡ Impact estimé sur la BRVM</w:t>
      </w:r>
    </w:p>
    <w:p>
      <w:pPr>
        <w:spacing w:before="20" w:after="40"/>
        <w:ind w:left="280"/>
      </w:pPr>
      <w:r>
        <w:rPr>
          <w:i/>
          <w:sz w:val="18"/>
        </w:rPr>
        <w:t>Un resserrement BCE plus rapide renchérit le coût de la dette externe et pèse sur les eurobonds africains, affectant indirectement la valorisation des banques (SGBC, ECOC, NSBC, BOAM) via les spreads souverains. La tokenisation reste un signal de modernisation des marchés, sans effet immédiat sur la BRVM.</w:t>
      </w:r>
    </w:p>
    <w:p>
      <w:pPr>
        <w:pStyle w:val="Heading2"/>
      </w:pPr>
      <w:r>
        <w:rPr>
          <w:color w:val="006E32"/>
        </w:rPr>
        <w:t>🌍 Plan Africain</w:t>
      </w:r>
    </w:p>
    <w:p>
      <w:pPr>
        <w:pStyle w:val="ListBullet"/>
        <w:spacing w:before="20" w:after="20"/>
        <w:ind w:left="360"/>
      </w:pPr>
      <w:r>
        <w:rPr>
          <w:sz w:val="18"/>
        </w:rPr>
        <w:t>Assemblées FMI/BM à Bangkok : dette et inflation au cœur des préoccupations africaines.</w:t>
      </w:r>
    </w:p>
    <w:p>
      <w:pPr>
        <w:pStyle w:val="ListBullet"/>
        <w:spacing w:before="20" w:after="20"/>
        <w:ind w:left="360"/>
      </w:pPr>
      <w:r>
        <w:rPr>
          <w:sz w:val="18"/>
        </w:rPr>
        <w:t>Croissance Sénégal/Gabon mise en avant comme dossiers porteurs.</w:t>
      </w:r>
    </w:p>
    <w:p>
      <w:pPr>
        <w:pStyle w:val="ListBullet"/>
        <w:spacing w:before="20" w:after="20"/>
        <w:ind w:left="360"/>
      </w:pPr>
      <w:r>
        <w:rPr>
          <w:color w:val="008000"/>
          <w:sz w:val="18"/>
        </w:rPr>
        <w:t>CEDEAO renforce son partenariat avec FMI/BM (sentiment positif).</w:t>
      </w:r>
    </w:p>
    <w:p>
      <w:pPr>
        <w:pStyle w:val="Heading3"/>
      </w:pPr>
      <w:r>
        <w:rPr>
          <w:color w:val="500050"/>
        </w:rPr>
        <w:t>⚡ Impact estimé sur la BRVM</w:t>
      </w:r>
    </w:p>
    <w:p>
      <w:pPr>
        <w:spacing w:before="20" w:after="40"/>
        <w:ind w:left="280"/>
      </w:pPr>
      <w:r>
        <w:rPr>
          <w:i/>
          <w:sz w:val="18"/>
        </w:rPr>
        <w:t>Un dialogue renforcé avec les bailleurs soutient la confiance des investisseurs étrangers et la liquidité régionale, bénéfique aux grandes capitalisations bancaires (SGBC, ECOC) et télécoms (ONTBF) les plus échangées.</w:t>
      </w:r>
    </w:p>
    <w:p>
      <w:pPr>
        <w:pStyle w:val="Heading2"/>
      </w:pPr>
      <w:r>
        <w:rPr>
          <w:color w:val="145A28"/>
        </w:rPr>
        <w:t>🌍 Plan Afrique de l'Ouest</w:t>
      </w:r>
    </w:p>
    <w:p>
      <w:pPr>
        <w:pStyle w:val="ListBullet"/>
        <w:spacing w:before="20" w:after="20"/>
        <w:ind w:left="360"/>
      </w:pPr>
      <w:r>
        <w:rPr>
          <w:color w:val="008000"/>
          <w:sz w:val="18"/>
        </w:rPr>
        <w:t>Accord CEDEAO–AES à Dakar sur un futur cadre de coopération (sentiment positif, plusieurs sources).</w:t>
      </w:r>
    </w:p>
    <w:p>
      <w:pPr>
        <w:pStyle w:val="ListBullet"/>
        <w:spacing w:before="20" w:after="20"/>
        <w:ind w:left="360"/>
      </w:pPr>
      <w:r>
        <w:rPr>
          <w:sz w:val="18"/>
        </w:rPr>
        <w:t>Préparation de groupes conjoints pour un accord de coopération AES–CEDEAO.</w:t>
      </w:r>
    </w:p>
    <w:p>
      <w:pPr>
        <w:pStyle w:val="ListBullet"/>
        <w:spacing w:before="20" w:after="20"/>
        <w:ind w:left="360"/>
      </w:pPr>
      <w:r>
        <w:rPr>
          <w:sz w:val="18"/>
        </w:rPr>
        <w:t>Apaisement des tensions régionales (SenePlus).</w:t>
      </w:r>
    </w:p>
    <w:p>
      <w:pPr>
        <w:pStyle w:val="Heading3"/>
      </w:pPr>
      <w:r>
        <w:rPr>
          <w:color w:val="500050"/>
        </w:rPr>
        <w:t>⚡ Impact estimé sur la BRVM</w:t>
      </w:r>
    </w:p>
    <w:p>
      <w:pPr>
        <w:spacing w:before="20" w:after="40"/>
        <w:ind w:left="280"/>
      </w:pPr>
      <w:r>
        <w:rPr>
          <w:i/>
          <w:sz w:val="18"/>
        </w:rPr>
        <w:t>La détente CEDEAO–AES réduit le risque politique perçu dans la sous-région, favorable aux sociétés à exposition régionale : banques (SGBC, NSBC), distribution (UNXC, NEIC) et agro-industrie (SCRC, NTLC, SLBC).</w:t>
      </w:r>
    </w:p>
    <w:p>
      <w:pPr>
        <w:pStyle w:val="Heading2"/>
      </w:pPr>
      <w:r>
        <w:rPr>
          <w:color w:val="8C4600"/>
        </w:rPr>
        <w:t>🏦 Plan UEMOA / Zone Franc</w:t>
      </w:r>
    </w:p>
    <w:p>
      <w:pPr>
        <w:pStyle w:val="ListBullet"/>
        <w:spacing w:before="20" w:after="20"/>
        <w:ind w:left="360"/>
      </w:pPr>
      <w:r>
        <w:rPr>
          <w:sz w:val="18"/>
        </w:rPr>
        <w:t>Municipales Sénégal 2027 : personnalités déjà candidates (sentiment neutre).</w:t>
      </w:r>
    </w:p>
    <w:p>
      <w:pPr>
        <w:pStyle w:val="ListBullet"/>
        <w:spacing w:before="20" w:after="20"/>
        <w:ind w:left="360"/>
      </w:pPr>
      <w:r>
        <w:rPr>
          <w:sz w:val="18"/>
        </w:rPr>
        <w:t>Togo : agitation politique autour du retour à la Constitution de 1992 (sentiment négatif).</w:t>
      </w:r>
    </w:p>
    <w:p>
      <w:pPr>
        <w:pStyle w:val="ListBullet"/>
        <w:spacing w:before="20" w:after="20"/>
        <w:ind w:left="360"/>
      </w:pPr>
      <w:r>
        <w:rPr>
          <w:sz w:val="18"/>
        </w:rPr>
        <w:t>Retrait de Macky Sall de la course à l'ONU (neutre).</w:t>
      </w:r>
    </w:p>
    <w:p>
      <w:pPr>
        <w:pStyle w:val="Heading3"/>
      </w:pPr>
      <w:r>
        <w:rPr>
          <w:color w:val="500050"/>
        </w:rPr>
        <w:t>⚡ Impact estimé sur la BRVM</w:t>
      </w:r>
    </w:p>
    <w:p>
      <w:pPr>
        <w:spacing w:before="20" w:after="40"/>
        <w:ind w:left="280"/>
      </w:pPr>
      <w:r>
        <w:rPr>
          <w:i/>
          <w:sz w:val="18"/>
        </w:rPr>
        <w:t>Données insuffisantes sur les décisions BCEAO, l'inflation zone et le FCFA dans le corpus fourni. Les tensions togolaises introduisent un bruit politique marginal, sans impact direct identifié sur les valeurs cotées.</w:t>
      </w:r>
    </w:p>
    <w:p>
      <w:pPr>
        <w:pStyle w:val="Heading2"/>
      </w:pPr>
      <w:r>
        <w:rPr>
          <w:color w:val="003366"/>
        </w:rPr>
        <w:t>📈 Plan BRVM</w:t>
      </w:r>
    </w:p>
    <w:p>
      <w:pPr>
        <w:pStyle w:val="ListBullet"/>
        <w:spacing w:before="20" w:after="20"/>
        <w:ind w:left="360"/>
      </w:pPr>
      <w:r>
        <w:rPr>
          <w:color w:val="008000"/>
          <w:sz w:val="18"/>
        </w:rPr>
        <w:t>Résultats encourageants des sociétés cotées ivoiriennes (La Tribune, sentiment positif).</w:t>
      </w:r>
    </w:p>
    <w:p>
      <w:pPr>
        <w:pStyle w:val="ListBullet"/>
        <w:spacing w:before="20" w:after="20"/>
        <w:ind w:left="360"/>
      </w:pPr>
      <w:r>
        <w:rPr>
          <w:sz w:val="18"/>
        </w:rPr>
        <w:t>Indice BRVM Composite à 532,61 points.</w:t>
      </w:r>
    </w:p>
    <w:p>
      <w:pPr>
        <w:pStyle w:val="Heading3"/>
      </w:pPr>
      <w:r>
        <w:rPr>
          <w:color w:val="500050"/>
        </w:rPr>
        <w:t>⚡ Impact estimé sur la BRVM</w:t>
      </w:r>
    </w:p>
    <w:p>
      <w:pPr>
        <w:spacing w:before="20" w:after="40"/>
        <w:ind w:left="280"/>
      </w:pPr>
      <w:r>
        <w:rPr>
          <w:i/>
          <w:sz w:val="18"/>
        </w:rPr>
        <w:t>Le momentum fondamental positif soutient les valeurs ivoiriennes les plus liquides : **SGBC** et **ECOC** (banques, à conserver), **ONTBF** (télécoms, profil défensif), **NTLC/SLBC** (consommation de base, bénéficiaires de la demande domestique). Recommandation : renforcement progressif sur les grandes capitalisations, prudence sur les petites valeurs peu liquides.</w:t>
      </w:r>
    </w:p>
    <w:p>
      <w:pPr>
        <w:pStyle w:val="Heading1"/>
      </w:pPr>
      <w:r>
        <w:rPr>
          <w:color w:val="8C0000"/>
        </w:rPr>
        <w:t>🏛️ 2. ACTUALITÉS POLITIQUES &amp; GÉOPOLITIQUES</w:t>
      </w:r>
    </w:p>
    <w:p>
      <w:pPr>
        <w:pStyle w:val="Heading2"/>
      </w:pPr>
      <w:r>
        <w:rPr>
          <w:color w:val="00467F"/>
        </w:rPr>
        <w:t>🌐 Plan Mondial</w:t>
      </w:r>
    </w:p>
    <w:p>
      <w:pPr>
        <w:pStyle w:val="ListBullet"/>
        <w:spacing w:before="20" w:after="20"/>
        <w:ind w:left="360"/>
      </w:pPr>
      <w:r>
        <w:rPr>
          <w:color w:val="008000"/>
          <w:sz w:val="18"/>
        </w:rPr>
        <w:t>Wall Street et tokenisation : transformation structurelle des marchés (positif).</w:t>
      </w:r>
    </w:p>
    <w:p>
      <w:pPr>
        <w:pStyle w:val="ListBullet"/>
        <w:spacing w:before="20" w:after="20"/>
        <w:ind w:left="360"/>
      </w:pPr>
      <w:r>
        <w:rPr>
          <w:sz w:val="18"/>
        </w:rPr>
        <w:t>BCE : communication sur les taux (neutre).</w:t>
      </w:r>
    </w:p>
    <w:p>
      <w:pPr>
        <w:pStyle w:val="ListBullet"/>
        <w:spacing w:before="20" w:after="20"/>
        <w:ind w:left="360"/>
      </w:pPr>
      <w:r>
        <w:rPr>
          <w:sz w:val="18"/>
        </w:rPr>
        <w:t>Pas de conflit majeur signalé dans le corpus.</w:t>
      </w:r>
    </w:p>
    <w:p>
      <w:pPr>
        <w:pStyle w:val="Heading3"/>
      </w:pPr>
      <w:r>
        <w:rPr>
          <w:color w:val="500050"/>
        </w:rPr>
        <w:t>⚡ Impact estimé sur la BRVM</w:t>
      </w:r>
    </w:p>
    <w:p>
      <w:pPr>
        <w:spacing w:before="20" w:after="40"/>
        <w:ind w:left="280"/>
      </w:pPr>
      <w:r>
        <w:rPr>
          <w:i/>
          <w:sz w:val="18"/>
        </w:rPr>
        <w:t>Effet limité à court terme ; la modernisation des marchés mondiaux pourrait à terme améliorer l'attractivité des places frontières comme la BRVM auprès des investisseurs institutionnels.</w:t>
      </w:r>
    </w:p>
    <w:p>
      <w:pPr>
        <w:pStyle w:val="Heading2"/>
      </w:pPr>
      <w:r>
        <w:rPr>
          <w:color w:val="006E32"/>
        </w:rPr>
        <w:t>🌍 Plan Africain</w:t>
      </w:r>
    </w:p>
    <w:p>
      <w:pPr>
        <w:pStyle w:val="ListBullet"/>
        <w:spacing w:before="20" w:after="20"/>
        <w:ind w:left="360"/>
      </w:pPr>
      <w:r>
        <w:rPr>
          <w:color w:val="008000"/>
          <w:sz w:val="18"/>
        </w:rPr>
        <w:t>CEDEAO–AES : dynamique de dialogue et d'apaisement (positif, multi-sources).</w:t>
      </w:r>
    </w:p>
    <w:p>
      <w:pPr>
        <w:pStyle w:val="ListBullet"/>
        <w:spacing w:before="20" w:after="20"/>
        <w:ind w:left="360"/>
      </w:pPr>
      <w:r>
        <w:rPr>
          <w:sz w:val="18"/>
        </w:rPr>
        <w:t>Pas de coup d'État ni de transition signalée dans le corpus.</w:t>
      </w:r>
    </w:p>
    <w:p>
      <w:pPr>
        <w:pStyle w:val="Heading3"/>
      </w:pPr>
      <w:r>
        <w:rPr>
          <w:color w:val="500050"/>
        </w:rPr>
        <w:t>⚡ Impact estimé sur la BRVM</w:t>
      </w:r>
    </w:p>
    <w:p>
      <w:pPr>
        <w:spacing w:before="20" w:after="40"/>
        <w:ind w:left="280"/>
      </w:pPr>
      <w:r>
        <w:rPr>
          <w:i/>
          <w:sz w:val="18"/>
        </w:rPr>
        <w:t>La stabilité régionale renforce la confiance des investisseurs et pourrait soutenir les flux de capitaux vers les valeurs à exposition sous-régionale (banques, distribution).</w:t>
      </w:r>
    </w:p>
    <w:p>
      <w:pPr>
        <w:pStyle w:val="Heading2"/>
      </w:pPr>
      <w:r>
        <w:rPr>
          <w:color w:val="145A28"/>
        </w:rPr>
        <w:t>🌍 Plan Afrique de l'Ouest</w:t>
      </w:r>
    </w:p>
    <w:p>
      <w:pPr>
        <w:pStyle w:val="ListBullet"/>
        <w:spacing w:before="20" w:after="20"/>
        <w:ind w:left="360"/>
      </w:pPr>
      <w:r>
        <w:rPr>
          <w:color w:val="008000"/>
          <w:sz w:val="18"/>
        </w:rPr>
        <w:t>Accord-cadre CEDEAO–AES à Dakar (positif).</w:t>
      </w:r>
    </w:p>
    <w:p>
      <w:pPr>
        <w:pStyle w:val="ListBullet"/>
        <w:spacing w:before="20" w:after="20"/>
        <w:ind w:left="360"/>
      </w:pPr>
      <w:r>
        <w:rPr>
          <w:color w:val="008000"/>
          <w:sz w:val="18"/>
        </w:rPr>
        <w:t>Groupes conjoints de préparation d'un accord de coopération (positif).</w:t>
      </w:r>
    </w:p>
    <w:p>
      <w:pPr>
        <w:pStyle w:val="ListBullet"/>
        <w:spacing w:before="20" w:after="20"/>
        <w:ind w:left="360"/>
      </w:pPr>
      <w:r>
        <w:rPr>
          <w:color w:val="008000"/>
          <w:sz w:val="18"/>
        </w:rPr>
        <w:t>Pari du dialogue régional (SenePlus, positif).</w:t>
      </w:r>
    </w:p>
    <w:p>
      <w:pPr>
        <w:pStyle w:val="Heading3"/>
      </w:pPr>
      <w:r>
        <w:rPr>
          <w:color w:val="500050"/>
        </w:rPr>
        <w:t>⚡ Impact estimé sur la BRVM</w:t>
      </w:r>
    </w:p>
    <w:p>
      <w:pPr>
        <w:spacing w:before="20" w:after="40"/>
        <w:ind w:left="280"/>
      </w:pPr>
      <w:r>
        <w:rPr>
          <w:i/>
          <w:sz w:val="18"/>
        </w:rPr>
        <w:t>Réduction du risque sécuritaire et politique perçu : favorable aux sociétés opérant au Sahel et en Afrique de l'Ouest (SGBC, NSBC, UNXC, NEIC).</w:t>
      </w:r>
    </w:p>
    <w:p>
      <w:pPr>
        <w:pStyle w:val="Heading2"/>
      </w:pPr>
      <w:r>
        <w:rPr>
          <w:color w:val="8C4600"/>
        </w:rPr>
        <w:t>🏦 Plan UEMOA / Zone Franc</w:t>
      </w:r>
    </w:p>
    <w:p>
      <w:pPr>
        <w:pStyle w:val="ListBullet"/>
        <w:spacing w:before="20" w:after="20"/>
        <w:ind w:left="360"/>
      </w:pPr>
      <w:r>
        <w:rPr>
          <w:sz w:val="18"/>
        </w:rPr>
        <w:t>Sénégal : dynamique électorale municipale 2027 (neutre).</w:t>
      </w:r>
    </w:p>
    <w:p>
      <w:pPr>
        <w:pStyle w:val="ListBullet"/>
        <w:spacing w:before="20" w:after="20"/>
        <w:ind w:left="360"/>
      </w:pPr>
      <w:r>
        <w:rPr>
          <w:sz w:val="18"/>
        </w:rPr>
        <w:t>Togo : mobilisation CNCC pour la Constitution de 1992 (négatif).</w:t>
      </w:r>
    </w:p>
    <w:p>
      <w:pPr>
        <w:pStyle w:val="ListBullet"/>
        <w:spacing w:before="20" w:after="20"/>
        <w:ind w:left="360"/>
      </w:pPr>
      <w:r>
        <w:rPr>
          <w:sz w:val="18"/>
        </w:rPr>
        <w:t>Retrait de Macky Sall de la course ONU (neutre).</w:t>
      </w:r>
    </w:p>
    <w:p>
      <w:pPr>
        <w:pStyle w:val="Heading3"/>
      </w:pPr>
      <w:r>
        <w:rPr>
          <w:color w:val="500050"/>
        </w:rPr>
        <w:t>⚡ Impact estimé sur la BRVM</w:t>
      </w:r>
    </w:p>
    <w:p>
      <w:pPr>
        <w:spacing w:before="20" w:after="40"/>
        <w:ind w:left="280"/>
      </w:pPr>
      <w:r>
        <w:rPr>
          <w:i/>
          <w:sz w:val="18"/>
        </w:rPr>
        <w:t>Risque réglementaire et politique direct faible ; surveiller l'évolution togolaise pour les valeurs à exposition locale, sans impact chiffré disponible.</w:t>
      </w:r>
    </w:p>
    <w:p>
      <w:pPr>
        <w:pStyle w:val="Heading2"/>
      </w:pPr>
      <w:r>
        <w:rPr>
          <w:color w:val="003366"/>
        </w:rPr>
        <w:t>📈 Plan BRVM</w:t>
      </w:r>
    </w:p>
    <w:p>
      <w:pPr>
        <w:pStyle w:val="ListBullet"/>
        <w:spacing w:before="20" w:after="20"/>
        <w:ind w:left="360"/>
      </w:pPr>
      <w:r>
        <w:rPr>
          <w:sz w:val="18"/>
        </w:rPr>
        <w:t>Données insuffisantes sur la réglementation CREPMF, nouvelles cotations et gouvernance.</w:t>
      </w:r>
    </w:p>
    <w:p>
      <w:pPr>
        <w:pStyle w:val="Heading3"/>
      </w:pPr>
      <w:r>
        <w:rPr>
          <w:color w:val="500050"/>
        </w:rPr>
        <w:t>⚡ Impact estimé sur la BRVM</w:t>
      </w:r>
    </w:p>
    <w:p>
      <w:pPr>
        <w:spacing w:before="20" w:after="40"/>
        <w:ind w:left="280"/>
      </w:pPr>
      <w:r>
        <w:rPr>
          <w:i/>
          <w:sz w:val="18"/>
        </w:rPr>
        <w:t>Aucune décision réglementaire nouvelle identifiée dans le corpus ; statu quo réglementaire à confirmer.</w:t>
      </w:r>
    </w:p>
    <w:p>
      <w:pPr>
        <w:pStyle w:val="Heading1"/>
      </w:pPr>
      <w:r>
        <w:rPr>
          <w:color w:val="006428"/>
        </w:rPr>
        <w:t>💹 3. ACTUALITÉS FINANCIÈRES &amp; MARCHÉS</w:t>
      </w:r>
    </w:p>
    <w:p>
      <w:pPr>
        <w:pStyle w:val="Heading2"/>
      </w:pPr>
      <w:r>
        <w:rPr>
          <w:color w:val="00467F"/>
        </w:rPr>
        <w:t>🌐 Plan Mondial</w:t>
      </w:r>
    </w:p>
    <w:p>
      <w:pPr>
        <w:pStyle w:val="ListBullet"/>
        <w:spacing w:before="20" w:after="20"/>
        <w:ind w:left="360"/>
      </w:pPr>
      <w:r>
        <w:rPr>
          <w:color w:val="008000"/>
          <w:sz w:val="18"/>
        </w:rPr>
        <w:t>Wall Street : tokenisation et trading continu (positif).</w:t>
      </w:r>
    </w:p>
    <w:p>
      <w:pPr>
        <w:pStyle w:val="ListBullet"/>
        <w:spacing w:before="20" w:after="20"/>
        <w:ind w:left="360"/>
      </w:pPr>
      <w:r>
        <w:rPr>
          <w:sz w:val="18"/>
        </w:rPr>
        <w:t>BCE : resserrement potentiellement plus rapide (neutre).</w:t>
      </w:r>
    </w:p>
    <w:p>
      <w:pPr>
        <w:pStyle w:val="ListBullet"/>
        <w:spacing w:before="20" w:after="20"/>
        <w:ind w:left="360"/>
      </w:pPr>
      <w:r>
        <w:rPr>
          <w:sz w:val="18"/>
        </w:rPr>
        <w:t>Flux de capitaux : pas de données chiffrées fournies.</w:t>
      </w:r>
    </w:p>
    <w:p>
      <w:pPr>
        <w:pStyle w:val="Heading3"/>
      </w:pPr>
      <w:r>
        <w:rPr>
          <w:color w:val="500050"/>
        </w:rPr>
        <w:t>⚡ Impact estimé sur la BRVM</w:t>
      </w:r>
    </w:p>
    <w:p>
      <w:pPr>
        <w:spacing w:before="20" w:after="40"/>
        <w:ind w:left="280"/>
      </w:pPr>
      <w:r>
        <w:rPr>
          <w:i/>
          <w:sz w:val="18"/>
        </w:rPr>
        <w:t>Un resserrement BCE accroît la concurrence des actifs sans risque européens, pesant sur l'appétit pour les marchés frontières ; effet modéré car la BRVM est peu corrélée aux marchés développés.</w:t>
      </w:r>
    </w:p>
    <w:p>
      <w:pPr>
        <w:pStyle w:val="Heading2"/>
      </w:pPr>
      <w:r>
        <w:rPr>
          <w:color w:val="006E32"/>
        </w:rPr>
        <w:t>🌍 Plan Africain</w:t>
      </w:r>
    </w:p>
    <w:p>
      <w:pPr>
        <w:pStyle w:val="ListBullet"/>
        <w:spacing w:before="20" w:after="20"/>
        <w:ind w:left="360"/>
      </w:pPr>
      <w:r>
        <w:rPr>
          <w:sz w:val="18"/>
        </w:rPr>
        <w:t>Assemblées FMI/BM : dette et inflation au centre (neutre).</w:t>
      </w:r>
    </w:p>
    <w:p>
      <w:pPr>
        <w:pStyle w:val="ListBullet"/>
        <w:spacing w:before="20" w:after="20"/>
        <w:ind w:left="360"/>
      </w:pPr>
      <w:r>
        <w:rPr>
          <w:sz w:val="18"/>
        </w:rPr>
        <w:t>Pas de notation souveraine ni d'eurobond spécifique dans le corpus.</w:t>
      </w:r>
    </w:p>
    <w:p>
      <w:pPr>
        <w:pStyle w:val="Heading3"/>
      </w:pPr>
      <w:r>
        <w:rPr>
          <w:color w:val="500050"/>
        </w:rPr>
        <w:t>⚡ Impact estimé sur la BRVM</w:t>
      </w:r>
    </w:p>
    <w:p>
      <w:pPr>
        <w:spacing w:before="20" w:after="40"/>
        <w:ind w:left="280"/>
      </w:pPr>
      <w:r>
        <w:rPr>
          <w:i/>
          <w:sz w:val="18"/>
        </w:rPr>
        <w:t>Données insuffisantes pour évaluer la concurrence obligataire africaine ; la prime de risque régionale reste le principal déterminant des flux.</w:t>
      </w:r>
    </w:p>
    <w:p>
      <w:pPr>
        <w:pStyle w:val="Heading2"/>
      </w:pPr>
      <w:r>
        <w:rPr>
          <w:color w:val="145A28"/>
        </w:rPr>
        <w:t>🌍 Plan Afrique de l'Ouest</w:t>
      </w:r>
    </w:p>
    <w:p>
      <w:pPr>
        <w:pStyle w:val="ListBullet"/>
        <w:spacing w:before="20" w:after="20"/>
        <w:ind w:left="360"/>
      </w:pPr>
      <w:r>
        <w:rPr>
          <w:sz w:val="18"/>
        </w:rPr>
        <w:t>Pas de données sur les bourses concurrentes (Ghana, Nigeria) dans le corpus.</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8C4600"/>
        </w:rPr>
        <w:t>🏦 Plan UEMOA / Zone Franc</w:t>
      </w:r>
    </w:p>
    <w:p>
      <w:pPr>
        <w:pStyle w:val="ListBullet"/>
        <w:spacing w:before="20" w:after="20"/>
        <w:ind w:left="360"/>
      </w:pPr>
      <w:r>
        <w:rPr>
          <w:sz w:val="18"/>
        </w:rPr>
        <w:t>Pas de données sur le marché des titres publics, le taux interbancaire ou la liquidité BCEAO.</w:t>
      </w:r>
    </w:p>
    <w:p>
      <w:pPr>
        <w:pStyle w:val="Heading3"/>
      </w:pPr>
      <w:r>
        <w:rPr>
          <w:color w:val="500050"/>
        </w:rPr>
        <w:t>⚡ Impact estimé sur la BRVM</w:t>
      </w:r>
    </w:p>
    <w:p>
      <w:pPr>
        <w:spacing w:before="20" w:after="40"/>
        <w:ind w:left="280"/>
      </w:pPr>
      <w:r>
        <w:rPr>
          <w:i/>
          <w:sz w:val="18"/>
        </w:rPr>
        <w:t>Données insuffisantes ; l'arbitrage titres publics/actions reste à surveiller en l'absence de taux directeurs communiqués.</w:t>
      </w:r>
    </w:p>
    <w:p>
      <w:pPr>
        <w:pStyle w:val="Heading2"/>
      </w:pPr>
      <w:r>
        <w:rPr>
          <w:color w:val="003366"/>
        </w:rPr>
        <w:t>📈 Plan BRVM</w:t>
      </w:r>
    </w:p>
    <w:p>
      <w:pPr>
        <w:pStyle w:val="ListBullet"/>
        <w:spacing w:before="20" w:after="20"/>
        <w:ind w:left="360"/>
      </w:pPr>
      <w:r>
        <w:rPr>
          <w:sz w:val="18"/>
        </w:rPr>
        <w:t>Indice BRVM Composite : 532,61 points.</w:t>
      </w:r>
    </w:p>
    <w:p>
      <w:pPr>
        <w:pStyle w:val="ListBullet"/>
        <w:spacing w:before="20" w:after="20"/>
        <w:ind w:left="360"/>
      </w:pPr>
      <w:r>
        <w:rPr>
          <w:color w:val="008000"/>
          <w:sz w:val="18"/>
        </w:rPr>
        <w:t>Résultats encourageants des sociétés cotées ivoiriennes (positif).</w:t>
      </w:r>
    </w:p>
    <w:p>
      <w:pPr>
        <w:pStyle w:val="ListBullet"/>
        <w:spacing w:before="20" w:after="20"/>
        <w:ind w:left="360"/>
      </w:pPr>
      <w:r>
        <w:rPr>
          <w:sz w:val="18"/>
        </w:rPr>
        <w:t>Pas de top/flop ni de volumes détaillés fournis.</w:t>
      </w:r>
    </w:p>
    <w:p>
      <w:pPr>
        <w:pStyle w:val="Heading3"/>
      </w:pPr>
      <w:r>
        <w:rPr>
          <w:color w:val="500050"/>
        </w:rPr>
        <w:t>⚡ Impact estimé sur la BRVM</w:t>
      </w:r>
    </w:p>
    <w:p>
      <w:pPr>
        <w:spacing w:before="20" w:after="40"/>
        <w:ind w:left="280"/>
      </w:pPr>
      <w:r>
        <w:rPr>
          <w:i/>
          <w:sz w:val="18"/>
        </w:rPr>
        <w:t>**SGBC, ECOC, NSBC, BOAM** : à conserver, soutenues par de bons résultats et un contexte régional apaisé. **ONTBF** : défensif, à accumuler sur repli. **NTLC, SLBC, SCRC** : bénéficiaires de la consommation domestique, profil stable. **UNXC, NEIC, ABJC** : sensibles au moral des ménages, prudence. **SHEC** (énergie) : surveiller les coûts. **SDSC, CABC** (industriels) : dépendants de la commande publique, neutralité.</w:t>
      </w:r>
    </w:p>
    <w:p>
      <w:pPr>
        <w:pStyle w:val="Heading1"/>
      </w:pPr>
      <w:r>
        <w:rPr>
          <w:color w:val="003366"/>
        </w:rPr>
        <w:t>🎯 SYNTHÈSE &amp; RECOMMANDATION FINALE</w:t>
      </w:r>
    </w:p>
    <w:p>
      <w:pPr>
        <w:spacing w:before="120"/>
      </w:pPr>
      <w:r>
        <w:rPr>
          <w:b/>
          <w:color w:val="008000"/>
          <w:sz w:val="22"/>
        </w:rPr>
        <w:t>**Niveau d'alerte global : VERT**</w:t>
      </w:r>
    </w:p>
    <w:p>
      <w:pPr>
        <w:spacing w:before="20" w:after="40"/>
        <w:ind w:left="0"/>
      </w:pPr>
      <w:r>
        <w:rPr>
          <w:sz w:val="18"/>
        </w:rPr>
        <w:t>Le contexte est porteur : apaisement CEDEAO–AES, résultats encourageants des sociétés cotées ivoiriennes et dialogue renforcé avec les bailleurs internationaux soutiennent la confiance. Les risques résiduels (resserrement BCE, tensions togolaises, données UEMOA incomplètes) restent modérés. Recommandation : renforcer progressivement les grandes capitalisations bancaires (SGBC, ECOC) et télécoms (ONTBF), conserver les valeurs de consommation de base (NTLC, SLBC), et rester sélectif sur les petites capitalisations peu liquides.</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2026-10-19</w:t>
            </w:r>
          </w:p>
        </w:tc>
        <w:tc>
          <w:tcPr>
            <w:tcW w:type="dxa" w:w="1728"/>
          </w:tcPr>
          <w:p>
            <w:r>
              <w:rPr>
                <w:sz w:val="14"/>
              </w:rPr>
              <w:t>Wall Street rêve du trading infini et se met à l'heure des actions tok</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2026-10-17</w:t>
            </w:r>
          </w:p>
        </w:tc>
        <w:tc>
          <w:tcPr>
            <w:tcW w:type="dxa" w:w="1728"/>
          </w:tcPr>
          <w:p>
            <w:r>
              <w:rPr>
                <w:sz w:val="14"/>
              </w:rPr>
              <w:t>«La BCE semble vouloir réagir plus rapidement qu’en 2022 sur les taux»</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2026-10-17</w:t>
            </w:r>
          </w:p>
        </w:tc>
        <w:tc>
          <w:tcPr>
            <w:tcW w:type="dxa" w:w="1728"/>
          </w:tcPr>
          <w:p>
            <w:r>
              <w:rPr>
                <w:sz w:val="14"/>
              </w:rPr>
              <w:t>La présidente de la Banque centrale européenne (BCE), Christine Lagard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2026-10-17</w:t>
            </w:r>
          </w:p>
        </w:tc>
        <w:tc>
          <w:tcPr>
            <w:tcW w:type="dxa" w:w="1728"/>
          </w:tcPr>
          <w:p>
            <w:r>
              <w:rPr>
                <w:sz w:val="14"/>
              </w:rPr>
              <w:t>Crédit immobilier : Quels sont les taux d’emprunts en octobre 2026 ? -</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2026-10-16</w:t>
            </w:r>
          </w:p>
        </w:tc>
        <w:tc>
          <w:tcPr>
            <w:tcW w:type="dxa" w:w="1728"/>
          </w:tcPr>
          <w:p>
            <w:r>
              <w:rPr>
                <w:sz w:val="14"/>
              </w:rPr>
              <w:t>La BCE interviendra-t-elle pour soulager les taux français? "Les condi</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2026-10-15</w:t>
            </w:r>
          </w:p>
        </w:tc>
        <w:tc>
          <w:tcPr>
            <w:tcW w:type="dxa" w:w="1728"/>
          </w:tcPr>
          <w:p>
            <w:r>
              <w:rPr>
                <w:sz w:val="14"/>
              </w:rPr>
              <w:t>Donald Trump : un portefeuille « fort comme l'Amérique » qui défie les</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marchés financie</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2026-10-12</w:t>
            </w:r>
          </w:p>
        </w:tc>
        <w:tc>
          <w:tcPr>
            <w:tcW w:type="dxa" w:w="1728"/>
          </w:tcPr>
          <w:p>
            <w:r>
              <w:rPr>
                <w:sz w:val="14"/>
              </w:rPr>
              <w:t xml:space="preserve">Sénégal, Gabon, croissance : les dossiers africains des assemblées du </w:t>
            </w:r>
          </w:p>
        </w:tc>
        <w:tc>
          <w:tcPr>
            <w:tcW w:type="dxa" w:w="1728"/>
          </w:tcPr>
          <w:p>
            <w:r>
              <w:rPr>
                <w:sz w:val="14"/>
              </w:rPr>
              <w:t>Neutre</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2026-10-11</w:t>
            </w:r>
          </w:p>
        </w:tc>
        <w:tc>
          <w:tcPr>
            <w:tcW w:type="dxa" w:w="1728"/>
          </w:tcPr>
          <w:p>
            <w:r>
              <w:rPr>
                <w:sz w:val="14"/>
              </w:rPr>
              <w:t>FMI-Banque mondiale : à Bangkok, l’Afrique face à la dette et à l’infl</w:t>
            </w:r>
          </w:p>
        </w:tc>
        <w:tc>
          <w:tcPr>
            <w:tcW w:type="dxa" w:w="1728"/>
          </w:tcPr>
          <w:p>
            <w:r>
              <w:rPr>
                <w:sz w:val="14"/>
              </w:rPr>
              <w:t>Neutre</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2026-10-06</w:t>
            </w:r>
          </w:p>
        </w:tc>
        <w:tc>
          <w:tcPr>
            <w:tcW w:type="dxa" w:w="1728"/>
          </w:tcPr>
          <w:p>
            <w:r>
              <w:rPr>
                <w:sz w:val="14"/>
              </w:rPr>
              <w:t>CEDEAO : le Général Birame Diop renforce le partenariat avec le FMI et</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FMI Banque Mondi</w:t>
            </w:r>
          </w:p>
        </w:tc>
      </w:tr>
      <w:tr>
        <w:tc>
          <w:tcPr>
            <w:tcW w:type="dxa" w:w="1728"/>
          </w:tcPr>
          <w:p>
            <w:r>
              <w:rPr>
                <w:sz w:val="14"/>
              </w:rPr>
              <w:t>2026-10-01</w:t>
            </w:r>
          </w:p>
        </w:tc>
        <w:tc>
          <w:tcPr>
            <w:tcW w:type="dxa" w:w="1728"/>
          </w:tcPr>
          <w:p>
            <w:r>
              <w:rPr>
                <w:sz w:val="14"/>
              </w:rPr>
              <w:t>Afrique : une croissance solide face au défi de l’investissement [Busi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2026-09-23</w:t>
            </w:r>
          </w:p>
        </w:tc>
        <w:tc>
          <w:tcPr>
            <w:tcW w:type="dxa" w:w="1728"/>
          </w:tcPr>
          <w:p>
            <w:r>
              <w:rPr>
                <w:sz w:val="14"/>
              </w:rPr>
              <w:t>Dette : l'Afrique reste accro au dollar malgré l'offensive de la Chine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2026-09-26</w:t>
            </w:r>
          </w:p>
        </w:tc>
        <w:tc>
          <w:tcPr>
            <w:tcW w:type="dxa" w:w="1728"/>
          </w:tcPr>
          <w:p>
            <w:r>
              <w:rPr>
                <w:sz w:val="14"/>
              </w:rPr>
              <w:t>Investissement et emploi : le plaidoyer d'Amara pour la transformation</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2026-10-18</w:t>
            </w:r>
          </w:p>
        </w:tc>
        <w:tc>
          <w:tcPr>
            <w:tcW w:type="dxa" w:w="1728"/>
          </w:tcPr>
          <w:p>
            <w:r>
              <w:rPr>
                <w:sz w:val="14"/>
              </w:rPr>
              <w:t>Dakar : la CEDEAO et l’AES s’accordent sur un futur cadre de coopérati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2026-10-19</w:t>
            </w:r>
          </w:p>
        </w:tc>
        <w:tc>
          <w:tcPr>
            <w:tcW w:type="dxa" w:w="1728"/>
          </w:tcPr>
          <w:p>
            <w:r>
              <w:rPr>
                <w:sz w:val="14"/>
              </w:rPr>
              <w:t>AES–CEDEAO : à Dakar, des groupes conjoints pour préparer un accord de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2026-10-18</w:t>
            </w:r>
          </w:p>
        </w:tc>
        <w:tc>
          <w:tcPr>
            <w:tcW w:type="dxa" w:w="1728"/>
          </w:tcPr>
          <w:p>
            <w:r>
              <w:rPr>
                <w:sz w:val="14"/>
              </w:rPr>
              <w:t>CEDEAO-AES, le pari du dialogue - SenePlus</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2026-10-19</w:t>
            </w:r>
          </w:p>
        </w:tc>
        <w:tc>
          <w:tcPr>
            <w:tcW w:type="dxa" w:w="1728"/>
          </w:tcPr>
          <w:p>
            <w:r>
              <w:rPr>
                <w:sz w:val="14"/>
              </w:rPr>
              <w:t>Commerce transfrontalier | Afrique de l’Ouest : les petits opérateurs,</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2026-10-19</w:t>
            </w:r>
          </w:p>
        </w:tc>
        <w:tc>
          <w:tcPr>
            <w:tcW w:type="dxa" w:w="1728"/>
          </w:tcPr>
          <w:p>
            <w:r>
              <w:rPr>
                <w:sz w:val="14"/>
              </w:rPr>
              <w:t>AES-Cedeao : les deux blocs annoncent vouloir travailler à un « accord</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2026-10-18</w:t>
            </w:r>
          </w:p>
        </w:tc>
        <w:tc>
          <w:tcPr>
            <w:tcW w:type="dxa" w:w="1728"/>
          </w:tcPr>
          <w:p>
            <w:r>
              <w:rPr>
                <w:sz w:val="14"/>
              </w:rPr>
              <w:t xml:space="preserve">La CEDEAO et l’AES créent des groupes de travail pour un accord-cadre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2026-10-18</w:t>
            </w:r>
          </w:p>
        </w:tc>
        <w:tc>
          <w:tcPr>
            <w:tcW w:type="dxa" w:w="1728"/>
          </w:tcPr>
          <w:p>
            <w:r>
              <w:rPr>
                <w:sz w:val="14"/>
              </w:rPr>
              <w:t>Municipales au Sénégal : Ces personnalités qui ont déjà annoncé leur c</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2026-10-19</w:t>
            </w:r>
          </w:p>
        </w:tc>
        <w:tc>
          <w:tcPr>
            <w:tcW w:type="dxa" w:w="1728"/>
          </w:tcPr>
          <w:p>
            <w:r>
              <w:rPr>
                <w:sz w:val="14"/>
              </w:rPr>
              <w:t>Togo : le CNCC fixe au 25 octobre son meeting pour le retour à la Cons</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2026-10-18</w:t>
            </w:r>
          </w:p>
        </w:tc>
        <w:tc>
          <w:tcPr>
            <w:tcW w:type="dxa" w:w="1728"/>
          </w:tcPr>
          <w:p>
            <w:r>
              <w:rPr>
                <w:sz w:val="14"/>
              </w:rPr>
              <w:t>Sénégal : Macky Sall renonce à sa candidature au poste de secrétaire g</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2026-10-17</w:t>
            </w:r>
          </w:p>
        </w:tc>
        <w:tc>
          <w:tcPr>
            <w:tcW w:type="dxa" w:w="1728"/>
          </w:tcPr>
          <w:p>
            <w:r>
              <w:rPr>
                <w:sz w:val="14"/>
              </w:rPr>
              <w:t>VIDÉO. Sénégal: Maket rend le luxe accessible avec la seconde main - t</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2026-10-17</w:t>
            </w:r>
          </w:p>
        </w:tc>
        <w:tc>
          <w:tcPr>
            <w:tcW w:type="dxa" w:w="1728"/>
          </w:tcPr>
          <w:p>
            <w:r>
              <w:rPr>
                <w:sz w:val="14"/>
              </w:rPr>
              <w:t>Sénégal : Takku Wallu quitte les six commissions d’enquête parlementai</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2026-10-17</w:t>
            </w:r>
          </w:p>
        </w:tc>
        <w:tc>
          <w:tcPr>
            <w:tcW w:type="dxa" w:w="1728"/>
          </w:tcPr>
          <w:p>
            <w:r>
              <w:rPr>
                <w:sz w:val="14"/>
              </w:rPr>
              <w:t>Burkina Faso : A Dakar, la Cédeao et l'AES ouvrent la voie à un accord</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2026-10-19</w:t>
            </w:r>
          </w:p>
        </w:tc>
        <w:tc>
          <w:tcPr>
            <w:tcW w:type="dxa" w:w="1728"/>
          </w:tcPr>
          <w:p>
            <w:r>
              <w:rPr>
                <w:sz w:val="14"/>
              </w:rPr>
              <w:t>Wall Street rêve du trading infini et se met à l'heure des actions tok</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2026-10-17</w:t>
            </w:r>
          </w:p>
        </w:tc>
        <w:tc>
          <w:tcPr>
            <w:tcW w:type="dxa" w:w="1728"/>
          </w:tcPr>
          <w:p>
            <w:r>
              <w:rPr>
                <w:sz w:val="14"/>
              </w:rPr>
              <w:t>«La BCE semble vouloir réagir plus rapidement qu’en 2022 sur les taux»</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2026-10-18</w:t>
            </w:r>
          </w:p>
        </w:tc>
        <w:tc>
          <w:tcPr>
            <w:tcW w:type="dxa" w:w="1728"/>
          </w:tcPr>
          <w:p>
            <w:r>
              <w:rPr>
                <w:sz w:val="14"/>
              </w:rPr>
              <w:t>Dakar : la CEDEAO et l’AES s’accordent sur un futur cadre de coopérati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2026-10-19</w:t>
            </w:r>
          </w:p>
        </w:tc>
        <w:tc>
          <w:tcPr>
            <w:tcW w:type="dxa" w:w="1728"/>
          </w:tcPr>
          <w:p>
            <w:r>
              <w:rPr>
                <w:sz w:val="14"/>
              </w:rPr>
              <w:t>AES–CEDEAO : à Dakar, des groupes conjoints pour préparer un accord de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2026-10-18</w:t>
            </w:r>
          </w:p>
        </w:tc>
        <w:tc>
          <w:tcPr>
            <w:tcW w:type="dxa" w:w="1728"/>
          </w:tcPr>
          <w:p>
            <w:r>
              <w:rPr>
                <w:sz w:val="14"/>
              </w:rPr>
              <w:t>CEDEAO-AES, le pari du dialogue - SenePlus</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2026-10-17</w:t>
            </w:r>
          </w:p>
        </w:tc>
        <w:tc>
          <w:tcPr>
            <w:tcW w:type="dxa" w:w="1728"/>
          </w:tcPr>
          <w:p>
            <w:r>
              <w:rPr>
                <w:sz w:val="14"/>
              </w:rPr>
              <w:t>«La BCE semble vouloir réagir plus rapidement qu’en 2022 sur les taux»</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2026-10-18</w:t>
            </w:r>
          </w:p>
        </w:tc>
        <w:tc>
          <w:tcPr>
            <w:tcW w:type="dxa" w:w="1728"/>
          </w:tcPr>
          <w:p>
            <w:r>
              <w:rPr>
                <w:sz w:val="14"/>
              </w:rPr>
              <w:t>Dakar : la CEDEAO et l’AES s’accordent sur un futur cadre de coopérati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2026-10-19</w:t>
            </w:r>
          </w:p>
        </w:tc>
        <w:tc>
          <w:tcPr>
            <w:tcW w:type="dxa" w:w="1728"/>
          </w:tcPr>
          <w:p>
            <w:r>
              <w:rPr>
                <w:sz w:val="14"/>
              </w:rPr>
              <w:t>AES–CEDEAO : à Dakar, des groupes conjoints pour préparer un accord de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2026-10-18</w:t>
            </w:r>
          </w:p>
        </w:tc>
        <w:tc>
          <w:tcPr>
            <w:tcW w:type="dxa" w:w="1728"/>
          </w:tcPr>
          <w:p>
            <w:r>
              <w:rPr>
                <w:sz w:val="14"/>
              </w:rPr>
              <w:t>CEDEAO-AES, le pari du dialogue - SenePlus</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2026-10-19</w:t>
            </w:r>
          </w:p>
        </w:tc>
        <w:tc>
          <w:tcPr>
            <w:tcW w:type="dxa" w:w="1728"/>
          </w:tcPr>
          <w:p>
            <w:r>
              <w:rPr>
                <w:sz w:val="14"/>
              </w:rPr>
              <w:t>Commerce transfrontalier | Afrique de l’Ouest : les petits opérateurs,</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2026-10-17</w:t>
            </w:r>
          </w:p>
        </w:tc>
        <w:tc>
          <w:tcPr>
            <w:tcW w:type="dxa" w:w="1728"/>
          </w:tcPr>
          <w:p>
            <w:r>
              <w:rPr>
                <w:sz w:val="14"/>
              </w:rPr>
              <w:t>«La BCE semble vouloir réagir plus rapidement qu’en 2022 sur les taux»</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2026-10-18</w:t>
            </w:r>
          </w:p>
        </w:tc>
        <w:tc>
          <w:tcPr>
            <w:tcW w:type="dxa" w:w="1728"/>
          </w:tcPr>
          <w:p>
            <w:r>
              <w:rPr>
                <w:sz w:val="14"/>
              </w:rPr>
              <w:t>Dakar : la CEDEAO et l’AES s’accordent sur un futur cadre de coopérati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2026-10-19</w:t>
            </w:r>
          </w:p>
        </w:tc>
        <w:tc>
          <w:tcPr>
            <w:tcW w:type="dxa" w:w="1728"/>
          </w:tcPr>
          <w:p>
            <w:r>
              <w:rPr>
                <w:sz w:val="14"/>
              </w:rPr>
              <w:t>AES–CEDEAO : à Dakar, des groupes conjoints pour préparer un accord de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2026-10-18</w:t>
            </w:r>
          </w:p>
        </w:tc>
        <w:tc>
          <w:tcPr>
            <w:tcW w:type="dxa" w:w="1728"/>
          </w:tcPr>
          <w:p>
            <w:r>
              <w:rPr>
                <w:sz w:val="14"/>
              </w:rPr>
              <w:t>CEDEAO-AES, le pari du dialogue - SenePlus</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2026-10-19</w:t>
            </w:r>
          </w:p>
        </w:tc>
        <w:tc>
          <w:tcPr>
            <w:tcW w:type="dxa" w:w="1728"/>
          </w:tcPr>
          <w:p>
            <w:r>
              <w:rPr>
                <w:sz w:val="14"/>
              </w:rPr>
              <w:t>Commerce transfrontalier | Afrique de l’Ouest : les petits opérateurs,</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2026-10-17</w:t>
            </w:r>
          </w:p>
        </w:tc>
        <w:tc>
          <w:tcPr>
            <w:tcW w:type="dxa" w:w="1728"/>
          </w:tcPr>
          <w:p>
            <w:r>
              <w:rPr>
                <w:sz w:val="14"/>
              </w:rPr>
              <w:t>«La BCE semble vouloir réagir plus rapidement qu’en 2022 sur les taux»</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2026-10-18</w:t>
            </w:r>
          </w:p>
        </w:tc>
        <w:tc>
          <w:tcPr>
            <w:tcW w:type="dxa" w:w="1728"/>
          </w:tcPr>
          <w:p>
            <w:r>
              <w:rPr>
                <w:sz w:val="14"/>
              </w:rPr>
              <w:t>Dakar : la CEDEAO et l’AES s’accordent sur un futur cadre de coopérati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2026-10-19</w:t>
            </w:r>
          </w:p>
        </w:tc>
        <w:tc>
          <w:tcPr>
            <w:tcW w:type="dxa" w:w="1728"/>
          </w:tcPr>
          <w:p>
            <w:r>
              <w:rPr>
                <w:sz w:val="14"/>
              </w:rPr>
              <w:t>AES–CEDEAO : à Dakar, des groupes conjoints pour préparer un accord de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2026-10-18</w:t>
            </w:r>
          </w:p>
        </w:tc>
        <w:tc>
          <w:tcPr>
            <w:tcW w:type="dxa" w:w="1728"/>
          </w:tcPr>
          <w:p>
            <w:r>
              <w:rPr>
                <w:sz w:val="14"/>
              </w:rPr>
              <w:t>CEDEAO-AES, le pari du dialogue - SenePlus</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2026-10-19</w:t>
            </w:r>
          </w:p>
        </w:tc>
        <w:tc>
          <w:tcPr>
            <w:tcW w:type="dxa" w:w="1728"/>
          </w:tcPr>
          <w:p>
            <w:r>
              <w:rPr>
                <w:sz w:val="14"/>
              </w:rPr>
              <w:t>Commerce transfrontalier | Afrique de l’Ouest : les petits opérateurs,</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2026-10-17</w:t>
            </w:r>
          </w:p>
        </w:tc>
        <w:tc>
          <w:tcPr>
            <w:tcW w:type="dxa" w:w="1728"/>
          </w:tcPr>
          <w:p>
            <w:r>
              <w:rPr>
                <w:sz w:val="14"/>
              </w:rPr>
              <w:t>«La BCE semble vouloir réagir plus rapidement qu’en 2022 sur les taux»</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2026-10-18</w:t>
            </w:r>
          </w:p>
        </w:tc>
        <w:tc>
          <w:tcPr>
            <w:tcW w:type="dxa" w:w="1728"/>
          </w:tcPr>
          <w:p>
            <w:r>
              <w:rPr>
                <w:sz w:val="14"/>
              </w:rPr>
              <w:t>Dakar : la CEDEAO et l’AES s’accordent sur un futur cadre de coopérati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2026-10-19</w:t>
            </w:r>
          </w:p>
        </w:tc>
        <w:tc>
          <w:tcPr>
            <w:tcW w:type="dxa" w:w="1728"/>
          </w:tcPr>
          <w:p>
            <w:r>
              <w:rPr>
                <w:sz w:val="14"/>
              </w:rPr>
              <w:t>AES–CEDEAO : à Dakar, des groupes conjoints pour préparer un accord de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2026-10-18</w:t>
            </w:r>
          </w:p>
        </w:tc>
        <w:tc>
          <w:tcPr>
            <w:tcW w:type="dxa" w:w="1728"/>
          </w:tcPr>
          <w:p>
            <w:r>
              <w:rPr>
                <w:sz w:val="14"/>
              </w:rPr>
              <w:t>CEDEAO-AES, le pari du dialogue - SenePlus</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2026-10-19</w:t>
            </w:r>
          </w:p>
        </w:tc>
        <w:tc>
          <w:tcPr>
            <w:tcW w:type="dxa" w:w="1728"/>
          </w:tcPr>
          <w:p>
            <w:r>
              <w:rPr>
                <w:sz w:val="14"/>
              </w:rPr>
              <w:t>Commerce transfrontalier | Afrique de l’Ouest : les petits opérateurs,</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CEDEAO Afrique O</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2026-10-19</w:t>
            </w:r>
          </w:p>
        </w:tc>
        <w:tc>
          <w:tcPr>
            <w:tcW w:type="dxa" w:w="1728"/>
          </w:tcPr>
          <w:p>
            <w:r>
              <w:rPr>
                <w:sz w:val="14"/>
              </w:rPr>
              <w:t>Wall Street rêve du trading infini et se met à l'heure des actions tok</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2026-10-17</w:t>
            </w:r>
          </w:p>
        </w:tc>
        <w:tc>
          <w:tcPr>
            <w:tcW w:type="dxa" w:w="1728"/>
          </w:tcPr>
          <w:p>
            <w:r>
              <w:rPr>
                <w:sz w:val="14"/>
              </w:rPr>
              <w:t>«La BCE semble vouloir réagir plus rapidement qu’en 2022 sur les taux»</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2026-10-18</w:t>
            </w:r>
          </w:p>
        </w:tc>
        <w:tc>
          <w:tcPr>
            <w:tcW w:type="dxa" w:w="1728"/>
          </w:tcPr>
          <w:p>
            <w:r>
              <w:rPr>
                <w:sz w:val="14"/>
              </w:rPr>
              <w:t>CEDEAO-AES, le pari du dialogue - SenePlus</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2026-10-19</w:t>
            </w:r>
          </w:p>
        </w:tc>
        <w:tc>
          <w:tcPr>
            <w:tcW w:type="dxa" w:w="1728"/>
          </w:tcPr>
          <w:p>
            <w:r>
              <w:rPr>
                <w:sz w:val="14"/>
              </w:rPr>
              <w:t>AES-Cedeao : les deux blocs annoncent vouloir travailler à un « accord</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2026-10-18</w:t>
            </w:r>
          </w:p>
        </w:tc>
        <w:tc>
          <w:tcPr>
            <w:tcW w:type="dxa" w:w="1728"/>
          </w:tcPr>
          <w:p>
            <w:r>
              <w:rPr>
                <w:sz w:val="14"/>
              </w:rPr>
              <w:t>L'Alliance des États du Sahel renoue le dialogue avec la Cédéao près d</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2026-10-19</w:t>
            </w:r>
          </w:p>
        </w:tc>
        <w:tc>
          <w:tcPr>
            <w:tcW w:type="dxa" w:w="1728"/>
          </w:tcPr>
          <w:p>
            <w:r>
              <w:rPr>
                <w:sz w:val="14"/>
              </w:rPr>
              <w:t>Wall Street rêve du trading infini et se met à l'heure des actions tok</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2026-10-17</w:t>
            </w:r>
          </w:p>
        </w:tc>
        <w:tc>
          <w:tcPr>
            <w:tcW w:type="dxa" w:w="1728"/>
          </w:tcPr>
          <w:p>
            <w:r>
              <w:rPr>
                <w:sz w:val="14"/>
              </w:rPr>
              <w:t>«La BCE semble vouloir réagir plus rapidement qu’en 2022 sur les taux»</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2026-10-18</w:t>
            </w:r>
          </w:p>
        </w:tc>
        <w:tc>
          <w:tcPr>
            <w:tcW w:type="dxa" w:w="1728"/>
          </w:tcPr>
          <w:p>
            <w:r>
              <w:rPr>
                <w:sz w:val="14"/>
              </w:rPr>
              <w:t>Dakar : la CEDEAO et l’AES s’accordent sur un futur cadre de coopérati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2026-10-19</w:t>
            </w:r>
          </w:p>
        </w:tc>
        <w:tc>
          <w:tcPr>
            <w:tcW w:type="dxa" w:w="1728"/>
          </w:tcPr>
          <w:p>
            <w:r>
              <w:rPr>
                <w:sz w:val="14"/>
              </w:rPr>
              <w:t>AES–CEDEAO : à Dakar, des groupes conjoints pour préparer un accord de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2026-10-18</w:t>
            </w:r>
          </w:p>
        </w:tc>
        <w:tc>
          <w:tcPr>
            <w:tcW w:type="dxa" w:w="1728"/>
          </w:tcPr>
          <w:p>
            <w:r>
              <w:rPr>
                <w:sz w:val="14"/>
              </w:rPr>
              <w:t>CEDEAO-AES, le pari du dialogue - SenePlus</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2026-10-19</w:t>
            </w:r>
          </w:p>
        </w:tc>
        <w:tc>
          <w:tcPr>
            <w:tcW w:type="dxa" w:w="1728"/>
          </w:tcPr>
          <w:p>
            <w:r>
              <w:rPr>
                <w:sz w:val="14"/>
              </w:rPr>
              <w:t>Wall Street rêve du trading infini et se met à l'heure des actions tok</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2026-10-17</w:t>
            </w:r>
          </w:p>
        </w:tc>
        <w:tc>
          <w:tcPr>
            <w:tcW w:type="dxa" w:w="1728"/>
          </w:tcPr>
          <w:p>
            <w:r>
              <w:rPr>
                <w:sz w:val="14"/>
              </w:rPr>
              <w:t>«La BCE semble vouloir réagir plus rapidement qu’en 2022 sur les taux»</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2026-10-18</w:t>
            </w:r>
          </w:p>
        </w:tc>
        <w:tc>
          <w:tcPr>
            <w:tcW w:type="dxa" w:w="1728"/>
          </w:tcPr>
          <w:p>
            <w:r>
              <w:rPr>
                <w:sz w:val="14"/>
              </w:rPr>
              <w:t>Dakar : la CEDEAO et l’AES s’accordent sur un futur cadre de coopérati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2026-10-19</w:t>
            </w:r>
          </w:p>
        </w:tc>
        <w:tc>
          <w:tcPr>
            <w:tcW w:type="dxa" w:w="1728"/>
          </w:tcPr>
          <w:p>
            <w:r>
              <w:rPr>
                <w:sz w:val="14"/>
              </w:rPr>
              <w:t>AES–CEDEAO : à Dakar, des groupes conjoints pour préparer un accord de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2026-10-18</w:t>
            </w:r>
          </w:p>
        </w:tc>
        <w:tc>
          <w:tcPr>
            <w:tcW w:type="dxa" w:w="1728"/>
          </w:tcPr>
          <w:p>
            <w:r>
              <w:rPr>
                <w:sz w:val="14"/>
              </w:rPr>
              <w:t>CEDEAO-AES, le pari du dialogue - SenePlus</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2026-10-19</w:t>
            </w:r>
          </w:p>
        </w:tc>
        <w:tc>
          <w:tcPr>
            <w:tcW w:type="dxa" w:w="1728"/>
          </w:tcPr>
          <w:p>
            <w:r>
              <w:rPr>
                <w:sz w:val="14"/>
              </w:rPr>
              <w:t>Wall Street rêve du trading infini et se met à l'heure des actions tok</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2026-10-17</w:t>
            </w:r>
          </w:p>
        </w:tc>
        <w:tc>
          <w:tcPr>
            <w:tcW w:type="dxa" w:w="1728"/>
          </w:tcPr>
          <w:p>
            <w:r>
              <w:rPr>
                <w:sz w:val="14"/>
              </w:rPr>
              <w:t>«La BCE semble vouloir réagir plus rapidement qu’en 2022 sur les taux»</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2026-10-19</w:t>
            </w:r>
          </w:p>
        </w:tc>
        <w:tc>
          <w:tcPr>
            <w:tcW w:type="dxa" w:w="1728"/>
          </w:tcPr>
          <w:p>
            <w:r>
              <w:rPr>
                <w:sz w:val="14"/>
              </w:rPr>
              <w:t>AES–CEDEAO : à Dakar, des groupes conjoints pour préparer un accord de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2026-10-18</w:t>
            </w:r>
          </w:p>
        </w:tc>
        <w:tc>
          <w:tcPr>
            <w:tcW w:type="dxa" w:w="1728"/>
          </w:tcPr>
          <w:p>
            <w:r>
              <w:rPr>
                <w:sz w:val="14"/>
              </w:rPr>
              <w:t>CEDEAO-AES, le pari du dialogue - SenePlus</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2026-10-19</w:t>
            </w:r>
          </w:p>
        </w:tc>
        <w:tc>
          <w:tcPr>
            <w:tcW w:type="dxa" w:w="1728"/>
          </w:tcPr>
          <w:p>
            <w:r>
              <w:rPr>
                <w:sz w:val="14"/>
              </w:rPr>
              <w:t>AES-Cedeao : les deux blocs annoncent vouloir travailler à un « accord</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2026-10-19</w:t>
            </w:r>
          </w:p>
        </w:tc>
        <w:tc>
          <w:tcPr>
            <w:tcW w:type="dxa" w:w="1728"/>
          </w:tcPr>
          <w:p>
            <w:r>
              <w:rPr>
                <w:sz w:val="14"/>
              </w:rPr>
              <w:t>Wall Street rêve du trading infini et se met à l'heure des actions tok</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2026-10-17</w:t>
            </w:r>
          </w:p>
        </w:tc>
        <w:tc>
          <w:tcPr>
            <w:tcW w:type="dxa" w:w="1728"/>
          </w:tcPr>
          <w:p>
            <w:r>
              <w:rPr>
                <w:sz w:val="14"/>
              </w:rPr>
              <w:t>«La BCE semble vouloir réagir plus rapidement qu’en 2022 sur les taux»</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2026-10-18</w:t>
            </w:r>
          </w:p>
        </w:tc>
        <w:tc>
          <w:tcPr>
            <w:tcW w:type="dxa" w:w="1728"/>
          </w:tcPr>
          <w:p>
            <w:r>
              <w:rPr>
                <w:sz w:val="14"/>
              </w:rPr>
              <w:t>CEDEAO-AES, le pari du dialogue - SenePlus</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2026-10-19</w:t>
            </w:r>
          </w:p>
        </w:tc>
        <w:tc>
          <w:tcPr>
            <w:tcW w:type="dxa" w:w="1728"/>
          </w:tcPr>
          <w:p>
            <w:r>
              <w:rPr>
                <w:sz w:val="14"/>
              </w:rPr>
              <w:t>AES-Cedeao : les deux blocs annoncent vouloir travailler à un « accord</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2026-10-18</w:t>
            </w:r>
          </w:p>
        </w:tc>
        <w:tc>
          <w:tcPr>
            <w:tcW w:type="dxa" w:w="1728"/>
          </w:tcPr>
          <w:p>
            <w:r>
              <w:rPr>
                <w:sz w:val="14"/>
              </w:rPr>
              <w:t>L'Alliance des États du Sahel renoue le dialogue avec la Cédéao près d</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économique  (12 alerte(s))</w:t>
      </w:r>
    </w:p>
    <w:p>
      <w:pPr>
        <w:spacing w:before="40" w:after="40"/>
        <w:ind w:left="360"/>
      </w:pPr>
      <w:r>
        <w:rPr>
          <w:color w:val="646464"/>
          <w:sz w:val="17"/>
        </w:rPr>
        <w:t xml:space="preserve">[19/10/2026] 🟢  </w:t>
      </w:r>
      <w:r>
        <w:rPr>
          <w:b/>
          <w:color w:val="008000"/>
          <w:sz w:val="18"/>
        </w:rPr>
        <w:t>AES-Cedeao : les deux blocs annoncent vouloir travailler à un « accord-cadre » - Jeune Afrique</w:t>
      </w:r>
      <w:r>
        <w:rPr>
          <w:color w:val="787878"/>
          <w:sz w:val="15"/>
        </w:rPr>
        <w:t xml:space="preserve">  [économique]</w:t>
      </w:r>
      <w:r>
        <w:rPr>
          <w:color w:val="B47800"/>
          <w:sz w:val="16"/>
        </w:rPr>
        <w:t xml:space="preserve">  ★ 50/10</w:t>
      </w:r>
    </w:p>
    <w:p>
      <w:pPr>
        <w:spacing w:before="0" w:after="20"/>
        <w:ind w:left="600"/>
      </w:pPr>
      <w:r>
        <w:rPr>
          <w:color w:val="323232"/>
          <w:sz w:val="17"/>
        </w:rPr>
        <w:t>Les blocs AES (Alliance des États du Sahel) et CEDEAO ont annoncé leur intention de travailler à un « accord-cadre » selon Jeune Afrique. Cette annonce suggère une volonté de normaliser les relations entre les pays sahéliens regroupés au sein de l'AES et la Communauté économique des États de l'Afrique de l'Ouest. Un tel accord pourrait faciliter le</w:t>
      </w:r>
    </w:p>
    <w:p>
      <w:pPr>
        <w:spacing w:before="0" w:after="40"/>
        <w:ind w:left="600"/>
      </w:pPr>
      <w:r>
        <w:rPr>
          <w:color w:val="00643C"/>
          <w:sz w:val="16"/>
        </w:rPr>
        <w:t>Points clés : Annonce d'un accord-cadre entre l'AES et la CEDEAO  •  Volonté de normaliser les relations régionales  •  Potentiel de réduction des tensions politiques et d'amélioration des échanges</w:t>
      </w:r>
    </w:p>
    <w:p>
      <w:pPr>
        <w:spacing w:before="0" w:after="60"/>
        <w:ind w:left="600"/>
      </w:pPr>
      <w:r>
        <w:rPr>
          <w:color w:val="0064B4"/>
          <w:sz w:val="15"/>
        </w:rPr>
        <w:t>Source : https://news.google.com/rss/articles/CBMivAFBVV95cUxOTGxUcjRzMFo1YW4tVTlNUV9YTzB</w:t>
      </w:r>
    </w:p>
    <w:p>
      <w:pPr>
        <w:spacing w:before="40" w:after="40"/>
        <w:ind w:left="360"/>
      </w:pPr>
      <w:r>
        <w:rPr>
          <w:color w:val="646464"/>
          <w:sz w:val="17"/>
        </w:rPr>
        <w:t xml:space="preserve">[19/10/2026] 🟢  </w:t>
      </w:r>
      <w:r>
        <w:rPr>
          <w:b/>
          <w:color w:val="008000"/>
          <w:sz w:val="18"/>
        </w:rPr>
        <w:t>AES–CEDEAO : à Dakar, des groupes conjoints pour préparer un accord de coopération - Mali Actu</w:t>
      </w:r>
      <w:r>
        <w:rPr>
          <w:color w:val="787878"/>
          <w:sz w:val="15"/>
        </w:rPr>
        <w:t xml:space="preserve">  [économique]</w:t>
      </w:r>
      <w:r>
        <w:rPr>
          <w:color w:val="B47800"/>
          <w:sz w:val="16"/>
        </w:rPr>
        <w:t xml:space="preserve">  ★ 50/10</w:t>
      </w:r>
    </w:p>
    <w:p>
      <w:pPr>
        <w:spacing w:before="0" w:after="20"/>
        <w:ind w:left="600"/>
      </w:pPr>
      <w:r>
        <w:rPr>
          <w:color w:val="323232"/>
          <w:sz w:val="17"/>
        </w:rPr>
        <w:t>Des groupes conjoints entre l'AES (Alliance des États du Sahel) et la CEDEAO se sont réunis à Dakar pour préparer un accord de coopération. Cette initiative vise à renforcer les relations entre les pays de l'AES (Mali, Burkina Faso, Niger) et la CEDEAO après les tensions récentes. L'objectif est de définir un cadre de coopération économique et poli</w:t>
      </w:r>
    </w:p>
    <w:p>
      <w:pPr>
        <w:spacing w:before="0" w:after="40"/>
        <w:ind w:left="600"/>
      </w:pPr>
      <w:r>
        <w:rPr>
          <w:color w:val="00643C"/>
          <w:sz w:val="16"/>
        </w:rPr>
        <w:t>Points clés : Réunion à Dakar de groupes conjoints AES-CEDEAO  •  Préparation d'un accord de coopération  •  Volonté de rapprochement après les tensions  •  Impact potentiel sur les échanges économiques régionaux</w:t>
      </w:r>
    </w:p>
    <w:p>
      <w:pPr>
        <w:spacing w:before="0" w:after="60"/>
        <w:ind w:left="600"/>
      </w:pPr>
      <w:r>
        <w:rPr>
          <w:color w:val="0064B4"/>
          <w:sz w:val="15"/>
        </w:rPr>
        <w:t>Source : https://news.google.com/rss/articles/CBMigAFBVV95cUxNRDdsRnNmdVdjMHJjVndoRVpnbGo</w:t>
      </w:r>
    </w:p>
    <w:p>
      <w:pPr>
        <w:spacing w:before="40" w:after="40"/>
        <w:ind w:left="360"/>
      </w:pPr>
      <w:r>
        <w:rPr>
          <w:color w:val="646464"/>
          <w:sz w:val="17"/>
        </w:rPr>
        <w:t xml:space="preserve">[19/10/2026] 🔴  </w:t>
      </w:r>
      <w:r>
        <w:rPr>
          <w:b/>
          <w:color w:val="C00000"/>
          <w:sz w:val="18"/>
        </w:rPr>
        <w:t>Commerce transfrontalier | Afrique de l’Ouest : les petits opérateurs, grands oubliés de l’intégration africaine - Afrim</w:t>
      </w:r>
      <w:r>
        <w:rPr>
          <w:color w:val="787878"/>
          <w:sz w:val="15"/>
        </w:rPr>
        <w:t xml:space="preserve">  [économique]</w:t>
      </w:r>
      <w:r>
        <w:rPr>
          <w:color w:val="B47800"/>
          <w:sz w:val="16"/>
        </w:rPr>
        <w:t xml:space="preserve">  ★ 50/10</w:t>
      </w:r>
    </w:p>
    <w:p>
      <w:pPr>
        <w:spacing w:before="0" w:after="20"/>
        <w:ind w:left="600"/>
      </w:pPr>
      <w:r>
        <w:rPr>
          <w:color w:val="323232"/>
          <w:sz w:val="17"/>
        </w:rPr>
        <w:t>L'article d'Afrimag met en lumière le fait que les petits opérateurs du commerce transfrontalier en Afrique de l'Ouest sont les grands oubliés de l'intégration africaine. Malgré les accords régionaux, ces acteurs informels font face à des obstacles persistants qui limitent leur participation aux bénéfices de l'intégration. Le texte souligne probabl</w:t>
      </w:r>
    </w:p>
    <w:p>
      <w:pPr>
        <w:spacing w:before="0" w:after="40"/>
        <w:ind w:left="600"/>
      </w:pPr>
      <w:r>
        <w:rPr>
          <w:color w:val="00643C"/>
          <w:sz w:val="16"/>
        </w:rPr>
        <w:t>Points clés : Les petits opérateurs du commerce transfrontalier sont marginalisés dans le processus d'intégration ouest-africaine.  •  Les accords régionaux ne profitent pas suffisamment aux acteurs informels.  •  Il existe un écart entre les politiques commerciales et les réalités du terrain pour les petits commerçants.</w:t>
      </w:r>
    </w:p>
    <w:p>
      <w:pPr>
        <w:spacing w:before="0" w:after="60"/>
        <w:ind w:left="600"/>
      </w:pPr>
      <w:r>
        <w:rPr>
          <w:color w:val="0064B4"/>
          <w:sz w:val="15"/>
        </w:rPr>
        <w:t>Source : https://news.google.com/rss/articles/CBMixAFBVV95cUxQNl9xQldOdmF0QVdLMko4NlR5eFB</w:t>
      </w:r>
    </w:p>
    <w:p>
      <w:pPr>
        <w:spacing w:before="40" w:after="40"/>
        <w:ind w:left="360"/>
      </w:pPr>
      <w:r>
        <w:rPr>
          <w:color w:val="646464"/>
          <w:sz w:val="17"/>
        </w:rPr>
        <w:t xml:space="preserve">[18/10/2026] 🟢  </w:t>
      </w:r>
      <w:r>
        <w:rPr>
          <w:b/>
          <w:color w:val="008000"/>
          <w:sz w:val="18"/>
        </w:rPr>
        <w:t>Dakar : la CEDEAO et l’AES s’accordent sur un futur cadre de coopération - Guineematin.com</w:t>
      </w:r>
      <w:r>
        <w:rPr>
          <w:color w:val="787878"/>
          <w:sz w:val="15"/>
        </w:rPr>
        <w:t xml:space="preserve">  [économique]</w:t>
      </w:r>
      <w:r>
        <w:rPr>
          <w:color w:val="B47800"/>
          <w:sz w:val="16"/>
        </w:rPr>
        <w:t xml:space="preserve">  ★ 50/10</w:t>
      </w:r>
    </w:p>
    <w:p>
      <w:pPr>
        <w:spacing w:before="0" w:after="20"/>
        <w:ind w:left="600"/>
      </w:pPr>
      <w:r>
        <w:rPr>
          <w:color w:val="323232"/>
          <w:sz w:val="17"/>
        </w:rPr>
        <w:t>La CEDEAO et l'Alliance des États du Sahel (AES) ont trouvé un accord à Dakar sur un futur cadre de coopération. Cette entente vise à maintenir un dialogue malgré les tensions régionales et les retraits annoncés de certains pays de la CEDEAO. Elle pourrait faciliter la circulation des biens et des personnes et réduire l'incertitude politique en Afr</w:t>
      </w:r>
    </w:p>
    <w:p>
      <w:pPr>
        <w:spacing w:before="0" w:after="40"/>
        <w:ind w:left="600"/>
      </w:pPr>
      <w:r>
        <w:rPr>
          <w:color w:val="00643C"/>
          <w:sz w:val="16"/>
        </w:rPr>
        <w:t>Points clés : Accord sur un cadre de coopération future entre la CEDEAO et l'AES  •  Réduction potentielle des tensions régionales en Afrique de l'Ouest  •  Impact possible sur la libre circulation et les échanges commerciaux</w:t>
      </w:r>
    </w:p>
    <w:p>
      <w:pPr>
        <w:spacing w:before="0" w:after="60"/>
        <w:ind w:left="600"/>
      </w:pPr>
      <w:r>
        <w:rPr>
          <w:color w:val="0064B4"/>
          <w:sz w:val="15"/>
        </w:rPr>
        <w:t>Source : https://news.google.com/rss/articles/CBMipwFBVV95cUxOS05mb1N3Y04xdTQtVzdRQndnZUF</w:t>
      </w:r>
    </w:p>
    <w:p>
      <w:pPr>
        <w:spacing w:before="40" w:after="40"/>
        <w:ind w:left="360"/>
      </w:pPr>
      <w:r>
        <w:rPr>
          <w:color w:val="646464"/>
          <w:sz w:val="17"/>
        </w:rPr>
        <w:t xml:space="preserve">[18/10/2026] 🟢  </w:t>
      </w:r>
      <w:r>
        <w:rPr>
          <w:b/>
          <w:color w:val="008000"/>
          <w:sz w:val="18"/>
        </w:rPr>
        <w:t>La CEDEAO et l’AES créent des groupes de travail pour un accord-cadre - Atlasinfo</w:t>
      </w:r>
      <w:r>
        <w:rPr>
          <w:color w:val="787878"/>
          <w:sz w:val="15"/>
        </w:rPr>
        <w:t xml:space="preserve">  [économique]</w:t>
      </w:r>
      <w:r>
        <w:rPr>
          <w:color w:val="B47800"/>
          <w:sz w:val="16"/>
        </w:rPr>
        <w:t xml:space="preserve">  ★ 50/10</w:t>
      </w:r>
    </w:p>
    <w:p>
      <w:pPr>
        <w:spacing w:before="0" w:after="20"/>
        <w:ind w:left="600"/>
      </w:pPr>
      <w:r>
        <w:rPr>
          <w:color w:val="323232"/>
          <w:sz w:val="17"/>
        </w:rPr>
        <w:t xml:space="preserve">La CEDEAO et l'Alliance des États du Sahel (AES) ont décidé de mettre en place des groupes de travail conjoints en vue de négocier un accord-cadre. Cette initiative vise à structurer les relations entre les deux entités après le retrait annoncé des pays de l'AES de la CEDEAO. Elle pourrait faciliter la coopération économique et sécuritaire dans la </w:t>
      </w:r>
    </w:p>
    <w:p>
      <w:pPr>
        <w:spacing w:before="0" w:after="40"/>
        <w:ind w:left="600"/>
      </w:pPr>
      <w:r>
        <w:rPr>
          <w:color w:val="00643C"/>
          <w:sz w:val="16"/>
        </w:rPr>
        <w:t>Points clés : Création de groupes de travail entre la CEDEAO et l'AES  •  Objectif : parvenir à un accord-cadre de coopération  •  Contexte de tensions après le retrait des pays de l'AES de la CEDEAO</w:t>
      </w:r>
    </w:p>
    <w:p>
      <w:pPr>
        <w:spacing w:before="0" w:after="60"/>
        <w:ind w:left="600"/>
      </w:pPr>
      <w:r>
        <w:rPr>
          <w:color w:val="0064B4"/>
          <w:sz w:val="15"/>
        </w:rPr>
        <w:t>Source : https://news.google.com/rss/articles/CBMimgFBVV95cUxPTzZSbVhycUptWEVjYTlOR2hNSS0</w:t>
      </w:r>
    </w:p>
    <w:p>
      <w:pPr>
        <w:spacing w:before="120" w:after="40"/>
      </w:pPr>
      <w:r>
        <w:rPr>
          <w:b/>
          <w:color w:val="00467F"/>
          <w:sz w:val="20"/>
        </w:rPr>
        <w:t>🔑 politique  (5 alerte(s))</w:t>
      </w:r>
    </w:p>
    <w:p>
      <w:pPr>
        <w:spacing w:before="40" w:after="40"/>
        <w:ind w:left="360"/>
      </w:pPr>
      <w:r>
        <w:rPr>
          <w:color w:val="646464"/>
          <w:sz w:val="17"/>
        </w:rPr>
        <w:t xml:space="preserve">[19/10/2026] 🔴  </w:t>
      </w:r>
      <w:r>
        <w:rPr>
          <w:b/>
          <w:color w:val="C00000"/>
          <w:sz w:val="18"/>
        </w:rPr>
        <w:t>Togo : le CNCC fixe au 25 octobre son meeting pour le retour à la Constitution de 1992 - 24heureinfo</w:t>
      </w:r>
      <w:r>
        <w:rPr>
          <w:color w:val="787878"/>
          <w:sz w:val="15"/>
        </w:rPr>
        <w:t xml:space="preserve">  [politique]</w:t>
      </w:r>
      <w:r>
        <w:rPr>
          <w:color w:val="B47800"/>
          <w:sz w:val="16"/>
        </w:rPr>
        <w:t xml:space="preserve">  ★ 50/10</w:t>
      </w:r>
    </w:p>
    <w:p>
      <w:pPr>
        <w:spacing w:before="0" w:after="20"/>
        <w:ind w:left="600"/>
      </w:pPr>
      <w:r>
        <w:rPr>
          <w:color w:val="323232"/>
          <w:sz w:val="17"/>
        </w:rPr>
        <w:t>Le CNCC (Collectif National pour la Constitution de 1992) a fixé au 25 octobre son meeting pour exiger le retour à la Constitution de 1992 au Togo. Cette annonce s'inscrit dans un contexte de tensions politiques persistantes. L'événement pourrait mobiliser l'opposition et susciter des réactions des autorités.</w:t>
      </w:r>
    </w:p>
    <w:p>
      <w:pPr>
        <w:spacing w:before="0" w:after="40"/>
        <w:ind w:left="600"/>
      </w:pPr>
      <w:r>
        <w:rPr>
          <w:color w:val="00643C"/>
          <w:sz w:val="16"/>
        </w:rPr>
        <w:t>Points clés : Le CNCC annonce un meeting le 25 octobre pour le retour à la Constitution de 1992  •  Contexte de tensions politiques au Togo  •  Risque de mobilisation et de réactions officielles</w:t>
      </w:r>
    </w:p>
    <w:p>
      <w:pPr>
        <w:spacing w:before="0" w:after="60"/>
        <w:ind w:left="600"/>
      </w:pPr>
      <w:r>
        <w:rPr>
          <w:color w:val="0064B4"/>
          <w:sz w:val="15"/>
        </w:rPr>
        <w:t>Source : https://news.google.com/rss/articles/CBMiqgFBVV95cUxQcTg3bmY1WmQtb1IxSTU5NEtmNHl</w:t>
      </w:r>
    </w:p>
    <w:p>
      <w:pPr>
        <w:spacing w:before="40" w:after="40"/>
        <w:ind w:left="360"/>
      </w:pPr>
      <w:r>
        <w:rPr>
          <w:color w:val="646464"/>
          <w:sz w:val="17"/>
        </w:rPr>
        <w:t xml:space="preserve">[18/10/2026] ⚪  </w:t>
      </w:r>
      <w:r>
        <w:rPr>
          <w:b/>
          <w:color w:val="505050"/>
          <w:sz w:val="18"/>
        </w:rPr>
        <w:t>Sénégal : Macky Sall renonce à sa candidature au poste de secrétaire général à l’ONU - Africa24 TV</w:t>
      </w:r>
      <w:r>
        <w:rPr>
          <w:color w:val="787878"/>
          <w:sz w:val="15"/>
        </w:rPr>
        <w:t xml:space="preserve">  [politique]</w:t>
      </w:r>
      <w:r>
        <w:rPr>
          <w:color w:val="B47800"/>
          <w:sz w:val="16"/>
        </w:rPr>
        <w:t xml:space="preserve">  ★ 50/10</w:t>
      </w:r>
    </w:p>
    <w:p>
      <w:pPr>
        <w:spacing w:before="0" w:after="20"/>
        <w:ind w:left="600"/>
      </w:pPr>
      <w:r>
        <w:rPr>
          <w:color w:val="323232"/>
          <w:sz w:val="17"/>
        </w:rPr>
        <w:t>Macky Sall, ancien président du Sénégal, a décidé de retirer sa candidature au poste de secrétaire général des Nations Unies. Cette décision met fin à plusieurs mois de spéculations sur ses ambitions internationales. Elle intervient dans un contexte politique sénégalais déjà marqué par la transition post-électorale. Aucune explication officielle dé</w:t>
      </w:r>
    </w:p>
    <w:p>
      <w:pPr>
        <w:spacing w:before="0" w:after="40"/>
        <w:ind w:left="600"/>
      </w:pPr>
      <w:r>
        <w:rPr>
          <w:color w:val="00643C"/>
          <w:sz w:val="16"/>
        </w:rPr>
        <w:t>Points clés : Macky Sall renonce à sa candidature au poste de secrétaire général de l'ONU  •  Décision annoncée par le média Africa24 TV  •  Contexte politique sénégalais en transition  •  Pas de motif officiel communiqué</w:t>
      </w:r>
    </w:p>
    <w:p>
      <w:pPr>
        <w:spacing w:before="0" w:after="60"/>
        <w:ind w:left="600"/>
      </w:pPr>
      <w:r>
        <w:rPr>
          <w:color w:val="0064B4"/>
          <w:sz w:val="15"/>
        </w:rPr>
        <w:t>Source : https://news.google.com/rss/articles/CBMiqAFBVV95cUxQNVhGNkRPUkx2Z0NFTUluU2Z1Vm1</w:t>
      </w:r>
    </w:p>
    <w:p>
      <w:pPr>
        <w:spacing w:before="40" w:after="40"/>
        <w:ind w:left="360"/>
      </w:pPr>
      <w:r>
        <w:rPr>
          <w:color w:val="646464"/>
          <w:sz w:val="17"/>
        </w:rPr>
        <w:t xml:space="preserve">[18/10/2026] ⚪  </w:t>
      </w:r>
      <w:r>
        <w:rPr>
          <w:b/>
          <w:color w:val="505050"/>
          <w:sz w:val="18"/>
        </w:rPr>
        <w:t>Municipales au Sénégal : Ces personnalités qui ont déjà annoncé leur candidature pour 2027 - SeneNews</w:t>
      </w:r>
      <w:r>
        <w:rPr>
          <w:color w:val="787878"/>
          <w:sz w:val="15"/>
        </w:rPr>
        <w:t xml:space="preserve">  [politique]</w:t>
      </w:r>
      <w:r>
        <w:rPr>
          <w:color w:val="B47800"/>
          <w:sz w:val="16"/>
        </w:rPr>
        <w:t xml:space="preserve">  ★ 50/10</w:t>
      </w:r>
    </w:p>
    <w:p>
      <w:pPr>
        <w:spacing w:before="0" w:after="20"/>
        <w:ind w:left="600"/>
      </w:pPr>
      <w:r>
        <w:rPr>
          <w:color w:val="323232"/>
          <w:sz w:val="17"/>
        </w:rPr>
        <w:t>L'article évoque les personnalités politiques sénégalaises qui ont déjà annoncé leur candidature aux élections municipales de 2027. Il s'agit d'une actualité politique nationale, sans lien direct avec les marchés financiers ou les sociétés cotées à la BRVM. Le contenu reste très succinct et ne fournit pas de détails sur les programmes ou les impact</w:t>
      </w:r>
    </w:p>
    <w:p>
      <w:pPr>
        <w:spacing w:before="0" w:after="40"/>
        <w:ind w:left="600"/>
      </w:pPr>
      <w:r>
        <w:rPr>
          <w:color w:val="00643C"/>
          <w:sz w:val="16"/>
        </w:rPr>
        <w:t>Points clés : Annonces de candidatures pour les municipales de 2027 au Sénégal  •  Actualité politique nationale sans dimension économique directe  •  Contenu limité, pas d'information sur les politiques publiques ou les entreprises</w:t>
      </w:r>
    </w:p>
    <w:p>
      <w:pPr>
        <w:spacing w:before="0" w:after="60"/>
        <w:ind w:left="600"/>
      </w:pPr>
      <w:r>
        <w:rPr>
          <w:color w:val="0064B4"/>
          <w:sz w:val="15"/>
        </w:rPr>
        <w:t>Source : https://news.google.com/rss/articles/CBMi0gFBVV95cUxPbjBCY3dzMmlnWlJJemF6elpkS1h</w:t>
      </w:r>
    </w:p>
    <w:p>
      <w:pPr>
        <w:spacing w:before="40" w:after="40"/>
        <w:ind w:left="360"/>
      </w:pPr>
      <w:r>
        <w:rPr>
          <w:color w:val="646464"/>
          <w:sz w:val="17"/>
        </w:rPr>
        <w:t xml:space="preserve">[17/10/2026] 🟢  </w:t>
      </w:r>
      <w:r>
        <w:rPr>
          <w:b/>
          <w:color w:val="008000"/>
          <w:sz w:val="18"/>
        </w:rPr>
        <w:t>Burkina Faso : A Dakar, la Cédeao et l'AES ouvrent la voie à un accord-cadre - Koaci</w:t>
      </w:r>
      <w:r>
        <w:rPr>
          <w:color w:val="787878"/>
          <w:sz w:val="15"/>
        </w:rPr>
        <w:t xml:space="preserve">  [politique]</w:t>
      </w:r>
      <w:r>
        <w:rPr>
          <w:color w:val="B47800"/>
          <w:sz w:val="16"/>
        </w:rPr>
        <w:t xml:space="preserve">  ★ 50/10</w:t>
      </w:r>
    </w:p>
    <w:p>
      <w:pPr>
        <w:spacing w:before="0" w:after="20"/>
        <w:ind w:left="600"/>
      </w:pPr>
      <w:r>
        <w:rPr>
          <w:color w:val="323232"/>
          <w:sz w:val="17"/>
        </w:rPr>
        <w:t>La CEDEAO et l'Alliance des États du Sahel (AES) ont entamé à Dakar des discussions en vue d'un accord-cadre, selon Koaci. Cette ouverture de dialogue intervient après le retrait annoncé du Burkina Faso, du Mali et du Niger de la CEDEAO. Elle pourrait favoriser une désescalade politique et une coopération renforcée dans la sous-région.</w:t>
      </w:r>
    </w:p>
    <w:p>
      <w:pPr>
        <w:spacing w:before="0" w:after="40"/>
        <w:ind w:left="600"/>
      </w:pPr>
      <w:r>
        <w:rPr>
          <w:color w:val="00643C"/>
          <w:sz w:val="16"/>
        </w:rPr>
        <w:t>Points clés : Ouverture de discussions entre la CEDEAO et l'AES à Dakar  •  Objectif : aboutir à un accord-cadre entre les deux entités  •  Contexte : retrait du Burkina Faso, Mali et Niger de la CEDEAO</w:t>
      </w:r>
    </w:p>
    <w:p>
      <w:pPr>
        <w:spacing w:before="0" w:after="60"/>
        <w:ind w:left="600"/>
      </w:pPr>
      <w:r>
        <w:rPr>
          <w:color w:val="0064B4"/>
          <w:sz w:val="15"/>
        </w:rPr>
        <w:t>Source : https://news.google.com/rss/articles/CBMi4gFBVV95cUxQRTRoRFVnbDhTWlRpRnM2MnNPdlI</w:t>
      </w:r>
    </w:p>
    <w:p>
      <w:pPr>
        <w:spacing w:before="40" w:after="40"/>
        <w:ind w:left="360"/>
      </w:pPr>
      <w:r>
        <w:rPr>
          <w:color w:val="646464"/>
          <w:sz w:val="17"/>
        </w:rPr>
        <w:t xml:space="preserve">[17/10/2026] ⚪  </w:t>
      </w:r>
      <w:r>
        <w:rPr>
          <w:b/>
          <w:color w:val="505050"/>
          <w:sz w:val="18"/>
        </w:rPr>
        <w:t>ONU: Macky Sall, l'ancien président du Sénégal retire sa candidature au poste de secrétaire général - tv5monde</w:t>
      </w:r>
      <w:r>
        <w:rPr>
          <w:color w:val="787878"/>
          <w:sz w:val="15"/>
        </w:rPr>
        <w:t xml:space="preserve">  [politique]</w:t>
      </w:r>
      <w:r>
        <w:rPr>
          <w:color w:val="B47800"/>
          <w:sz w:val="16"/>
        </w:rPr>
        <w:t xml:space="preserve">  ★ 50/10</w:t>
      </w:r>
    </w:p>
    <w:p>
      <w:pPr>
        <w:spacing w:before="0" w:after="20"/>
        <w:ind w:left="600"/>
      </w:pPr>
      <w:r>
        <w:rPr>
          <w:color w:val="323232"/>
          <w:sz w:val="17"/>
        </w:rPr>
        <w:t>L'ancien président sénégalais Macky Sall a retiré sa candidature au poste de secrétaire général de l'ONU. Cette décision intervient dans un contexte de tractations diplomatiques pour la succession d'António Guterres. Elle pourrait modifier les équilibres politiques au sein de l'UEMOA et au-delà. Aucun impact direct n'est attendu sur les marchés fin</w:t>
      </w:r>
    </w:p>
    <w:p>
      <w:pPr>
        <w:spacing w:before="0" w:after="40"/>
        <w:ind w:left="600"/>
      </w:pPr>
      <w:r>
        <w:rPr>
          <w:color w:val="00643C"/>
          <w:sz w:val="16"/>
        </w:rPr>
        <w:t>Points clés : Retrait de la candidature de Macky Sall au poste de secrétaire général de l'ONU  •  Décision à caractère politique sans lien direct avec l'économie  •  Possible recomposition des alliances diplomatiques en Afrique de l'Ouest</w:t>
      </w:r>
    </w:p>
    <w:p>
      <w:pPr>
        <w:spacing w:before="0" w:after="60"/>
        <w:ind w:left="600"/>
      </w:pPr>
      <w:r>
        <w:rPr>
          <w:color w:val="0064B4"/>
          <w:sz w:val="15"/>
        </w:rPr>
        <w:t>Source : https://news.google.com/rss/articles/CBMi3gFBVV95cUxOa0VDQWhmSVByR29FTlV6SklYS3F</w:t>
      </w:r>
    </w:p>
    <w:p>
      <w:pPr>
        <w:spacing w:before="120" w:after="40"/>
      </w:pPr>
      <w:r>
        <w:rPr>
          <w:b/>
          <w:color w:val="00467F"/>
          <w:sz w:val="20"/>
        </w:rPr>
        <w:t>🔑 marche_financier  (2 alerte(s))</w:t>
      </w:r>
    </w:p>
    <w:p>
      <w:pPr>
        <w:spacing w:before="40" w:after="40"/>
        <w:ind w:left="360"/>
      </w:pPr>
      <w:r>
        <w:rPr>
          <w:color w:val="646464"/>
          <w:sz w:val="17"/>
        </w:rPr>
        <w:t xml:space="preserve">[19/10/2026] 🟢  </w:t>
      </w:r>
      <w:r>
        <w:rPr>
          <w:b/>
          <w:color w:val="008000"/>
          <w:sz w:val="18"/>
        </w:rPr>
        <w:t>Wall Street rêve du trading infini et se met à l'heure des actions tokenisées - Les Echos</w:t>
      </w:r>
      <w:r>
        <w:rPr>
          <w:color w:val="787878"/>
          <w:sz w:val="15"/>
        </w:rPr>
        <w:t xml:space="preserve">  [marche_financier]</w:t>
      </w:r>
      <w:r>
        <w:rPr>
          <w:color w:val="B47800"/>
          <w:sz w:val="16"/>
        </w:rPr>
        <w:t xml:space="preserve">  ★ 50/10</w:t>
      </w:r>
    </w:p>
    <w:p>
      <w:pPr>
        <w:spacing w:before="0" w:after="20"/>
        <w:ind w:left="600"/>
      </w:pPr>
      <w:r>
        <w:rPr>
          <w:color w:val="323232"/>
          <w:sz w:val="17"/>
        </w:rPr>
        <w:t xml:space="preserve">Wall Street s'intéresse de plus en plus à la tokenisation des actions, permettant un trading continu 24h/24 et 7j/7. Cette innovation pourrait transformer les marchés financiers traditionnels en améliorant la liquidité et l'accessibilité. Les acteurs américains explorent des solutions basées sur la blockchain pour tokeniser des titres et faciliter </w:t>
      </w:r>
    </w:p>
    <w:p>
      <w:pPr>
        <w:spacing w:before="0" w:after="40"/>
        <w:ind w:left="600"/>
      </w:pPr>
      <w:r>
        <w:rPr>
          <w:color w:val="00643C"/>
          <w:sz w:val="16"/>
        </w:rPr>
        <w:t>Points clés : Tokenisation des actions pour un trading infini  •  Wall Street explore la blockchain pour la liquidité  •  Impact potentiel sur les marchés traditionnels</w:t>
      </w:r>
    </w:p>
    <w:p>
      <w:pPr>
        <w:spacing w:before="0" w:after="60"/>
        <w:ind w:left="600"/>
      </w:pPr>
      <w:r>
        <w:rPr>
          <w:color w:val="0064B4"/>
          <w:sz w:val="15"/>
        </w:rPr>
        <w:t>Source : https://news.google.com/rss/articles/CBMi2wFBVV95cUxPSVBuSHh4bnRyc1RYNTh2TklwTFN</w:t>
      </w:r>
    </w:p>
    <w:p>
      <w:pPr>
        <w:spacing w:before="40" w:after="40"/>
        <w:ind w:left="360"/>
      </w:pPr>
      <w:r>
        <w:rPr>
          <w:color w:val="646464"/>
          <w:sz w:val="17"/>
        </w:rPr>
        <w:t xml:space="preserve">[18/10/2026] 🟢  </w:t>
      </w:r>
      <w:r>
        <w:rPr>
          <w:b/>
          <w:color w:val="008000"/>
          <w:sz w:val="18"/>
        </w:rPr>
        <w:t>Sonatel engage un fractionnement 1 pour 10 de son action à la BRVM - Africtelegraph</w:t>
      </w:r>
      <w:r>
        <w:rPr>
          <w:color w:val="787878"/>
          <w:sz w:val="15"/>
        </w:rPr>
        <w:t xml:space="preserve">  [marche_financier]</w:t>
      </w:r>
      <w:r>
        <w:rPr>
          <w:color w:val="B47800"/>
          <w:sz w:val="16"/>
        </w:rPr>
        <w:t xml:space="preserve">  ★ 50/10</w:t>
      </w:r>
    </w:p>
    <w:p>
      <w:pPr>
        <w:spacing w:before="0" w:after="20"/>
        <w:ind w:left="600"/>
      </w:pPr>
      <w:r>
        <w:rPr>
          <w:color w:val="323232"/>
          <w:sz w:val="17"/>
        </w:rPr>
        <w:t>Sonatel, la principale société cotée à la BRVM, a annoncé un fractionnement de son action selon un ratio de 1 pour 10. Cette opération divise le nominal de chaque action par dix, rendant le titre plus accessible aux petits investisseurs. Elle vise à améliorer la liquidité du marché et à élargir la base actionnariale. L'opération devrait être effect</w:t>
      </w:r>
    </w:p>
    <w:p>
      <w:pPr>
        <w:spacing w:before="0" w:after="40"/>
        <w:ind w:left="600"/>
      </w:pPr>
      <w:r>
        <w:rPr>
          <w:color w:val="00643C"/>
          <w:sz w:val="16"/>
        </w:rPr>
        <w:t>Points clés : Fractionnement 1 pour 10 de l'action Sonatel à la BRVM  •  Objectif : rendre le titre plus accessible et améliorer la liquidité  •  Impact potentiel sur la base actionnariale et les volumes échangés</w:t>
      </w:r>
    </w:p>
    <w:p>
      <w:pPr>
        <w:spacing w:before="0" w:after="60"/>
        <w:ind w:left="600"/>
      </w:pPr>
      <w:r>
        <w:rPr>
          <w:color w:val="0064B4"/>
          <w:sz w:val="15"/>
        </w:rPr>
        <w:t>Source : https://news.google.com/rss/articles/CBMioAFBVV95cUxNQmhQaGVwYlhjbk01NTlJTUgzY0J</w:t>
      </w:r>
    </w:p>
    <w:p>
      <w:pPr>
        <w:spacing w:before="120" w:after="40"/>
      </w:pPr>
      <w:r>
        <w:rPr>
          <w:b/>
          <w:color w:val="00467F"/>
          <w:sz w:val="20"/>
        </w:rPr>
        <w:t>🔑 politique_monetaire  (1 alerte(s))</w:t>
      </w:r>
    </w:p>
    <w:p>
      <w:pPr>
        <w:spacing w:before="40" w:after="40"/>
        <w:ind w:left="360"/>
      </w:pPr>
      <w:r>
        <w:rPr>
          <w:color w:val="646464"/>
          <w:sz w:val="17"/>
        </w:rPr>
        <w:t xml:space="preserve">[17/10/2026] ⚪  </w:t>
      </w:r>
      <w:r>
        <w:rPr>
          <w:b/>
          <w:color w:val="505050"/>
          <w:sz w:val="18"/>
        </w:rPr>
        <w:t>Crédit immobilier : Quels sont les taux d’emprunts en octobre 2026 ? - Yahoo Actualités</w:t>
      </w:r>
      <w:r>
        <w:rPr>
          <w:color w:val="787878"/>
          <w:sz w:val="15"/>
        </w:rPr>
        <w:t xml:space="preserve">  [politique_monetaire]</w:t>
      </w:r>
      <w:r>
        <w:rPr>
          <w:color w:val="B47800"/>
          <w:sz w:val="16"/>
        </w:rPr>
        <w:t xml:space="preserve">  ★ 50/10</w:t>
      </w:r>
    </w:p>
    <w:p>
      <w:pPr>
        <w:spacing w:before="0" w:after="20"/>
        <w:ind w:left="600"/>
      </w:pPr>
      <w:r>
        <w:rPr>
          <w:color w:val="323232"/>
          <w:sz w:val="17"/>
        </w:rPr>
        <w:t>L'article évoque les taux d'emprunt immobilier en octobre 2026, mais le contenu fourni est extrêmement limité et ne détaille ni les niveaux de taux ni les pays concernés. Il s'agit d'une actualité internationale de politique monétaire, sans lien direct identifié avec la BRVM. Aucune donnée chiffrée exploitable n'est disponible dans l'extrait.</w:t>
      </w:r>
    </w:p>
    <w:p>
      <w:pPr>
        <w:spacing w:before="0" w:after="40"/>
        <w:ind w:left="600"/>
      </w:pPr>
      <w:r>
        <w:rPr>
          <w:color w:val="00643C"/>
          <w:sz w:val="16"/>
        </w:rPr>
        <w:t>Points clés : Sujet : taux de crédit immobilier en octobre 2026  •  Zone géographique : international, sans précision  •  Contenu source très pauvre, sans chiffres ni analyse  •  Aucune mention directe de la BRVM ou des marchés UEMOA</w:t>
      </w:r>
    </w:p>
    <w:p>
      <w:pPr>
        <w:spacing w:before="0" w:after="60"/>
        <w:ind w:left="600"/>
      </w:pPr>
      <w:r>
        <w:rPr>
          <w:color w:val="0064B4"/>
          <w:sz w:val="15"/>
        </w:rPr>
        <w:t>Source : https://news.google.com/rss/articles/CBMiggFBVV95cUxQRW9UMm8xYUpWUTcwbzctcXg1MHh</w:t>
      </w:r>
    </w:p>
    <w:p>
      <w:r>
        <w:br w:type="page"/>
      </w:r>
    </w:p>
    <w:p>
      <w:pPr>
        <w:pStyle w:val="Heading1"/>
      </w:pPr>
      <w:r>
        <w:t>🏆 CLASSEMENT DES SOCIÉTÉS — SCORE COMPOSITE /100</w:t>
      </w:r>
    </w:p>
    <w:p>
      <w:r>
        <w:t>Les 48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ECOC</w:t>
            </w:r>
          </w:p>
        </w:tc>
        <w:tc>
          <w:tcPr>
            <w:tcW w:type="dxa" w:w="1080"/>
            <w:shd w:fill="C6EFCE" w:val="clear"/>
          </w:tcPr>
          <w:p>
            <w:r>
              <w:rPr>
                <w:sz w:val="16"/>
              </w:rPr>
              <w:t>SERVICES FINANCIER</w:t>
            </w:r>
          </w:p>
        </w:tc>
        <w:tc>
          <w:tcPr>
            <w:tcW w:type="dxa" w:w="1080"/>
            <w:shd w:fill="C6EFCE" w:val="clear"/>
          </w:tcPr>
          <w:p>
            <w:r>
              <w:rPr>
                <w:sz w:val="16"/>
              </w:rPr>
              <w:t>15,900</w:t>
            </w:r>
          </w:p>
        </w:tc>
        <w:tc>
          <w:tcPr>
            <w:tcW w:type="dxa" w:w="1080"/>
            <w:shd w:fill="C6EFCE" w:val="clear"/>
          </w:tcPr>
          <w:p>
            <w:r>
              <w:rPr>
                <w:b/>
                <w:sz w:val="16"/>
              </w:rPr>
              <w:t>79/100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CIEC</w:t>
            </w:r>
          </w:p>
        </w:tc>
        <w:tc>
          <w:tcPr>
            <w:tcW w:type="dxa" w:w="1080"/>
            <w:shd w:fill="C6EFCE" w:val="clear"/>
          </w:tcPr>
          <w:p>
            <w:r>
              <w:rPr>
                <w:sz w:val="16"/>
              </w:rPr>
              <w:t>SERVICES PUBLICS</w:t>
            </w:r>
          </w:p>
        </w:tc>
        <w:tc>
          <w:tcPr>
            <w:tcW w:type="dxa" w:w="1080"/>
            <w:shd w:fill="C6EFCE" w:val="clear"/>
          </w:tcPr>
          <w:p>
            <w:r>
              <w:rPr>
                <w:sz w:val="16"/>
              </w:rPr>
              <w:t>5,800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SDSC</w:t>
            </w:r>
          </w:p>
        </w:tc>
        <w:tc>
          <w:tcPr>
            <w:tcW w:type="dxa" w:w="1080"/>
            <w:shd w:fill="C6EFCE" w:val="clear"/>
          </w:tcPr>
          <w:p>
            <w:r>
              <w:rPr>
                <w:sz w:val="16"/>
              </w:rPr>
              <w:t>INDUSTRIELS</w:t>
            </w:r>
          </w:p>
        </w:tc>
        <w:tc>
          <w:tcPr>
            <w:tcW w:type="dxa" w:w="1080"/>
            <w:shd w:fill="C6EFCE" w:val="clear"/>
          </w:tcPr>
          <w:p>
            <w:r>
              <w:rPr>
                <w:sz w:val="16"/>
              </w:rPr>
              <w:t>2,870</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UNXC</w:t>
            </w:r>
          </w:p>
        </w:tc>
        <w:tc>
          <w:tcPr>
            <w:tcW w:type="dxa" w:w="1080"/>
            <w:shd w:fill="C6EFCE" w:val="clear"/>
          </w:tcPr>
          <w:p>
            <w:r>
              <w:rPr>
                <w:sz w:val="16"/>
              </w:rPr>
              <w:t>CONSOMMATION DISCR</w:t>
            </w:r>
          </w:p>
        </w:tc>
        <w:tc>
          <w:tcPr>
            <w:tcW w:type="dxa" w:w="1080"/>
            <w:shd w:fill="C6EFCE" w:val="clear"/>
          </w:tcPr>
          <w:p>
            <w:r>
              <w:rPr>
                <w:sz w:val="16"/>
              </w:rPr>
              <w:t>2,145</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ONTBF</w:t>
            </w:r>
          </w:p>
        </w:tc>
        <w:tc>
          <w:tcPr>
            <w:tcW w:type="dxa" w:w="1080"/>
            <w:shd w:fill="C6EFCE" w:val="clear"/>
          </w:tcPr>
          <w:p>
            <w:r>
              <w:rPr>
                <w:sz w:val="16"/>
              </w:rPr>
              <w:t>TELECOMMUNICATIONS</w:t>
            </w:r>
          </w:p>
        </w:tc>
        <w:tc>
          <w:tcPr>
            <w:tcW w:type="dxa" w:w="1080"/>
            <w:shd w:fill="C6EFCE" w:val="clear"/>
          </w:tcPr>
          <w:p>
            <w:r>
              <w:rPr>
                <w:sz w:val="16"/>
              </w:rPr>
              <w:t>2,995</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SCRC</w:t>
            </w:r>
          </w:p>
        </w:tc>
        <w:tc>
          <w:tcPr>
            <w:tcW w:type="dxa" w:w="1080"/>
            <w:shd w:fill="C6EFCE" w:val="clear"/>
          </w:tcPr>
          <w:p>
            <w:r>
              <w:rPr>
                <w:sz w:val="16"/>
              </w:rPr>
              <w:t>CONSOMMATION DE BA</w:t>
            </w:r>
          </w:p>
        </w:tc>
        <w:tc>
          <w:tcPr>
            <w:tcW w:type="dxa" w:w="1080"/>
            <w:shd w:fill="C6EFCE" w:val="clear"/>
          </w:tcPr>
          <w:p>
            <w:r>
              <w:rPr>
                <w:sz w:val="16"/>
              </w:rPr>
              <w:t>2,270</w:t>
            </w:r>
          </w:p>
        </w:tc>
        <w:tc>
          <w:tcPr>
            <w:tcW w:type="dxa" w:w="1080"/>
            <w:shd w:fill="C6EFCE" w:val="clear"/>
          </w:tcPr>
          <w:p>
            <w:r>
              <w:rPr>
                <w:b/>
                <w:sz w:val="16"/>
              </w:rPr>
              <w:t>74/100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SGBC</w:t>
            </w:r>
          </w:p>
        </w:tc>
        <w:tc>
          <w:tcPr>
            <w:tcW w:type="dxa" w:w="1080"/>
            <w:shd w:fill="C6EFCE" w:val="clear"/>
          </w:tcPr>
          <w:p>
            <w:r>
              <w:rPr>
                <w:sz w:val="16"/>
              </w:rPr>
              <w:t>SERVICES FINANCIER</w:t>
            </w:r>
          </w:p>
        </w:tc>
        <w:tc>
          <w:tcPr>
            <w:tcW w:type="dxa" w:w="1080"/>
            <w:shd w:fill="C6EFCE" w:val="clear"/>
          </w:tcPr>
          <w:p>
            <w:r>
              <w:rPr>
                <w:sz w:val="16"/>
              </w:rPr>
              <w:t>39,005</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NTLC</w:t>
            </w:r>
          </w:p>
        </w:tc>
        <w:tc>
          <w:tcPr>
            <w:tcW w:type="dxa" w:w="1080"/>
            <w:shd w:fill="C6EFCE" w:val="clear"/>
          </w:tcPr>
          <w:p>
            <w:r>
              <w:rPr>
                <w:sz w:val="16"/>
              </w:rPr>
              <w:t>CONSOMMATION DE BA</w:t>
            </w:r>
          </w:p>
        </w:tc>
        <w:tc>
          <w:tcPr>
            <w:tcW w:type="dxa" w:w="1080"/>
            <w:shd w:fill="C6EFCE" w:val="clear"/>
          </w:tcPr>
          <w:p>
            <w:r>
              <w:rPr>
                <w:sz w:val="16"/>
              </w:rPr>
              <w:t>14,700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SLBC</w:t>
            </w:r>
          </w:p>
        </w:tc>
        <w:tc>
          <w:tcPr>
            <w:tcW w:type="dxa" w:w="1080"/>
            <w:shd w:fill="C6EFCE" w:val="clear"/>
          </w:tcPr>
          <w:p>
            <w:r>
              <w:rPr>
                <w:sz w:val="16"/>
              </w:rPr>
              <w:t>CONSOMMATION DE BA</w:t>
            </w:r>
          </w:p>
        </w:tc>
        <w:tc>
          <w:tcPr>
            <w:tcW w:type="dxa" w:w="1080"/>
            <w:shd w:fill="C6EFCE" w:val="clear"/>
          </w:tcPr>
          <w:p>
            <w:r>
              <w:rPr>
                <w:sz w:val="16"/>
              </w:rPr>
              <w:t>38,500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ABJC</w:t>
            </w:r>
          </w:p>
        </w:tc>
        <w:tc>
          <w:tcPr>
            <w:tcW w:type="dxa" w:w="1080"/>
            <w:shd w:fill="C6EFCE" w:val="clear"/>
          </w:tcPr>
          <w:p>
            <w:r>
              <w:rPr>
                <w:sz w:val="16"/>
              </w:rPr>
              <w:t>CONSOMMATION DISCR</w:t>
            </w:r>
          </w:p>
        </w:tc>
        <w:tc>
          <w:tcPr>
            <w:tcW w:type="dxa" w:w="1080"/>
            <w:shd w:fill="C6EFCE" w:val="clear"/>
          </w:tcPr>
          <w:p>
            <w:r>
              <w:rPr>
                <w:sz w:val="16"/>
              </w:rPr>
              <w:t>3,000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CABC</w:t>
            </w:r>
          </w:p>
        </w:tc>
        <w:tc>
          <w:tcPr>
            <w:tcW w:type="dxa" w:w="1080"/>
            <w:shd w:fill="C6EFCE" w:val="clear"/>
          </w:tcPr>
          <w:p>
            <w:r>
              <w:rPr>
                <w:sz w:val="16"/>
              </w:rPr>
              <w:t>INDUSTRIELS</w:t>
            </w:r>
          </w:p>
        </w:tc>
        <w:tc>
          <w:tcPr>
            <w:tcW w:type="dxa" w:w="1080"/>
            <w:shd w:fill="C6EFCE" w:val="clear"/>
          </w:tcPr>
          <w:p>
            <w:r>
              <w:rPr>
                <w:sz w:val="16"/>
              </w:rPr>
              <w:t>3,000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NEIC</w:t>
            </w:r>
          </w:p>
        </w:tc>
        <w:tc>
          <w:tcPr>
            <w:tcW w:type="dxa" w:w="1080"/>
            <w:shd w:fill="C6EFCE" w:val="clear"/>
          </w:tcPr>
          <w:p>
            <w:r>
              <w:rPr>
                <w:sz w:val="16"/>
              </w:rPr>
              <w:t>CONSOMMATION DISCR</w:t>
            </w:r>
          </w:p>
        </w:tc>
        <w:tc>
          <w:tcPr>
            <w:tcW w:type="dxa" w:w="1080"/>
            <w:shd w:fill="C6EFCE" w:val="clear"/>
          </w:tcPr>
          <w:p>
            <w:r>
              <w:rPr>
                <w:sz w:val="16"/>
              </w:rPr>
              <w:t>2,105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NSBC</w:t>
            </w:r>
          </w:p>
        </w:tc>
        <w:tc>
          <w:tcPr>
            <w:tcW w:type="dxa" w:w="1080"/>
            <w:shd w:fill="C6EFCE" w:val="clear"/>
          </w:tcPr>
          <w:p>
            <w:r>
              <w:rPr>
                <w:sz w:val="16"/>
              </w:rPr>
              <w:t>SERVICES FINANCIER</w:t>
            </w:r>
          </w:p>
        </w:tc>
        <w:tc>
          <w:tcPr>
            <w:tcW w:type="dxa" w:w="1080"/>
            <w:shd w:fill="C6EFCE" w:val="clear"/>
          </w:tcPr>
          <w:p>
            <w:r>
              <w:rPr>
                <w:sz w:val="16"/>
              </w:rPr>
              <w:t>20,510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2,190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BOAM</w:t>
            </w:r>
          </w:p>
        </w:tc>
        <w:tc>
          <w:tcPr>
            <w:tcW w:type="dxa" w:w="1080"/>
            <w:shd w:fill="C6EFCE" w:val="clear"/>
          </w:tcPr>
          <w:p>
            <w:r>
              <w:rPr>
                <w:sz w:val="16"/>
              </w:rPr>
              <w:t>SERVICES FINANCIER</w:t>
            </w:r>
          </w:p>
        </w:tc>
        <w:tc>
          <w:tcPr>
            <w:tcW w:type="dxa" w:w="1080"/>
            <w:shd w:fill="C6EFCE" w:val="clear"/>
          </w:tcPr>
          <w:p>
            <w:r>
              <w:rPr>
                <w:sz w:val="16"/>
              </w:rPr>
              <w:t>5,700</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8,150</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SIBC</w:t>
            </w:r>
          </w:p>
        </w:tc>
        <w:tc>
          <w:tcPr>
            <w:tcW w:type="dxa" w:w="1080"/>
            <w:shd w:fill="C6EFCE" w:val="clear"/>
          </w:tcPr>
          <w:p>
            <w:r>
              <w:rPr>
                <w:sz w:val="16"/>
              </w:rPr>
              <w:t>SERVICES FINANCIER</w:t>
            </w:r>
          </w:p>
        </w:tc>
        <w:tc>
          <w:tcPr>
            <w:tcW w:type="dxa" w:w="1080"/>
            <w:shd w:fill="C6EFCE" w:val="clear"/>
          </w:tcPr>
          <w:p>
            <w:r>
              <w:rPr>
                <w:sz w:val="16"/>
              </w:rPr>
              <w:t>8,725</w:t>
            </w:r>
          </w:p>
        </w:tc>
        <w:tc>
          <w:tcPr>
            <w:tcW w:type="dxa" w:w="1080"/>
            <w:shd w:fill="C6EFCE" w:val="clear"/>
          </w:tcPr>
          <w:p>
            <w:r>
              <w:rPr>
                <w:b/>
                <w:sz w:val="16"/>
              </w:rPr>
              <w:t>71/100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18</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11,395</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19</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43,500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EBF5FB" w:val="clear"/>
          </w:tcPr>
          <w:p>
            <w:r>
              <w:rPr>
                <w:sz w:val="16"/>
              </w:rPr>
              <w:t>20</w:t>
            </w:r>
          </w:p>
        </w:tc>
        <w:tc>
          <w:tcPr>
            <w:tcW w:type="dxa" w:w="1080"/>
            <w:shd w:fill="EBF5FB" w:val="clear"/>
          </w:tcPr>
          <w:p>
            <w:r>
              <w:rPr>
                <w:sz w:val="16"/>
              </w:rPr>
              <w:t>BICB</w:t>
            </w:r>
          </w:p>
        </w:tc>
        <w:tc>
          <w:tcPr>
            <w:tcW w:type="dxa" w:w="1080"/>
            <w:shd w:fill="EBF5FB" w:val="clear"/>
          </w:tcPr>
          <w:p>
            <w:r>
              <w:rPr>
                <w:sz w:val="16"/>
              </w:rPr>
              <w:t>SERVICES FINANCIER</w:t>
            </w:r>
          </w:p>
        </w:tc>
        <w:tc>
          <w:tcPr>
            <w:tcW w:type="dxa" w:w="1080"/>
            <w:shd w:fill="EBF5FB" w:val="clear"/>
          </w:tcPr>
          <w:p>
            <w:r>
              <w:rPr>
                <w:sz w:val="16"/>
              </w:rPr>
              <w:t>8,400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21</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4,000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22</w:t>
            </w:r>
          </w:p>
        </w:tc>
        <w:tc>
          <w:tcPr>
            <w:tcW w:type="dxa" w:w="1080"/>
            <w:shd w:fill="EBF5FB" w:val="clear"/>
          </w:tcPr>
          <w:p>
            <w:r>
              <w:rPr>
                <w:sz w:val="16"/>
              </w:rPr>
              <w:t>BOAB</w:t>
            </w:r>
          </w:p>
        </w:tc>
        <w:tc>
          <w:tcPr>
            <w:tcW w:type="dxa" w:w="1080"/>
            <w:shd w:fill="EBF5FB" w:val="clear"/>
          </w:tcPr>
          <w:p>
            <w:r>
              <w:rPr>
                <w:sz w:val="16"/>
              </w:rPr>
              <w:t>SERVICES FINANCIER</w:t>
            </w:r>
          </w:p>
        </w:tc>
        <w:tc>
          <w:tcPr>
            <w:tcW w:type="dxa" w:w="1080"/>
            <w:shd w:fill="EBF5FB" w:val="clear"/>
          </w:tcPr>
          <w:p>
            <w:r>
              <w:rPr>
                <w:sz w:val="16"/>
              </w:rPr>
              <w:t>9,000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FTSC</w:t>
            </w:r>
          </w:p>
        </w:tc>
        <w:tc>
          <w:tcPr>
            <w:tcW w:type="dxa" w:w="1080"/>
            <w:shd w:fill="EBF5FB" w:val="clear"/>
          </w:tcPr>
          <w:p>
            <w:r>
              <w:rPr>
                <w:sz w:val="16"/>
              </w:rPr>
              <w:t>INDUSTRIELS</w:t>
            </w:r>
          </w:p>
        </w:tc>
        <w:tc>
          <w:tcPr>
            <w:tcW w:type="dxa" w:w="1080"/>
            <w:shd w:fill="EBF5FB" w:val="clear"/>
          </w:tcPr>
          <w:p>
            <w:r>
              <w:rPr>
                <w:sz w:val="16"/>
              </w:rPr>
              <w:t>1,800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PALC</w:t>
            </w:r>
          </w:p>
        </w:tc>
        <w:tc>
          <w:tcPr>
            <w:tcW w:type="dxa" w:w="1080"/>
            <w:shd w:fill="EBF5FB" w:val="clear"/>
          </w:tcPr>
          <w:p>
            <w:r>
              <w:rPr>
                <w:sz w:val="16"/>
              </w:rPr>
              <w:t>CONSOMMATION DE BA</w:t>
            </w:r>
          </w:p>
        </w:tc>
        <w:tc>
          <w:tcPr>
            <w:tcW w:type="dxa" w:w="1080"/>
            <w:shd w:fill="EBF5FB" w:val="clear"/>
          </w:tcPr>
          <w:p>
            <w:r>
              <w:rPr>
                <w:sz w:val="16"/>
              </w:rPr>
              <w:t>7,600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4,290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SMBC</w:t>
            </w:r>
          </w:p>
        </w:tc>
        <w:tc>
          <w:tcPr>
            <w:tcW w:type="dxa" w:w="1080"/>
            <w:shd w:fill="EBF5FB" w:val="clear"/>
          </w:tcPr>
          <w:p>
            <w:r>
              <w:rPr>
                <w:sz w:val="16"/>
              </w:rPr>
              <w:t>ENERGIE</w:t>
            </w:r>
          </w:p>
        </w:tc>
        <w:tc>
          <w:tcPr>
            <w:tcW w:type="dxa" w:w="1080"/>
            <w:shd w:fill="EBF5FB" w:val="clear"/>
          </w:tcPr>
          <w:p>
            <w:r>
              <w:rPr>
                <w:sz w:val="16"/>
              </w:rPr>
              <w:t>15,395</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7,415</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SPHC</w:t>
            </w:r>
          </w:p>
        </w:tc>
        <w:tc>
          <w:tcPr>
            <w:tcW w:type="dxa" w:w="1080"/>
            <w:shd w:fill="EBF5FB" w:val="clear"/>
          </w:tcPr>
          <w:p>
            <w:r>
              <w:rPr>
                <w:sz w:val="16"/>
              </w:rPr>
              <w:t>CONSOMMATION DE BA</w:t>
            </w:r>
          </w:p>
        </w:tc>
        <w:tc>
          <w:tcPr>
            <w:tcW w:type="dxa" w:w="1080"/>
            <w:shd w:fill="EBF5FB" w:val="clear"/>
          </w:tcPr>
          <w:p>
            <w:r>
              <w:rPr>
                <w:sz w:val="16"/>
              </w:rPr>
              <w:t>7,600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TTLC</w:t>
            </w:r>
          </w:p>
        </w:tc>
        <w:tc>
          <w:tcPr>
            <w:tcW w:type="dxa" w:w="1080"/>
            <w:shd w:fill="EBF5FB" w:val="clear"/>
          </w:tcPr>
          <w:p>
            <w:r>
              <w:rPr>
                <w:sz w:val="16"/>
              </w:rPr>
              <w:t>ENERGIE</w:t>
            </w:r>
          </w:p>
        </w:tc>
        <w:tc>
          <w:tcPr>
            <w:tcW w:type="dxa" w:w="1080"/>
            <w:shd w:fill="EBF5FB" w:val="clear"/>
          </w:tcPr>
          <w:p>
            <w:r>
              <w:rPr>
                <w:sz w:val="16"/>
              </w:rPr>
              <w:t>3,100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TTLS</w:t>
            </w:r>
          </w:p>
        </w:tc>
        <w:tc>
          <w:tcPr>
            <w:tcW w:type="dxa" w:w="1080"/>
            <w:shd w:fill="EBF5FB" w:val="clear"/>
          </w:tcPr>
          <w:p>
            <w:r>
              <w:rPr>
                <w:sz w:val="16"/>
              </w:rPr>
              <w:t>ENERGIE</w:t>
            </w:r>
          </w:p>
        </w:tc>
        <w:tc>
          <w:tcPr>
            <w:tcW w:type="dxa" w:w="1080"/>
            <w:shd w:fill="EBF5FB" w:val="clear"/>
          </w:tcPr>
          <w:p>
            <w:r>
              <w:rPr>
                <w:sz w:val="16"/>
              </w:rPr>
              <w:t>3,650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BNBC</w:t>
            </w:r>
          </w:p>
        </w:tc>
        <w:tc>
          <w:tcPr>
            <w:tcW w:type="dxa" w:w="1080"/>
            <w:shd w:fill="EBF5FB" w:val="clear"/>
          </w:tcPr>
          <w:p>
            <w:r>
              <w:rPr>
                <w:sz w:val="16"/>
              </w:rPr>
              <w:t>CONSOMMATION DISCR</w:t>
            </w:r>
          </w:p>
        </w:tc>
        <w:tc>
          <w:tcPr>
            <w:tcW w:type="dxa" w:w="1080"/>
            <w:shd w:fill="EBF5FB" w:val="clear"/>
          </w:tcPr>
          <w:p>
            <w:r>
              <w:rPr>
                <w:sz w:val="16"/>
              </w:rPr>
              <w:t>1,805</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31,500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ETIT</w:t>
            </w:r>
          </w:p>
        </w:tc>
        <w:tc>
          <w:tcPr>
            <w:tcW w:type="dxa" w:w="1080"/>
            <w:shd w:fill="EBF5FB" w:val="clear"/>
          </w:tcPr>
          <w:p>
            <w:r>
              <w:rPr>
                <w:sz w:val="16"/>
              </w:rPr>
              <w:t>SERVICES FINANCIER</w:t>
            </w:r>
          </w:p>
        </w:tc>
        <w:tc>
          <w:tcPr>
            <w:tcW w:type="dxa" w:w="1080"/>
            <w:shd w:fill="EBF5FB" w:val="clear"/>
          </w:tcPr>
          <w:p>
            <w:r>
              <w:rPr>
                <w:sz w:val="16"/>
              </w:rPr>
              <w:t>65</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ORAC</w:t>
            </w:r>
          </w:p>
        </w:tc>
        <w:tc>
          <w:tcPr>
            <w:tcW w:type="dxa" w:w="1080"/>
            <w:shd w:fill="EBF5FB" w:val="clear"/>
          </w:tcPr>
          <w:p>
            <w:r>
              <w:rPr>
                <w:sz w:val="16"/>
              </w:rPr>
              <w:t>TELECOMMUNICATIONS</w:t>
            </w:r>
          </w:p>
        </w:tc>
        <w:tc>
          <w:tcPr>
            <w:tcW w:type="dxa" w:w="1080"/>
            <w:shd w:fill="EBF5FB" w:val="clear"/>
          </w:tcPr>
          <w:p>
            <w:r>
              <w:rPr>
                <w:sz w:val="16"/>
              </w:rPr>
              <w:t>20,600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ORGT</w:t>
            </w:r>
          </w:p>
        </w:tc>
        <w:tc>
          <w:tcPr>
            <w:tcW w:type="dxa" w:w="1080"/>
            <w:shd w:fill="EBF5FB" w:val="clear"/>
          </w:tcPr>
          <w:p>
            <w:r>
              <w:rPr>
                <w:sz w:val="16"/>
              </w:rPr>
              <w:t>SERVICES FINANCIER</w:t>
            </w:r>
          </w:p>
        </w:tc>
        <w:tc>
          <w:tcPr>
            <w:tcW w:type="dxa" w:w="1080"/>
            <w:shd w:fill="EBF5FB" w:val="clear"/>
          </w:tcPr>
          <w:p>
            <w:r>
              <w:rPr>
                <w:sz w:val="16"/>
              </w:rPr>
              <w:t>2,780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SIVC</w:t>
            </w:r>
          </w:p>
        </w:tc>
        <w:tc>
          <w:tcPr>
            <w:tcW w:type="dxa" w:w="1080"/>
            <w:shd w:fill="EBF5FB" w:val="clear"/>
          </w:tcPr>
          <w:p>
            <w:r>
              <w:rPr>
                <w:sz w:val="16"/>
              </w:rPr>
              <w:t>INDUSTRIELS</w:t>
            </w:r>
          </w:p>
        </w:tc>
        <w:tc>
          <w:tcPr>
            <w:tcW w:type="dxa" w:w="1080"/>
            <w:shd w:fill="EBF5FB" w:val="clear"/>
          </w:tcPr>
          <w:p>
            <w:r>
              <w:rPr>
                <w:sz w:val="16"/>
              </w:rPr>
              <w:t>1,790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BBGC</w:t>
            </w:r>
          </w:p>
        </w:tc>
        <w:tc>
          <w:tcPr>
            <w:tcW w:type="dxa" w:w="1080"/>
            <w:shd w:fill="EBF5FB" w:val="clear"/>
          </w:tcPr>
          <w:p>
            <w:r>
              <w:rPr>
                <w:sz w:val="16"/>
              </w:rPr>
              <w:t>Services Financier</w:t>
            </w:r>
          </w:p>
        </w:tc>
        <w:tc>
          <w:tcPr>
            <w:tcW w:type="dxa" w:w="1080"/>
            <w:shd w:fill="EBF5FB" w:val="clear"/>
          </w:tcPr>
          <w:p>
            <w:r>
              <w:rPr>
                <w:sz w:val="16"/>
              </w:rPr>
              <w:t>10,390</w:t>
            </w:r>
          </w:p>
        </w:tc>
        <w:tc>
          <w:tcPr>
            <w:tcW w:type="dxa" w:w="1080"/>
            <w:shd w:fill="EBF5FB" w:val="clear"/>
          </w:tcPr>
          <w:p>
            <w:r>
              <w:rPr>
                <w:b/>
                <w:sz w:val="16"/>
              </w:rPr>
              <w:t>63/100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SAFC</w:t>
            </w:r>
          </w:p>
        </w:tc>
        <w:tc>
          <w:tcPr>
            <w:tcW w:type="dxa" w:w="1080"/>
            <w:shd w:fill="EBF5FB" w:val="clear"/>
          </w:tcPr>
          <w:p>
            <w:r>
              <w:rPr>
                <w:sz w:val="16"/>
              </w:rPr>
              <w:t>SERVICES FINANCIER</w:t>
            </w:r>
          </w:p>
        </w:tc>
        <w:tc>
          <w:tcPr>
            <w:tcW w:type="dxa" w:w="1080"/>
            <w:shd w:fill="EBF5FB" w:val="clear"/>
          </w:tcPr>
          <w:p>
            <w:r>
              <w:rPr>
                <w:sz w:val="16"/>
              </w:rPr>
              <w:t>3,900</w:t>
            </w:r>
          </w:p>
        </w:tc>
        <w:tc>
          <w:tcPr>
            <w:tcW w:type="dxa" w:w="1080"/>
            <w:shd w:fill="EBF5FB" w:val="clear"/>
          </w:tcPr>
          <w:p>
            <w:r>
              <w:rPr>
                <w:b/>
                <w:sz w:val="16"/>
              </w:rPr>
              <w:t>63/100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STBC</w:t>
            </w:r>
          </w:p>
        </w:tc>
        <w:tc>
          <w:tcPr>
            <w:tcW w:type="dxa" w:w="1080"/>
            <w:shd w:fill="EBF5FB" w:val="clear"/>
          </w:tcPr>
          <w:p>
            <w:r>
              <w:rPr>
                <w:sz w:val="16"/>
              </w:rPr>
              <w:t>CONSOMMATION DE BA</w:t>
            </w:r>
          </w:p>
        </w:tc>
        <w:tc>
          <w:tcPr>
            <w:tcW w:type="dxa" w:w="1080"/>
            <w:shd w:fill="EBF5FB" w:val="clear"/>
          </w:tcPr>
          <w:p>
            <w:r>
              <w:rPr>
                <w:sz w:val="16"/>
              </w:rPr>
              <w:t>21,350</w:t>
            </w:r>
          </w:p>
        </w:tc>
        <w:tc>
          <w:tcPr>
            <w:tcW w:type="dxa" w:w="1080"/>
            <w:shd w:fill="EBF5FB" w:val="clear"/>
          </w:tcPr>
          <w:p>
            <w:r>
              <w:rPr>
                <w:b/>
                <w:sz w:val="16"/>
              </w:rPr>
              <w:t>62/100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32,400</w:t>
            </w:r>
          </w:p>
        </w:tc>
        <w:tc>
          <w:tcPr>
            <w:tcW w:type="dxa" w:w="1080"/>
            <w:shd w:fill="EBF5FB" w:val="clear"/>
          </w:tcPr>
          <w:p>
            <w:r>
              <w:rPr>
                <w:b/>
                <w:sz w:val="16"/>
              </w:rPr>
              <w:t>61/100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SDCC</w:t>
            </w:r>
          </w:p>
        </w:tc>
        <w:tc>
          <w:tcPr>
            <w:tcW w:type="dxa" w:w="1080"/>
            <w:shd w:fill="EBF5FB" w:val="clear"/>
          </w:tcPr>
          <w:p>
            <w:r>
              <w:rPr>
                <w:sz w:val="16"/>
              </w:rPr>
              <w:t>SERVICES PUBLICS</w:t>
            </w:r>
          </w:p>
        </w:tc>
        <w:tc>
          <w:tcPr>
            <w:tcW w:type="dxa" w:w="1080"/>
            <w:shd w:fill="EBF5FB" w:val="clear"/>
          </w:tcPr>
          <w:p>
            <w:r>
              <w:rPr>
                <w:sz w:val="16"/>
              </w:rPr>
              <w:t>12,900</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BOAN</w:t>
            </w:r>
          </w:p>
        </w:tc>
        <w:tc>
          <w:tcPr>
            <w:tcW w:type="dxa" w:w="1080"/>
            <w:shd w:fill="EBF5FB" w:val="clear"/>
          </w:tcPr>
          <w:p>
            <w:r>
              <w:rPr>
                <w:sz w:val="16"/>
              </w:rPr>
              <w:t>SERVICES FINANCIER</w:t>
            </w:r>
          </w:p>
        </w:tc>
        <w:tc>
          <w:tcPr>
            <w:tcW w:type="dxa" w:w="1080"/>
            <w:shd w:fill="EBF5FB" w:val="clear"/>
          </w:tcPr>
          <w:p>
            <w:r>
              <w:rPr>
                <w:sz w:val="16"/>
              </w:rPr>
              <w:t>4,700</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CFAC</w:t>
            </w:r>
          </w:p>
        </w:tc>
        <w:tc>
          <w:tcPr>
            <w:tcW w:type="dxa" w:w="1080"/>
            <w:shd w:fill="EBF5FB" w:val="clear"/>
          </w:tcPr>
          <w:p>
            <w:r>
              <w:rPr>
                <w:sz w:val="16"/>
              </w:rPr>
              <w:t>CONSOMMATION DISCR</w:t>
            </w:r>
          </w:p>
        </w:tc>
        <w:tc>
          <w:tcPr>
            <w:tcW w:type="dxa" w:w="1080"/>
            <w:shd w:fill="EBF5FB" w:val="clear"/>
          </w:tcPr>
          <w:p>
            <w:r>
              <w:rPr>
                <w:sz w:val="16"/>
              </w:rPr>
              <w:t>1,450</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BOABF</w:t>
            </w:r>
          </w:p>
        </w:tc>
        <w:tc>
          <w:tcPr>
            <w:tcW w:type="dxa" w:w="1080"/>
            <w:shd w:fill="EBF5FB" w:val="clear"/>
          </w:tcPr>
          <w:p>
            <w:r>
              <w:rPr>
                <w:sz w:val="16"/>
              </w:rPr>
              <w:t>SERVICES FINANCIER</w:t>
            </w:r>
          </w:p>
        </w:tc>
        <w:tc>
          <w:tcPr>
            <w:tcW w:type="dxa" w:w="1080"/>
            <w:shd w:fill="EBF5FB" w:val="clear"/>
          </w:tcPr>
          <w:p>
            <w:r>
              <w:rPr>
                <w:sz w:val="16"/>
              </w:rPr>
              <w:t>8,010</w:t>
            </w:r>
          </w:p>
        </w:tc>
        <w:tc>
          <w:tcPr>
            <w:tcW w:type="dxa" w:w="1080"/>
            <w:shd w:fill="EBF5FB" w:val="clear"/>
          </w:tcPr>
          <w:p>
            <w:r>
              <w:rPr>
                <w:b/>
                <w:sz w:val="16"/>
              </w:rPr>
              <w:t>59/100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STAC</w:t>
            </w:r>
          </w:p>
        </w:tc>
        <w:tc>
          <w:tcPr>
            <w:tcW w:type="dxa" w:w="1080"/>
            <w:shd w:fill="EBF5FB" w:val="clear"/>
          </w:tcPr>
          <w:p>
            <w:r>
              <w:rPr>
                <w:sz w:val="16"/>
              </w:rPr>
              <w:t>INDUSTRIELS</w:t>
            </w:r>
          </w:p>
        </w:tc>
        <w:tc>
          <w:tcPr>
            <w:tcW w:type="dxa" w:w="1080"/>
            <w:shd w:fill="EBF5FB" w:val="clear"/>
          </w:tcPr>
          <w:p>
            <w:r>
              <w:rPr>
                <w:sz w:val="16"/>
              </w:rPr>
              <w:t>2,030</w:t>
            </w:r>
          </w:p>
        </w:tc>
        <w:tc>
          <w:tcPr>
            <w:tcW w:type="dxa" w:w="1080"/>
            <w:shd w:fill="EBF5FB" w:val="clear"/>
          </w:tcPr>
          <w:p>
            <w:r>
              <w:rPr>
                <w:b/>
                <w:sz w:val="16"/>
              </w:rPr>
              <w:t>59/100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46</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w:t>
            </w:r>
          </w:p>
        </w:tc>
        <w:tc>
          <w:tcPr>
            <w:tcW w:type="dxa" w:w="1080"/>
            <w:shd w:fill="EBF5FB" w:val="clear"/>
          </w:tcPr>
          <w:p>
            <w:r>
              <w:rPr>
                <w:b/>
                <w:sz w:val="16"/>
              </w:rPr>
              <w:t>56/100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47</w:t>
            </w:r>
          </w:p>
        </w:tc>
        <w:tc>
          <w:tcPr>
            <w:tcW w:type="dxa" w:w="1080"/>
            <w:shd w:fill="EBF5FB" w:val="clear"/>
          </w:tcPr>
          <w:p>
            <w:r>
              <w:rPr>
                <w:sz w:val="16"/>
              </w:rPr>
              <w:t>UNLC</w:t>
            </w:r>
          </w:p>
        </w:tc>
        <w:tc>
          <w:tcPr>
            <w:tcW w:type="dxa" w:w="1080"/>
            <w:shd w:fill="EBF5FB" w:val="clear"/>
          </w:tcPr>
          <w:p>
            <w:r>
              <w:rPr>
                <w:sz w:val="16"/>
              </w:rPr>
              <w:t>CONSOMMATION DE BA</w:t>
            </w:r>
          </w:p>
        </w:tc>
        <w:tc>
          <w:tcPr>
            <w:tcW w:type="dxa" w:w="1080"/>
            <w:shd w:fill="EBF5FB" w:val="clear"/>
          </w:tcPr>
          <w:p>
            <w:r>
              <w:rPr>
                <w:sz w:val="16"/>
              </w:rPr>
              <w:t>45,000</w:t>
            </w:r>
          </w:p>
        </w:tc>
        <w:tc>
          <w:tcPr>
            <w:tcW w:type="dxa" w:w="1080"/>
            <w:shd w:fill="EBF5FB" w:val="clear"/>
          </w:tcPr>
          <w:p>
            <w:r>
              <w:rPr>
                <w:b/>
                <w:sz w:val="16"/>
              </w:rPr>
              <w:t>55/100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FEFEFE" w:val="clear"/>
          </w:tcPr>
          <w:p>
            <w:r>
              <w:rPr>
                <w:sz w:val="16"/>
              </w:rPr>
              <w:t>48</w:t>
            </w:r>
          </w:p>
        </w:tc>
        <w:tc>
          <w:tcPr>
            <w:tcW w:type="dxa" w:w="1080"/>
            <w:shd w:fill="FEFEFE" w:val="clear"/>
          </w:tcPr>
          <w:p>
            <w:r>
              <w:rPr>
                <w:sz w:val="16"/>
              </w:rPr>
              <w:t>SICC</w:t>
            </w:r>
          </w:p>
        </w:tc>
        <w:tc>
          <w:tcPr>
            <w:tcW w:type="dxa" w:w="1080"/>
            <w:shd w:fill="FEFEFE" w:val="clear"/>
          </w:tcPr>
          <w:p>
            <w:r>
              <w:rPr>
                <w:sz w:val="16"/>
              </w:rPr>
              <w:t>CONSOMMATION DE BA</w:t>
            </w:r>
          </w:p>
        </w:tc>
        <w:tc>
          <w:tcPr>
            <w:tcW w:type="dxa" w:w="1080"/>
            <w:shd w:fill="FEFEFE" w:val="clear"/>
          </w:tcPr>
          <w:p>
            <w:r>
              <w:rPr>
                <w:sz w:val="16"/>
              </w:rPr>
              <w:t>—</w:t>
            </w:r>
          </w:p>
        </w:tc>
        <w:tc>
          <w:tcPr>
            <w:tcW w:type="dxa" w:w="1080"/>
            <w:shd w:fill="FEFEFE" w:val="clear"/>
          </w:tcPr>
          <w:p>
            <w:r>
              <w:rPr>
                <w:b/>
                <w:sz w:val="16"/>
              </w:rPr>
              <w:t>52/100  (Moyen)</w:t>
            </w:r>
          </w:p>
        </w:tc>
        <w:tc>
          <w:tcPr>
            <w:tcW w:type="dxa" w:w="1080"/>
            <w:shd w:fill="FEFEFE" w:val="clear"/>
          </w:tcPr>
          <w:p>
            <w:r>
              <w:rPr>
                <w:sz w:val="16"/>
              </w:rPr>
              <w:t>NEUTRE</w:t>
            </w:r>
          </w:p>
        </w:tc>
        <w:tc>
          <w:tcPr>
            <w:tcW w:type="dxa" w:w="1080"/>
            <w:shd w:fill="FEFEFE" w:val="clear"/>
          </w:tcPr>
          <w:p>
            <w:r>
              <w:rPr>
                <w:sz w:val="16"/>
              </w:rPr>
              <w:t>ACHAT</w:t>
            </w:r>
          </w:p>
        </w:tc>
        <w:tc>
          <w:tcPr>
            <w:tcW w:type="dxa" w:w="1080"/>
            <w:shd w:fill="FEFEFE" w:val="clear"/>
          </w:tcPr>
          <w:p>
            <w:r>
              <w:rPr>
                <w:color w:val="008000"/>
                <w:sz w:val="16"/>
              </w:rPr>
              <w:t>ACHAT</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ECOC</w:t>
            </w:r>
          </w:p>
        </w:tc>
        <w:tc>
          <w:tcPr>
            <w:tcW w:type="dxa" w:w="1728"/>
            <w:shd w:fill="DEEAF1" w:val="clear"/>
          </w:tcPr>
          <w:p>
            <w:r>
              <w:rPr>
                <w:sz w:val="17"/>
              </w:rPr>
              <w:t>ECOC - ECOBANK COTE D'IVOIRE</w:t>
            </w:r>
          </w:p>
        </w:tc>
        <w:tc>
          <w:tcPr>
            <w:tcW w:type="dxa" w:w="1728"/>
            <w:shd w:fill="DEEAF1" w:val="clear"/>
          </w:tcPr>
          <w:p>
            <w:r>
              <w:rPr>
                <w:sz w:val="17"/>
              </w:rPr>
              <w:t>15,900</w:t>
            </w:r>
          </w:p>
        </w:tc>
        <w:tc>
          <w:tcPr>
            <w:tcW w:type="dxa" w:w="1728"/>
            <w:shd w:fill="DEEAF1" w:val="clear"/>
          </w:tcPr>
          <w:p>
            <w:r>
              <w:rPr>
                <w:sz w:val="17"/>
              </w:rPr>
              <w:t>79/100</w:t>
            </w:r>
          </w:p>
        </w:tc>
        <w:tc>
          <w:tcPr>
            <w:tcW w:type="dxa" w:w="1728"/>
            <w:shd w:fill="DEEAF1" w:val="clear"/>
          </w:tcPr>
          <w:p>
            <w:r>
              <w:rPr>
                <w:sz w:val="17"/>
              </w:rPr>
              <w:t>10.6%</w:t>
            </w:r>
          </w:p>
        </w:tc>
      </w:tr>
      <w:tr>
        <w:tc>
          <w:tcPr>
            <w:tcW w:type="dxa" w:w="1728"/>
            <w:shd w:fill="DEEAF1" w:val="clear"/>
          </w:tcPr>
          <w:p>
            <w:r>
              <w:rPr>
                <w:sz w:val="17"/>
              </w:rPr>
              <w:t>SDSC</w:t>
            </w:r>
          </w:p>
        </w:tc>
        <w:tc>
          <w:tcPr>
            <w:tcW w:type="dxa" w:w="1728"/>
            <w:shd w:fill="DEEAF1" w:val="clear"/>
          </w:tcPr>
          <w:p>
            <w:r>
              <w:rPr>
                <w:sz w:val="17"/>
              </w:rPr>
              <w:t>SDSC - AFRICA GLOBAL LOGISTI</w:t>
            </w:r>
          </w:p>
        </w:tc>
        <w:tc>
          <w:tcPr>
            <w:tcW w:type="dxa" w:w="1728"/>
            <w:shd w:fill="DEEAF1" w:val="clear"/>
          </w:tcPr>
          <w:p>
            <w:r>
              <w:rPr>
                <w:sz w:val="17"/>
              </w:rPr>
              <w:t>2,870</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UNXC</w:t>
            </w:r>
          </w:p>
        </w:tc>
        <w:tc>
          <w:tcPr>
            <w:tcW w:type="dxa" w:w="1728"/>
            <w:shd w:fill="DEEAF1" w:val="clear"/>
          </w:tcPr>
          <w:p>
            <w:r>
              <w:rPr>
                <w:sz w:val="17"/>
              </w:rPr>
              <w:t>UNXC - UNIWAX COTE D'IVOIRE</w:t>
            </w:r>
          </w:p>
        </w:tc>
        <w:tc>
          <w:tcPr>
            <w:tcW w:type="dxa" w:w="1728"/>
            <w:shd w:fill="DEEAF1" w:val="clear"/>
          </w:tcPr>
          <w:p>
            <w:r>
              <w:rPr>
                <w:sz w:val="17"/>
              </w:rPr>
              <w:t>2,145</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ONTBF</w:t>
            </w:r>
          </w:p>
        </w:tc>
        <w:tc>
          <w:tcPr>
            <w:tcW w:type="dxa" w:w="1728"/>
            <w:shd w:fill="DEEAF1" w:val="clear"/>
          </w:tcPr>
          <w:p>
            <w:r>
              <w:rPr>
                <w:sz w:val="17"/>
              </w:rPr>
              <w:t>ONTBF - ONATEL BURKINA FASO</w:t>
            </w:r>
          </w:p>
        </w:tc>
        <w:tc>
          <w:tcPr>
            <w:tcW w:type="dxa" w:w="1728"/>
            <w:shd w:fill="DEEAF1" w:val="clear"/>
          </w:tcPr>
          <w:p>
            <w:r>
              <w:rPr>
                <w:sz w:val="17"/>
              </w:rPr>
              <w:t>2,995</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SGBC</w:t>
            </w:r>
          </w:p>
        </w:tc>
        <w:tc>
          <w:tcPr>
            <w:tcW w:type="dxa" w:w="1728"/>
            <w:shd w:fill="DEEAF1" w:val="clear"/>
          </w:tcPr>
          <w:p>
            <w:r>
              <w:rPr>
                <w:sz w:val="17"/>
              </w:rPr>
              <w:t>SGBC - SOCIETE GENERALE COTE</w:t>
            </w:r>
          </w:p>
        </w:tc>
        <w:tc>
          <w:tcPr>
            <w:tcW w:type="dxa" w:w="1728"/>
            <w:shd w:fill="DEEAF1" w:val="clear"/>
          </w:tcPr>
          <w:p>
            <w:r>
              <w:rPr>
                <w:sz w:val="17"/>
              </w:rPr>
              <w:t>39,005</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NTLC</w:t>
            </w:r>
          </w:p>
        </w:tc>
        <w:tc>
          <w:tcPr>
            <w:tcW w:type="dxa" w:w="1728"/>
            <w:shd w:fill="DEEAF1" w:val="clear"/>
          </w:tcPr>
          <w:p>
            <w:r>
              <w:rPr>
                <w:sz w:val="17"/>
              </w:rPr>
              <w:t>NTLC - NESTLE COTE D'IVOIRE</w:t>
            </w:r>
          </w:p>
        </w:tc>
        <w:tc>
          <w:tcPr>
            <w:tcW w:type="dxa" w:w="1728"/>
            <w:shd w:fill="DEEAF1" w:val="clear"/>
          </w:tcPr>
          <w:p>
            <w:r>
              <w:rPr>
                <w:sz w:val="17"/>
              </w:rPr>
              <w:t>14,700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SLBC</w:t>
            </w:r>
          </w:p>
        </w:tc>
        <w:tc>
          <w:tcPr>
            <w:tcW w:type="dxa" w:w="1728"/>
            <w:shd w:fill="DEEAF1" w:val="clear"/>
          </w:tcPr>
          <w:p>
            <w:r>
              <w:rPr>
                <w:sz w:val="17"/>
              </w:rPr>
              <w:t>SLBC - SOLIBRA COTE D'IVOIRE</w:t>
            </w:r>
          </w:p>
        </w:tc>
        <w:tc>
          <w:tcPr>
            <w:tcW w:type="dxa" w:w="1728"/>
            <w:shd w:fill="DEEAF1" w:val="clear"/>
          </w:tcPr>
          <w:p>
            <w:r>
              <w:rPr>
                <w:sz w:val="17"/>
              </w:rPr>
              <w:t>38,500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ABJC</w:t>
            </w:r>
          </w:p>
        </w:tc>
        <w:tc>
          <w:tcPr>
            <w:tcW w:type="dxa" w:w="1728"/>
            <w:shd w:fill="DEEAF1" w:val="clear"/>
          </w:tcPr>
          <w:p>
            <w:r>
              <w:rPr>
                <w:sz w:val="17"/>
              </w:rPr>
              <w:t>ABJC - SERVAIR ABIDJAN CI</w:t>
            </w:r>
          </w:p>
        </w:tc>
        <w:tc>
          <w:tcPr>
            <w:tcW w:type="dxa" w:w="1728"/>
            <w:shd w:fill="DEEAF1" w:val="clear"/>
          </w:tcPr>
          <w:p>
            <w:r>
              <w:rPr>
                <w:sz w:val="17"/>
              </w:rPr>
              <w:t>3,000</w:t>
            </w:r>
          </w:p>
        </w:tc>
        <w:tc>
          <w:tcPr>
            <w:tcW w:type="dxa" w:w="1728"/>
            <w:shd w:fill="DEEAF1" w:val="clear"/>
          </w:tcPr>
          <w:p>
            <w:r>
              <w:rPr>
                <w:sz w:val="17"/>
              </w:rPr>
              <w:t>72/100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ECOC</w:t>
            </w:r>
          </w:p>
        </w:tc>
        <w:tc>
          <w:tcPr>
            <w:tcW w:type="dxa" w:w="1728"/>
            <w:shd w:fill="E2EFDA" w:val="clear"/>
          </w:tcPr>
          <w:p>
            <w:r>
              <w:rPr>
                <w:sz w:val="17"/>
              </w:rPr>
              <w:t>ECOC - ECOBANK COTE D'IVOIRE</w:t>
            </w:r>
          </w:p>
        </w:tc>
        <w:tc>
          <w:tcPr>
            <w:tcW w:type="dxa" w:w="1728"/>
            <w:shd w:fill="E2EFDA" w:val="clear"/>
          </w:tcPr>
          <w:p>
            <w:r>
              <w:rPr>
                <w:sz w:val="17"/>
              </w:rPr>
              <w:t>15,900</w:t>
            </w:r>
          </w:p>
        </w:tc>
        <w:tc>
          <w:tcPr>
            <w:tcW w:type="dxa" w:w="1728"/>
            <w:shd w:fill="E2EFDA" w:val="clear"/>
          </w:tcPr>
          <w:p>
            <w:r>
              <w:rPr>
                <w:sz w:val="17"/>
              </w:rPr>
              <w:t>79/100</w:t>
            </w:r>
          </w:p>
        </w:tc>
        <w:tc>
          <w:tcPr>
            <w:tcW w:type="dxa" w:w="1728"/>
            <w:shd w:fill="E2EFDA" w:val="clear"/>
          </w:tcPr>
          <w:p>
            <w:r>
              <w:rPr>
                <w:sz w:val="17"/>
              </w:rPr>
              <w:t>11.2%</w:t>
            </w:r>
          </w:p>
        </w:tc>
      </w:tr>
      <w:tr>
        <w:tc>
          <w:tcPr>
            <w:tcW w:type="dxa" w:w="1728"/>
            <w:shd w:fill="E2EFDA" w:val="clear"/>
          </w:tcPr>
          <w:p>
            <w:r>
              <w:rPr>
                <w:sz w:val="17"/>
              </w:rPr>
              <w:t>CIEC</w:t>
            </w:r>
          </w:p>
        </w:tc>
        <w:tc>
          <w:tcPr>
            <w:tcW w:type="dxa" w:w="1728"/>
            <w:shd w:fill="E2EFDA" w:val="clear"/>
          </w:tcPr>
          <w:p>
            <w:r>
              <w:rPr>
                <w:sz w:val="17"/>
              </w:rPr>
              <w:t xml:space="preserve">CIEC - Compagnie Ivoirienne </w:t>
            </w:r>
          </w:p>
        </w:tc>
        <w:tc>
          <w:tcPr>
            <w:tcW w:type="dxa" w:w="1728"/>
            <w:shd w:fill="E2EFDA" w:val="clear"/>
          </w:tcPr>
          <w:p>
            <w:r>
              <w:rPr>
                <w:sz w:val="17"/>
              </w:rPr>
              <w:t>5,800</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SDSC</w:t>
            </w:r>
          </w:p>
        </w:tc>
        <w:tc>
          <w:tcPr>
            <w:tcW w:type="dxa" w:w="1728"/>
            <w:shd w:fill="E2EFDA" w:val="clear"/>
          </w:tcPr>
          <w:p>
            <w:r>
              <w:rPr>
                <w:sz w:val="17"/>
              </w:rPr>
              <w:t>SDSC - AFRICA GLOBAL LOGISTI</w:t>
            </w:r>
          </w:p>
        </w:tc>
        <w:tc>
          <w:tcPr>
            <w:tcW w:type="dxa" w:w="1728"/>
            <w:shd w:fill="E2EFDA" w:val="clear"/>
          </w:tcPr>
          <w:p>
            <w:r>
              <w:rPr>
                <w:sz w:val="17"/>
              </w:rPr>
              <w:t>2,870</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UNXC</w:t>
            </w:r>
          </w:p>
        </w:tc>
        <w:tc>
          <w:tcPr>
            <w:tcW w:type="dxa" w:w="1728"/>
            <w:shd w:fill="E2EFDA" w:val="clear"/>
          </w:tcPr>
          <w:p>
            <w:r>
              <w:rPr>
                <w:sz w:val="17"/>
              </w:rPr>
              <w:t>UNXC - UNIWAX COTE D'IVOIRE</w:t>
            </w:r>
          </w:p>
        </w:tc>
        <w:tc>
          <w:tcPr>
            <w:tcW w:type="dxa" w:w="1728"/>
            <w:shd w:fill="E2EFDA" w:val="clear"/>
          </w:tcPr>
          <w:p>
            <w:r>
              <w:rPr>
                <w:sz w:val="17"/>
              </w:rPr>
              <w:t>2,145</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ONTBF</w:t>
            </w:r>
          </w:p>
        </w:tc>
        <w:tc>
          <w:tcPr>
            <w:tcW w:type="dxa" w:w="1728"/>
            <w:shd w:fill="E2EFDA" w:val="clear"/>
          </w:tcPr>
          <w:p>
            <w:r>
              <w:rPr>
                <w:sz w:val="17"/>
              </w:rPr>
              <w:t>ONTBF - ONATEL BURKINA FASO</w:t>
            </w:r>
          </w:p>
        </w:tc>
        <w:tc>
          <w:tcPr>
            <w:tcW w:type="dxa" w:w="1728"/>
            <w:shd w:fill="E2EFDA" w:val="clear"/>
          </w:tcPr>
          <w:p>
            <w:r>
              <w:rPr>
                <w:sz w:val="17"/>
              </w:rPr>
              <w:t>2,995</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SCRC</w:t>
            </w:r>
          </w:p>
        </w:tc>
        <w:tc>
          <w:tcPr>
            <w:tcW w:type="dxa" w:w="1728"/>
            <w:shd w:fill="E2EFDA" w:val="clear"/>
          </w:tcPr>
          <w:p>
            <w:r>
              <w:rPr>
                <w:sz w:val="17"/>
              </w:rPr>
              <w:t>SCRC - SUCRIVOIRE</w:t>
            </w:r>
          </w:p>
        </w:tc>
        <w:tc>
          <w:tcPr>
            <w:tcW w:type="dxa" w:w="1728"/>
            <w:shd w:fill="E2EFDA" w:val="clear"/>
          </w:tcPr>
          <w:p>
            <w:r>
              <w:rPr>
                <w:sz w:val="17"/>
              </w:rPr>
              <w:t>2,270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SGBC</w:t>
            </w:r>
          </w:p>
        </w:tc>
        <w:tc>
          <w:tcPr>
            <w:tcW w:type="dxa" w:w="1728"/>
            <w:shd w:fill="E2EFDA" w:val="clear"/>
          </w:tcPr>
          <w:p>
            <w:r>
              <w:rPr>
                <w:sz w:val="17"/>
              </w:rPr>
              <w:t>SGBC - SOCIETE GENERALE COTE</w:t>
            </w:r>
          </w:p>
        </w:tc>
        <w:tc>
          <w:tcPr>
            <w:tcW w:type="dxa" w:w="1728"/>
            <w:shd w:fill="E2EFDA" w:val="clear"/>
          </w:tcPr>
          <w:p>
            <w:r>
              <w:rPr>
                <w:sz w:val="17"/>
              </w:rPr>
              <w:t>39,005</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NTLC</w:t>
            </w:r>
          </w:p>
        </w:tc>
        <w:tc>
          <w:tcPr>
            <w:tcW w:type="dxa" w:w="1728"/>
            <w:shd w:fill="E2EFDA" w:val="clear"/>
          </w:tcPr>
          <w:p>
            <w:r>
              <w:rPr>
                <w:sz w:val="17"/>
              </w:rPr>
              <w:t>NTLC - NESTLE COTE D'IVOIRE</w:t>
            </w:r>
          </w:p>
        </w:tc>
        <w:tc>
          <w:tcPr>
            <w:tcW w:type="dxa" w:w="1728"/>
            <w:shd w:fill="E2EFDA" w:val="clear"/>
          </w:tcPr>
          <w:p>
            <w:r>
              <w:rPr>
                <w:sz w:val="17"/>
              </w:rPr>
              <w:t>14,700</w:t>
            </w:r>
          </w:p>
        </w:tc>
        <w:tc>
          <w:tcPr>
            <w:tcW w:type="dxa" w:w="1728"/>
            <w:shd w:fill="E2EFDA" w:val="clear"/>
          </w:tcPr>
          <w:p>
            <w:r>
              <w:rPr>
                <w:sz w:val="17"/>
              </w:rPr>
              <w:t>73/100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ECOC</w:t>
            </w:r>
          </w:p>
        </w:tc>
        <w:tc>
          <w:tcPr>
            <w:tcW w:type="dxa" w:w="1728"/>
            <w:shd w:fill="FCE4D6" w:val="clear"/>
          </w:tcPr>
          <w:p>
            <w:r>
              <w:rPr>
                <w:sz w:val="17"/>
              </w:rPr>
              <w:t>ECOC - ECOBANK COTE D'IVOIRE</w:t>
            </w:r>
          </w:p>
        </w:tc>
        <w:tc>
          <w:tcPr>
            <w:tcW w:type="dxa" w:w="1728"/>
            <w:shd w:fill="FCE4D6" w:val="clear"/>
          </w:tcPr>
          <w:p>
            <w:r>
              <w:rPr>
                <w:sz w:val="17"/>
              </w:rPr>
              <w:t>15,900</w:t>
            </w:r>
          </w:p>
        </w:tc>
        <w:tc>
          <w:tcPr>
            <w:tcW w:type="dxa" w:w="1728"/>
            <w:shd w:fill="FCE4D6" w:val="clear"/>
          </w:tcPr>
          <w:p>
            <w:r>
              <w:rPr>
                <w:sz w:val="17"/>
              </w:rPr>
              <w:t>79/100</w:t>
            </w:r>
          </w:p>
        </w:tc>
        <w:tc>
          <w:tcPr>
            <w:tcW w:type="dxa" w:w="1728"/>
            <w:shd w:fill="FCE4D6" w:val="clear"/>
          </w:tcPr>
          <w:p>
            <w:r>
              <w:rPr>
                <w:sz w:val="17"/>
              </w:rPr>
              <w:t>11.9%</w:t>
            </w:r>
          </w:p>
        </w:tc>
      </w:tr>
      <w:tr>
        <w:tc>
          <w:tcPr>
            <w:tcW w:type="dxa" w:w="1728"/>
            <w:shd w:fill="FCE4D6" w:val="clear"/>
          </w:tcPr>
          <w:p>
            <w:r>
              <w:rPr>
                <w:sz w:val="17"/>
              </w:rPr>
              <w:t>CIEC</w:t>
            </w:r>
          </w:p>
        </w:tc>
        <w:tc>
          <w:tcPr>
            <w:tcW w:type="dxa" w:w="1728"/>
            <w:shd w:fill="FCE4D6" w:val="clear"/>
          </w:tcPr>
          <w:p>
            <w:r>
              <w:rPr>
                <w:sz w:val="17"/>
              </w:rPr>
              <w:t xml:space="preserve">CIEC - Compagnie Ivoirienne </w:t>
            </w:r>
          </w:p>
        </w:tc>
        <w:tc>
          <w:tcPr>
            <w:tcW w:type="dxa" w:w="1728"/>
            <w:shd w:fill="FCE4D6" w:val="clear"/>
          </w:tcPr>
          <w:p>
            <w:r>
              <w:rPr>
                <w:sz w:val="17"/>
              </w:rPr>
              <w:t>5,800</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SDSC</w:t>
            </w:r>
          </w:p>
        </w:tc>
        <w:tc>
          <w:tcPr>
            <w:tcW w:type="dxa" w:w="1728"/>
            <w:shd w:fill="FCE4D6" w:val="clear"/>
          </w:tcPr>
          <w:p>
            <w:r>
              <w:rPr>
                <w:sz w:val="17"/>
              </w:rPr>
              <w:t>SDSC - AFRICA GLOBAL LOGISTI</w:t>
            </w:r>
          </w:p>
        </w:tc>
        <w:tc>
          <w:tcPr>
            <w:tcW w:type="dxa" w:w="1728"/>
            <w:shd w:fill="FCE4D6" w:val="clear"/>
          </w:tcPr>
          <w:p>
            <w:r>
              <w:rPr>
                <w:sz w:val="17"/>
              </w:rPr>
              <w:t>2,870</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UNXC</w:t>
            </w:r>
          </w:p>
        </w:tc>
        <w:tc>
          <w:tcPr>
            <w:tcW w:type="dxa" w:w="1728"/>
            <w:shd w:fill="FCE4D6" w:val="clear"/>
          </w:tcPr>
          <w:p>
            <w:r>
              <w:rPr>
                <w:sz w:val="17"/>
              </w:rPr>
              <w:t>UNXC - UNIWAX COTE D'IVOIRE</w:t>
            </w:r>
          </w:p>
        </w:tc>
        <w:tc>
          <w:tcPr>
            <w:tcW w:type="dxa" w:w="1728"/>
            <w:shd w:fill="FCE4D6" w:val="clear"/>
          </w:tcPr>
          <w:p>
            <w:r>
              <w:rPr>
                <w:sz w:val="17"/>
              </w:rPr>
              <w:t>2,145</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ONTBF</w:t>
            </w:r>
          </w:p>
        </w:tc>
        <w:tc>
          <w:tcPr>
            <w:tcW w:type="dxa" w:w="1728"/>
            <w:shd w:fill="FCE4D6" w:val="clear"/>
          </w:tcPr>
          <w:p>
            <w:r>
              <w:rPr>
                <w:sz w:val="17"/>
              </w:rPr>
              <w:t>ONTBF - ONATEL BURKINA FASO</w:t>
            </w:r>
          </w:p>
        </w:tc>
        <w:tc>
          <w:tcPr>
            <w:tcW w:type="dxa" w:w="1728"/>
            <w:shd w:fill="FCE4D6" w:val="clear"/>
          </w:tcPr>
          <w:p>
            <w:r>
              <w:rPr>
                <w:sz w:val="17"/>
              </w:rPr>
              <w:t>2,995</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SCRC</w:t>
            </w:r>
          </w:p>
        </w:tc>
        <w:tc>
          <w:tcPr>
            <w:tcW w:type="dxa" w:w="1728"/>
            <w:shd w:fill="FCE4D6" w:val="clear"/>
          </w:tcPr>
          <w:p>
            <w:r>
              <w:rPr>
                <w:sz w:val="17"/>
              </w:rPr>
              <w:t>SCRC - SUCRIVOIRE</w:t>
            </w:r>
          </w:p>
        </w:tc>
        <w:tc>
          <w:tcPr>
            <w:tcW w:type="dxa" w:w="1728"/>
            <w:shd w:fill="FCE4D6" w:val="clear"/>
          </w:tcPr>
          <w:p>
            <w:r>
              <w:rPr>
                <w:sz w:val="17"/>
              </w:rPr>
              <w:t>2,270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SGBC</w:t>
            </w:r>
          </w:p>
        </w:tc>
        <w:tc>
          <w:tcPr>
            <w:tcW w:type="dxa" w:w="1728"/>
            <w:shd w:fill="FCE4D6" w:val="clear"/>
          </w:tcPr>
          <w:p>
            <w:r>
              <w:rPr>
                <w:sz w:val="17"/>
              </w:rPr>
              <w:t>SGBC - SOCIETE GENERALE COTE</w:t>
            </w:r>
          </w:p>
        </w:tc>
        <w:tc>
          <w:tcPr>
            <w:tcW w:type="dxa" w:w="1728"/>
            <w:shd w:fill="FCE4D6" w:val="clear"/>
          </w:tcPr>
          <w:p>
            <w:r>
              <w:rPr>
                <w:sz w:val="17"/>
              </w:rPr>
              <w:t>39,005</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NTLC</w:t>
            </w:r>
          </w:p>
        </w:tc>
        <w:tc>
          <w:tcPr>
            <w:tcW w:type="dxa" w:w="1728"/>
            <w:shd w:fill="FCE4D6" w:val="clear"/>
          </w:tcPr>
          <w:p>
            <w:r>
              <w:rPr>
                <w:sz w:val="17"/>
              </w:rPr>
              <w:t>NTLC - NESTLE COTE D'IVOIRE</w:t>
            </w:r>
          </w:p>
        </w:tc>
        <w:tc>
          <w:tcPr>
            <w:tcW w:type="dxa" w:w="1728"/>
            <w:shd w:fill="FCE4D6" w:val="clear"/>
          </w:tcPr>
          <w:p>
            <w:r>
              <w:rPr>
                <w:sz w:val="17"/>
              </w:rPr>
              <w:t>14,700</w:t>
            </w:r>
          </w:p>
        </w:tc>
        <w:tc>
          <w:tcPr>
            <w:tcW w:type="dxa" w:w="1728"/>
            <w:shd w:fill="FCE4D6" w:val="clear"/>
          </w:tcPr>
          <w:p>
            <w:r>
              <w:rPr>
                <w:sz w:val="17"/>
              </w:rPr>
              <w:t>73/100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CABC — CABC - SICABLE COTE D'IVOIRE</w:t>
      </w:r>
    </w:p>
    <w:p>
      <w:pPr>
        <w:pStyle w:val="ListBullet"/>
        <w:spacing w:before="20"/>
        <w:ind w:left="400"/>
      </w:pPr>
      <w:r>
        <w:rPr>
          <w:sz w:val="18"/>
        </w:rPr>
        <w:t>🟢 RSI survente (18.3 &lt; 30) — opportunité potentielle</w:t>
      </w:r>
    </w:p>
    <w:p>
      <w:pPr>
        <w:pStyle w:val="ListBullet"/>
        <w:spacing w:before="20"/>
        <w:ind w:left="400"/>
      </w:pPr>
      <w:r>
        <w:rPr>
          <w:sz w:val="18"/>
        </w:rPr>
        <w:t>⚠️ Cours à 0.0% du plus bas 100j (3,000 FCFA)</w:t>
      </w:r>
    </w:p>
    <w:p>
      <w:pPr>
        <w:spacing w:before="120"/>
      </w:pPr>
      <w:r>
        <w:rPr>
          <w:b/>
          <w:color w:val="0050A0"/>
          <w:sz w:val="20"/>
        </w:rPr>
        <w:t>ECOC — ECOC - ECOBANK COTE D'IVOIRE</w:t>
      </w:r>
    </w:p>
    <w:p>
      <w:pPr>
        <w:pStyle w:val="ListBullet"/>
        <w:spacing w:before="20"/>
        <w:ind w:left="400"/>
      </w:pPr>
      <w:r>
        <w:rPr>
          <w:sz w:val="18"/>
        </w:rPr>
        <w:t>🟢 RSI survente (24.5 &lt; 30) — opportunité potentielle</w:t>
      </w:r>
    </w:p>
    <w:p>
      <w:pPr>
        <w:pStyle w:val="ListBullet"/>
        <w:spacing w:before="20"/>
        <w:ind w:left="400"/>
      </w:pPr>
      <w:r>
        <w:rPr>
          <w:sz w:val="18"/>
        </w:rPr>
        <w:t>⚠️ Cours à 1.2% du plus bas 100j (15,715 FCFA)</w:t>
      </w:r>
    </w:p>
    <w:p>
      <w:pPr>
        <w:spacing w:before="120"/>
      </w:pPr>
      <w:r>
        <w:rPr>
          <w:b/>
          <w:color w:val="0050A0"/>
          <w:sz w:val="20"/>
        </w:rPr>
        <w:t>FTSC — FTSC - FILTISAC COTE D'IVOIRE</w:t>
      </w:r>
    </w:p>
    <w:p>
      <w:pPr>
        <w:pStyle w:val="ListBullet"/>
        <w:spacing w:before="20"/>
        <w:ind w:left="400"/>
      </w:pPr>
      <w:r>
        <w:rPr>
          <w:sz w:val="18"/>
        </w:rPr>
        <w:t>⚠️ Cours à 0.0% du plus bas 100j (1,800 FCFA)</w:t>
      </w:r>
    </w:p>
    <w:p>
      <w:pPr>
        <w:pStyle w:val="ListBullet"/>
        <w:spacing w:before="20"/>
        <w:ind w:left="400"/>
      </w:pPr>
      <w:r>
        <w:rPr>
          <w:sz w:val="18"/>
        </w:rPr>
        <w:t>🟠 Divergence tech(VENTE) / fond(ACHAT) — recommandation ajustée à ACHAT</w:t>
      </w:r>
    </w:p>
    <w:p>
      <w:pPr>
        <w:spacing w:before="120"/>
      </w:pPr>
      <w:r>
        <w:rPr>
          <w:b/>
          <w:color w:val="0050A0"/>
          <w:sz w:val="20"/>
        </w:rPr>
        <w:t>PALC — PALC - PALM COTE D'IVOIRE</w:t>
      </w:r>
    </w:p>
    <w:p>
      <w:pPr>
        <w:pStyle w:val="ListBullet"/>
        <w:spacing w:before="20"/>
        <w:ind w:left="400"/>
      </w:pPr>
      <w:r>
        <w:rPr>
          <w:sz w:val="18"/>
        </w:rPr>
        <w:t>⚠️ Cours à 0.0% du plus bas 100j (7,600 FCFA)</w:t>
      </w:r>
    </w:p>
    <w:p>
      <w:pPr>
        <w:pStyle w:val="ListBullet"/>
        <w:spacing w:before="20"/>
        <w:ind w:left="400"/>
      </w:pPr>
      <w:r>
        <w:rPr>
          <w:sz w:val="18"/>
        </w:rPr>
        <w:t>🟠 Divergence tech(VENTE) / fond(ACHAT) — recommandation ajustée à ACHAT</w:t>
      </w:r>
    </w:p>
    <w:p>
      <w:pPr>
        <w:spacing w:before="120"/>
      </w:pPr>
      <w:r>
        <w:rPr>
          <w:b/>
          <w:color w:val="0050A0"/>
          <w:sz w:val="20"/>
        </w:rPr>
        <w:t>SCRC — SCRC - SUCRIVOIRE</w:t>
      </w:r>
    </w:p>
    <w:p>
      <w:pPr>
        <w:pStyle w:val="ListBullet"/>
        <w:spacing w:before="20"/>
        <w:ind w:left="400"/>
      </w:pPr>
      <w:r>
        <w:rPr>
          <w:sz w:val="18"/>
        </w:rPr>
        <w:t>🟢 RSI survente (2.3 &lt; 30) — opportunité potentielle</w:t>
      </w:r>
    </w:p>
    <w:p>
      <w:pPr>
        <w:pStyle w:val="ListBullet"/>
        <w:spacing w:before="20"/>
        <w:ind w:left="400"/>
      </w:pPr>
      <w:r>
        <w:rPr>
          <w:sz w:val="18"/>
        </w:rPr>
        <w:t>⚠️ Cours à 2.9% du plus bas 100j (2,205 FCFA)</w:t>
      </w:r>
    </w:p>
    <w:p>
      <w:pPr>
        <w:spacing w:before="120"/>
      </w:pPr>
      <w:r>
        <w:rPr>
          <w:b/>
          <w:color w:val="0050A0"/>
          <w:sz w:val="20"/>
        </w:rPr>
        <w:t>SIVC — SIVC - ERIUM CI (Ex AIR LIQUIDECI)</w:t>
      </w:r>
    </w:p>
    <w:p>
      <w:pPr>
        <w:pStyle w:val="ListBullet"/>
        <w:spacing w:before="20"/>
        <w:ind w:left="400"/>
      </w:pPr>
      <w:r>
        <w:rPr>
          <w:sz w:val="18"/>
        </w:rPr>
        <w:t>⚠️ Cours à 0.0% du plus bas 100j (1,790 FCFA)</w:t>
      </w:r>
    </w:p>
    <w:p>
      <w:pPr>
        <w:pStyle w:val="ListBullet"/>
        <w:spacing w:before="20"/>
        <w:ind w:left="400"/>
      </w:pPr>
      <w:r>
        <w:rPr>
          <w:sz w:val="18"/>
        </w:rPr>
        <w:t>🟠 Divergence tech(VENTE) / fond(ACHAT) — recommandation ajustée à ACHAT</w:t>
      </w:r>
    </w:p>
    <w:p>
      <w:pPr>
        <w:spacing w:before="120"/>
      </w:pPr>
      <w:r>
        <w:rPr>
          <w:b/>
          <w:color w:val="0050A0"/>
          <w:sz w:val="20"/>
        </w:rPr>
        <w:t>SOGC — SOGC - Société des caoutchoucs de Grand-Béréby</w:t>
      </w:r>
    </w:p>
    <w:p>
      <w:pPr>
        <w:pStyle w:val="ListBullet"/>
        <w:spacing w:before="20"/>
        <w:ind w:left="400"/>
      </w:pPr>
      <w:r>
        <w:rPr>
          <w:sz w:val="18"/>
        </w:rPr>
        <w:t>⚠️ Cours à 1.6% du plus bas 100j (7,300 FCFA)</w:t>
      </w:r>
    </w:p>
    <w:p>
      <w:pPr>
        <w:pStyle w:val="ListBullet"/>
        <w:spacing w:before="20"/>
        <w:ind w:left="400"/>
      </w:pPr>
      <w:r>
        <w:rPr>
          <w:sz w:val="18"/>
        </w:rPr>
        <w:t>🟠 Divergence tech(VENTE) / fond(ACHAT) — recommandation ajustée à ACHAT</w:t>
      </w:r>
    </w:p>
    <w:p>
      <w:pPr>
        <w:spacing w:before="120"/>
      </w:pPr>
      <w:r>
        <w:rPr>
          <w:b/>
          <w:color w:val="0050A0"/>
          <w:sz w:val="20"/>
        </w:rPr>
        <w:t>STBC — STBC - SITAB COTE D'IVOIRE</w:t>
      </w:r>
    </w:p>
    <w:p>
      <w:pPr>
        <w:pStyle w:val="ListBullet"/>
        <w:spacing w:before="20"/>
        <w:ind w:left="400"/>
      </w:pPr>
      <w:r>
        <w:rPr>
          <w:sz w:val="18"/>
        </w:rPr>
        <w:t>⚠️ Cours à 2.2% du plus bas 100j (20,895 FCFA)</w:t>
      </w:r>
    </w:p>
    <w:p>
      <w:pPr>
        <w:pStyle w:val="ListBullet"/>
        <w:spacing w:before="20"/>
        <w:ind w:left="400"/>
      </w:pPr>
      <w:r>
        <w:rPr>
          <w:sz w:val="18"/>
        </w:rPr>
        <w:t>🟠 Divergence tech(VENTE) / fond(ACHAT) — recommandation ajustée à ACHAT</w:t>
      </w:r>
    </w:p>
    <w:p>
      <w:pPr>
        <w:spacing w:before="120"/>
      </w:pPr>
      <w:r>
        <w:rPr>
          <w:b/>
          <w:color w:val="0050A0"/>
          <w:sz w:val="20"/>
        </w:rPr>
        <w:t>UNLC — UNLC - UNILEVER COTE D'IVOIRE</w:t>
      </w:r>
    </w:p>
    <w:p>
      <w:pPr>
        <w:pStyle w:val="ListBullet"/>
        <w:spacing w:before="20"/>
        <w:ind w:left="400"/>
      </w:pPr>
      <w:r>
        <w:rPr>
          <w:sz w:val="18"/>
        </w:rPr>
        <w:t>⚠️ Cours à 1.3% du plus bas 100j (44,410 FCFA)</w:t>
      </w:r>
    </w:p>
    <w:p>
      <w:pPr>
        <w:pStyle w:val="ListBullet"/>
        <w:spacing w:before="20"/>
        <w:ind w:left="400"/>
      </w:pPr>
      <w:r>
        <w:rPr>
          <w:sz w:val="18"/>
        </w:rPr>
        <w:t>🟠 Divergence tech(VENTE) / fond(ACHAT) — recommandation ajustée à ACHAT</w:t>
      </w:r>
    </w:p>
    <w:p>
      <w:pPr>
        <w:spacing w:before="120"/>
      </w:pPr>
      <w:r>
        <w:rPr>
          <w:b/>
          <w:color w:val="0050A0"/>
          <w:sz w:val="20"/>
        </w:rPr>
        <w:t>ABJC — ABJC - SERVAIR ABIDJAN CI</w:t>
      </w:r>
    </w:p>
    <w:p>
      <w:pPr>
        <w:pStyle w:val="ListBullet"/>
        <w:spacing w:before="20"/>
        <w:ind w:left="400"/>
      </w:pPr>
      <w:r>
        <w:rPr>
          <w:sz w:val="18"/>
        </w:rPr>
        <w:t>🟢 RSI survente (3.5 &lt; 30) — opportunité potentielle</w:t>
      </w:r>
    </w:p>
    <w:p>
      <w:pPr>
        <w:spacing w:before="120"/>
      </w:pPr>
      <w:r>
        <w:rPr>
          <w:b/>
          <w:color w:val="0050A0"/>
          <w:sz w:val="20"/>
        </w:rPr>
        <w:t>BBGC — BRIDGE BANK GROUP COTE D'IVOIRE</w:t>
      </w:r>
    </w:p>
    <w:p>
      <w:pPr>
        <w:pStyle w:val="ListBullet"/>
        <w:spacing w:before="20"/>
        <w:ind w:left="400"/>
      </w:pPr>
      <w:r>
        <w:rPr>
          <w:sz w:val="18"/>
        </w:rPr>
        <w:t>⚠️ Cours à 1.0% du plus haut 100j (10,495 FCFA)</w:t>
      </w:r>
    </w:p>
    <w:p>
      <w:pPr>
        <w:spacing w:before="120"/>
      </w:pPr>
      <w:r>
        <w:rPr>
          <w:b/>
          <w:color w:val="0050A0"/>
          <w:sz w:val="20"/>
        </w:rPr>
        <w:t>BICB — BIIC BN - Banque internationale pour le commerce du benin</w:t>
      </w:r>
    </w:p>
    <w:p>
      <w:pPr>
        <w:pStyle w:val="ListBullet"/>
        <w:spacing w:before="20"/>
        <w:ind w:left="400"/>
      </w:pPr>
      <w:r>
        <w:rPr>
          <w:sz w:val="18"/>
        </w:rPr>
        <w:t>🟠 Divergence tech(VENTE) / fond(ACHAT) — recommandation ajustée à ACHAT</w:t>
      </w:r>
    </w:p>
    <w:p>
      <w:pPr>
        <w:spacing w:before="120"/>
      </w:pPr>
      <w:r>
        <w:rPr>
          <w:b/>
          <w:color w:val="0050A0"/>
          <w:sz w:val="20"/>
        </w:rPr>
        <w:t>BNBC — BNBC - BERNABE CI</w:t>
      </w:r>
    </w:p>
    <w:p>
      <w:pPr>
        <w:pStyle w:val="ListBullet"/>
        <w:spacing w:before="20"/>
        <w:ind w:left="400"/>
      </w:pPr>
      <w:r>
        <w:rPr>
          <w:sz w:val="18"/>
        </w:rPr>
        <w:t>🟠 Divergence tech(VENTE) / fond(ACHAT) — recommandation ajustée à ACHAT</w:t>
      </w:r>
    </w:p>
    <w:p>
      <w:pPr>
        <w:spacing w:before="120"/>
      </w:pPr>
      <w:r>
        <w:rPr>
          <w:b/>
          <w:color w:val="0050A0"/>
          <w:sz w:val="20"/>
        </w:rPr>
        <w:t>BOAB — BANK OF AFRICA BENIN</w:t>
      </w:r>
    </w:p>
    <w:p>
      <w:pPr>
        <w:pStyle w:val="ListBullet"/>
        <w:spacing w:before="20"/>
        <w:ind w:left="400"/>
      </w:pPr>
      <w:r>
        <w:rPr>
          <w:sz w:val="18"/>
        </w:rPr>
        <w:t>🟠 Divergence tech(VENTE) / fond(ACHAT) — recommandation ajustée à ACHAT</w:t>
      </w:r>
    </w:p>
    <w:p>
      <w:pPr>
        <w:spacing w:before="120"/>
      </w:pPr>
      <w:r>
        <w:rPr>
          <w:b/>
          <w:color w:val="0050A0"/>
          <w:sz w:val="20"/>
        </w:rPr>
        <w:t>BOABF — BANK OF AFRICA BURKINA FASO</w:t>
      </w:r>
    </w:p>
    <w:p>
      <w:pPr>
        <w:pStyle w:val="ListBullet"/>
        <w:spacing w:before="20"/>
        <w:ind w:left="400"/>
      </w:pPr>
      <w:r>
        <w:rPr>
          <w:sz w:val="18"/>
        </w:rPr>
        <w:t>🟠 Divergence tech(VENTE) / fond(ACHAT) — recommandation ajustée à ACHAT</w:t>
      </w:r>
    </w:p>
    <w:p>
      <w:pPr>
        <w:spacing w:before="120"/>
      </w:pPr>
      <w:r>
        <w:rPr>
          <w:b/>
          <w:color w:val="0050A0"/>
          <w:sz w:val="20"/>
        </w:rPr>
        <w:t>BOAM — BANK OF AFRICA MALI</w:t>
      </w:r>
    </w:p>
    <w:p>
      <w:pPr>
        <w:pStyle w:val="ListBullet"/>
        <w:spacing w:before="20"/>
        <w:ind w:left="400"/>
      </w:pPr>
      <w:r>
        <w:rPr>
          <w:sz w:val="18"/>
        </w:rPr>
        <w:t>🟢 RSI survente (17.6 &lt; 30) — opportunité potentielle</w:t>
      </w:r>
    </w:p>
    <w:p>
      <w:pPr>
        <w:spacing w:before="120"/>
      </w:pPr>
      <w:r>
        <w:rPr>
          <w:b/>
          <w:color w:val="0050A0"/>
          <w:sz w:val="20"/>
        </w:rPr>
        <w:t>BOAN — BANK OF AFRICA NIGER</w:t>
      </w:r>
    </w:p>
    <w:p>
      <w:pPr>
        <w:pStyle w:val="ListBullet"/>
        <w:spacing w:before="20"/>
        <w:ind w:left="400"/>
      </w:pPr>
      <w:r>
        <w:rPr>
          <w:sz w:val="18"/>
        </w:rPr>
        <w:t>🟠 Divergence tech(VENTE) / fond(ACHAT) — recommandation ajustée à ACHAT</w:t>
      </w:r>
    </w:p>
    <w:p>
      <w:pPr>
        <w:spacing w:before="120"/>
      </w:pPr>
      <w:r>
        <w:rPr>
          <w:b/>
          <w:color w:val="0050A0"/>
          <w:sz w:val="20"/>
        </w:rPr>
        <w:t>CFAC — CFAC - CFAO MOTORS CI</w:t>
      </w:r>
    </w:p>
    <w:p>
      <w:pPr>
        <w:pStyle w:val="ListBullet"/>
        <w:spacing w:before="20"/>
        <w:ind w:left="400"/>
      </w:pPr>
      <w:r>
        <w:rPr>
          <w:sz w:val="18"/>
        </w:rPr>
        <w:t>🟠 Divergence tech(VENTE) / fond(ACHAT) — recommandation ajustée à ACHAT</w:t>
      </w:r>
    </w:p>
    <w:p>
      <w:pPr>
        <w:spacing w:before="120"/>
      </w:pPr>
      <w:r>
        <w:rPr>
          <w:b/>
          <w:color w:val="0050A0"/>
          <w:sz w:val="20"/>
        </w:rPr>
        <w:t>CIEC — CIEC - Compagnie Ivoirienne d'Electricité</w:t>
      </w:r>
    </w:p>
    <w:p>
      <w:pPr>
        <w:pStyle w:val="ListBullet"/>
        <w:spacing w:before="20"/>
        <w:ind w:left="400"/>
      </w:pPr>
      <w:r>
        <w:rPr>
          <w:sz w:val="18"/>
        </w:rPr>
        <w:t>🟢 RSI survente (26.5 &lt; 30) — opportunité potentielle</w:t>
      </w:r>
    </w:p>
    <w:p>
      <w:pPr>
        <w:spacing w:before="120"/>
      </w:pPr>
      <w:r>
        <w:rPr>
          <w:b/>
          <w:color w:val="0050A0"/>
          <w:sz w:val="20"/>
        </w:rPr>
        <w:t>ETIT — ETIT - Ecobank Transnational Incorporated Togo</w:t>
      </w:r>
    </w:p>
    <w:p>
      <w:pPr>
        <w:pStyle w:val="ListBullet"/>
        <w:spacing w:before="20"/>
        <w:ind w:left="400"/>
      </w:pPr>
      <w:r>
        <w:rPr>
          <w:sz w:val="18"/>
        </w:rPr>
        <w:t>🟠 Divergence tech(VENTE) / fond(ACHAT) — recommandation ajustée à ACHAT</w:t>
      </w:r>
    </w:p>
    <w:p>
      <w:pPr>
        <w:spacing w:before="120"/>
      </w:pPr>
      <w:r>
        <w:rPr>
          <w:b/>
          <w:color w:val="0050A0"/>
          <w:sz w:val="20"/>
        </w:rPr>
        <w:t>NEIC — NEIC - NEI-CEDA CI</w:t>
      </w:r>
    </w:p>
    <w:p>
      <w:pPr>
        <w:pStyle w:val="ListBullet"/>
        <w:spacing w:before="20"/>
        <w:ind w:left="400"/>
      </w:pPr>
      <w:r>
        <w:rPr>
          <w:sz w:val="18"/>
        </w:rPr>
        <w:t>🟢 RSI survente (16.5 &lt; 30) — opportunité potentielle</w:t>
      </w:r>
    </w:p>
    <w:p>
      <w:pPr>
        <w:spacing w:before="120"/>
      </w:pPr>
      <w:r>
        <w:rPr>
          <w:b/>
          <w:color w:val="0050A0"/>
          <w:sz w:val="20"/>
        </w:rPr>
        <w:t>NSBC — NSBC - NSIA BANQUE COTE D'IVOIRE</w:t>
      </w:r>
    </w:p>
    <w:p>
      <w:pPr>
        <w:pStyle w:val="ListBullet"/>
        <w:spacing w:before="20"/>
        <w:ind w:left="400"/>
      </w:pPr>
      <w:r>
        <w:rPr>
          <w:sz w:val="18"/>
        </w:rPr>
        <w:t>🟢 RSI survente (28.5 &lt; 30) — opportunité potentielle</w:t>
      </w:r>
    </w:p>
    <w:p>
      <w:pPr>
        <w:spacing w:before="120"/>
      </w:pPr>
      <w:r>
        <w:rPr>
          <w:b/>
          <w:color w:val="0050A0"/>
          <w:sz w:val="20"/>
        </w:rPr>
        <w:t>ONTBF — ONTBF - ONATEL BURKINA FASO</w:t>
      </w:r>
    </w:p>
    <w:p>
      <w:pPr>
        <w:pStyle w:val="ListBullet"/>
        <w:spacing w:before="20"/>
        <w:ind w:left="400"/>
      </w:pPr>
      <w:r>
        <w:rPr>
          <w:sz w:val="18"/>
        </w:rPr>
        <w:t>⚠️ Cours à 2.4% du plus haut 100j (3,070 FCFA)</w:t>
      </w:r>
    </w:p>
    <w:p>
      <w:pPr>
        <w:spacing w:before="120"/>
      </w:pPr>
      <w:r>
        <w:rPr>
          <w:b/>
          <w:color w:val="0050A0"/>
          <w:sz w:val="20"/>
        </w:rPr>
        <w:t>ORGT — ORGT - ORAGROUP TOGO</w:t>
      </w:r>
    </w:p>
    <w:p>
      <w:pPr>
        <w:pStyle w:val="ListBullet"/>
        <w:spacing w:before="20"/>
        <w:ind w:left="400"/>
      </w:pPr>
      <w:r>
        <w:rPr>
          <w:sz w:val="18"/>
        </w:rPr>
        <w:t>🟠 Divergence tech(VENTE) / fond(ACHAT) — recommandation ajustée à ACHAT</w:t>
      </w:r>
    </w:p>
    <w:p>
      <w:pPr>
        <w:spacing w:before="120"/>
      </w:pPr>
      <w:r>
        <w:rPr>
          <w:b/>
          <w:color w:val="0050A0"/>
          <w:sz w:val="20"/>
        </w:rPr>
        <w:t>SAFC — SAFCA CI</w:t>
      </w:r>
    </w:p>
    <w:p>
      <w:pPr>
        <w:pStyle w:val="ListBullet"/>
        <w:spacing w:before="20"/>
        <w:ind w:left="400"/>
      </w:pPr>
      <w:r>
        <w:rPr>
          <w:sz w:val="18"/>
        </w:rPr>
        <w:t>🟠 Divergence tech(VENTE) / fond(ACHAT) — recommandation ajustée à ACHAT</w:t>
      </w:r>
    </w:p>
    <w:p>
      <w:pPr>
        <w:spacing w:before="120"/>
      </w:pPr>
      <w:r>
        <w:rPr>
          <w:b/>
          <w:color w:val="0050A0"/>
          <w:sz w:val="20"/>
        </w:rPr>
        <w:t>SDCC — SDCC - Société de Distribution d'Eau de Côte d'Ivoire</w:t>
      </w:r>
    </w:p>
    <w:p>
      <w:pPr>
        <w:pStyle w:val="ListBullet"/>
        <w:spacing w:before="20"/>
        <w:ind w:left="400"/>
      </w:pPr>
      <w:r>
        <w:rPr>
          <w:sz w:val="18"/>
        </w:rPr>
        <w:t>🟠 Divergence tech(VENTE) / fond(ACHAT) — recommandation ajustée à ACHAT</w:t>
      </w:r>
    </w:p>
    <w:p>
      <w:pPr>
        <w:spacing w:before="120"/>
      </w:pPr>
      <w:r>
        <w:rPr>
          <w:b/>
          <w:color w:val="0050A0"/>
          <w:sz w:val="20"/>
        </w:rPr>
        <w:t>SGBC — SGBC - SOCIETE GENERALE COTE D'IVOIRE</w:t>
      </w:r>
    </w:p>
    <w:p>
      <w:pPr>
        <w:pStyle w:val="ListBullet"/>
        <w:spacing w:before="20"/>
        <w:ind w:left="400"/>
      </w:pPr>
      <w:r>
        <w:rPr>
          <w:sz w:val="18"/>
        </w:rPr>
        <w:t>⚠️ Cours à 0.8% du plus haut 100j (39,300 FCFA)</w:t>
      </w:r>
    </w:p>
    <w:p>
      <w:pPr>
        <w:spacing w:before="120"/>
      </w:pPr>
      <w:r>
        <w:rPr>
          <w:b/>
          <w:color w:val="0050A0"/>
          <w:sz w:val="20"/>
        </w:rPr>
        <w:t>SHEC — SHEC - VIVO ENERGY COTE D'IVOIRE</w:t>
      </w:r>
    </w:p>
    <w:p>
      <w:pPr>
        <w:pStyle w:val="ListBullet"/>
        <w:spacing w:before="20"/>
        <w:ind w:left="400"/>
      </w:pPr>
      <w:r>
        <w:rPr>
          <w:sz w:val="18"/>
        </w:rPr>
        <w:t>🟢 RSI survente (20.5 &lt; 30) — opportunité potentielle</w:t>
      </w:r>
    </w:p>
    <w:p>
      <w:pPr>
        <w:spacing w:before="120"/>
      </w:pPr>
      <w:r>
        <w:rPr>
          <w:b/>
          <w:color w:val="0050A0"/>
          <w:sz w:val="20"/>
        </w:rPr>
        <w:t>SIBC — SIBC - SOCIETE IVOIRIENNE DE BANQUE</w:t>
      </w:r>
    </w:p>
    <w:p>
      <w:pPr>
        <w:pStyle w:val="ListBullet"/>
        <w:spacing w:before="20"/>
        <w:ind w:left="400"/>
      </w:pPr>
      <w:r>
        <w:rPr>
          <w:sz w:val="18"/>
        </w:rPr>
        <w:t>🟠 Divergence tech(VENTE) / fond(ACHAT) — recommandation ajustée à ACHAT</w:t>
      </w:r>
    </w:p>
    <w:p>
      <w:pPr>
        <w:spacing w:before="120"/>
      </w:pPr>
      <w:r>
        <w:rPr>
          <w:b/>
          <w:color w:val="0050A0"/>
          <w:sz w:val="20"/>
        </w:rPr>
        <w:t>SMBC — SMBC - Société Multinationale de Bitumes COTE D'IVOIRE</w:t>
      </w:r>
    </w:p>
    <w:p>
      <w:pPr>
        <w:pStyle w:val="ListBullet"/>
        <w:spacing w:before="20"/>
        <w:ind w:left="400"/>
      </w:pPr>
      <w:r>
        <w:rPr>
          <w:sz w:val="18"/>
        </w:rPr>
        <w:t>🟠 Divergence tech(VENTE) / fond(ACHAT) — recommandation ajustée à ACHAT</w:t>
      </w:r>
    </w:p>
    <w:p>
      <w:pPr>
        <w:spacing w:before="120"/>
      </w:pPr>
      <w:r>
        <w:rPr>
          <w:b/>
          <w:color w:val="0050A0"/>
          <w:sz w:val="20"/>
        </w:rPr>
        <w:t>SPHC — SPHC - Société Africaine de Plantation d'Hévéas de Côte d'Ivoire</w:t>
      </w:r>
    </w:p>
    <w:p>
      <w:pPr>
        <w:pStyle w:val="ListBullet"/>
        <w:spacing w:before="20"/>
        <w:ind w:left="400"/>
      </w:pPr>
      <w:r>
        <w:rPr>
          <w:sz w:val="18"/>
        </w:rPr>
        <w:t>🟠 Divergence tech(VENTE) / fond(ACHAT) — recommandation ajustée à ACHAT</w:t>
      </w:r>
    </w:p>
    <w:p>
      <w:pPr>
        <w:spacing w:before="120"/>
      </w:pPr>
      <w:r>
        <w:rPr>
          <w:b/>
          <w:color w:val="0050A0"/>
          <w:sz w:val="20"/>
        </w:rPr>
        <w:t>STAC — STAC - SETAO COTE D'IVOIRE</w:t>
      </w:r>
    </w:p>
    <w:p>
      <w:pPr>
        <w:pStyle w:val="ListBullet"/>
        <w:spacing w:before="20"/>
        <w:ind w:left="400"/>
      </w:pPr>
      <w:r>
        <w:rPr>
          <w:sz w:val="18"/>
        </w:rPr>
        <w:t>🟠 Divergence tech(VENTE) / fond(ACHAT) — recommandation ajustée à ACHAT</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29 société(s) (60%)</w:t>
            </w:r>
          </w:p>
        </w:tc>
        <w:tc>
          <w:tcPr>
            <w:tcW w:type="dxa" w:w="1644"/>
            <w:shd w:fill="FFEB9C" w:val="clear"/>
          </w:tcPr>
          <w:p>
            <w:r>
              <w:rPr>
                <w:b/>
                <w:color w:val="825A00"/>
                <w:sz w:val="19"/>
              </w:rPr>
              <w:t>19 société(s) (40%)</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19.1/100</w:t>
            </w:r>
          </w:p>
        </w:tc>
        <w:tc>
          <w:tcPr>
            <w:tcW w:type="dxa" w:w="1644"/>
            <w:shd w:fill="DEEAF1" w:val="clear"/>
          </w:tcPr>
          <w:p>
            <w:r>
              <w:rPr>
                <w:b/>
                <w:color w:val="000000"/>
                <w:sz w:val="19"/>
              </w:rPr>
              <w:t>18.8/100</w:t>
            </w:r>
          </w:p>
        </w:tc>
      </w:tr>
    </w:tbl>
    <w:p/>
    <w:p>
      <w:r>
        <w:rPr>
          <w:i/>
          <w:color w:val="006400"/>
          <w:sz w:val="18"/>
        </w:rPr>
        <w:t>✅ Le marché BRVM présente globalement un profil de risque FAIBLE (score moyen 19.1/100).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34.2/100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32.8/100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SNTS</w:t>
            </w:r>
          </w:p>
        </w:tc>
        <w:tc>
          <w:tcPr>
            <w:tcW w:type="dxa" w:w="2268"/>
            <w:shd w:fill="FFFFFF" w:val="clear"/>
          </w:tcPr>
          <w:p>
            <w:r>
              <w:rPr>
                <w:sz w:val="16"/>
              </w:rPr>
              <w:t>SNTS - SONATEL SN</w:t>
            </w:r>
          </w:p>
        </w:tc>
        <w:tc>
          <w:tcPr>
            <w:tcW w:type="dxa" w:w="1701"/>
            <w:shd w:fill="FFFFFF" w:val="clear"/>
          </w:tcPr>
          <w:p>
            <w:r>
              <w:rPr>
                <w:sz w:val="16"/>
              </w:rPr>
              <w:t>TELECOMMUNICATIONS</w:t>
            </w:r>
          </w:p>
        </w:tc>
        <w:tc>
          <w:tcPr>
            <w:tcW w:type="dxa" w:w="1020"/>
            <w:shd w:fill="FFEB9C" w:val="clear"/>
          </w:tcPr>
          <w:p>
            <w:r>
              <w:rPr>
                <w:b/>
                <w:color w:val="B40000"/>
                <w:sz w:val="16"/>
              </w:rPr>
              <w:t>29.3/100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BICB</w:t>
            </w:r>
          </w:p>
        </w:tc>
        <w:tc>
          <w:tcPr>
            <w:tcW w:type="dxa" w:w="2268"/>
            <w:shd w:fill="FFFFFF" w:val="clear"/>
          </w:tcPr>
          <w:p>
            <w:r>
              <w:rPr>
                <w:sz w:val="16"/>
              </w:rPr>
              <w:t>BIIC BN - Banque internation…</w:t>
            </w:r>
          </w:p>
        </w:tc>
        <w:tc>
          <w:tcPr>
            <w:tcW w:type="dxa" w:w="1701"/>
            <w:shd w:fill="FFFFFF" w:val="clear"/>
          </w:tcPr>
          <w:p>
            <w:r>
              <w:rPr>
                <w:sz w:val="16"/>
              </w:rPr>
              <w:t>SERVICES FINANCIER</w:t>
            </w:r>
          </w:p>
        </w:tc>
        <w:tc>
          <w:tcPr>
            <w:tcW w:type="dxa" w:w="1020"/>
            <w:shd w:fill="FFEB9C" w:val="clear"/>
          </w:tcPr>
          <w:p>
            <w:r>
              <w:rPr>
                <w:b/>
                <w:color w:val="B40000"/>
                <w:sz w:val="16"/>
              </w:rPr>
              <w:t>26.3/100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SICC (34.2/100 — Moyen) : </w:t>
      </w:r>
      <w:r>
        <w:rPr>
          <w:sz w:val="17"/>
        </w:rPr>
        <w:t>Volatilité=Élevée | Bêta=Contre-cyclique | Liquidité=Faible | Divergence signaux=taux divergence=0% (Convergent ✅) | Stabilité=Modérée</w:t>
      </w:r>
    </w:p>
    <w:p>
      <w:pPr>
        <w:pStyle w:val="ListBullet"/>
      </w:pPr>
      <w:r>
        <w:rPr>
          <w:b/>
          <w:color w:val="B40000"/>
          <w:sz w:val="18"/>
        </w:rPr>
        <w:t xml:space="preserve">#2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#3 SAFC (32.8/100 — Moyen) : </w:t>
      </w:r>
      <w:r>
        <w:rPr>
          <w:sz w:val="17"/>
        </w:rPr>
        <w:t>Volatilité=Élevée | Bêta=Agressif | Liquidité=Bonne | Divergence signaux=taux divergence=20% (Mixte ⚠️) | Stabilité=Modérée</w:t>
      </w:r>
    </w:p>
    <w:p>
      <w:pPr>
        <w:pStyle w:val="ListBullet"/>
      </w:pPr>
      <w:r>
        <w:rPr>
          <w:b/>
          <w:color w:val="B40000"/>
          <w:sz w:val="18"/>
        </w:rPr>
        <w:t xml:space="preserve">#4 SNTS (29.3/100 — Moyen) : </w:t>
      </w:r>
      <w:r>
        <w:rPr>
          <w:sz w:val="17"/>
        </w:rPr>
        <w:t>Volatilité=Élevée | Bêta=Agressif | Liquidité=Excellente | Divergence signaux=taux divergence=20% (Mixte ⚠️) | Stabilité=Stable</w:t>
      </w:r>
    </w:p>
    <w:p>
      <w:pPr>
        <w:pStyle w:val="ListBullet"/>
      </w:pPr>
      <w:r>
        <w:rPr>
          <w:b/>
          <w:color w:val="B40000"/>
          <w:sz w:val="18"/>
        </w:rPr>
        <w:t xml:space="preserve">#5 BICB (26.3/100 — Moyen) : </w:t>
      </w:r>
      <w:r>
        <w:rPr>
          <w:sz w:val="17"/>
        </w:rPr>
        <w:t>Volatilité=Élevée | Bêta=Neutre  | Liquidité=Excellente | Divergence signaux=taux divergence=20% (Mixte ⚠️) | Stabilité=Stable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SIBC</w:t>
            </w:r>
          </w:p>
        </w:tc>
        <w:tc>
          <w:tcPr>
            <w:tcW w:type="dxa" w:w="2268"/>
            <w:shd w:fill="FFFFFF" w:val="clear"/>
          </w:tcPr>
          <w:p>
            <w:r>
              <w:rPr>
                <w:sz w:val="16"/>
              </w:rPr>
              <w:t>SIBC - SOCIETE IVOIRIENNE DE…</w:t>
            </w:r>
          </w:p>
        </w:tc>
        <w:tc>
          <w:tcPr>
            <w:tcW w:type="dxa" w:w="1701"/>
            <w:shd w:fill="FFFFFF" w:val="clear"/>
          </w:tcPr>
          <w:p>
            <w:r>
              <w:rPr>
                <w:sz w:val="16"/>
              </w:rPr>
              <w:t>SERVICES FINANCIER</w:t>
            </w:r>
          </w:p>
        </w:tc>
        <w:tc>
          <w:tcPr>
            <w:tcW w:type="dxa" w:w="1020"/>
            <w:shd w:fill="C6EFCE" w:val="clear"/>
          </w:tcPr>
          <w:p>
            <w:r>
              <w:rPr>
                <w:b/>
                <w:color w:val="007800"/>
                <w:sz w:val="16"/>
              </w:rPr>
              <w:t>9.3/100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BOAS</w:t>
            </w:r>
          </w:p>
        </w:tc>
        <w:tc>
          <w:tcPr>
            <w:tcW w:type="dxa" w:w="2268"/>
            <w:shd w:fill="FFFFFF" w:val="clear"/>
          </w:tcPr>
          <w:p>
            <w:r>
              <w:rPr>
                <w:sz w:val="16"/>
              </w:rPr>
              <w:t>BANK OF AFRICA SENEGAL</w:t>
            </w:r>
          </w:p>
        </w:tc>
        <w:tc>
          <w:tcPr>
            <w:tcW w:type="dxa" w:w="1701"/>
            <w:shd w:fill="FFFFFF" w:val="clear"/>
          </w:tcPr>
          <w:p>
            <w:r>
              <w:rPr>
                <w:sz w:val="16"/>
              </w:rPr>
              <w:t>SERVICES FINANCIER</w:t>
            </w:r>
          </w:p>
        </w:tc>
        <w:tc>
          <w:tcPr>
            <w:tcW w:type="dxa" w:w="1020"/>
            <w:shd w:fill="C6EFCE" w:val="clear"/>
          </w:tcPr>
          <w:p>
            <w:r>
              <w:rPr>
                <w:b/>
                <w:color w:val="007800"/>
                <w:sz w:val="16"/>
              </w:rPr>
              <w:t>9.3/100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STBC</w:t>
            </w:r>
          </w:p>
        </w:tc>
        <w:tc>
          <w:tcPr>
            <w:tcW w:type="dxa" w:w="2268"/>
            <w:shd w:fill="FFFFFF" w:val="clear"/>
          </w:tcPr>
          <w:p>
            <w:r>
              <w:rPr>
                <w:sz w:val="16"/>
              </w:rPr>
              <w:t>STBC - SITAB COTE D'IVOIRE</w:t>
            </w:r>
          </w:p>
        </w:tc>
        <w:tc>
          <w:tcPr>
            <w:tcW w:type="dxa" w:w="1701"/>
            <w:shd w:fill="FFFFFF" w:val="clear"/>
          </w:tcPr>
          <w:p>
            <w:r>
              <w:rPr>
                <w:sz w:val="16"/>
              </w:rPr>
              <w:t>CONSOMMATION DE BA</w:t>
            </w:r>
          </w:p>
        </w:tc>
        <w:tc>
          <w:tcPr>
            <w:tcW w:type="dxa" w:w="1020"/>
            <w:shd w:fill="C6EFCE" w:val="clear"/>
          </w:tcPr>
          <w:p>
            <w:r>
              <w:rPr>
                <w:b/>
                <w:color w:val="007800"/>
                <w:sz w:val="16"/>
              </w:rPr>
              <w:t>9.5/100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SGBC</w:t>
            </w:r>
          </w:p>
        </w:tc>
        <w:tc>
          <w:tcPr>
            <w:tcW w:type="dxa" w:w="2268"/>
            <w:shd w:fill="FFFFFF" w:val="clear"/>
          </w:tcPr>
          <w:p>
            <w:r>
              <w:rPr>
                <w:sz w:val="16"/>
              </w:rPr>
              <w:t>SGBC - SOCIETE GENERALE COTE…</w:t>
            </w:r>
          </w:p>
        </w:tc>
        <w:tc>
          <w:tcPr>
            <w:tcW w:type="dxa" w:w="1701"/>
            <w:shd w:fill="FFFFFF" w:val="clear"/>
          </w:tcPr>
          <w:p>
            <w:r>
              <w:rPr>
                <w:sz w:val="16"/>
              </w:rPr>
              <w:t>SERVICES FINANCIER</w:t>
            </w:r>
          </w:p>
        </w:tc>
        <w:tc>
          <w:tcPr>
            <w:tcW w:type="dxa" w:w="1020"/>
            <w:shd w:fill="C6EFCE" w:val="clear"/>
          </w:tcPr>
          <w:p>
            <w:r>
              <w:rPr>
                <w:b/>
                <w:color w:val="007800"/>
                <w:sz w:val="16"/>
              </w:rPr>
              <w:t>9.5/100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34.2</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Convergent ✅ / Modérée</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32.8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29.3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26.0</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24.8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FFEB9C" w:val="clear"/>
          </w:tcPr>
          <w:p>
            <w:r>
              <w:rPr>
                <w:b/>
                <w:color w:val="825A00"/>
                <w:sz w:val="15"/>
              </w:rPr>
              <w:t>24.5</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FFEB9C" w:val="clear"/>
          </w:tcPr>
          <w:p>
            <w:r>
              <w:rPr>
                <w:b/>
                <w:color w:val="825A00"/>
                <w:sz w:val="15"/>
              </w:rPr>
              <w:t>24.1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23.6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BBGC</w:t>
            </w:r>
          </w:p>
        </w:tc>
        <w:tc>
          <w:tcPr>
            <w:tcW w:type="dxa" w:w="1984"/>
            <w:shd w:fill="FFFFFF" w:val="clear"/>
          </w:tcPr>
          <w:p>
            <w:r>
              <w:rPr>
                <w:sz w:val="15"/>
              </w:rPr>
              <w:t>BRIDGE BANK GROUP COTE…</w:t>
            </w:r>
          </w:p>
        </w:tc>
        <w:tc>
          <w:tcPr>
            <w:tcW w:type="dxa" w:w="1417"/>
            <w:shd w:fill="FFFFFF" w:val="clear"/>
          </w:tcPr>
          <w:p>
            <w:r>
              <w:rPr>
                <w:sz w:val="15"/>
              </w:rPr>
              <w:t>Services Financi</w:t>
            </w:r>
          </w:p>
        </w:tc>
        <w:tc>
          <w:tcPr>
            <w:tcW w:type="dxa" w:w="737"/>
            <w:shd w:fill="FFEB9C" w:val="clear"/>
          </w:tcPr>
          <w:p>
            <w:r>
              <w:rPr>
                <w:b/>
                <w:color w:val="825A00"/>
                <w:sz w:val="15"/>
              </w:rPr>
              <w:t>22.2</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Convergent ✅ / Modérée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21.1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FFEB9C" w:val="clear"/>
          </w:tcPr>
          <w:p>
            <w:r>
              <w:rPr>
                <w:b/>
                <w:color w:val="825A00"/>
                <w:sz w:val="15"/>
              </w:rPr>
              <w:t>21.1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20.5</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C6EFCE" w:val="clear"/>
          </w:tcPr>
          <w:p>
            <w:r>
              <w:rPr>
                <w:b/>
                <w:color w:val="006400"/>
                <w:sz w:val="15"/>
              </w:rPr>
              <w:t>19.0</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C6EFCE" w:val="clear"/>
          </w:tcPr>
          <w:p>
            <w:r>
              <w:rPr>
                <w:b/>
                <w:color w:val="006400"/>
                <w:sz w:val="15"/>
              </w:rPr>
              <w:t>16.8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C6EFCE" w:val="clear"/>
          </w:tcPr>
          <w:p>
            <w:r>
              <w:rPr>
                <w:b/>
                <w:color w:val="006400"/>
                <w:sz w:val="15"/>
              </w:rPr>
              <w:t>16.8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C6EFCE" w:val="clear"/>
          </w:tcPr>
          <w:p>
            <w:r>
              <w:rPr>
                <w:b/>
                <w:color w:val="006400"/>
                <w:sz w:val="15"/>
              </w:rPr>
              <w:t>14.3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14.3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C6EFCE" w:val="clear"/>
          </w:tcPr>
          <w:p>
            <w:r>
              <w:rPr>
                <w:b/>
                <w:color w:val="006400"/>
                <w:sz w:val="15"/>
              </w:rPr>
              <w:t>13.8</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13.3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13.1</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9.5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9.5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9.3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9.3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48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2F2F2" w:val="clear"/>
          </w:tcPr>
          <w:p>
            <w:r>
              <w:rPr>
                <w:b/>
                <w:color w:val="505050"/>
                <w:sz w:val="18"/>
              </w:rPr>
              <w:t>⚪ NEUTRE / CONSOLIDATION</w:t>
            </w:r>
          </w:p>
        </w:tc>
      </w:tr>
      <w:tr>
        <w:tc>
          <w:tcPr>
            <w:tcW w:type="dxa" w:w="2835"/>
            <w:shd w:fill="DEEAF1" w:val="clear"/>
          </w:tcPr>
          <w:p>
            <w:r>
              <w:rPr>
                <w:b/>
                <w:sz w:val="18"/>
              </w:rPr>
              <w:t>Variation moyenne J+10</w:t>
            </w:r>
          </w:p>
        </w:tc>
        <w:tc>
          <w:tcPr>
            <w:tcW w:type="dxa" w:w="7370"/>
          </w:tcPr>
          <w:p>
            <w:r>
              <w:rPr>
                <w:b/>
                <w:sz w:val="18"/>
              </w:rPr>
              <w:t>+0.44%  |  Médiane : +0.48%</w:t>
            </w:r>
          </w:p>
        </w:tc>
      </w:tr>
      <w:tr>
        <w:tc>
          <w:tcPr>
            <w:tcW w:type="dxa" w:w="2835"/>
            <w:shd w:fill="DEEAF1" w:val="clear"/>
          </w:tcPr>
          <w:p>
            <w:r>
              <w:rPr>
                <w:b/>
                <w:sz w:val="18"/>
              </w:rPr>
              <w:t>Répartition</w:t>
            </w:r>
          </w:p>
        </w:tc>
        <w:tc>
          <w:tcPr>
            <w:tcW w:type="dxa" w:w="7370"/>
          </w:tcPr>
          <w:p>
            <w:r>
              <w:rPr>
                <w:b/>
                <w:sz w:val="18"/>
              </w:rPr>
              <w:t>📈 18 sociétés en hausse (&gt;+1%)   📉 19 en baisse (&lt;-1%)   ➡️ 8 neutres</w:t>
            </w:r>
          </w:p>
        </w:tc>
      </w:tr>
      <w:tr>
        <w:tc>
          <w:tcPr>
            <w:tcW w:type="dxa" w:w="2835"/>
            <w:shd w:fill="DEEAF1" w:val="clear"/>
          </w:tcPr>
          <w:p>
            <w:r>
              <w:rPr>
                <w:b/>
                <w:sz w:val="18"/>
              </w:rPr>
              <w:t>Confiance globale</w:t>
            </w:r>
          </w:p>
        </w:tc>
        <w:tc>
          <w:tcPr>
            <w:tcW w:type="dxa" w:w="7370"/>
          </w:tcPr>
          <w:p>
            <w:r>
              <w:rPr>
                <w:b/>
                <w:sz w:val="18"/>
              </w:rPr>
              <w:t>Élevée : 0 sociétés (0%)   Moyenne : 8   Faible : 37 (82%)   → Confiance dominante : Faible</w:t>
            </w:r>
          </w:p>
        </w:tc>
      </w:tr>
    </w:tbl>
    <w:p/>
    <w:p>
      <w:r>
        <w:rPr>
          <w:i/>
          <w:color w:val="282828"/>
          <w:sz w:val="18"/>
        </w:rPr>
        <w:t>📝 Analyse : Les modèles n'anticipent pas de mouvement directionnel clair. La variation moyenne est de +0.44% avec 8 sociétés en zone neutre (±1%).</w:t>
      </w:r>
    </w:p>
    <w:p>
      <w:r>
        <w:rPr>
          <w:i/>
          <w:color w:val="282828"/>
          <w:sz w:val="18"/>
        </w:rPr>
        <w:t>🎯 Fiabilité : ⚠️ La confiance est globalement FAIBLE (82%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2,270 FCFA</w:t>
            </w:r>
          </w:p>
        </w:tc>
        <w:tc>
          <w:tcPr>
            <w:tcW w:type="dxa" w:w="1417"/>
            <w:shd w:fill="FFFFFF" w:val="clear"/>
          </w:tcPr>
          <w:p>
            <w:r>
              <w:rPr>
                <w:sz w:val="16"/>
              </w:rPr>
              <w:t>3,082 FCFA</w:t>
            </w:r>
          </w:p>
        </w:tc>
        <w:tc>
          <w:tcPr>
            <w:tcW w:type="dxa" w:w="1134"/>
            <w:shd w:fill="C6EFCE" w:val="clear"/>
          </w:tcPr>
          <w:p>
            <w:r>
              <w:rPr>
                <w:b/>
                <w:color w:val="007800"/>
                <w:sz w:val="16"/>
              </w:rPr>
              <w:t>+35.78%</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21,350 FCFA</w:t>
            </w:r>
          </w:p>
        </w:tc>
        <w:tc>
          <w:tcPr>
            <w:tcW w:type="dxa" w:w="1417"/>
            <w:shd w:fill="FFFFFF" w:val="clear"/>
          </w:tcPr>
          <w:p>
            <w:r>
              <w:rPr>
                <w:sz w:val="16"/>
              </w:rPr>
              <w:t>24,505 FCFA</w:t>
            </w:r>
          </w:p>
        </w:tc>
        <w:tc>
          <w:tcPr>
            <w:tcW w:type="dxa" w:w="1134"/>
            <w:shd w:fill="C6EFCE" w:val="clear"/>
          </w:tcPr>
          <w:p>
            <w:r>
              <w:rPr>
                <w:b/>
                <w:color w:val="007800"/>
                <w:sz w:val="16"/>
              </w:rPr>
              <w:t>+14.78%</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BICB — BIIC BN - Banque internationale pou...</w:t>
            </w:r>
          </w:p>
        </w:tc>
        <w:tc>
          <w:tcPr>
            <w:tcW w:type="dxa" w:w="1701"/>
            <w:shd w:fill="FFFFFF" w:val="clear"/>
          </w:tcPr>
          <w:p>
            <w:r>
              <w:rPr>
                <w:sz w:val="16"/>
              </w:rPr>
              <w:t>SERVICES FINANCIERS</w:t>
            </w:r>
          </w:p>
        </w:tc>
        <w:tc>
          <w:tcPr>
            <w:tcW w:type="dxa" w:w="1417"/>
            <w:shd w:fill="FFFFFF" w:val="clear"/>
          </w:tcPr>
          <w:p>
            <w:r>
              <w:rPr>
                <w:sz w:val="16"/>
              </w:rPr>
              <w:t>8,400 FCFA</w:t>
            </w:r>
          </w:p>
        </w:tc>
        <w:tc>
          <w:tcPr>
            <w:tcW w:type="dxa" w:w="1417"/>
            <w:shd w:fill="FFFFFF" w:val="clear"/>
          </w:tcPr>
          <w:p>
            <w:r>
              <w:rPr>
                <w:sz w:val="16"/>
              </w:rPr>
              <w:t>9,296 FCFA</w:t>
            </w:r>
          </w:p>
        </w:tc>
        <w:tc>
          <w:tcPr>
            <w:tcW w:type="dxa" w:w="1134"/>
            <w:shd w:fill="C6EFCE" w:val="clear"/>
          </w:tcPr>
          <w:p>
            <w:r>
              <w:rPr>
                <w:b/>
                <w:color w:val="007800"/>
                <w:sz w:val="16"/>
              </w:rPr>
              <w:t>+10.67%</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SIVC — SIVC - ERIUM CI (Ex AIR LIQUIDECI)</w:t>
            </w:r>
          </w:p>
        </w:tc>
        <w:tc>
          <w:tcPr>
            <w:tcW w:type="dxa" w:w="1701"/>
            <w:shd w:fill="FFFFFF" w:val="clear"/>
          </w:tcPr>
          <w:p>
            <w:r>
              <w:rPr>
                <w:sz w:val="16"/>
              </w:rPr>
              <w:t>INDUSTRIELS</w:t>
            </w:r>
          </w:p>
        </w:tc>
        <w:tc>
          <w:tcPr>
            <w:tcW w:type="dxa" w:w="1417"/>
            <w:shd w:fill="FFFFFF" w:val="clear"/>
          </w:tcPr>
          <w:p>
            <w:r>
              <w:rPr>
                <w:sz w:val="16"/>
              </w:rPr>
              <w:t>1,790 FCFA</w:t>
            </w:r>
          </w:p>
        </w:tc>
        <w:tc>
          <w:tcPr>
            <w:tcW w:type="dxa" w:w="1417"/>
            <w:shd w:fill="FFFFFF" w:val="clear"/>
          </w:tcPr>
          <w:p>
            <w:r>
              <w:rPr>
                <w:sz w:val="16"/>
              </w:rPr>
              <w:t>1,888 FCFA</w:t>
            </w:r>
          </w:p>
        </w:tc>
        <w:tc>
          <w:tcPr>
            <w:tcW w:type="dxa" w:w="1134"/>
            <w:shd w:fill="C6EFCE" w:val="clear"/>
          </w:tcPr>
          <w:p>
            <w:r>
              <w:rPr>
                <w:b/>
                <w:color w:val="007800"/>
                <w:sz w:val="16"/>
              </w:rPr>
              <w:t>+5.50%</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BOAN — BANK OF AFRICA NIGER</w:t>
            </w:r>
          </w:p>
        </w:tc>
        <w:tc>
          <w:tcPr>
            <w:tcW w:type="dxa" w:w="1701"/>
            <w:shd w:fill="FFFFFF" w:val="clear"/>
          </w:tcPr>
          <w:p>
            <w:r>
              <w:rPr>
                <w:sz w:val="16"/>
              </w:rPr>
              <w:t>SERVICES FINANCIERS</w:t>
            </w:r>
          </w:p>
        </w:tc>
        <w:tc>
          <w:tcPr>
            <w:tcW w:type="dxa" w:w="1417"/>
            <w:shd w:fill="FFFFFF" w:val="clear"/>
          </w:tcPr>
          <w:p>
            <w:r>
              <w:rPr>
                <w:sz w:val="16"/>
              </w:rPr>
              <w:t>4,700 FCFA</w:t>
            </w:r>
          </w:p>
        </w:tc>
        <w:tc>
          <w:tcPr>
            <w:tcW w:type="dxa" w:w="1417"/>
            <w:shd w:fill="FFFFFF" w:val="clear"/>
          </w:tcPr>
          <w:p>
            <w:r>
              <w:rPr>
                <w:sz w:val="16"/>
              </w:rPr>
              <w:t>4,947 FCFA</w:t>
            </w:r>
          </w:p>
        </w:tc>
        <w:tc>
          <w:tcPr>
            <w:tcW w:type="dxa" w:w="1134"/>
            <w:shd w:fill="C6EFCE" w:val="clear"/>
          </w:tcPr>
          <w:p>
            <w:r>
              <w:rPr>
                <w:b/>
                <w:color w:val="007800"/>
                <w:sz w:val="16"/>
              </w:rPr>
              <w:t>+5.26%</w:t>
            </w:r>
          </w:p>
        </w:tc>
        <w:tc>
          <w:tcPr>
            <w:tcW w:type="dxa" w:w="1020"/>
            <w:shd w:fill="FFC7CE" w:val="clear"/>
          </w:tcPr>
          <w:p>
            <w:r>
              <w:rPr>
                <w:sz w:val="16"/>
              </w:rPr>
              <w:t>Faible</w:t>
            </w:r>
          </w:p>
        </w:tc>
      </w:tr>
    </w:tbl>
    <w:p/>
    <w:p>
      <w:pPr>
        <w:pStyle w:val="ListBullet"/>
      </w:pPr>
      <w:r>
        <w:rPr>
          <w:b/>
          <w:color w:val="006400"/>
          <w:sz w:val="18"/>
        </w:rPr>
        <w:t xml:space="preserve">#1 SCRC </w:t>
      </w:r>
      <w:r>
        <w:rPr>
          <w:sz w:val="17"/>
        </w:rPr>
        <w:t>(SCRC - SUCRIVOIRE) — hausse très forte (+35.8%) — signal potentiellement excessif, à croiser avec l'analyse technique. Trajectoire : 📈 Hausse continue. Cours actuel : 2,270 FCFA → prédit J+10 : 3,082 FCFA. ⚠️ Confiance limitée — volatilité élevée ou données insuffisantes. Résultat indicatif uniquement.</w:t>
      </w:r>
    </w:p>
    <w:p>
      <w:pPr>
        <w:pStyle w:val="ListBullet"/>
      </w:pPr>
      <w:r>
        <w:rPr>
          <w:b/>
          <w:color w:val="006400"/>
          <w:sz w:val="18"/>
        </w:rPr>
        <w:t xml:space="preserve">#2 STBC </w:t>
      </w:r>
      <w:r>
        <w:rPr>
          <w:sz w:val="17"/>
        </w:rPr>
        <w:t>(STBC - SITAB COTE D'IVOIRE) — hausse significative (+14.8%) — potentiel de revalorisation notable. Trajectoire : 📈 Hausse continue. Cours actuel : 21,350 FCFA → prédit J+10 : 24,505 FCFA. ⚠️ Confiance limitée — volatilité élevée ou données insuffisantes. Résultat indicatif uniquement.</w:t>
      </w:r>
    </w:p>
    <w:p>
      <w:pPr>
        <w:pStyle w:val="ListBullet"/>
      </w:pPr>
      <w:r>
        <w:rPr>
          <w:b/>
          <w:color w:val="006400"/>
          <w:sz w:val="18"/>
        </w:rPr>
        <w:t xml:space="preserve">#3 BICB </w:t>
      </w:r>
      <w:r>
        <w:rPr>
          <w:sz w:val="17"/>
        </w:rPr>
        <w:t>(BIIC BN - Banque internationale pour le ) — hausse significative (+10.7%) — potentiel de revalorisation notable. Trajectoire : 📈 Hausse continue. Cours actuel : 8,400 FCFA → prédit J+10 : 9,296 FCFA. ⚠️ Confiance limitée — volatilité élevée ou données insuffisantes. Résultat indicatif uniquement.</w:t>
      </w:r>
    </w:p>
    <w:p>
      <w:pPr>
        <w:pStyle w:val="ListBullet"/>
      </w:pPr>
      <w:r>
        <w:rPr>
          <w:b/>
          <w:color w:val="006400"/>
          <w:sz w:val="18"/>
        </w:rPr>
        <w:t xml:space="preserve">#4 SIVC </w:t>
      </w:r>
      <w:r>
        <w:rPr>
          <w:sz w:val="17"/>
        </w:rPr>
        <w:t>(SIVC - ERIUM CI (Ex AIR LIQUIDECI)) — hausse modérée (+5.5%) — signal raisonnable et crédible. Trajectoire : 📈 Hausse continue. Cours actuel : 1,790 FCFA → prédit J+10 : 1,888 FCFA. ⚠️ Confiance limitée — volatilité élevée ou données insuffisantes. Résultat indicatif uniquement.</w:t>
      </w:r>
    </w:p>
    <w:p>
      <w:pPr>
        <w:pStyle w:val="ListBullet"/>
      </w:pPr>
      <w:r>
        <w:rPr>
          <w:b/>
          <w:color w:val="006400"/>
          <w:sz w:val="18"/>
        </w:rPr>
        <w:t xml:space="preserve">#5 BOAN </w:t>
      </w:r>
      <w:r>
        <w:rPr>
          <w:sz w:val="17"/>
        </w:rPr>
        <w:t>(BANK OF AFRICA NIGER) — hausse modérée (+5.3%) — signal raisonnable et crédible. Trajectoire : 📈 Hausse continue. Cours actuel : 4,700 FCFA → prédit J+10 : 4,947 FCFA. ⚠️ Confiance limitée — volatilité élevée ou données insuffisantes. Résultat indicatif uniquement.</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BOAS — BANK OF AFRICA SENEGAL</w:t>
            </w:r>
          </w:p>
        </w:tc>
        <w:tc>
          <w:tcPr>
            <w:tcW w:type="dxa" w:w="1701"/>
            <w:shd w:fill="FFFFFF" w:val="clear"/>
          </w:tcPr>
          <w:p>
            <w:r>
              <w:rPr>
                <w:sz w:val="16"/>
              </w:rPr>
              <w:t>SERVICES FINANCIERS</w:t>
            </w:r>
          </w:p>
        </w:tc>
        <w:tc>
          <w:tcPr>
            <w:tcW w:type="dxa" w:w="1417"/>
            <w:shd w:fill="FFFFFF" w:val="clear"/>
          </w:tcPr>
          <w:p>
            <w:r>
              <w:rPr>
                <w:sz w:val="16"/>
              </w:rPr>
              <w:t>8,150 FCFA</w:t>
            </w:r>
          </w:p>
        </w:tc>
        <w:tc>
          <w:tcPr>
            <w:tcW w:type="dxa" w:w="1417"/>
            <w:shd w:fill="FFFFFF" w:val="clear"/>
          </w:tcPr>
          <w:p>
            <w:r>
              <w:rPr>
                <w:sz w:val="16"/>
              </w:rPr>
              <w:t>7,110 FCFA</w:t>
            </w:r>
          </w:p>
        </w:tc>
        <w:tc>
          <w:tcPr>
            <w:tcW w:type="dxa" w:w="1134"/>
            <w:shd w:fill="FFC7CE" w:val="clear"/>
          </w:tcPr>
          <w:p>
            <w:r>
              <w:rPr>
                <w:b/>
                <w:color w:val="B40000"/>
                <w:sz w:val="16"/>
              </w:rPr>
              <w:t>-12.75%</w:t>
            </w:r>
          </w:p>
        </w:tc>
        <w:tc>
          <w:tcPr>
            <w:tcW w:type="dxa" w:w="1020"/>
            <w:shd w:fill="FFEB9C" w:val="clear"/>
          </w:tcPr>
          <w:p>
            <w:r>
              <w:rPr>
                <w:sz w:val="16"/>
              </w:rPr>
              <w:t>Moyenne</w:t>
            </w:r>
          </w:p>
        </w:tc>
      </w:tr>
      <w:tr>
        <w:tc>
          <w:tcPr>
            <w:tcW w:type="dxa" w:w="680"/>
            <w:shd w:fill="FFFFFF" w:val="clear"/>
          </w:tcPr>
          <w:p>
            <w:r>
              <w:rPr>
                <w:b/>
                <w:sz w:val="16"/>
              </w:rPr>
              <w:t>#2</w:t>
            </w:r>
          </w:p>
        </w:tc>
        <w:tc>
          <w:tcPr>
            <w:tcW w:type="dxa" w:w="2835"/>
            <w:shd w:fill="FFC7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20,510 FCFA</w:t>
            </w:r>
          </w:p>
        </w:tc>
        <w:tc>
          <w:tcPr>
            <w:tcW w:type="dxa" w:w="1417"/>
            <w:shd w:fill="FFFFFF" w:val="clear"/>
          </w:tcPr>
          <w:p>
            <w:r>
              <w:rPr>
                <w:sz w:val="16"/>
              </w:rPr>
              <w:t>18,450 FCFA</w:t>
            </w:r>
          </w:p>
        </w:tc>
        <w:tc>
          <w:tcPr>
            <w:tcW w:type="dxa" w:w="1134"/>
            <w:shd w:fill="FFC7CE" w:val="clear"/>
          </w:tcPr>
          <w:p>
            <w:r>
              <w:rPr>
                <w:b/>
                <w:color w:val="B40000"/>
                <w:sz w:val="16"/>
              </w:rPr>
              <w:t>-10.04%</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CBIBF — CBIBF - CORIS BANK INTERNATIONAL BU...</w:t>
            </w:r>
          </w:p>
        </w:tc>
        <w:tc>
          <w:tcPr>
            <w:tcW w:type="dxa" w:w="1701"/>
            <w:shd w:fill="FFFFFF" w:val="clear"/>
          </w:tcPr>
          <w:p>
            <w:r>
              <w:rPr>
                <w:sz w:val="16"/>
              </w:rPr>
              <w:t>SERVICES FINANCIERS</w:t>
            </w:r>
          </w:p>
        </w:tc>
        <w:tc>
          <w:tcPr>
            <w:tcW w:type="dxa" w:w="1417"/>
            <w:shd w:fill="FFFFFF" w:val="clear"/>
          </w:tcPr>
          <w:p>
            <w:r>
              <w:rPr>
                <w:sz w:val="16"/>
              </w:rPr>
              <w:t>31,500 FCFA</w:t>
            </w:r>
          </w:p>
        </w:tc>
        <w:tc>
          <w:tcPr>
            <w:tcW w:type="dxa" w:w="1417"/>
            <w:shd w:fill="FFFFFF" w:val="clear"/>
          </w:tcPr>
          <w:p>
            <w:r>
              <w:rPr>
                <w:sz w:val="16"/>
              </w:rPr>
              <w:t>28,719 FCFA</w:t>
            </w:r>
          </w:p>
        </w:tc>
        <w:tc>
          <w:tcPr>
            <w:tcW w:type="dxa" w:w="1134"/>
            <w:shd w:fill="FFC7CE" w:val="clear"/>
          </w:tcPr>
          <w:p>
            <w:r>
              <w:rPr>
                <w:b/>
                <w:color w:val="B40000"/>
                <w:sz w:val="16"/>
              </w:rPr>
              <w:t>-8.83%</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BOAM — BANK OF AFRICA MALI</w:t>
            </w:r>
          </w:p>
        </w:tc>
        <w:tc>
          <w:tcPr>
            <w:tcW w:type="dxa" w:w="1701"/>
            <w:shd w:fill="FFFFFF" w:val="clear"/>
          </w:tcPr>
          <w:p>
            <w:r>
              <w:rPr>
                <w:sz w:val="16"/>
              </w:rPr>
              <w:t>SERVICES FINANCIERS</w:t>
            </w:r>
          </w:p>
        </w:tc>
        <w:tc>
          <w:tcPr>
            <w:tcW w:type="dxa" w:w="1417"/>
            <w:shd w:fill="FFFFFF" w:val="clear"/>
          </w:tcPr>
          <w:p>
            <w:r>
              <w:rPr>
                <w:sz w:val="16"/>
              </w:rPr>
              <w:t>5,700 FCFA</w:t>
            </w:r>
          </w:p>
        </w:tc>
        <w:tc>
          <w:tcPr>
            <w:tcW w:type="dxa" w:w="1417"/>
            <w:shd w:fill="FFFFFF" w:val="clear"/>
          </w:tcPr>
          <w:p>
            <w:r>
              <w:rPr>
                <w:sz w:val="16"/>
              </w:rPr>
              <w:t>5,317 FCFA</w:t>
            </w:r>
          </w:p>
        </w:tc>
        <w:tc>
          <w:tcPr>
            <w:tcW w:type="dxa" w:w="1134"/>
            <w:shd w:fill="FFC7CE" w:val="clear"/>
          </w:tcPr>
          <w:p>
            <w:r>
              <w:rPr>
                <w:b/>
                <w:color w:val="B40000"/>
                <w:sz w:val="16"/>
              </w:rPr>
              <w:t>-6.72%</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FTSC — FTSC - FILTISAC COTE D'IVOIRE</w:t>
            </w:r>
          </w:p>
        </w:tc>
        <w:tc>
          <w:tcPr>
            <w:tcW w:type="dxa" w:w="1701"/>
            <w:shd w:fill="FFFFFF" w:val="clear"/>
          </w:tcPr>
          <w:p>
            <w:r>
              <w:rPr>
                <w:sz w:val="16"/>
              </w:rPr>
              <w:t>INDUSTRIELS</w:t>
            </w:r>
          </w:p>
        </w:tc>
        <w:tc>
          <w:tcPr>
            <w:tcW w:type="dxa" w:w="1417"/>
            <w:shd w:fill="FFFFFF" w:val="clear"/>
          </w:tcPr>
          <w:p>
            <w:r>
              <w:rPr>
                <w:sz w:val="16"/>
              </w:rPr>
              <w:t>1,800 FCFA</w:t>
            </w:r>
          </w:p>
        </w:tc>
        <w:tc>
          <w:tcPr>
            <w:tcW w:type="dxa" w:w="1417"/>
            <w:shd w:fill="FFFFFF" w:val="clear"/>
          </w:tcPr>
          <w:p>
            <w:r>
              <w:rPr>
                <w:sz w:val="16"/>
              </w:rPr>
              <w:t>1,689 FCFA</w:t>
            </w:r>
          </w:p>
        </w:tc>
        <w:tc>
          <w:tcPr>
            <w:tcW w:type="dxa" w:w="1134"/>
            <w:shd w:fill="FFC7CE" w:val="clear"/>
          </w:tcPr>
          <w:p>
            <w:r>
              <w:rPr>
                <w:b/>
                <w:color w:val="B40000"/>
                <w:sz w:val="16"/>
              </w:rPr>
              <w:t>-6.14%</w:t>
            </w:r>
          </w:p>
        </w:tc>
        <w:tc>
          <w:tcPr>
            <w:tcW w:type="dxa" w:w="1020"/>
            <w:shd w:fill="FFC7CE" w:val="clear"/>
          </w:tcPr>
          <w:p>
            <w:r>
              <w:rPr>
                <w:sz w:val="16"/>
              </w:rPr>
              <w:t>Faible</w:t>
            </w:r>
          </w:p>
        </w:tc>
      </w:tr>
    </w:tbl>
    <w:p/>
    <w:p>
      <w:pPr>
        <w:pStyle w:val="ListBullet"/>
      </w:pPr>
      <w:r>
        <w:rPr>
          <w:b/>
          <w:color w:val="B40000"/>
          <w:sz w:val="18"/>
        </w:rPr>
        <w:t xml:space="preserve">#1 BOAS </w:t>
      </w:r>
      <w:r>
        <w:rPr>
          <w:sz w:val="17"/>
        </w:rPr>
        <w:t>(BANK OF AFRICA SENEGAL) — baisse modérée (-12.8%) — repli technique attendu. Trajectoire : 📉 Baisse continue. Cours actuel : 8,150 FCFA → prédit J+10 : 7,110 FCFA. Confiance partielle — surveiller l'évolution réelle des premiers jours.</w:t>
      </w:r>
    </w:p>
    <w:p>
      <w:pPr>
        <w:pStyle w:val="ListBullet"/>
      </w:pPr>
      <w:r>
        <w:rPr>
          <w:b/>
          <w:color w:val="B40000"/>
          <w:sz w:val="18"/>
        </w:rPr>
        <w:t xml:space="preserve">#2 NSBC </w:t>
      </w:r>
      <w:r>
        <w:rPr>
          <w:sz w:val="17"/>
        </w:rPr>
        <w:t>(NSBC - NSIA BANQUE COTE D'IVOIRE) — baisse modérée (-10.0%) — repli technique attendu. Trajectoire : 📉 Baisse continue. Cours actuel : 20,510 FCFA → prédit J+10 : 18,450 FCFA. ⚠️ Confiance limitée — volatilité élevée. Ne pas agir sur ce seul signal.</w:t>
      </w:r>
    </w:p>
    <w:p>
      <w:pPr>
        <w:pStyle w:val="ListBullet"/>
      </w:pPr>
      <w:r>
        <w:rPr>
          <w:b/>
          <w:color w:val="B40000"/>
          <w:sz w:val="18"/>
        </w:rPr>
        <w:t xml:space="preserve">#3 CBIBF </w:t>
      </w:r>
      <w:r>
        <w:rPr>
          <w:sz w:val="17"/>
        </w:rPr>
        <w:t>(CBIBF - CORIS BANK INTERNATIONAL BURKINA) — baisse modérée (-8.8%) — repli technique attendu. Trajectoire : 📉 Baisse continue. Cours actuel : 31,500 FCFA → prédit J+10 : 28,719 FCFA. ⚠️ Confiance limitée — volatilité élevée. Ne pas agir sur ce seul signal.</w:t>
      </w:r>
    </w:p>
    <w:p>
      <w:pPr>
        <w:pStyle w:val="ListBullet"/>
      </w:pPr>
      <w:r>
        <w:rPr>
          <w:b/>
          <w:color w:val="B40000"/>
          <w:sz w:val="18"/>
        </w:rPr>
        <w:t xml:space="preserve">#4 BOAM </w:t>
      </w:r>
      <w:r>
        <w:rPr>
          <w:sz w:val="17"/>
        </w:rPr>
        <w:t>(BANK OF AFRICA MALI) — baisse modérée (-6.7%) — repli technique attendu. Trajectoire : 📉 Baisse continue. Cours actuel : 5,700 FCFA → prédit J+10 : 5,317 FCFA. ⚠️ Confiance limitée — volatilité élevée. Ne pas agir sur ce seul signal.</w:t>
      </w:r>
    </w:p>
    <w:p>
      <w:pPr>
        <w:pStyle w:val="ListBullet"/>
      </w:pPr>
      <w:r>
        <w:rPr>
          <w:b/>
          <w:color w:val="B40000"/>
          <w:sz w:val="18"/>
        </w:rPr>
        <w:t xml:space="preserve">#5 FTSC </w:t>
      </w:r>
      <w:r>
        <w:rPr>
          <w:sz w:val="17"/>
        </w:rPr>
        <w:t>(FTSC - FILTISAC COTE D'IVOIRE) — baisse modérée (-6.1%) — repli technique attendu. Trajectoire : 📉 Baisse continue. Cours actuel : 1,800 FCFA → prédit J+10 : 1,689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2,270</w:t>
            </w:r>
          </w:p>
        </w:tc>
        <w:tc>
          <w:tcPr>
            <w:tcW w:type="dxa" w:w="1417"/>
            <w:shd w:fill="FFFFFF" w:val="clear"/>
          </w:tcPr>
          <w:p>
            <w:r>
              <w:rPr>
                <w:sz w:val="16"/>
              </w:rPr>
              <w:t>3,082</w:t>
            </w:r>
          </w:p>
        </w:tc>
        <w:tc>
          <w:tcPr>
            <w:tcW w:type="dxa" w:w="1134"/>
            <w:shd w:fill="C6EFCE" w:val="clear"/>
          </w:tcPr>
          <w:p>
            <w:r>
              <w:rPr>
                <w:b/>
                <w:color w:val="007800"/>
                <w:sz w:val="16"/>
              </w:rPr>
              <w:t>+35.78%</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21,350</w:t>
            </w:r>
          </w:p>
        </w:tc>
        <w:tc>
          <w:tcPr>
            <w:tcW w:type="dxa" w:w="1417"/>
            <w:shd w:fill="FFFFFF" w:val="clear"/>
          </w:tcPr>
          <w:p>
            <w:r>
              <w:rPr>
                <w:sz w:val="16"/>
              </w:rPr>
              <w:t>24,505</w:t>
            </w:r>
          </w:p>
        </w:tc>
        <w:tc>
          <w:tcPr>
            <w:tcW w:type="dxa" w:w="1134"/>
            <w:shd w:fill="C6EFCE" w:val="clear"/>
          </w:tcPr>
          <w:p>
            <w:r>
              <w:rPr>
                <w:b/>
                <w:color w:val="007800"/>
                <w:sz w:val="16"/>
              </w:rPr>
              <w:t>+14.78%</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8,400</w:t>
            </w:r>
          </w:p>
        </w:tc>
        <w:tc>
          <w:tcPr>
            <w:tcW w:type="dxa" w:w="1417"/>
            <w:shd w:fill="FFFFFF" w:val="clear"/>
          </w:tcPr>
          <w:p>
            <w:r>
              <w:rPr>
                <w:sz w:val="16"/>
              </w:rPr>
              <w:t>9,296</w:t>
            </w:r>
          </w:p>
        </w:tc>
        <w:tc>
          <w:tcPr>
            <w:tcW w:type="dxa" w:w="1134"/>
            <w:shd w:fill="C6EFCE" w:val="clear"/>
          </w:tcPr>
          <w:p>
            <w:r>
              <w:rPr>
                <w:b/>
                <w:color w:val="007800"/>
                <w:sz w:val="16"/>
              </w:rPr>
              <w:t>+10.67%</w:t>
            </w:r>
          </w:p>
        </w:tc>
        <w:tc>
          <w:tcPr>
            <w:tcW w:type="dxa" w:w="1134"/>
            <w:shd w:fill="FFC7CE" w:val="clear"/>
          </w:tcPr>
          <w:p>
            <w:r>
              <w:rPr>
                <w:sz w:val="16"/>
              </w:rPr>
              <w:t>Faible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1,790</w:t>
            </w:r>
          </w:p>
        </w:tc>
        <w:tc>
          <w:tcPr>
            <w:tcW w:type="dxa" w:w="1417"/>
            <w:shd w:fill="FFFFFF" w:val="clear"/>
          </w:tcPr>
          <w:p>
            <w:r>
              <w:rPr>
                <w:sz w:val="16"/>
              </w:rPr>
              <w:t>1,888</w:t>
            </w:r>
          </w:p>
        </w:tc>
        <w:tc>
          <w:tcPr>
            <w:tcW w:type="dxa" w:w="1134"/>
            <w:shd w:fill="C6EFCE" w:val="clear"/>
          </w:tcPr>
          <w:p>
            <w:r>
              <w:rPr>
                <w:b/>
                <w:color w:val="007800"/>
                <w:sz w:val="16"/>
              </w:rPr>
              <w:t>+5.50%</w:t>
            </w:r>
          </w:p>
        </w:tc>
        <w:tc>
          <w:tcPr>
            <w:tcW w:type="dxa" w:w="1134"/>
            <w:shd w:fill="FFC7CE" w:val="clear"/>
          </w:tcPr>
          <w:p>
            <w:r>
              <w:rPr>
                <w:sz w:val="16"/>
              </w:rPr>
              <w:t>Faible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4,700</w:t>
            </w:r>
          </w:p>
        </w:tc>
        <w:tc>
          <w:tcPr>
            <w:tcW w:type="dxa" w:w="1417"/>
            <w:shd w:fill="FFFFFF" w:val="clear"/>
          </w:tcPr>
          <w:p>
            <w:r>
              <w:rPr>
                <w:sz w:val="16"/>
              </w:rPr>
              <w:t>4,947</w:t>
            </w:r>
          </w:p>
        </w:tc>
        <w:tc>
          <w:tcPr>
            <w:tcW w:type="dxa" w:w="1134"/>
            <w:shd w:fill="C6EFCE" w:val="clear"/>
          </w:tcPr>
          <w:p>
            <w:r>
              <w:rPr>
                <w:b/>
                <w:color w:val="007800"/>
                <w:sz w:val="16"/>
              </w:rPr>
              <w:t>+5.26%</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5,800</w:t>
            </w:r>
          </w:p>
        </w:tc>
        <w:tc>
          <w:tcPr>
            <w:tcW w:type="dxa" w:w="1417"/>
            <w:shd w:fill="FFFFFF" w:val="clear"/>
          </w:tcPr>
          <w:p>
            <w:r>
              <w:rPr>
                <w:sz w:val="16"/>
              </w:rPr>
              <w:t>6,071</w:t>
            </w:r>
          </w:p>
        </w:tc>
        <w:tc>
          <w:tcPr>
            <w:tcW w:type="dxa" w:w="1134"/>
            <w:shd w:fill="C6EFCE" w:val="clear"/>
          </w:tcPr>
          <w:p>
            <w:r>
              <w:rPr>
                <w:b/>
                <w:color w:val="007800"/>
                <w:sz w:val="16"/>
              </w:rPr>
              <w:t>+4.68%</w:t>
            </w:r>
          </w:p>
        </w:tc>
        <w:tc>
          <w:tcPr>
            <w:tcW w:type="dxa" w:w="1134"/>
            <w:shd w:fill="FFC7CE" w:val="clear"/>
          </w:tcPr>
          <w:p>
            <w:r>
              <w:rPr>
                <w:sz w:val="16"/>
              </w:rPr>
              <w:t>Faible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1,450</w:t>
            </w:r>
          </w:p>
        </w:tc>
        <w:tc>
          <w:tcPr>
            <w:tcW w:type="dxa" w:w="1417"/>
            <w:shd w:fill="FFFFFF" w:val="clear"/>
          </w:tcPr>
          <w:p>
            <w:r>
              <w:rPr>
                <w:sz w:val="16"/>
              </w:rPr>
              <w:t>1,504</w:t>
            </w:r>
          </w:p>
        </w:tc>
        <w:tc>
          <w:tcPr>
            <w:tcW w:type="dxa" w:w="1134"/>
            <w:shd w:fill="C6EFCE" w:val="clear"/>
          </w:tcPr>
          <w:p>
            <w:r>
              <w:rPr>
                <w:b/>
                <w:color w:val="007800"/>
                <w:sz w:val="16"/>
              </w:rPr>
              <w:t>+3.71%</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38,500</w:t>
            </w:r>
          </w:p>
        </w:tc>
        <w:tc>
          <w:tcPr>
            <w:tcW w:type="dxa" w:w="1417"/>
            <w:shd w:fill="FFFFFF" w:val="clear"/>
          </w:tcPr>
          <w:p>
            <w:r>
              <w:rPr>
                <w:sz w:val="16"/>
              </w:rPr>
              <w:t>39,851</w:t>
            </w:r>
          </w:p>
        </w:tc>
        <w:tc>
          <w:tcPr>
            <w:tcW w:type="dxa" w:w="1134"/>
            <w:shd w:fill="C6EFCE" w:val="clear"/>
          </w:tcPr>
          <w:p>
            <w:r>
              <w:rPr>
                <w:b/>
                <w:color w:val="007800"/>
                <w:sz w:val="16"/>
              </w:rPr>
              <w:t>+3.51%</w:t>
            </w:r>
          </w:p>
        </w:tc>
        <w:tc>
          <w:tcPr>
            <w:tcW w:type="dxa" w:w="1134"/>
            <w:shd w:fill="FFEB9C" w:val="clear"/>
          </w:tcPr>
          <w:p>
            <w:r>
              <w:rPr>
                <w:sz w:val="16"/>
              </w:rPr>
              <w:t>Moyenne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15,900</w:t>
            </w:r>
          </w:p>
        </w:tc>
        <w:tc>
          <w:tcPr>
            <w:tcW w:type="dxa" w:w="1417"/>
            <w:shd w:fill="FFFFFF" w:val="clear"/>
          </w:tcPr>
          <w:p>
            <w:r>
              <w:rPr>
                <w:sz w:val="16"/>
              </w:rPr>
              <w:t>16,360</w:t>
            </w:r>
          </w:p>
        </w:tc>
        <w:tc>
          <w:tcPr>
            <w:tcW w:type="dxa" w:w="1134"/>
            <w:shd w:fill="C6EFCE" w:val="clear"/>
          </w:tcPr>
          <w:p>
            <w:r>
              <w:rPr>
                <w:b/>
                <w:color w:val="007800"/>
                <w:sz w:val="16"/>
              </w:rPr>
              <w:t>+2.89%</w:t>
            </w:r>
          </w:p>
        </w:tc>
        <w:tc>
          <w:tcPr>
            <w:tcW w:type="dxa" w:w="1134"/>
            <w:shd w:fill="FFEB9C" w:val="clear"/>
          </w:tcPr>
          <w:p>
            <w:r>
              <w:rPr>
                <w:sz w:val="16"/>
              </w:rPr>
              <w:t>Moyenne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14,700</w:t>
            </w:r>
          </w:p>
        </w:tc>
        <w:tc>
          <w:tcPr>
            <w:tcW w:type="dxa" w:w="1417"/>
            <w:shd w:fill="FFFFFF" w:val="clear"/>
          </w:tcPr>
          <w:p>
            <w:r>
              <w:rPr>
                <w:sz w:val="16"/>
              </w:rPr>
              <w:t>15,116</w:t>
            </w:r>
          </w:p>
        </w:tc>
        <w:tc>
          <w:tcPr>
            <w:tcW w:type="dxa" w:w="1134"/>
            <w:shd w:fill="C6EFCE" w:val="clear"/>
          </w:tcPr>
          <w:p>
            <w:r>
              <w:rPr>
                <w:b/>
                <w:color w:val="007800"/>
                <w:sz w:val="16"/>
              </w:rPr>
              <w:t>+2.83%</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3,900</w:t>
            </w:r>
          </w:p>
        </w:tc>
        <w:tc>
          <w:tcPr>
            <w:tcW w:type="dxa" w:w="1417"/>
            <w:shd w:fill="FFFFFF" w:val="clear"/>
          </w:tcPr>
          <w:p>
            <w:r>
              <w:rPr>
                <w:sz w:val="16"/>
              </w:rPr>
              <w:t>4,010</w:t>
            </w:r>
          </w:p>
        </w:tc>
        <w:tc>
          <w:tcPr>
            <w:tcW w:type="dxa" w:w="1134"/>
            <w:shd w:fill="C6EFCE" w:val="clear"/>
          </w:tcPr>
          <w:p>
            <w:r>
              <w:rPr>
                <w:b/>
                <w:color w:val="007800"/>
                <w:sz w:val="16"/>
              </w:rPr>
              <w:t>+2.82%</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2,030</w:t>
            </w:r>
          </w:p>
        </w:tc>
        <w:tc>
          <w:tcPr>
            <w:tcW w:type="dxa" w:w="1417"/>
            <w:shd w:fill="FFFFFF" w:val="clear"/>
          </w:tcPr>
          <w:p>
            <w:r>
              <w:rPr>
                <w:sz w:val="16"/>
              </w:rPr>
              <w:t>2,073</w:t>
            </w:r>
          </w:p>
        </w:tc>
        <w:tc>
          <w:tcPr>
            <w:tcW w:type="dxa" w:w="1134"/>
            <w:shd w:fill="C6EFCE" w:val="clear"/>
          </w:tcPr>
          <w:p>
            <w:r>
              <w:rPr>
                <w:b/>
                <w:color w:val="007800"/>
                <w:sz w:val="16"/>
              </w:rPr>
              <w:t>+2.12%</w:t>
            </w:r>
          </w:p>
        </w:tc>
        <w:tc>
          <w:tcPr>
            <w:tcW w:type="dxa" w:w="1134"/>
            <w:shd w:fill="FFC7CE" w:val="clear"/>
          </w:tcPr>
          <w:p>
            <w:r>
              <w:rPr>
                <w:sz w:val="16"/>
              </w:rPr>
              <w:t>Faible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2,190</w:t>
            </w:r>
          </w:p>
        </w:tc>
        <w:tc>
          <w:tcPr>
            <w:tcW w:type="dxa" w:w="1417"/>
            <w:shd w:fill="FFFFFF" w:val="clear"/>
          </w:tcPr>
          <w:p>
            <w:r>
              <w:rPr>
                <w:sz w:val="16"/>
              </w:rPr>
              <w:t>2,234</w:t>
            </w:r>
          </w:p>
        </w:tc>
        <w:tc>
          <w:tcPr>
            <w:tcW w:type="dxa" w:w="1134"/>
            <w:shd w:fill="C6EFCE" w:val="clear"/>
          </w:tcPr>
          <w:p>
            <w:r>
              <w:rPr>
                <w:b/>
                <w:color w:val="007800"/>
                <w:sz w:val="16"/>
              </w:rPr>
              <w:t>+2.01%</w:t>
            </w:r>
          </w:p>
        </w:tc>
        <w:tc>
          <w:tcPr>
            <w:tcW w:type="dxa" w:w="1134"/>
            <w:shd w:fill="FFC7CE" w:val="clear"/>
          </w:tcPr>
          <w:p>
            <w:r>
              <w:rPr>
                <w:sz w:val="16"/>
              </w:rPr>
              <w:t>Faible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43,500</w:t>
            </w:r>
          </w:p>
        </w:tc>
        <w:tc>
          <w:tcPr>
            <w:tcW w:type="dxa" w:w="1417"/>
            <w:shd w:fill="FFFFFF" w:val="clear"/>
          </w:tcPr>
          <w:p>
            <w:r>
              <w:rPr>
                <w:sz w:val="16"/>
              </w:rPr>
              <w:t>44,213</w:t>
            </w:r>
          </w:p>
        </w:tc>
        <w:tc>
          <w:tcPr>
            <w:tcW w:type="dxa" w:w="1134"/>
            <w:shd w:fill="C6EFCE" w:val="clear"/>
          </w:tcPr>
          <w:p>
            <w:r>
              <w:rPr>
                <w:b/>
                <w:color w:val="007800"/>
                <w:sz w:val="16"/>
              </w:rPr>
              <w:t>+1.64%</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12,900</w:t>
            </w:r>
          </w:p>
        </w:tc>
        <w:tc>
          <w:tcPr>
            <w:tcW w:type="dxa" w:w="1417"/>
            <w:shd w:fill="FFFFFF" w:val="clear"/>
          </w:tcPr>
          <w:p>
            <w:r>
              <w:rPr>
                <w:sz w:val="16"/>
              </w:rPr>
              <w:t>13,092</w:t>
            </w:r>
          </w:p>
        </w:tc>
        <w:tc>
          <w:tcPr>
            <w:tcW w:type="dxa" w:w="1134"/>
            <w:shd w:fill="C6EFCE" w:val="clear"/>
          </w:tcPr>
          <w:p>
            <w:r>
              <w:rPr>
                <w:b/>
                <w:color w:val="007800"/>
                <w:sz w:val="16"/>
              </w:rPr>
              <w:t>+1.49%</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20,600</w:t>
            </w:r>
          </w:p>
        </w:tc>
        <w:tc>
          <w:tcPr>
            <w:tcW w:type="dxa" w:w="1417"/>
            <w:shd w:fill="FFFFFF" w:val="clear"/>
          </w:tcPr>
          <w:p>
            <w:r>
              <w:rPr>
                <w:sz w:val="16"/>
              </w:rPr>
              <w:t>20,857</w:t>
            </w:r>
          </w:p>
        </w:tc>
        <w:tc>
          <w:tcPr>
            <w:tcW w:type="dxa" w:w="1134"/>
            <w:shd w:fill="C6EFCE" w:val="clear"/>
          </w:tcPr>
          <w:p>
            <w:r>
              <w:rPr>
                <w:b/>
                <w:color w:val="007800"/>
                <w:sz w:val="16"/>
              </w:rPr>
              <w:t>+1.25%</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4,000</w:t>
            </w:r>
          </w:p>
        </w:tc>
        <w:tc>
          <w:tcPr>
            <w:tcW w:type="dxa" w:w="1417"/>
            <w:shd w:fill="FFFFFF" w:val="clear"/>
          </w:tcPr>
          <w:p>
            <w:r>
              <w:rPr>
                <w:sz w:val="16"/>
              </w:rPr>
              <w:t>4,048</w:t>
            </w:r>
          </w:p>
        </w:tc>
        <w:tc>
          <w:tcPr>
            <w:tcW w:type="dxa" w:w="1134"/>
            <w:shd w:fill="C6EFCE" w:val="clear"/>
          </w:tcPr>
          <w:p>
            <w:r>
              <w:rPr>
                <w:b/>
                <w:color w:val="007800"/>
                <w:sz w:val="16"/>
              </w:rPr>
              <w:t>+1.20%</w:t>
            </w:r>
          </w:p>
        </w:tc>
        <w:tc>
          <w:tcPr>
            <w:tcW w:type="dxa" w:w="1134"/>
            <w:shd w:fill="FFC7CE" w:val="clear"/>
          </w:tcPr>
          <w:p>
            <w:r>
              <w:rPr>
                <w:sz w:val="16"/>
              </w:rPr>
              <w:t>Faible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11,395</w:t>
            </w:r>
          </w:p>
        </w:tc>
        <w:tc>
          <w:tcPr>
            <w:tcW w:type="dxa" w:w="1417"/>
            <w:shd w:fill="FFFFFF" w:val="clear"/>
          </w:tcPr>
          <w:p>
            <w:r>
              <w:rPr>
                <w:sz w:val="16"/>
              </w:rPr>
              <w:t>11,521</w:t>
            </w:r>
          </w:p>
        </w:tc>
        <w:tc>
          <w:tcPr>
            <w:tcW w:type="dxa" w:w="1134"/>
            <w:shd w:fill="C6EFCE" w:val="clear"/>
          </w:tcPr>
          <w:p>
            <w:r>
              <w:rPr>
                <w:b/>
                <w:color w:val="007800"/>
                <w:sz w:val="16"/>
              </w:rPr>
              <w:t>+1.11%</w:t>
            </w:r>
          </w:p>
        </w:tc>
        <w:tc>
          <w:tcPr>
            <w:tcW w:type="dxa" w:w="1134"/>
            <w:shd w:fill="FFEB9C" w:val="clear"/>
          </w:tcPr>
          <w:p>
            <w:r>
              <w:rPr>
                <w:sz w:val="16"/>
              </w:rPr>
              <w:t>Moyenne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2,870</w:t>
            </w:r>
          </w:p>
        </w:tc>
        <w:tc>
          <w:tcPr>
            <w:tcW w:type="dxa" w:w="1417"/>
            <w:shd w:fill="FFFFFF" w:val="clear"/>
          </w:tcPr>
          <w:p>
            <w:r>
              <w:rPr>
                <w:sz w:val="16"/>
              </w:rPr>
              <w:t>2,889</w:t>
            </w:r>
          </w:p>
        </w:tc>
        <w:tc>
          <w:tcPr>
            <w:tcW w:type="dxa" w:w="1134"/>
            <w:shd w:fill="FFEB9C" w:val="clear"/>
          </w:tcPr>
          <w:p>
            <w:r>
              <w:rPr>
                <w:b/>
                <w:color w:val="646400"/>
                <w:sz w:val="16"/>
              </w:rPr>
              <w:t>+0.66%</w:t>
            </w:r>
          </w:p>
        </w:tc>
        <w:tc>
          <w:tcPr>
            <w:tcW w:type="dxa" w:w="1134"/>
            <w:shd w:fill="FFC7CE" w:val="clear"/>
          </w:tcPr>
          <w:p>
            <w:r>
              <w:rPr>
                <w:sz w:val="16"/>
              </w:rPr>
              <w:t>Faible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3,000</w:t>
            </w:r>
          </w:p>
        </w:tc>
        <w:tc>
          <w:tcPr>
            <w:tcW w:type="dxa" w:w="1417"/>
            <w:shd w:fill="FFFFFF" w:val="clear"/>
          </w:tcPr>
          <w:p>
            <w:r>
              <w:rPr>
                <w:sz w:val="16"/>
              </w:rPr>
              <w:t>3,020</w:t>
            </w:r>
          </w:p>
        </w:tc>
        <w:tc>
          <w:tcPr>
            <w:tcW w:type="dxa" w:w="1134"/>
            <w:shd w:fill="FFEB9C" w:val="clear"/>
          </w:tcPr>
          <w:p>
            <w:r>
              <w:rPr>
                <w:b/>
                <w:color w:val="646400"/>
                <w:sz w:val="16"/>
              </w:rPr>
              <w:t>+0.65%</w:t>
            </w:r>
          </w:p>
        </w:tc>
        <w:tc>
          <w:tcPr>
            <w:tcW w:type="dxa" w:w="1134"/>
            <w:shd w:fill="FFC7CE" w:val="clear"/>
          </w:tcPr>
          <w:p>
            <w:r>
              <w:rPr>
                <w:sz w:val="16"/>
              </w:rPr>
              <w:t>Faible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7,415</w:t>
            </w:r>
          </w:p>
        </w:tc>
        <w:tc>
          <w:tcPr>
            <w:tcW w:type="dxa" w:w="1417"/>
            <w:shd w:fill="FFFFFF" w:val="clear"/>
          </w:tcPr>
          <w:p>
            <w:r>
              <w:rPr>
                <w:sz w:val="16"/>
              </w:rPr>
              <w:t>7,462</w:t>
            </w:r>
          </w:p>
        </w:tc>
        <w:tc>
          <w:tcPr>
            <w:tcW w:type="dxa" w:w="1134"/>
            <w:shd w:fill="FFEB9C" w:val="clear"/>
          </w:tcPr>
          <w:p>
            <w:r>
              <w:rPr>
                <w:b/>
                <w:color w:val="646400"/>
                <w:sz w:val="16"/>
              </w:rPr>
              <w:t>+0.63%</w:t>
            </w:r>
          </w:p>
        </w:tc>
        <w:tc>
          <w:tcPr>
            <w:tcW w:type="dxa" w:w="1134"/>
            <w:shd w:fill="FFC7CE" w:val="clear"/>
          </w:tcPr>
          <w:p>
            <w:r>
              <w:rPr>
                <w:sz w:val="16"/>
              </w:rPr>
              <w:t>Faible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2,780</w:t>
            </w:r>
          </w:p>
        </w:tc>
        <w:tc>
          <w:tcPr>
            <w:tcW w:type="dxa" w:w="1417"/>
            <w:shd w:fill="FFFFFF" w:val="clear"/>
          </w:tcPr>
          <w:p>
            <w:r>
              <w:rPr>
                <w:sz w:val="16"/>
              </w:rPr>
              <w:t>2,795</w:t>
            </w:r>
          </w:p>
        </w:tc>
        <w:tc>
          <w:tcPr>
            <w:tcW w:type="dxa" w:w="1134"/>
            <w:shd w:fill="FFEB9C" w:val="clear"/>
          </w:tcPr>
          <w:p>
            <w:r>
              <w:rPr>
                <w:b/>
                <w:color w:val="646400"/>
                <w:sz w:val="16"/>
              </w:rPr>
              <w:t>+0.53%</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45,000</w:t>
            </w:r>
          </w:p>
        </w:tc>
        <w:tc>
          <w:tcPr>
            <w:tcW w:type="dxa" w:w="1417"/>
            <w:shd w:fill="FFFFFF" w:val="clear"/>
          </w:tcPr>
          <w:p>
            <w:r>
              <w:rPr>
                <w:sz w:val="16"/>
              </w:rPr>
              <w:t>45,217</w:t>
            </w:r>
          </w:p>
        </w:tc>
        <w:tc>
          <w:tcPr>
            <w:tcW w:type="dxa" w:w="1134"/>
            <w:shd w:fill="FFEB9C" w:val="clear"/>
          </w:tcPr>
          <w:p>
            <w:r>
              <w:rPr>
                <w:b/>
                <w:color w:val="646400"/>
                <w:sz w:val="16"/>
              </w:rPr>
              <w:t>+0.48%</w:t>
            </w:r>
          </w:p>
        </w:tc>
        <w:tc>
          <w:tcPr>
            <w:tcW w:type="dxa" w:w="1134"/>
            <w:shd w:fill="FFC7CE" w:val="clear"/>
          </w:tcPr>
          <w:p>
            <w:r>
              <w:rPr>
                <w:sz w:val="16"/>
              </w:rPr>
              <w:t>Faible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1,805</w:t>
            </w:r>
          </w:p>
        </w:tc>
        <w:tc>
          <w:tcPr>
            <w:tcW w:type="dxa" w:w="1417"/>
            <w:shd w:fill="FFFFFF" w:val="clear"/>
          </w:tcPr>
          <w:p>
            <w:r>
              <w:rPr>
                <w:sz w:val="16"/>
              </w:rPr>
              <w:t>1,812</w:t>
            </w:r>
          </w:p>
        </w:tc>
        <w:tc>
          <w:tcPr>
            <w:tcW w:type="dxa" w:w="1134"/>
            <w:shd w:fill="FFEB9C" w:val="clear"/>
          </w:tcPr>
          <w:p>
            <w:r>
              <w:rPr>
                <w:b/>
                <w:color w:val="646400"/>
                <w:sz w:val="16"/>
              </w:rPr>
              <w:t>+0.38%</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65</w:t>
            </w:r>
          </w:p>
        </w:tc>
        <w:tc>
          <w:tcPr>
            <w:tcW w:type="dxa" w:w="1417"/>
            <w:shd w:fill="FFFFFF" w:val="clear"/>
          </w:tcPr>
          <w:p>
            <w:r>
              <w:rPr>
                <w:sz w:val="16"/>
              </w:rPr>
              <w:t>65</w:t>
            </w:r>
          </w:p>
        </w:tc>
        <w:tc>
          <w:tcPr>
            <w:tcW w:type="dxa" w:w="1134"/>
            <w:shd w:fill="FFEB9C" w:val="clear"/>
          </w:tcPr>
          <w:p>
            <w:r>
              <w:rPr>
                <w:b/>
                <w:color w:val="646400"/>
                <w:sz w:val="16"/>
              </w:rPr>
              <w:t>+0.20%</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9,000</w:t>
            </w:r>
          </w:p>
        </w:tc>
        <w:tc>
          <w:tcPr>
            <w:tcW w:type="dxa" w:w="1417"/>
            <w:shd w:fill="FFFFFF" w:val="clear"/>
          </w:tcPr>
          <w:p>
            <w:r>
              <w:rPr>
                <w:sz w:val="16"/>
              </w:rPr>
              <w:t>9,000</w:t>
            </w:r>
          </w:p>
        </w:tc>
        <w:tc>
          <w:tcPr>
            <w:tcW w:type="dxa" w:w="1134"/>
            <w:shd w:fill="FFEB9C" w:val="clear"/>
          </w:tcPr>
          <w:p>
            <w:r>
              <w:rPr>
                <w:b/>
                <w:color w:val="646400"/>
                <w:sz w:val="16"/>
              </w:rPr>
              <w:t>-0.01%</w:t>
            </w:r>
          </w:p>
        </w:tc>
        <w:tc>
          <w:tcPr>
            <w:tcW w:type="dxa" w:w="1134"/>
            <w:shd w:fill="FFEB9C" w:val="clear"/>
          </w:tcPr>
          <w:p>
            <w:r>
              <w:rPr>
                <w:sz w:val="16"/>
              </w:rPr>
              <w:t>Moyenne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15,395</w:t>
            </w:r>
          </w:p>
        </w:tc>
        <w:tc>
          <w:tcPr>
            <w:tcW w:type="dxa" w:w="1417"/>
            <w:shd w:fill="FFFFFF" w:val="clear"/>
          </w:tcPr>
          <w:p>
            <w:r>
              <w:rPr>
                <w:sz w:val="16"/>
              </w:rPr>
              <w:t>15,203</w:t>
            </w:r>
          </w:p>
        </w:tc>
        <w:tc>
          <w:tcPr>
            <w:tcW w:type="dxa" w:w="1134"/>
            <w:shd w:fill="FFC7CE" w:val="clear"/>
          </w:tcPr>
          <w:p>
            <w:r>
              <w:rPr>
                <w:b/>
                <w:color w:val="B40000"/>
                <w:sz w:val="16"/>
              </w:rPr>
              <w:t>-1.25%</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4,290</w:t>
            </w:r>
          </w:p>
        </w:tc>
        <w:tc>
          <w:tcPr>
            <w:tcW w:type="dxa" w:w="1417"/>
            <w:shd w:fill="FFFFFF" w:val="clear"/>
          </w:tcPr>
          <w:p>
            <w:r>
              <w:rPr>
                <w:sz w:val="16"/>
              </w:rPr>
              <w:t>4,215</w:t>
            </w:r>
          </w:p>
        </w:tc>
        <w:tc>
          <w:tcPr>
            <w:tcW w:type="dxa" w:w="1134"/>
            <w:shd w:fill="FFC7CE" w:val="clear"/>
          </w:tcPr>
          <w:p>
            <w:r>
              <w:rPr>
                <w:b/>
                <w:color w:val="B40000"/>
                <w:sz w:val="16"/>
              </w:rPr>
              <w:t>-1.74%</w:t>
            </w:r>
          </w:p>
        </w:tc>
        <w:tc>
          <w:tcPr>
            <w:tcW w:type="dxa" w:w="1134"/>
            <w:shd w:fill="FFC7CE" w:val="clear"/>
          </w:tcPr>
          <w:p>
            <w:r>
              <w:rPr>
                <w:sz w:val="16"/>
              </w:rPr>
              <w:t>Faible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3,650</w:t>
            </w:r>
          </w:p>
        </w:tc>
        <w:tc>
          <w:tcPr>
            <w:tcW w:type="dxa" w:w="1417"/>
            <w:shd w:fill="FFFFFF" w:val="clear"/>
          </w:tcPr>
          <w:p>
            <w:r>
              <w:rPr>
                <w:sz w:val="16"/>
              </w:rPr>
              <w:t>3,583</w:t>
            </w:r>
          </w:p>
        </w:tc>
        <w:tc>
          <w:tcPr>
            <w:tcW w:type="dxa" w:w="1134"/>
            <w:shd w:fill="FFC7CE" w:val="clear"/>
          </w:tcPr>
          <w:p>
            <w:r>
              <w:rPr>
                <w:b/>
                <w:color w:val="B40000"/>
                <w:sz w:val="16"/>
              </w:rPr>
              <w:t>-1.83%</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39,005</w:t>
            </w:r>
          </w:p>
        </w:tc>
        <w:tc>
          <w:tcPr>
            <w:tcW w:type="dxa" w:w="1417"/>
            <w:shd w:fill="FFFFFF" w:val="clear"/>
          </w:tcPr>
          <w:p>
            <w:r>
              <w:rPr>
                <w:sz w:val="16"/>
              </w:rPr>
              <w:t>38,188</w:t>
            </w:r>
          </w:p>
        </w:tc>
        <w:tc>
          <w:tcPr>
            <w:tcW w:type="dxa" w:w="1134"/>
            <w:shd w:fill="FFC7CE" w:val="clear"/>
          </w:tcPr>
          <w:p>
            <w:r>
              <w:rPr>
                <w:b/>
                <w:color w:val="B40000"/>
                <w:sz w:val="16"/>
              </w:rPr>
              <w:t>-2.09%</w:t>
            </w:r>
          </w:p>
        </w:tc>
        <w:tc>
          <w:tcPr>
            <w:tcW w:type="dxa" w:w="1134"/>
            <w:shd w:fill="FFEB9C" w:val="clear"/>
          </w:tcPr>
          <w:p>
            <w:r>
              <w:rPr>
                <w:sz w:val="16"/>
              </w:rPr>
              <w:t>Moyenne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3,100</w:t>
            </w:r>
          </w:p>
        </w:tc>
        <w:tc>
          <w:tcPr>
            <w:tcW w:type="dxa" w:w="1417"/>
            <w:shd w:fill="FFFFFF" w:val="clear"/>
          </w:tcPr>
          <w:p>
            <w:r>
              <w:rPr>
                <w:sz w:val="16"/>
              </w:rPr>
              <w:t>3,018</w:t>
            </w:r>
          </w:p>
        </w:tc>
        <w:tc>
          <w:tcPr>
            <w:tcW w:type="dxa" w:w="1134"/>
            <w:shd w:fill="FFC7CE" w:val="clear"/>
          </w:tcPr>
          <w:p>
            <w:r>
              <w:rPr>
                <w:b/>
                <w:color w:val="B40000"/>
                <w:sz w:val="16"/>
              </w:rPr>
              <w:t>-2.65%</w:t>
            </w:r>
          </w:p>
        </w:tc>
        <w:tc>
          <w:tcPr>
            <w:tcW w:type="dxa" w:w="1134"/>
            <w:shd w:fill="FFC7CE" w:val="clear"/>
          </w:tcPr>
          <w:p>
            <w:r>
              <w:rPr>
                <w:sz w:val="16"/>
              </w:rPr>
              <w:t>Faible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7,600</w:t>
            </w:r>
          </w:p>
        </w:tc>
        <w:tc>
          <w:tcPr>
            <w:tcW w:type="dxa" w:w="1417"/>
            <w:shd w:fill="FFFFFF" w:val="clear"/>
          </w:tcPr>
          <w:p>
            <w:r>
              <w:rPr>
                <w:sz w:val="16"/>
              </w:rPr>
              <w:t>7,395</w:t>
            </w:r>
          </w:p>
        </w:tc>
        <w:tc>
          <w:tcPr>
            <w:tcW w:type="dxa" w:w="1134"/>
            <w:shd w:fill="FFC7CE" w:val="clear"/>
          </w:tcPr>
          <w:p>
            <w:r>
              <w:rPr>
                <w:b/>
                <w:color w:val="B40000"/>
                <w:sz w:val="16"/>
              </w:rPr>
              <w:t>-2.70%</w:t>
            </w:r>
          </w:p>
        </w:tc>
        <w:tc>
          <w:tcPr>
            <w:tcW w:type="dxa" w:w="1134"/>
            <w:shd w:fill="FFEB9C" w:val="clear"/>
          </w:tcPr>
          <w:p>
            <w:r>
              <w:rPr>
                <w:sz w:val="16"/>
              </w:rPr>
              <w:t>Moyenne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8,010</w:t>
            </w:r>
          </w:p>
        </w:tc>
        <w:tc>
          <w:tcPr>
            <w:tcW w:type="dxa" w:w="1417"/>
            <w:shd w:fill="FFFFFF" w:val="clear"/>
          </w:tcPr>
          <w:p>
            <w:r>
              <w:rPr>
                <w:sz w:val="16"/>
              </w:rPr>
              <w:t>7,782</w:t>
            </w:r>
          </w:p>
        </w:tc>
        <w:tc>
          <w:tcPr>
            <w:tcW w:type="dxa" w:w="1134"/>
            <w:shd w:fill="FFC7CE" w:val="clear"/>
          </w:tcPr>
          <w:p>
            <w:r>
              <w:rPr>
                <w:b/>
                <w:color w:val="B40000"/>
                <w:sz w:val="16"/>
              </w:rPr>
              <w:t>-2.84%</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7,600</w:t>
            </w:r>
          </w:p>
        </w:tc>
        <w:tc>
          <w:tcPr>
            <w:tcW w:type="dxa" w:w="1417"/>
            <w:shd w:fill="FFFFFF" w:val="clear"/>
          </w:tcPr>
          <w:p>
            <w:r>
              <w:rPr>
                <w:sz w:val="16"/>
              </w:rPr>
              <w:t>7,374</w:t>
            </w:r>
          </w:p>
        </w:tc>
        <w:tc>
          <w:tcPr>
            <w:tcW w:type="dxa" w:w="1134"/>
            <w:shd w:fill="FFC7CE" w:val="clear"/>
          </w:tcPr>
          <w:p>
            <w:r>
              <w:rPr>
                <w:b/>
                <w:color w:val="B40000"/>
                <w:sz w:val="16"/>
              </w:rPr>
              <w:t>-2.98%</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2,995</w:t>
            </w:r>
          </w:p>
        </w:tc>
        <w:tc>
          <w:tcPr>
            <w:tcW w:type="dxa" w:w="1417"/>
            <w:shd w:fill="FFFFFF" w:val="clear"/>
          </w:tcPr>
          <w:p>
            <w:r>
              <w:rPr>
                <w:sz w:val="16"/>
              </w:rPr>
              <w:t>2,896</w:t>
            </w:r>
          </w:p>
        </w:tc>
        <w:tc>
          <w:tcPr>
            <w:tcW w:type="dxa" w:w="1134"/>
            <w:shd w:fill="FFC7CE" w:val="clear"/>
          </w:tcPr>
          <w:p>
            <w:r>
              <w:rPr>
                <w:b/>
                <w:color w:val="B40000"/>
                <w:sz w:val="16"/>
              </w:rPr>
              <w:t>-3.29%</w:t>
            </w:r>
          </w:p>
        </w:tc>
        <w:tc>
          <w:tcPr>
            <w:tcW w:type="dxa" w:w="1134"/>
            <w:shd w:fill="FFC7CE" w:val="clear"/>
          </w:tcPr>
          <w:p>
            <w:r>
              <w:rPr>
                <w:sz w:val="16"/>
              </w:rPr>
              <w:t>Faible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2,105</w:t>
            </w:r>
          </w:p>
        </w:tc>
        <w:tc>
          <w:tcPr>
            <w:tcW w:type="dxa" w:w="1417"/>
            <w:shd w:fill="FFFFFF" w:val="clear"/>
          </w:tcPr>
          <w:p>
            <w:r>
              <w:rPr>
                <w:sz w:val="16"/>
              </w:rPr>
              <w:t>2,023</w:t>
            </w:r>
          </w:p>
        </w:tc>
        <w:tc>
          <w:tcPr>
            <w:tcW w:type="dxa" w:w="1134"/>
            <w:shd w:fill="FFC7CE" w:val="clear"/>
          </w:tcPr>
          <w:p>
            <w:r>
              <w:rPr>
                <w:b/>
                <w:color w:val="B40000"/>
                <w:sz w:val="16"/>
              </w:rPr>
              <w:t>-3.91%</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3,000</w:t>
            </w:r>
          </w:p>
        </w:tc>
        <w:tc>
          <w:tcPr>
            <w:tcW w:type="dxa" w:w="1417"/>
            <w:shd w:fill="FFFFFF" w:val="clear"/>
          </w:tcPr>
          <w:p>
            <w:r>
              <w:rPr>
                <w:sz w:val="16"/>
              </w:rPr>
              <w:t>2,882</w:t>
            </w:r>
          </w:p>
        </w:tc>
        <w:tc>
          <w:tcPr>
            <w:tcW w:type="dxa" w:w="1134"/>
            <w:shd w:fill="FFC7CE" w:val="clear"/>
          </w:tcPr>
          <w:p>
            <w:r>
              <w:rPr>
                <w:b/>
                <w:color w:val="B40000"/>
                <w:sz w:val="16"/>
              </w:rPr>
              <w:t>-3.94%</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32,400</w:t>
            </w:r>
          </w:p>
        </w:tc>
        <w:tc>
          <w:tcPr>
            <w:tcW w:type="dxa" w:w="1417"/>
            <w:shd w:fill="FFFFFF" w:val="clear"/>
          </w:tcPr>
          <w:p>
            <w:r>
              <w:rPr>
                <w:sz w:val="16"/>
              </w:rPr>
              <w:t>31,106</w:t>
            </w:r>
          </w:p>
        </w:tc>
        <w:tc>
          <w:tcPr>
            <w:tcW w:type="dxa" w:w="1134"/>
            <w:shd w:fill="FFC7CE" w:val="clear"/>
          </w:tcPr>
          <w:p>
            <w:r>
              <w:rPr>
                <w:b/>
                <w:color w:val="B40000"/>
                <w:sz w:val="16"/>
              </w:rPr>
              <w:t>-3.99%</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8,725</w:t>
            </w:r>
          </w:p>
        </w:tc>
        <w:tc>
          <w:tcPr>
            <w:tcW w:type="dxa" w:w="1417"/>
            <w:shd w:fill="FFFFFF" w:val="clear"/>
          </w:tcPr>
          <w:p>
            <w:r>
              <w:rPr>
                <w:sz w:val="16"/>
              </w:rPr>
              <w:t>8,333</w:t>
            </w:r>
          </w:p>
        </w:tc>
        <w:tc>
          <w:tcPr>
            <w:tcW w:type="dxa" w:w="1134"/>
            <w:shd w:fill="FFC7CE" w:val="clear"/>
          </w:tcPr>
          <w:p>
            <w:r>
              <w:rPr>
                <w:b/>
                <w:color w:val="B40000"/>
                <w:sz w:val="16"/>
              </w:rPr>
              <w:t>-4.49%</w:t>
            </w:r>
          </w:p>
        </w:tc>
        <w:tc>
          <w:tcPr>
            <w:tcW w:type="dxa" w:w="1134"/>
            <w:shd w:fill="FFEB9C" w:val="clear"/>
          </w:tcPr>
          <w:p>
            <w:r>
              <w:rPr>
                <w:sz w:val="16"/>
              </w:rPr>
              <w:t>Moyenne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2,145</w:t>
            </w:r>
          </w:p>
        </w:tc>
        <w:tc>
          <w:tcPr>
            <w:tcW w:type="dxa" w:w="1417"/>
            <w:shd w:fill="FFFFFF" w:val="clear"/>
          </w:tcPr>
          <w:p>
            <w:r>
              <w:rPr>
                <w:sz w:val="16"/>
              </w:rPr>
              <w:t>2,038</w:t>
            </w:r>
          </w:p>
        </w:tc>
        <w:tc>
          <w:tcPr>
            <w:tcW w:type="dxa" w:w="1134"/>
            <w:shd w:fill="FFC7CE" w:val="clear"/>
          </w:tcPr>
          <w:p>
            <w:r>
              <w:rPr>
                <w:b/>
                <w:color w:val="B40000"/>
                <w:sz w:val="16"/>
              </w:rPr>
              <w:t>-4.98%</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1,800</w:t>
            </w:r>
          </w:p>
        </w:tc>
        <w:tc>
          <w:tcPr>
            <w:tcW w:type="dxa" w:w="1417"/>
            <w:shd w:fill="FFFFFF" w:val="clear"/>
          </w:tcPr>
          <w:p>
            <w:r>
              <w:rPr>
                <w:sz w:val="16"/>
              </w:rPr>
              <w:t>1,689</w:t>
            </w:r>
          </w:p>
        </w:tc>
        <w:tc>
          <w:tcPr>
            <w:tcW w:type="dxa" w:w="1134"/>
            <w:shd w:fill="FFC7CE" w:val="clear"/>
          </w:tcPr>
          <w:p>
            <w:r>
              <w:rPr>
                <w:b/>
                <w:color w:val="B40000"/>
                <w:sz w:val="16"/>
              </w:rPr>
              <w:t>-6.14%</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5,700</w:t>
            </w:r>
          </w:p>
        </w:tc>
        <w:tc>
          <w:tcPr>
            <w:tcW w:type="dxa" w:w="1417"/>
            <w:shd w:fill="FFFFFF" w:val="clear"/>
          </w:tcPr>
          <w:p>
            <w:r>
              <w:rPr>
                <w:sz w:val="16"/>
              </w:rPr>
              <w:t>5,317</w:t>
            </w:r>
          </w:p>
        </w:tc>
        <w:tc>
          <w:tcPr>
            <w:tcW w:type="dxa" w:w="1134"/>
            <w:shd w:fill="FFC7CE" w:val="clear"/>
          </w:tcPr>
          <w:p>
            <w:r>
              <w:rPr>
                <w:b/>
                <w:color w:val="B40000"/>
                <w:sz w:val="16"/>
              </w:rPr>
              <w:t>-6.72%</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31,500</w:t>
            </w:r>
          </w:p>
        </w:tc>
        <w:tc>
          <w:tcPr>
            <w:tcW w:type="dxa" w:w="1417"/>
            <w:shd w:fill="FFFFFF" w:val="clear"/>
          </w:tcPr>
          <w:p>
            <w:r>
              <w:rPr>
                <w:sz w:val="16"/>
              </w:rPr>
              <w:t>28,719</w:t>
            </w:r>
          </w:p>
        </w:tc>
        <w:tc>
          <w:tcPr>
            <w:tcW w:type="dxa" w:w="1134"/>
            <w:shd w:fill="FFC7CE" w:val="clear"/>
          </w:tcPr>
          <w:p>
            <w:r>
              <w:rPr>
                <w:b/>
                <w:color w:val="B40000"/>
                <w:sz w:val="16"/>
              </w:rPr>
              <w:t>-8.83%</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20,510</w:t>
            </w:r>
          </w:p>
        </w:tc>
        <w:tc>
          <w:tcPr>
            <w:tcW w:type="dxa" w:w="1417"/>
            <w:shd w:fill="FFFFFF" w:val="clear"/>
          </w:tcPr>
          <w:p>
            <w:r>
              <w:rPr>
                <w:sz w:val="16"/>
              </w:rPr>
              <w:t>18,450</w:t>
            </w:r>
          </w:p>
        </w:tc>
        <w:tc>
          <w:tcPr>
            <w:tcW w:type="dxa" w:w="1134"/>
            <w:shd w:fill="FFC7CE" w:val="clear"/>
          </w:tcPr>
          <w:p>
            <w:r>
              <w:rPr>
                <w:b/>
                <w:color w:val="B40000"/>
                <w:sz w:val="16"/>
              </w:rPr>
              <w:t>-10.04%</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8,150</w:t>
            </w:r>
          </w:p>
        </w:tc>
        <w:tc>
          <w:tcPr>
            <w:tcW w:type="dxa" w:w="1417"/>
            <w:shd w:fill="FFFFFF" w:val="clear"/>
          </w:tcPr>
          <w:p>
            <w:r>
              <w:rPr>
                <w:sz w:val="16"/>
              </w:rPr>
              <w:t>7,110</w:t>
            </w:r>
          </w:p>
        </w:tc>
        <w:tc>
          <w:tcPr>
            <w:tcW w:type="dxa" w:w="1134"/>
            <w:shd w:fill="FFC7CE" w:val="clear"/>
          </w:tcPr>
          <w:p>
            <w:r>
              <w:rPr>
                <w:b/>
                <w:color w:val="B40000"/>
                <w:sz w:val="16"/>
              </w:rPr>
              <w:t>-12.75%</w:t>
            </w:r>
          </w:p>
        </w:tc>
        <w:tc>
          <w:tcPr>
            <w:tcW w:type="dxa" w:w="1134"/>
            <w:shd w:fill="FFEB9C" w:val="clear"/>
          </w:tcPr>
          <w:p>
            <w:r>
              <w:rPr>
                <w:sz w:val="16"/>
              </w:rPr>
              <w:t>Moyenne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45 société(s) sur 48.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(2025)</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-2.54%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-1.97%</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-2.15%</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-624.11 M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6.21%</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FFFFFF" w:val="clear"/>
          </w:tcPr>
          <w:p>
            <w:r>
              <w:rPr>
                <w:b/>
                <w:color w:val="000000"/>
                <w:sz w:val="16"/>
              </w:rPr>
              <w:t>77.01%</w:t>
            </w:r>
          </w:p>
        </w:tc>
        <w:tc>
          <w:tcPr>
            <w:tcW w:type="dxa" w:w="1053"/>
            <w:shd w:fill="FFFFFF" w:val="clear"/>
          </w:tcPr>
          <w:p>
            <w:r>
              <w:rPr>
                <w:b/>
                <w:color w:val="000000"/>
                <w:sz w:val="16"/>
              </w:rPr>
              <w:t>24.10%</w:t>
            </w:r>
          </w:p>
        </w:tc>
        <w:tc>
          <w:tcPr>
            <w:tcW w:type="dxa" w:w="1053"/>
            <w:shd w:fill="C6EFCE" w:val="clear"/>
          </w:tcPr>
          <w:p>
            <w:r>
              <w:rPr>
                <w:b/>
                <w:color w:val="006400"/>
                <w:sz w:val="16"/>
              </w:rPr>
              <w:t>77.58%</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FFFFFF" w:val="clear"/>
          </w:tcPr>
          <w:p>
            <w:r>
              <w:rPr>
                <w:b/>
                <w:color w:val="0000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C6EFCE" w:val="clear"/>
          </w:tcPr>
          <w:p>
            <w:r>
              <w:rPr>
                <w:b/>
                <w:color w:val="006400"/>
                <w:sz w:val="16"/>
              </w:rPr>
              <w:t>1.50%</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FFFFFF" w:val="clear"/>
          </w:tcPr>
          <w:p>
            <w:r>
              <w:rPr>
                <w:b/>
                <w:color w:val="000000"/>
                <w:sz w:val="16"/>
              </w:rPr>
              <w:t>435.02%</w:t>
            </w:r>
          </w:p>
        </w:tc>
        <w:tc>
          <w:tcPr>
            <w:tcW w:type="dxa" w:w="1053"/>
            <w:shd w:fill="FFFFFF" w:val="clear"/>
          </w:tcPr>
          <w:p>
            <w:r>
              <w:rPr>
                <w:b/>
                <w:color w:val="000000"/>
                <w:sz w:val="16"/>
              </w:rPr>
              <w:t>131.76%</w:t>
            </w:r>
          </w:p>
        </w:tc>
        <w:tc>
          <w:tcPr>
            <w:tcW w:type="dxa" w:w="1053"/>
            <w:shd w:fill="C6EFCE" w:val="clear"/>
          </w:tcPr>
          <w:p>
            <w:r>
              <w:rPr>
                <w:b/>
                <w:color w:val="006400"/>
                <w:sz w:val="16"/>
              </w:rPr>
              <w:t>445.93%</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346.19%</w:t>
            </w:r>
          </w:p>
        </w:tc>
      </w:tr>
      <w:tr>
        <w:tc>
          <w:tcPr>
            <w:tcW w:type="dxa" w:w="2551"/>
            <w:shd w:fill="EEF2F7" w:val="clear"/>
          </w:tcPr>
          <w:p>
            <w:r>
              <w:rPr>
                <w:b/>
                <w:sz w:val="15"/>
              </w:rPr>
              <w:t>Free Cash Flow</w:t>
            </w:r>
          </w:p>
        </w:tc>
        <w:tc>
          <w:tcPr>
            <w:tcW w:type="dxa" w:w="1053"/>
            <w:shd w:fill="C6EFCE" w:val="clear"/>
          </w:tcPr>
          <w:p>
            <w:r>
              <w:rPr>
                <w:b/>
                <w:color w:val="0064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FFFF" w:val="clear"/>
          </w:tcPr>
          <w:p>
            <w:r>
              <w:rPr>
                <w:b/>
                <w:color w:val="000000"/>
                <w:sz w:val="16"/>
              </w:rPr>
              <w:t>-2.616 Mds FCFA</w:t>
            </w:r>
          </w:p>
        </w:tc>
        <w:tc>
          <w:tcPr>
            <w:tcW w:type="dxa" w:w="1053"/>
            <w:shd w:fill="FFC7CE" w:val="clear"/>
          </w:tcPr>
          <w:p>
            <w:r>
              <w:rPr>
                <w:b/>
                <w:color w:val="B40000"/>
                <w:sz w:val="16"/>
              </w:rPr>
              <w:t>-8.239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-1.46%</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45.8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325.0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-2.54%</w:t>
            </w:r>
          </w:p>
        </w:tc>
        <w:tc>
          <w:tcPr>
            <w:tcW w:type="dxa" w:w="5669"/>
            <w:shd w:fill="FFFFFF" w:val="clear"/>
          </w:tcPr>
          <w:p>
            <w:r>
              <w:rPr>
                <w:sz w:val="15"/>
              </w:rPr>
              <w:t>❌ ROE négatif (-2.5%)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-1.97%</w:t>
            </w:r>
          </w:p>
        </w:tc>
        <w:tc>
          <w:tcPr>
            <w:tcW w:type="dxa" w:w="5669"/>
            <w:shd w:fill="FFFFFF" w:val="clear"/>
          </w:tcPr>
          <w:p>
            <w:r>
              <w:rPr>
                <w:sz w:val="15"/>
              </w:rPr>
              <w:t>❌ ROA négatif (-1.97%) — actifs non rentables.</w:t>
            </w:r>
          </w:p>
        </w:tc>
      </w:tr>
      <w:tr>
        <w:tc>
          <w:tcPr>
            <w:tcW w:type="dxa" w:w="2268"/>
            <w:shd w:fill="EEF2F7" w:val="clear"/>
          </w:tcPr>
          <w:p>
            <w:r>
              <w:rPr>
                <w:b/>
                <w:sz w:val="15"/>
              </w:rPr>
              <w:t>Marge nette</w:t>
            </w:r>
          </w:p>
        </w:tc>
        <w:tc>
          <w:tcPr>
            <w:tcW w:type="dxa" w:w="1984"/>
            <w:shd w:fill="FFC7CE" w:val="clear"/>
          </w:tcPr>
          <w:p>
            <w:r>
              <w:rPr>
                <w:b/>
                <w:color w:val="B40000"/>
                <w:sz w:val="17"/>
              </w:rPr>
              <w:t>-2.15%</w:t>
            </w:r>
          </w:p>
        </w:tc>
        <w:tc>
          <w:tcPr>
            <w:tcW w:type="dxa" w:w="5669"/>
            <w:shd w:fill="FFFFFF" w:val="clear"/>
          </w:tcPr>
          <w:p>
            <w:r>
              <w:rPr>
                <w:sz w:val="15"/>
              </w:rPr>
              <w:t>❌ Marge nette négative (-2.1%)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-624.11 M FCFA</w:t>
            </w:r>
          </w:p>
        </w:tc>
        <w:tc>
          <w:tcPr>
            <w:tcW w:type="dxa" w:w="5669"/>
            <w:shd w:fill="FFFFFF" w:val="clear"/>
          </w:tcPr>
          <w:p>
            <w:r>
              <w:rPr>
                <w:sz w:val="15"/>
              </w:rPr>
              <w:t>❌ Perte nette de 624.11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6.21%</w:t>
            </w:r>
          </w:p>
        </w:tc>
        <w:tc>
          <w:tcPr>
            <w:tcW w:type="dxa" w:w="5669"/>
            <w:shd w:fill="FFFFFF" w:val="clear"/>
          </w:tcPr>
          <w:p>
            <w:r>
              <w:rPr>
                <w:sz w:val="15"/>
              </w:rPr>
              <w:t>✅ Croissance de 6.2%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77.58%</w:t>
            </w:r>
          </w:p>
        </w:tc>
        <w:tc>
          <w:tcPr>
            <w:tcW w:type="dxa" w:w="5669"/>
            <w:shd w:fill="FFFFFF" w:val="clear"/>
          </w:tcPr>
          <w:p>
            <w:r>
              <w:rPr>
                <w:sz w:val="15"/>
              </w:rPr>
              <w:t>✅ Autonomie financière de 77.6%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1.50%</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445.93%</w:t>
            </w:r>
          </w:p>
        </w:tc>
        <w:tc>
          <w:tcPr>
            <w:tcW w:type="dxa" w:w="5669"/>
            <w:shd w:fill="FFFFFF" w:val="clear"/>
          </w:tcPr>
          <w:p>
            <w:r>
              <w:rPr>
                <w:sz w:val="15"/>
              </w:rPr>
              <w:t>✅ Solvabilité de 446%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346.19%</w:t>
            </w:r>
          </w:p>
        </w:tc>
        <w:tc>
          <w:tcPr>
            <w:tcW w:type="dxa" w:w="5669"/>
            <w:shd w:fill="FFFFFF" w:val="clear"/>
          </w:tcPr>
          <w:p>
            <w:r>
              <w:rPr>
                <w:sz w:val="15"/>
              </w:rPr>
              <w:t>✅ Liquidité générale de 346x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-8.239 Mds FCFA</w:t>
            </w:r>
          </w:p>
        </w:tc>
        <w:tc>
          <w:tcPr>
            <w:tcW w:type="dxa" w:w="5669"/>
            <w:shd w:fill="FFFFFF" w:val="clear"/>
          </w:tcPr>
          <w:p>
            <w:r>
              <w:rPr>
                <w:sz w:val="15"/>
              </w:rPr>
              <w:t>❌ FCF négatif significatif (-8.239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-1.46%</w:t>
            </w:r>
          </w:p>
        </w:tc>
        <w:tc>
          <w:tcPr>
            <w:tcW w:type="dxa" w:w="5669"/>
            <w:shd w:fill="FFFFFF" w:val="clear"/>
          </w:tcPr>
          <w:p>
            <w:r>
              <w:rPr>
                <w:sz w:val="15"/>
              </w:rPr>
              <w:t>❌ Marge opérationnelle négative (-1.5%)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45.8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325.0 j</w:t>
            </w:r>
          </w:p>
        </w:tc>
        <w:tc>
          <w:tcPr>
            <w:tcW w:type="dxa" w:w="5669"/>
            <w:shd w:fill="FFFFFF" w:val="clear"/>
          </w:tcPr>
          <w:p>
            <w:r>
              <w:rPr>
                <w:sz w:val="15"/>
              </w:rPr>
              <w:t>❌ Stock quasi-bloqué (325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-2.54%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-2.15%</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UNXC</w:t>
            </w:r>
          </w:p>
        </w:tc>
        <w:tc>
          <w:tcPr>
            <w:tcW w:type="dxa" w:w="1728"/>
            <w:shd w:fill="C6EFCE" w:val="clear"/>
          </w:tcPr>
          <w:p>
            <w:r>
              <w:rPr>
                <w:color w:val="006400"/>
                <w:sz w:val="16"/>
              </w:rPr>
              <w:t>77.58%</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ABJC</w:t>
            </w:r>
          </w:p>
        </w:tc>
        <w:tc>
          <w:tcPr>
            <w:tcW w:type="dxa" w:w="1728"/>
            <w:shd w:fill="C6EFCE" w:val="clear"/>
          </w:tcPr>
          <w:p>
            <w:r>
              <w:rPr>
                <w:color w:val="006400"/>
                <w:sz w:val="16"/>
              </w:rPr>
              <w:t>619.83 M FCFA</w:t>
            </w:r>
          </w:p>
        </w:tc>
        <w:tc>
          <w:tcPr>
            <w:tcW w:type="dxa" w:w="1728"/>
            <w:shd w:fill="FFC7CE" w:val="clear"/>
          </w:tcPr>
          <w:p>
            <w:r>
              <w:rPr>
                <w:b/>
                <w:color w:val="B40000"/>
                <w:sz w:val="16"/>
              </w:rPr>
              <w:t>UNXC</w:t>
            </w:r>
          </w:p>
        </w:tc>
        <w:tc>
          <w:tcPr>
            <w:tcW w:type="dxa" w:w="1728"/>
            <w:shd w:fill="FFC7CE" w:val="clear"/>
          </w:tcPr>
          <w:p>
            <w:r>
              <w:rPr>
                <w:color w:val="B40000"/>
                <w:sz w:val="16"/>
              </w:rPr>
              <w:t>-8.239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(2025)</w:t>
            </w:r>
          </w:p>
        </w:tc>
        <w:tc>
          <w:tcPr>
            <w:tcW w:type="dxa" w:w="1474"/>
            <w:shd w:fill="1F4E79" w:val="clear"/>
          </w:tcPr>
          <w:p>
            <w:r>
              <w:rPr>
                <w:b/>
                <w:color w:val="FFFFFF"/>
                <w:sz w:val="15"/>
              </w:rPr>
              <w:t>SIVC (2025)</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C6EFCE" w:val="clear"/>
          </w:tcPr>
          <w:p>
            <w:r>
              <w:rPr>
                <w:b/>
                <w:color w:val="006400"/>
                <w:sz w:val="16"/>
              </w:rPr>
              <w:t>15.40%</w:t>
            </w:r>
          </w:p>
        </w:tc>
        <w:tc>
          <w:tcPr>
            <w:tcW w:type="dxa" w:w="1474"/>
            <w:shd w:fill="FFFFFF" w:val="clear"/>
          </w:tcPr>
          <w:p>
            <w:r>
              <w:rPr>
                <w:b/>
                <w:color w:val="000000"/>
                <w:sz w:val="16"/>
              </w:rPr>
              <w:t>2.97%</w:t>
            </w:r>
          </w:p>
        </w:tc>
        <w:tc>
          <w:tcPr>
            <w:tcW w:type="dxa" w:w="1474"/>
            <w:shd w:fill="FFFFFF" w:val="clear"/>
          </w:tcPr>
          <w:p>
            <w:r>
              <w:rPr>
                <w:b/>
                <w:color w:val="000000"/>
                <w:sz w:val="16"/>
              </w:rPr>
              <w:t>1.07%</w:t>
            </w:r>
          </w:p>
        </w:tc>
        <w:tc>
          <w:tcPr>
            <w:tcW w:type="dxa" w:w="1474"/>
            <w:shd w:fill="FFFFFF" w:val="clear"/>
          </w:tcPr>
          <w:p>
            <w:r>
              <w:rPr>
                <w:b/>
                <w:color w:val="000000"/>
                <w:sz w:val="16"/>
              </w:rPr>
              <w:t>7.10%</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C6EFCE" w:val="clear"/>
          </w:tcPr>
          <w:p>
            <w:r>
              <w:rPr>
                <w:b/>
                <w:color w:val="006400"/>
                <w:sz w:val="16"/>
              </w:rPr>
              <w:t>6.10%</w:t>
            </w:r>
          </w:p>
        </w:tc>
        <w:tc>
          <w:tcPr>
            <w:tcW w:type="dxa" w:w="1474"/>
            <w:shd w:fill="FFFFFF" w:val="clear"/>
          </w:tcPr>
          <w:p>
            <w:r>
              <w:rPr>
                <w:b/>
                <w:color w:val="000000"/>
                <w:sz w:val="16"/>
              </w:rPr>
              <w:t>1.19%</w:t>
            </w:r>
          </w:p>
        </w:tc>
        <w:tc>
          <w:tcPr>
            <w:tcW w:type="dxa" w:w="1474"/>
            <w:shd w:fill="FFFFFF" w:val="clear"/>
          </w:tcPr>
          <w:p>
            <w:r>
              <w:rPr>
                <w:b/>
                <w:color w:val="000000"/>
                <w:sz w:val="16"/>
              </w:rPr>
              <w:t>0.30%</w:t>
            </w:r>
          </w:p>
        </w:tc>
        <w:tc>
          <w:tcPr>
            <w:tcW w:type="dxa" w:w="1474"/>
            <w:shd w:fill="FFFFFF" w:val="clear"/>
          </w:tcPr>
          <w:p>
            <w:r>
              <w:rPr>
                <w:b/>
                <w:color w:val="000000"/>
                <w:sz w:val="16"/>
              </w:rPr>
              <w:t>1.23%</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C6EFCE" w:val="clear"/>
          </w:tcPr>
          <w:p>
            <w:r>
              <w:rPr>
                <w:b/>
                <w:color w:val="006400"/>
                <w:sz w:val="16"/>
              </w:rPr>
              <w:t>6.77%</w:t>
            </w:r>
          </w:p>
        </w:tc>
        <w:tc>
          <w:tcPr>
            <w:tcW w:type="dxa" w:w="1474"/>
            <w:shd w:fill="FFFFFF" w:val="clear"/>
          </w:tcPr>
          <w:p>
            <w:r>
              <w:rPr>
                <w:b/>
                <w:color w:val="000000"/>
                <w:sz w:val="16"/>
              </w:rPr>
              <w:t>1.45%</w:t>
            </w:r>
          </w:p>
        </w:tc>
        <w:tc>
          <w:tcPr>
            <w:tcW w:type="dxa" w:w="1474"/>
            <w:shd w:fill="FFFFFF" w:val="clear"/>
          </w:tcPr>
          <w:p>
            <w:r>
              <w:rPr>
                <w:b/>
                <w:color w:val="000000"/>
                <w:sz w:val="16"/>
              </w:rPr>
              <w:t>0.85%</w:t>
            </w:r>
          </w:p>
        </w:tc>
        <w:tc>
          <w:tcPr>
            <w:tcW w:type="dxa" w:w="1474"/>
            <w:shd w:fill="FFFFFF" w:val="clear"/>
          </w:tcPr>
          <w:p>
            <w:r>
              <w:rPr>
                <w:b/>
                <w:color w:val="000000"/>
                <w:sz w:val="16"/>
              </w:rPr>
              <w:t>1.78%</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C6EFCE" w:val="clear"/>
          </w:tcPr>
          <w:p>
            <w:r>
              <w:rPr>
                <w:b/>
                <w:color w:val="006400"/>
                <w:sz w:val="16"/>
              </w:rPr>
              <w:t>1.439 Mds FCFA</w:t>
            </w:r>
          </w:p>
        </w:tc>
        <w:tc>
          <w:tcPr>
            <w:tcW w:type="dxa" w:w="1474"/>
            <w:shd w:fill="FFFFFF" w:val="clear"/>
          </w:tcPr>
          <w:p>
            <w:r>
              <w:rPr>
                <w:b/>
                <w:color w:val="000000"/>
                <w:sz w:val="16"/>
              </w:rPr>
              <w:t>465.98 M FCFA</w:t>
            </w:r>
          </w:p>
        </w:tc>
        <w:tc>
          <w:tcPr>
            <w:tcW w:type="dxa" w:w="1474"/>
            <w:shd w:fill="FFFFFF" w:val="clear"/>
          </w:tcPr>
          <w:p>
            <w:r>
              <w:rPr>
                <w:b/>
                <w:color w:val="000000"/>
                <w:sz w:val="16"/>
              </w:rPr>
              <w:t>784.97 M FCFA</w:t>
            </w:r>
          </w:p>
        </w:tc>
        <w:tc>
          <w:tcPr>
            <w:tcW w:type="dxa" w:w="1474"/>
            <w:shd w:fill="FFFFFF" w:val="clear"/>
          </w:tcPr>
          <w:p>
            <w:r>
              <w:rPr>
                <w:b/>
                <w:color w:val="000000"/>
                <w:sz w:val="16"/>
              </w:rPr>
              <w:t>179.29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C7CE" w:val="clear"/>
          </w:tcPr>
          <w:p>
            <w:r>
              <w:rPr>
                <w:b/>
                <w:color w:val="B40000"/>
                <w:sz w:val="16"/>
              </w:rPr>
              <w:t>4.61%</w:t>
            </w:r>
          </w:p>
        </w:tc>
        <w:tc>
          <w:tcPr>
            <w:tcW w:type="dxa" w:w="1474"/>
            <w:shd w:fill="FFFFFF" w:val="clear"/>
          </w:tcPr>
          <w:p>
            <w:r>
              <w:rPr>
                <w:b/>
                <w:color w:val="000000"/>
                <w:sz w:val="16"/>
              </w:rPr>
              <w:t>7.43%</w:t>
            </w:r>
          </w:p>
        </w:tc>
        <w:tc>
          <w:tcPr>
            <w:tcW w:type="dxa" w:w="1474"/>
            <w:shd w:fill="FFFFFF" w:val="clear"/>
          </w:tcPr>
          <w:p>
            <w:r>
              <w:rPr>
                <w:b/>
                <w:color w:val="000000"/>
                <w:sz w:val="16"/>
              </w:rPr>
              <w:t>8.53%</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C6EFCE" w:val="clear"/>
          </w:tcPr>
          <w:p>
            <w:r>
              <w:rPr>
                <w:b/>
                <w:color w:val="006400"/>
                <w:sz w:val="16"/>
              </w:rPr>
              <w:t>40.11%</w:t>
            </w:r>
          </w:p>
        </w:tc>
        <w:tc>
          <w:tcPr>
            <w:tcW w:type="dxa" w:w="1474"/>
            <w:shd w:fill="FFFFFF" w:val="clear"/>
          </w:tcPr>
          <w:p>
            <w:r>
              <w:rPr>
                <w:b/>
                <w:color w:val="000000"/>
                <w:sz w:val="16"/>
              </w:rPr>
              <w:t>28.35%</w:t>
            </w:r>
          </w:p>
        </w:tc>
        <w:tc>
          <w:tcPr>
            <w:tcW w:type="dxa" w:w="1474"/>
            <w:shd w:fill="FFFFFF" w:val="clear"/>
          </w:tcPr>
          <w:p>
            <w:r>
              <w:rPr>
                <w:b/>
                <w:color w:val="000000"/>
                <w:sz w:val="16"/>
              </w:rPr>
              <w:t>17.29%</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FFFF" w:val="clear"/>
          </w:tcPr>
          <w:p>
            <w:r>
              <w:rPr>
                <w:b/>
                <w:color w:val="000000"/>
                <w:sz w:val="16"/>
              </w:rPr>
              <w:t>97.60%</w:t>
            </w:r>
          </w:p>
        </w:tc>
        <w:tc>
          <w:tcPr>
            <w:tcW w:type="dxa" w:w="1474"/>
            <w:shd w:fill="C6EFCE" w:val="clear"/>
          </w:tcPr>
          <w:p>
            <w:r>
              <w:rPr>
                <w:b/>
                <w:color w:val="006400"/>
                <w:sz w:val="16"/>
              </w:rPr>
              <w:t>13.91%</w:t>
            </w:r>
          </w:p>
        </w:tc>
        <w:tc>
          <w:tcPr>
            <w:tcW w:type="dxa" w:w="1474"/>
            <w:shd w:fill="FFC7CE" w:val="clear"/>
          </w:tcPr>
          <w:p>
            <w:r>
              <w:rPr>
                <w:b/>
                <w:color w:val="B40000"/>
                <w:sz w:val="16"/>
              </w:rPr>
              <w:t>228.41%</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C6EFCE" w:val="clear"/>
          </w:tcPr>
          <w:p>
            <w:r>
              <w:rPr>
                <w:b/>
                <w:color w:val="006400"/>
                <w:sz w:val="16"/>
              </w:rPr>
              <w:t>166.98%</w:t>
            </w:r>
          </w:p>
        </w:tc>
        <w:tc>
          <w:tcPr>
            <w:tcW w:type="dxa" w:w="1474"/>
            <w:shd w:fill="FFFFFF" w:val="clear"/>
          </w:tcPr>
          <w:p>
            <w:r>
              <w:rPr>
                <w:b/>
                <w:color w:val="000000"/>
                <w:sz w:val="16"/>
              </w:rPr>
              <w:t>139.57%</w:t>
            </w:r>
          </w:p>
        </w:tc>
        <w:tc>
          <w:tcPr>
            <w:tcW w:type="dxa" w:w="1474"/>
            <w:shd w:fill="FFFFFF" w:val="clear"/>
          </w:tcPr>
          <w:p>
            <w:r>
              <w:rPr>
                <w:b/>
                <w:color w:val="000000"/>
                <w:sz w:val="16"/>
              </w:rPr>
              <w:t>120.91%</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109.82%</w:t>
            </w:r>
          </w:p>
        </w:tc>
        <w:tc>
          <w:tcPr>
            <w:tcW w:type="dxa" w:w="1474"/>
            <w:shd w:fill="FFC7CE" w:val="clear"/>
          </w:tcPr>
          <w:p>
            <w:r>
              <w:rPr>
                <w:b/>
                <w:color w:val="B40000"/>
                <w:sz w:val="16"/>
              </w:rPr>
              <w:t>73.09%</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55.471 Mds FCFA</w:t>
            </w:r>
          </w:p>
        </w:tc>
        <w:tc>
          <w:tcPr>
            <w:tcW w:type="dxa" w:w="1474"/>
            <w:shd w:fill="FFFFFF" w:val="clear"/>
          </w:tcPr>
          <w:p>
            <w:r>
              <w:rPr>
                <w:b/>
                <w:color w:val="000000"/>
                <w:sz w:val="16"/>
              </w:rPr>
              <w:t>-935.89 M FCFA</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-2.47%</w:t>
            </w:r>
          </w:p>
        </w:tc>
        <w:tc>
          <w:tcPr>
            <w:tcW w:type="dxa" w:w="1474"/>
            <w:shd w:fill="FFFFFF" w:val="clear"/>
          </w:tcPr>
          <w:p>
            <w:r>
              <w:rPr>
                <w:b/>
                <w:color w:val="000000"/>
                <w:sz w:val="16"/>
              </w:rPr>
              <w:t>8.60%</w:t>
            </w:r>
          </w:p>
        </w:tc>
        <w:tc>
          <w:tcPr>
            <w:tcW w:type="dxa" w:w="1474"/>
            <w:shd w:fill="FFC7CE" w:val="clear"/>
          </w:tcPr>
          <w:p>
            <w:r>
              <w:rPr>
                <w:b/>
                <w:color w:val="B40000"/>
                <w:sz w:val="16"/>
              </w:rPr>
              <w:t>-19.90%</w:t>
            </w:r>
          </w:p>
        </w:tc>
      </w:tr>
      <w:tr>
        <w:tc>
          <w:tcPr>
            <w:tcW w:type="dxa" w:w="2551"/>
            <w:shd w:fill="EEF2F7" w:val="clear"/>
          </w:tcPr>
          <w:p>
            <w:r>
              <w:rPr>
                <w:b/>
                <w:sz w:val="15"/>
              </w:rPr>
              <w:t>Délai clients</w:t>
            </w:r>
          </w:p>
        </w:tc>
        <w:tc>
          <w:tcPr>
            <w:tcW w:type="dxa" w:w="1474"/>
            <w:shd w:fill="FFFFFF" w:val="clear"/>
          </w:tcPr>
          <w:p>
            <w:r>
              <w:rPr>
                <w:b/>
                <w:color w:val="000000"/>
                <w:sz w:val="16"/>
              </w:rPr>
              <w:t>144.7 j</w:t>
            </w:r>
          </w:p>
        </w:tc>
        <w:tc>
          <w:tcPr>
            <w:tcW w:type="dxa" w:w="1474"/>
            <w:shd w:fill="FFC7CE" w:val="clear"/>
          </w:tcPr>
          <w:p>
            <w:r>
              <w:rPr>
                <w:b/>
                <w:color w:val="B40000"/>
                <w:sz w:val="16"/>
              </w:rPr>
              <w:t>213.7 j</w:t>
            </w:r>
          </w:p>
        </w:tc>
        <w:tc>
          <w:tcPr>
            <w:tcW w:type="dxa" w:w="1474"/>
            <w:shd w:fill="F2F2F2" w:val="clear"/>
          </w:tcPr>
          <w:p>
            <w:r>
              <w:rPr>
                <w:b/>
                <w:sz w:val="16"/>
              </w:rPr>
              <w:t>N/D</w:t>
            </w:r>
          </w:p>
        </w:tc>
        <w:tc>
          <w:tcPr>
            <w:tcW w:type="dxa" w:w="1474"/>
            <w:shd w:fill="C6EFCE" w:val="clear"/>
          </w:tcPr>
          <w:p>
            <w:r>
              <w:rPr>
                <w:b/>
                <w:color w:val="006400"/>
                <w:sz w:val="16"/>
              </w:rPr>
              <w:t>79.3 j</w:t>
            </w:r>
          </w:p>
        </w:tc>
        <w:tc>
          <w:tcPr>
            <w:tcW w:type="dxa" w:w="1474"/>
            <w:shd w:fill="F2F2F2" w:val="clear"/>
          </w:tcPr>
          <w:p>
            <w:r>
              <w:rPr>
                <w:b/>
                <w:sz w:val="16"/>
              </w:rPr>
              <w:t>N/D</w:t>
            </w:r>
          </w:p>
        </w:tc>
      </w:tr>
      <w:tr>
        <w:tc>
          <w:tcPr>
            <w:tcW w:type="dxa" w:w="2551"/>
            <w:shd w:fill="EEF2F7" w:val="clear"/>
          </w:tcPr>
          <w:p>
            <w:r>
              <w:rPr>
                <w:b/>
                <w:sz w:val="15"/>
              </w:rPr>
              <w:t>Durée stockage</w:t>
            </w:r>
          </w:p>
        </w:tc>
        <w:tc>
          <w:tcPr>
            <w:tcW w:type="dxa" w:w="1474"/>
            <w:shd w:fill="C6EFCE" w:val="clear"/>
          </w:tcPr>
          <w:p>
            <w:r>
              <w:rPr>
                <w:b/>
                <w:color w:val="006400"/>
                <w:sz w:val="16"/>
              </w:rPr>
              <w:t>152.1 j</w:t>
            </w:r>
          </w:p>
        </w:tc>
        <w:tc>
          <w:tcPr>
            <w:tcW w:type="dxa" w:w="1474"/>
            <w:shd w:fill="FFC7CE" w:val="clear"/>
          </w:tcPr>
          <w:p>
            <w:r>
              <w:rPr>
                <w:b/>
                <w:color w:val="B40000"/>
                <w:sz w:val="16"/>
              </w:rPr>
              <w:t>214.7 j</w:t>
            </w:r>
          </w:p>
        </w:tc>
        <w:tc>
          <w:tcPr>
            <w:tcW w:type="dxa" w:w="1474"/>
            <w:shd w:fill="F2F2F2" w:val="clear"/>
          </w:tcPr>
          <w:p>
            <w:r>
              <w:rPr>
                <w:b/>
                <w:sz w:val="16"/>
              </w:rPr>
              <w:t>N/D</w:t>
            </w:r>
          </w:p>
        </w:tc>
        <w:tc>
          <w:tcPr>
            <w:tcW w:type="dxa" w:w="1474"/>
            <w:shd w:fill="FFFFFF" w:val="clear"/>
          </w:tcPr>
          <w:p>
            <w:r>
              <w:rPr>
                <w:b/>
                <w:color w:val="000000"/>
                <w:sz w:val="16"/>
              </w:rPr>
              <w:t>189.3 j</w:t>
            </w:r>
          </w:p>
        </w:tc>
        <w:tc>
          <w:tcPr>
            <w:tcW w:type="dxa" w:w="1474"/>
            <w:shd w:fill="F2F2F2" w:val="clear"/>
          </w:tcPr>
          <w:p>
            <w:r>
              <w:rPr>
                <w:b/>
                <w:sz w:val="16"/>
              </w:rPr>
              <w:t>N/D</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r>
        <w:tc>
          <w:tcPr>
            <w:tcW w:type="dxa" w:w="2268"/>
            <w:shd w:fill="EEF2F7" w:val="clear"/>
          </w:tcPr>
          <w:p>
            <w:r>
              <w:rPr>
                <w:b/>
                <w:sz w:val="15"/>
              </w:rPr>
              <w:t>Délai clients</w:t>
            </w:r>
          </w:p>
        </w:tc>
        <w:tc>
          <w:tcPr>
            <w:tcW w:type="dxa" w:w="1984"/>
            <w:shd w:fill="FFC7CE" w:val="clear"/>
          </w:tcPr>
          <w:p>
            <w:r>
              <w:rPr>
                <w:b/>
                <w:color w:val="007800"/>
                <w:sz w:val="17"/>
              </w:rPr>
              <w:t>144.7 j</w:t>
            </w:r>
          </w:p>
        </w:tc>
        <w:tc>
          <w:tcPr>
            <w:tcW w:type="dxa" w:w="5669"/>
            <w:shd w:fill="FFFFFF" w:val="clear"/>
          </w:tcPr>
          <w:p>
            <w:r>
              <w:rPr>
                <w:sz w:val="15"/>
              </w:rPr>
              <w:t>❌ Délai critique de 145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152.1 j</w:t>
            </w:r>
          </w:p>
        </w:tc>
        <w:tc>
          <w:tcPr>
            <w:tcW w:type="dxa" w:w="5669"/>
            <w:shd w:fill="FFFFFF" w:val="clear"/>
          </w:tcPr>
          <w:p>
            <w:r>
              <w:rPr>
                <w:sz w:val="15"/>
              </w:rPr>
              <w:t>❌ Stock quasi-bloqué (152 jours) — capital fortement immobilisé, risque d'obsolescence élevé.</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213.7 j</w:t>
            </w:r>
          </w:p>
        </w:tc>
        <w:tc>
          <w:tcPr>
            <w:tcW w:type="dxa" w:w="5669"/>
            <w:shd w:fill="FFFFFF" w:val="clear"/>
          </w:tcPr>
          <w:p>
            <w:r>
              <w:rPr>
                <w:sz w:val="15"/>
              </w:rPr>
              <w:t>❌ Délai critique de 214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214.7 j</w:t>
            </w:r>
          </w:p>
        </w:tc>
        <w:tc>
          <w:tcPr>
            <w:tcW w:type="dxa" w:w="5669"/>
            <w:shd w:fill="FFFFFF" w:val="clear"/>
          </w:tcPr>
          <w:p>
            <w:r>
              <w:rPr>
                <w:sz w:val="15"/>
              </w:rPr>
              <w:t>❌ Stock quasi-bloqué (215 jours) — capital fortement immobilisé, risque d'obsolescence élevé.</w:t>
            </w:r>
          </w:p>
        </w:tc>
      </w:tr>
    </w:tbl>
    <w:p/>
    <w:p>
      <w:pPr>
        <w:spacing w:before="160"/>
      </w:pPr>
      <w:r>
        <w:rPr>
          <w:b/>
          <w:color w:val="003366"/>
          <w:sz w:val="20"/>
        </w:rPr>
        <w:t xml:space="preserve">▶ SDSC — SDSC - AFRICA GLOBAL LOGISTICS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1.07%</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0.30%</w:t>
            </w:r>
          </w:p>
        </w:tc>
        <w:tc>
          <w:tcPr>
            <w:tcW w:type="dxa" w:w="5669"/>
            <w:shd w:fill="FFFFFF" w:val="clear"/>
          </w:tcPr>
          <w:p>
            <w:r>
              <w:rPr>
                <w:sz w:val="15"/>
              </w:rPr>
              <w:t>⚠️ ROA de 0.30%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0.85%</w:t>
            </w:r>
          </w:p>
        </w:tc>
        <w:tc>
          <w:tcPr>
            <w:tcW w:type="dxa" w:w="5669"/>
            <w:shd w:fill="FFFFFF" w:val="clear"/>
          </w:tcPr>
          <w:p>
            <w:r>
              <w:rPr>
                <w:sz w:val="15"/>
              </w:rPr>
              <w:t>⚠️ Marge nette quasi-nulle (0.85%)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784.97 M FCFA</w:t>
            </w:r>
          </w:p>
        </w:tc>
        <w:tc>
          <w:tcPr>
            <w:tcW w:type="dxa" w:w="5669"/>
            <w:shd w:fill="FFFFFF" w:val="clear"/>
          </w:tcPr>
          <w:p>
            <w:r>
              <w:rPr>
                <w:sz w:val="15"/>
              </w:rPr>
              <w:t>✅ Résultat net positif de 784.97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7.43%</w:t>
            </w:r>
          </w:p>
        </w:tc>
        <w:tc>
          <w:tcPr>
            <w:tcW w:type="dxa" w:w="5669"/>
            <w:shd w:fill="FFFFFF" w:val="clear"/>
          </w:tcPr>
          <w:p>
            <w:r>
              <w:rPr>
                <w:sz w:val="15"/>
              </w:rPr>
              <w:t>✅ Croissance de 7.4%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28.35%</w:t>
            </w:r>
          </w:p>
        </w:tc>
        <w:tc>
          <w:tcPr>
            <w:tcW w:type="dxa" w:w="5669"/>
            <w:shd w:fill="FFFFFF" w:val="clear"/>
          </w:tcPr>
          <w:p>
            <w:r>
              <w:rPr>
                <w:sz w:val="15"/>
              </w:rPr>
              <w:t>✅ Autonomie financière correcte (28.3%)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13.91%</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139.57%</w:t>
            </w:r>
          </w:p>
        </w:tc>
        <w:tc>
          <w:tcPr>
            <w:tcW w:type="dxa" w:w="5669"/>
            <w:shd w:fill="FFFFFF" w:val="clear"/>
          </w:tcPr>
          <w:p>
            <w:r>
              <w:rPr>
                <w:sz w:val="15"/>
              </w:rPr>
              <w:t>✅ Solvabilité satisfaisante (140%)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109.82%</w:t>
            </w:r>
          </w:p>
        </w:tc>
        <w:tc>
          <w:tcPr>
            <w:tcW w:type="dxa" w:w="5669"/>
            <w:shd w:fill="FFFFFF" w:val="clear"/>
          </w:tcPr>
          <w:p>
            <w:r>
              <w:rPr>
                <w:sz w:val="15"/>
              </w:rPr>
              <w:t>⚠️ Liquidité générale limite (109.82x)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55.471 Mds FCFA</w:t>
            </w:r>
          </w:p>
        </w:tc>
        <w:tc>
          <w:tcPr>
            <w:tcW w:type="dxa" w:w="5669"/>
            <w:shd w:fill="FFFFFF" w:val="clear"/>
          </w:tcPr>
          <w:p>
            <w:r>
              <w:rPr>
                <w:sz w:val="15"/>
              </w:rPr>
              <w:t>✅ FCF positif de 55.471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-2.47%</w:t>
            </w:r>
          </w:p>
        </w:tc>
        <w:tc>
          <w:tcPr>
            <w:tcW w:type="dxa" w:w="5669"/>
            <w:shd w:fill="FFFFFF" w:val="clear"/>
          </w:tcPr>
          <w:p>
            <w:r>
              <w:rPr>
                <w:sz w:val="15"/>
              </w:rPr>
              <w:t>❌ Marge opérationnelle négative (-2.5%) — l'activité principale est déficitaire.</w:t>
            </w:r>
          </w:p>
        </w:tc>
      </w:tr>
    </w:tbl>
    <w:p/>
    <w:p>
      <w:pPr>
        <w:spacing w:before="160"/>
      </w:pPr>
      <w:r>
        <w:rPr>
          <w:b/>
          <w:color w:val="003366"/>
          <w:sz w:val="20"/>
        </w:rPr>
        <w:t xml:space="preserve">▶ SIVC — SIVC - ERIUM CI (Ex AIR LIQUIDECI)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7.10%</w:t>
            </w:r>
          </w:p>
        </w:tc>
        <w:tc>
          <w:tcPr>
            <w:tcW w:type="dxa" w:w="5669"/>
            <w:shd w:fill="FFFFFF" w:val="clear"/>
          </w:tcPr>
          <w:p>
            <w:r>
              <w:rPr>
                <w:sz w:val="15"/>
              </w:rPr>
              <w:t>⚠️ ROE de 7.1%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1.23%</w:t>
            </w:r>
          </w:p>
        </w:tc>
        <w:tc>
          <w:tcPr>
            <w:tcW w:type="dxa" w:w="5669"/>
            <w:shd w:fill="FFFFFF" w:val="clear"/>
          </w:tcPr>
          <w:p>
            <w:r>
              <w:rPr>
                <w:sz w:val="15"/>
              </w:rPr>
              <w:t>⚠️ ROA de 1.23%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1.78%</w:t>
            </w:r>
          </w:p>
        </w:tc>
        <w:tc>
          <w:tcPr>
            <w:tcW w:type="dxa" w:w="5669"/>
            <w:shd w:fill="FFFFFF" w:val="clear"/>
          </w:tcPr>
          <w:p>
            <w:r>
              <w:rPr>
                <w:sz w:val="15"/>
              </w:rPr>
              <w:t>⚠️ Marge nette de 1.8%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179.29 M FCFA</w:t>
            </w:r>
          </w:p>
        </w:tc>
        <w:tc>
          <w:tcPr>
            <w:tcW w:type="dxa" w:w="5669"/>
            <w:shd w:fill="FFFFFF" w:val="clear"/>
          </w:tcPr>
          <w:p>
            <w:r>
              <w:rPr>
                <w:sz w:val="15"/>
              </w:rPr>
              <w:t>✅ Résultat net positif de 179.29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8.53%</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17.29%</w:t>
            </w:r>
          </w:p>
        </w:tc>
        <w:tc>
          <w:tcPr>
            <w:tcW w:type="dxa" w:w="5669"/>
            <w:shd w:fill="FFFFFF" w:val="clear"/>
          </w:tcPr>
          <w:p>
            <w:r>
              <w:rPr>
                <w:sz w:val="15"/>
              </w:rPr>
              <w:t>⚠️ Autonomie limitée (17.3%)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228.41%</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120.91%</w:t>
            </w:r>
          </w:p>
        </w:tc>
        <w:tc>
          <w:tcPr>
            <w:tcW w:type="dxa" w:w="5669"/>
            <w:shd w:fill="FFFFFF" w:val="clear"/>
          </w:tcPr>
          <w:p>
            <w:r>
              <w:rPr>
                <w:sz w:val="15"/>
              </w:rPr>
              <w:t>✅ Solvabilité satisfaisante (121%)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73.09%</w:t>
            </w:r>
          </w:p>
        </w:tc>
        <w:tc>
          <w:tcPr>
            <w:tcW w:type="dxa" w:w="5669"/>
            <w:shd w:fill="FFFFFF" w:val="clear"/>
          </w:tcPr>
          <w:p>
            <w:r>
              <w:rPr>
                <w:sz w:val="15"/>
              </w:rPr>
              <w:t>❌ Liquidité insuffisante (73.09x)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-935.89 M FCFA</w:t>
            </w:r>
          </w:p>
        </w:tc>
        <w:tc>
          <w:tcPr>
            <w:tcW w:type="dxa" w:w="5669"/>
            <w:shd w:fill="FFFFFF" w:val="clear"/>
          </w:tcPr>
          <w:p>
            <w:r>
              <w:rPr>
                <w:sz w:val="15"/>
              </w:rPr>
              <w:t>❌ FCF négatif significatif (-935.89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8.60%</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EB9C" w:val="clear"/>
          </w:tcPr>
          <w:p>
            <w:r>
              <w:rPr>
                <w:b/>
                <w:color w:val="007800"/>
                <w:sz w:val="17"/>
              </w:rPr>
              <w:t>79.3 j</w:t>
            </w:r>
          </w:p>
        </w:tc>
        <w:tc>
          <w:tcPr>
            <w:tcW w:type="dxa" w:w="5669"/>
            <w:shd w:fill="FFFFFF" w:val="clear"/>
          </w:tcPr>
          <w:p>
            <w:r>
              <w:rPr>
                <w:sz w:val="15"/>
              </w:rPr>
              <w:t>⚠️ Délai long (79 jours) — risque d'impayés accru, pression sur la trésorerie CT.</w:t>
            </w:r>
          </w:p>
        </w:tc>
      </w:tr>
      <w:tr>
        <w:tc>
          <w:tcPr>
            <w:tcW w:type="dxa" w:w="2268"/>
            <w:shd w:fill="EEF2F7" w:val="clear"/>
          </w:tcPr>
          <w:p>
            <w:r>
              <w:rPr>
                <w:b/>
                <w:sz w:val="15"/>
              </w:rPr>
              <w:t>Durée stockage</w:t>
            </w:r>
          </w:p>
        </w:tc>
        <w:tc>
          <w:tcPr>
            <w:tcW w:type="dxa" w:w="1984"/>
            <w:shd w:fill="FFC7CE" w:val="clear"/>
          </w:tcPr>
          <w:p>
            <w:r>
              <w:rPr>
                <w:b/>
                <w:color w:val="007800"/>
                <w:sz w:val="17"/>
              </w:rPr>
              <w:t>189.3 j</w:t>
            </w:r>
          </w:p>
        </w:tc>
        <w:tc>
          <w:tcPr>
            <w:tcW w:type="dxa" w:w="5669"/>
            <w:shd w:fill="FFFFFF" w:val="clear"/>
          </w:tcPr>
          <w:p>
            <w:r>
              <w:rPr>
                <w:sz w:val="15"/>
              </w:rPr>
              <w:t>❌ Stock quasi-bloqué (189 jours) — capital fortement immobilisé, risque d'obsolescence élevé.</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CABC</w:t>
            </w:r>
          </w:p>
        </w:tc>
        <w:tc>
          <w:tcPr>
            <w:tcW w:type="dxa" w:w="1728"/>
            <w:shd w:fill="C6EFCE" w:val="clear"/>
          </w:tcPr>
          <w:p>
            <w:r>
              <w:rPr>
                <w:color w:val="006400"/>
                <w:sz w:val="16"/>
              </w:rPr>
              <w:t>15.40%</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CABC</w:t>
            </w:r>
          </w:p>
        </w:tc>
        <w:tc>
          <w:tcPr>
            <w:tcW w:type="dxa" w:w="1728"/>
            <w:shd w:fill="C6EFCE" w:val="clear"/>
          </w:tcPr>
          <w:p>
            <w:r>
              <w:rPr>
                <w:color w:val="006400"/>
                <w:sz w:val="16"/>
              </w:rPr>
              <w:t>6.77%</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FTSC</w:t>
            </w:r>
          </w:p>
        </w:tc>
        <w:tc>
          <w:tcPr>
            <w:tcW w:type="dxa" w:w="1728"/>
            <w:shd w:fill="FFC7CE" w:val="clear"/>
          </w:tcPr>
          <w:p>
            <w:r>
              <w:rPr>
                <w:color w:val="B40000"/>
                <w:sz w:val="16"/>
              </w:rPr>
              <w:t>4.61%</w:t>
            </w:r>
          </w:p>
        </w:tc>
      </w:tr>
      <w:tr>
        <w:tc>
          <w:tcPr>
            <w:tcW w:type="dxa" w:w="1728"/>
            <w:shd w:fill="EEF2F7" w:val="clear"/>
          </w:tcPr>
          <w:p>
            <w:r>
              <w:rPr>
                <w:b/>
                <w:sz w:val="16"/>
              </w:rPr>
              <w:t>Autonomie fin.</w:t>
            </w:r>
          </w:p>
        </w:tc>
        <w:tc>
          <w:tcPr>
            <w:tcW w:type="dxa" w:w="1728"/>
            <w:shd w:fill="C6EFCE" w:val="clear"/>
          </w:tcPr>
          <w:p>
            <w:r>
              <w:rPr>
                <w:b/>
                <w:color w:val="006400"/>
                <w:sz w:val="16"/>
              </w:rPr>
              <w:t>FTSC</w:t>
            </w:r>
          </w:p>
        </w:tc>
        <w:tc>
          <w:tcPr>
            <w:tcW w:type="dxa" w:w="1728"/>
            <w:shd w:fill="C6EFCE" w:val="clear"/>
          </w:tcPr>
          <w:p>
            <w:r>
              <w:rPr>
                <w:color w:val="006400"/>
                <w:sz w:val="16"/>
              </w:rPr>
              <w:t>40.11%</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73.09%</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55.471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Services Financiers</w:t>
      </w:r>
    </w:p>
    <w:p>
      <w:r>
        <w:rPr>
          <w:sz w:val="18"/>
        </w:rPr>
        <w:t>1 société(s) avec données financières sur 1 cotée(s) dans ce secteur. Exercice(s) analysé(s) : 2025.</w:t>
      </w:r>
    </w:p>
    <w:p/>
    <w:p>
      <w:pPr>
        <w:pStyle w:val="Heading3"/>
      </w:pPr>
      <w:r>
        <w:t>📊 Tableau comparatif des indicateurs clés</w:t>
      </w:r>
    </w:p>
    <w:tbl>
      <w:tblPr>
        <w:tblStyle w:val="TableGrid"/>
        <w:tblW w:type="auto" w:w="0"/>
        <w:tblLook w:firstColumn="1" w:firstRow="1" w:lastColumn="0" w:lastRow="0" w:noHBand="0" w:noVBand="1" w:val="04A0"/>
      </w:tblPr>
      <w:tblGrid>
        <w:gridCol w:w="4320"/>
        <w:gridCol w:w="4320"/>
      </w:tblGrid>
      <w:tr>
        <w:tc>
          <w:tcPr>
            <w:tcW w:type="dxa" w:w="2551"/>
            <w:shd w:fill="1F4E79" w:val="clear"/>
          </w:tcPr>
          <w:p>
            <w:r>
              <w:rPr>
                <w:b/>
                <w:color w:val="FFFFFF"/>
                <w:sz w:val="16"/>
              </w:rPr>
              <w:t>Indicateur</w:t>
            </w:r>
          </w:p>
        </w:tc>
        <w:tc>
          <w:tcPr>
            <w:tcW w:type="dxa" w:w="7370"/>
            <w:shd w:fill="1F4E79" w:val="clear"/>
          </w:tcPr>
          <w:p>
            <w:r>
              <w:rPr>
                <w:b/>
                <w:color w:val="FFFFFF"/>
                <w:sz w:val="15"/>
              </w:rPr>
              <w:t>BBGC (2025)</w:t>
            </w:r>
          </w:p>
        </w:tc>
      </w:tr>
      <w:tr>
        <w:tc>
          <w:tcPr>
            <w:tcW w:type="dxa" w:w="2551"/>
            <w:shd w:fill="EEF2F7" w:val="clear"/>
          </w:tcPr>
          <w:p>
            <w:r>
              <w:rPr>
                <w:b/>
                <w:sz w:val="15"/>
              </w:rPr>
              <w:t>ROE</w:t>
            </w:r>
          </w:p>
        </w:tc>
        <w:tc>
          <w:tcPr>
            <w:tcW w:type="dxa" w:w="7370"/>
            <w:shd w:fill="FFFFFF" w:val="clear"/>
          </w:tcPr>
          <w:p>
            <w:r>
              <w:rPr>
                <w:b/>
                <w:color w:val="000000"/>
                <w:sz w:val="16"/>
              </w:rPr>
              <w:t>25.87%</w:t>
            </w:r>
          </w:p>
        </w:tc>
      </w:tr>
      <w:tr>
        <w:tc>
          <w:tcPr>
            <w:tcW w:type="dxa" w:w="2551"/>
            <w:shd w:fill="EEF2F7" w:val="clear"/>
          </w:tcPr>
          <w:p>
            <w:r>
              <w:rPr>
                <w:b/>
                <w:sz w:val="15"/>
              </w:rPr>
              <w:t>ROA</w:t>
            </w:r>
          </w:p>
        </w:tc>
        <w:tc>
          <w:tcPr>
            <w:tcW w:type="dxa" w:w="7370"/>
            <w:shd w:fill="FFFFFF" w:val="clear"/>
          </w:tcPr>
          <w:p>
            <w:r>
              <w:rPr>
                <w:b/>
                <w:color w:val="000000"/>
                <w:sz w:val="16"/>
              </w:rPr>
              <w:t>1.91%</w:t>
            </w:r>
          </w:p>
        </w:tc>
      </w:tr>
      <w:tr>
        <w:tc>
          <w:tcPr>
            <w:tcW w:type="dxa" w:w="2551"/>
            <w:shd w:fill="EEF2F7" w:val="clear"/>
          </w:tcPr>
          <w:p>
            <w:r>
              <w:rPr>
                <w:b/>
                <w:sz w:val="15"/>
              </w:rPr>
              <w:t>Marge nette</w:t>
            </w:r>
          </w:p>
        </w:tc>
        <w:tc>
          <w:tcPr>
            <w:tcW w:type="dxa" w:w="7370"/>
            <w:shd w:fill="FFFFFF" w:val="clear"/>
          </w:tcPr>
          <w:p>
            <w:r>
              <w:rPr>
                <w:b/>
                <w:color w:val="000000"/>
                <w:sz w:val="16"/>
              </w:rPr>
              <w:t>40.10%</w:t>
            </w:r>
          </w:p>
        </w:tc>
      </w:tr>
      <w:tr>
        <w:tc>
          <w:tcPr>
            <w:tcW w:type="dxa" w:w="2551"/>
            <w:shd w:fill="EEF2F7" w:val="clear"/>
          </w:tcPr>
          <w:p>
            <w:r>
              <w:rPr>
                <w:b/>
                <w:sz w:val="15"/>
              </w:rPr>
              <w:t>Résultat net</w:t>
            </w:r>
          </w:p>
        </w:tc>
        <w:tc>
          <w:tcPr>
            <w:tcW w:type="dxa" w:w="7370"/>
            <w:shd w:fill="FFFFFF" w:val="clear"/>
          </w:tcPr>
          <w:p>
            <w:r>
              <w:rPr>
                <w:b/>
                <w:color w:val="000000"/>
                <w:sz w:val="16"/>
              </w:rPr>
              <w:t>27.197 Mds FCFA</w:t>
            </w:r>
          </w:p>
        </w:tc>
      </w:tr>
      <w:tr>
        <w:tc>
          <w:tcPr>
            <w:tcW w:type="dxa" w:w="2551"/>
            <w:shd w:fill="EEF2F7" w:val="clear"/>
          </w:tcPr>
          <w:p>
            <w:r>
              <w:rPr>
                <w:b/>
                <w:sz w:val="15"/>
              </w:rPr>
              <w:t>Taux croissance CA/PNB</w:t>
            </w:r>
          </w:p>
        </w:tc>
        <w:tc>
          <w:tcPr>
            <w:tcW w:type="dxa" w:w="7370"/>
            <w:shd w:fill="FFFFFF" w:val="clear"/>
          </w:tcPr>
          <w:p>
            <w:r>
              <w:rPr>
                <w:b/>
                <w:color w:val="000000"/>
                <w:sz w:val="16"/>
              </w:rPr>
              <w:t>15.71%</w:t>
            </w:r>
          </w:p>
        </w:tc>
      </w:tr>
      <w:tr>
        <w:tc>
          <w:tcPr>
            <w:tcW w:type="dxa" w:w="2551"/>
            <w:shd w:fill="EEF2F7" w:val="clear"/>
          </w:tcPr>
          <w:p>
            <w:r>
              <w:rPr>
                <w:b/>
                <w:sz w:val="15"/>
              </w:rPr>
              <w:t>Autonomie financière</w:t>
            </w:r>
          </w:p>
        </w:tc>
        <w:tc>
          <w:tcPr>
            <w:tcW w:type="dxa" w:w="7370"/>
            <w:shd w:fill="FFFFFF" w:val="clear"/>
          </w:tcPr>
          <w:p>
            <w:r>
              <w:rPr>
                <w:b/>
                <w:color w:val="000000"/>
                <w:sz w:val="16"/>
              </w:rPr>
              <w:t>7.37%</w:t>
            </w:r>
          </w:p>
        </w:tc>
      </w:tr>
      <w:tr>
        <w:tc>
          <w:tcPr>
            <w:tcW w:type="dxa" w:w="2551"/>
            <w:shd w:fill="EEF2F7" w:val="clear"/>
          </w:tcPr>
          <w:p>
            <w:r>
              <w:rPr>
                <w:b/>
                <w:sz w:val="15"/>
              </w:rPr>
              <w:t>Ratio endettement</w:t>
            </w:r>
          </w:p>
        </w:tc>
        <w:tc>
          <w:tcPr>
            <w:tcW w:type="dxa" w:w="7370"/>
            <w:shd w:fill="FFFFFF" w:val="clear"/>
          </w:tcPr>
          <w:p>
            <w:r>
              <w:rPr>
                <w:b/>
                <w:color w:val="000000"/>
                <w:sz w:val="16"/>
              </w:rPr>
              <w:t>1257.65%</w:t>
            </w:r>
          </w:p>
        </w:tc>
      </w:tr>
      <w:tr>
        <w:tc>
          <w:tcPr>
            <w:tcW w:type="dxa" w:w="2551"/>
            <w:shd w:fill="EEF2F7" w:val="clear"/>
          </w:tcPr>
          <w:p>
            <w:r>
              <w:rPr>
                <w:b/>
                <w:sz w:val="15"/>
              </w:rPr>
              <w:t>Solvabilité générale</w:t>
            </w:r>
          </w:p>
        </w:tc>
        <w:tc>
          <w:tcPr>
            <w:tcW w:type="dxa" w:w="7370"/>
            <w:shd w:fill="FFFFFF" w:val="clear"/>
          </w:tcPr>
          <w:p>
            <w:r>
              <w:rPr>
                <w:b/>
                <w:color w:val="000000"/>
                <w:sz w:val="16"/>
              </w:rPr>
              <w:t>107.95%</w:t>
            </w:r>
          </w:p>
        </w:tc>
      </w:tr>
      <w:tr>
        <w:tc>
          <w:tcPr>
            <w:tcW w:type="dxa" w:w="2551"/>
            <w:shd w:fill="EEF2F7" w:val="clear"/>
          </w:tcPr>
          <w:p>
            <w:r>
              <w:rPr>
                <w:b/>
                <w:sz w:val="15"/>
              </w:rPr>
              <w:t>Coeff. exploitation</w:t>
            </w:r>
          </w:p>
        </w:tc>
        <w:tc>
          <w:tcPr>
            <w:tcW w:type="dxa" w:w="7370"/>
            <w:shd w:fill="FFFFFF" w:val="clear"/>
          </w:tcPr>
          <w:p>
            <w:r>
              <w:rPr>
                <w:b/>
                <w:color w:val="000000"/>
                <w:sz w:val="16"/>
              </w:rPr>
              <w:t>41.85%</w:t>
            </w:r>
          </w:p>
        </w:tc>
      </w:tr>
      <w:tr>
        <w:tc>
          <w:tcPr>
            <w:tcW w:type="dxa" w:w="2551"/>
            <w:shd w:fill="EEF2F7" w:val="clear"/>
          </w:tcPr>
          <w:p>
            <w:r>
              <w:rPr>
                <w:b/>
                <w:sz w:val="15"/>
              </w:rPr>
              <w:t>Marge opérationnelle</w:t>
            </w:r>
          </w:p>
        </w:tc>
        <w:tc>
          <w:tcPr>
            <w:tcW w:type="dxa" w:w="7370"/>
            <w:shd w:fill="FFFFFF" w:val="clear"/>
          </w:tcPr>
          <w:p>
            <w:r>
              <w:rPr>
                <w:b/>
                <w:color w:val="000000"/>
                <w:sz w:val="16"/>
              </w:rPr>
              <w:t>48.12%</w:t>
            </w:r>
          </w:p>
        </w:tc>
      </w:tr>
    </w:tbl>
    <w:p/>
    <w:p>
      <w:pPr>
        <w:pStyle w:val="Heading3"/>
      </w:pPr>
      <w:r>
        <w:t>🔍 Analyse détaillée par société</w:t>
      </w:r>
    </w:p>
    <w:p>
      <w:pPr>
        <w:spacing w:before="160"/>
      </w:pPr>
      <w:r>
        <w:rPr>
          <w:b/>
          <w:color w:val="003366"/>
          <w:sz w:val="20"/>
        </w:rPr>
        <w:t xml:space="preserve">▶ BBGC — BRIDGE BANK GROUP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25.87%</w:t>
            </w:r>
          </w:p>
        </w:tc>
        <w:tc>
          <w:tcPr>
            <w:tcW w:type="dxa" w:w="5669"/>
            <w:shd w:fill="FFFFFF" w:val="clear"/>
          </w:tcPr>
          <w:p>
            <w:r>
              <w:rPr>
                <w:sz w:val="15"/>
              </w:rPr>
              <w:t>✅ ROE de 25.9%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1.91%</w:t>
            </w:r>
          </w:p>
        </w:tc>
        <w:tc>
          <w:tcPr>
            <w:tcW w:type="dxa" w:w="5669"/>
            <w:shd w:fill="FFFFFF" w:val="clear"/>
          </w:tcPr>
          <w:p>
            <w:r>
              <w:rPr>
                <w:sz w:val="15"/>
              </w:rPr>
              <w:t>✅ ROA de 1.91%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40.10%</w:t>
            </w:r>
          </w:p>
        </w:tc>
        <w:tc>
          <w:tcPr>
            <w:tcW w:type="dxa" w:w="5669"/>
            <w:shd w:fill="FFFFFF" w:val="clear"/>
          </w:tcPr>
          <w:p>
            <w:r>
              <w:rPr>
                <w:sz w:val="15"/>
              </w:rPr>
              <w:t>✅ Marge nette de 40.1%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27.197 Mds FCFA</w:t>
            </w:r>
          </w:p>
        </w:tc>
        <w:tc>
          <w:tcPr>
            <w:tcW w:type="dxa" w:w="5669"/>
            <w:shd w:fill="FFFFFF" w:val="clear"/>
          </w:tcPr>
          <w:p>
            <w:r>
              <w:rPr>
                <w:sz w:val="15"/>
              </w:rPr>
              <w:t>✅ Résultat net positif de 27.197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15.71%</w:t>
            </w:r>
          </w:p>
        </w:tc>
        <w:tc>
          <w:tcPr>
            <w:tcW w:type="dxa" w:w="5669"/>
            <w:shd w:fill="FFFFFF" w:val="clear"/>
          </w:tcPr>
          <w:p>
            <w:r>
              <w:rPr>
                <w:sz w:val="15"/>
              </w:rPr>
              <w:t>✅ Croissance de 15.7%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7.37%</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1257.65%</w:t>
            </w:r>
          </w:p>
        </w:tc>
        <w:tc>
          <w:tcPr>
            <w:tcW w:type="dxa" w:w="5669"/>
            <w:shd w:fill="FFFFFF" w:val="clear"/>
          </w:tcPr>
          <w:p>
            <w:r>
              <w:rPr>
                <w:sz w:val="15"/>
              </w:rPr>
              <w:t>❌ Gearing de 1258%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107.95%</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41.85%</w:t>
            </w:r>
          </w:p>
        </w:tc>
        <w:tc>
          <w:tcPr>
            <w:tcW w:type="dxa" w:w="5669"/>
            <w:shd w:fill="FFFFFF" w:val="clear"/>
          </w:tcPr>
          <w:p>
            <w:r>
              <w:rPr>
                <w:sz w:val="15"/>
              </w:rPr>
              <w:t>✅ Coeff. d'exploitation de 41.8%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48.12%</w:t>
            </w:r>
          </w:p>
        </w:tc>
        <w:tc>
          <w:tcPr>
            <w:tcW w:type="dxa" w:w="5669"/>
            <w:shd w:fill="FFFFFF" w:val="clear"/>
          </w:tcPr>
          <w:p>
            <w:r>
              <w:rPr>
                <w:sz w:val="15"/>
              </w:rPr>
              <w:t>✅ Marge opérationnelle de 48.1% — excellente efficacité de l'exploitation principale.</w:t>
            </w:r>
          </w:p>
        </w:tc>
      </w:tr>
    </w:tbl>
    <w:p/>
    <w:p>
      <w:pPr>
        <w:pStyle w:val="Heading3"/>
      </w:pPr>
      <w:r>
        <w:t>🏆 Synthèse sectorielle — Points forts et points faibles</w:t>
      </w:r>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BBGC - BRIDGE BANK GROUP COTE D'IVOIRE</w:t>
      </w:r>
    </w:p>
    <w:p>
      <w:pPr>
        <w:ind w:left="400"/>
      </w:pPr>
      <w:r>
        <w:t>3. BICB - BIIC BN - Banque internationale pour le commerce du benin</w:t>
      </w:r>
    </w:p>
    <w:p>
      <w:pPr>
        <w:ind w:left="400"/>
      </w:pPr>
      <w:r>
        <w:t>4. BICC - BICI CI - Banque internationale pour le commerce et l'industrie de la Côte d'Ivoire</w:t>
      </w:r>
    </w:p>
    <w:p>
      <w:pPr>
        <w:ind w:left="400"/>
      </w:pPr>
      <w:r>
        <w:t>5. BNBC - BNBC - BERNABE CI</w:t>
      </w:r>
    </w:p>
    <w:p>
      <w:pPr>
        <w:ind w:left="400"/>
      </w:pPr>
      <w:r>
        <w:t>6. BOAB - BANK OF AFRICA BENIN</w:t>
      </w:r>
    </w:p>
    <w:p>
      <w:pPr>
        <w:ind w:left="400"/>
      </w:pPr>
      <w:r>
        <w:t>7. BOABF - BANK OF AFRICA BURKINA FASO</w:t>
      </w:r>
    </w:p>
    <w:p>
      <w:pPr>
        <w:ind w:left="400"/>
      </w:pPr>
      <w:r>
        <w:t>8. BOAC - BANK OF AFRICA COTE D'IVOIRE</w:t>
      </w:r>
    </w:p>
    <w:p>
      <w:pPr>
        <w:ind w:left="400"/>
      </w:pPr>
      <w:r>
        <w:t>9. BOAM - BANK OF AFRICA MALI</w:t>
      </w:r>
    </w:p>
    <w:p>
      <w:pPr>
        <w:ind w:left="400"/>
      </w:pPr>
      <w:r>
        <w:t>10. BOAN - BANK OF AFRICA NIGER</w:t>
      </w:r>
    </w:p>
    <w:p>
      <w:pPr>
        <w:ind w:left="400"/>
      </w:pPr>
      <w:r>
        <w:t>11. BOAS - BANK OF AFRICA SENEGAL</w:t>
      </w:r>
    </w:p>
    <w:p>
      <w:pPr>
        <w:ind w:left="400"/>
      </w:pPr>
      <w:r>
        <w:t>12. CABC - CABC - SICABLE COTE D'IVOIRE</w:t>
      </w:r>
    </w:p>
    <w:p>
      <w:pPr>
        <w:ind w:left="400"/>
      </w:pPr>
      <w:r>
        <w:t>13. CBIBF - CBIBF - CORIS BANK INTERNATIONAL BURKINA FASO</w:t>
      </w:r>
    </w:p>
    <w:p>
      <w:pPr>
        <w:ind w:left="400"/>
      </w:pPr>
      <w:r>
        <w:t>14. CFAC - CFAC - CFAO MOTORS CI</w:t>
      </w:r>
    </w:p>
    <w:p>
      <w:pPr>
        <w:ind w:left="400"/>
      </w:pPr>
      <w:r>
        <w:t>15. CIEC - CIEC - Compagnie Ivoirienne d'Electricité</w:t>
      </w:r>
    </w:p>
    <w:p>
      <w:pPr>
        <w:ind w:left="400"/>
      </w:pPr>
      <w:r>
        <w:t>16. ECOC - ECOC - ECOBANK COTE D'IVOIRE</w:t>
      </w:r>
    </w:p>
    <w:p>
      <w:pPr>
        <w:ind w:left="400"/>
      </w:pPr>
      <w:r>
        <w:t>17. ETIT - ETIT - Ecobank Transnational Incorporated Togo</w:t>
      </w:r>
    </w:p>
    <w:p>
      <w:pPr>
        <w:ind w:left="400"/>
      </w:pPr>
      <w:r>
        <w:t>18. FTSC - FTSC - FILTISAC COTE D'IVOIRE</w:t>
      </w:r>
    </w:p>
    <w:p>
      <w:pPr>
        <w:ind w:left="400"/>
      </w:pPr>
      <w:r>
        <w:t>19. LNBB - LNBB - LOTERIE NATIONALE DU BENIN</w:t>
      </w:r>
    </w:p>
    <w:p>
      <w:pPr>
        <w:ind w:left="400"/>
      </w:pPr>
      <w:r>
        <w:t>20. NEIC - NEIC - NEI-CEDA CI</w:t>
      </w:r>
    </w:p>
    <w:p>
      <w:pPr>
        <w:ind w:left="400"/>
      </w:pPr>
      <w:r>
        <w:t>21. NSBC - NSBC - NSIA BANQUE COTE D'IVOIRE</w:t>
      </w:r>
    </w:p>
    <w:p>
      <w:pPr>
        <w:ind w:left="400"/>
      </w:pPr>
      <w:r>
        <w:t>22. NTLC - NTLC - NESTLE COTE D'IVOIRE</w:t>
      </w:r>
    </w:p>
    <w:p>
      <w:pPr>
        <w:ind w:left="400"/>
      </w:pPr>
      <w:r>
        <w:t>23. ONTBF - ONTBF - ONATEL BURKINA FASO</w:t>
      </w:r>
    </w:p>
    <w:p>
      <w:pPr>
        <w:ind w:left="400"/>
      </w:pPr>
      <w:r>
        <w:t>24. ORAC - ORAC - ORANGE COTE D'IVOIRE</w:t>
      </w:r>
    </w:p>
    <w:p>
      <w:pPr>
        <w:ind w:left="400"/>
      </w:pPr>
      <w:r>
        <w:t>25. ORGT - ORGT - ORAGROUP TOGO</w:t>
      </w:r>
    </w:p>
    <w:p>
      <w:pPr>
        <w:ind w:left="400"/>
      </w:pPr>
      <w:r>
        <w:t>26. PALC - PALC - PALM COTE D'IVOIRE</w:t>
      </w:r>
    </w:p>
    <w:p>
      <w:pPr>
        <w:ind w:left="400"/>
      </w:pPr>
      <w:r>
        <w:t>27. PRSC - PRSC - TRACTAFRIC MOTORS CI</w:t>
      </w:r>
    </w:p>
    <w:p>
      <w:pPr>
        <w:ind w:left="400"/>
      </w:pPr>
      <w:r>
        <w:t>28. SAFC - SAFCA CI</w:t>
      </w:r>
    </w:p>
    <w:p>
      <w:pPr>
        <w:ind w:left="400"/>
      </w:pPr>
      <w:r>
        <w:t>29. SCRC - SCRC - SUCRIVOIRE</w:t>
      </w:r>
    </w:p>
    <w:p>
      <w:pPr>
        <w:ind w:left="400"/>
      </w:pPr>
      <w:r>
        <w:t>30. SDCC - SDCC - Société de Distribution d'Eau de Côte d'Ivoire</w:t>
      </w:r>
    </w:p>
    <w:p>
      <w:pPr>
        <w:ind w:left="400"/>
      </w:pPr>
      <w:r>
        <w:t>31. SDSC - SDSC - AFRICA GLOBAL LOGISTICS CI</w:t>
      </w:r>
    </w:p>
    <w:p>
      <w:pPr>
        <w:ind w:left="400"/>
      </w:pPr>
      <w:r>
        <w:t>32. SEMC - SEMC - EVIOSYS PACKAGING SIEM CI</w:t>
      </w:r>
    </w:p>
    <w:p>
      <w:pPr>
        <w:ind w:left="400"/>
      </w:pPr>
      <w:r>
        <w:t>33. SGBC - SGBC - SOCIETE GENERALE COTE D'IVOIRE</w:t>
      </w:r>
    </w:p>
    <w:p>
      <w:pPr>
        <w:ind w:left="400"/>
      </w:pPr>
      <w:r>
        <w:t>34. SHEC - SHEC - VIVO ENERGY COTE D'IVOIRE</w:t>
      </w:r>
    </w:p>
    <w:p>
      <w:pPr>
        <w:ind w:left="400"/>
      </w:pPr>
      <w:r>
        <w:t>35. SIBC - SIBC - SOCIETE IVOIRIENNE DE BANQUE</w:t>
      </w:r>
    </w:p>
    <w:p>
      <w:pPr>
        <w:ind w:left="400"/>
      </w:pPr>
      <w:r>
        <w:t>36. SICC - SICC - SICOR COTE D'IVOIRE</w:t>
      </w:r>
    </w:p>
    <w:p>
      <w:pPr>
        <w:ind w:left="400"/>
      </w:pPr>
      <w:r>
        <w:t>37. SIVC - SIVC - ERIUM CI (Ex AIR LIQUIDECI)</w:t>
      </w:r>
    </w:p>
    <w:p>
      <w:pPr>
        <w:ind w:left="400"/>
      </w:pPr>
      <w:r>
        <w:t>38. SLBC - SLBC - SOLIBRA COTE D'IVOIRE</w:t>
      </w:r>
    </w:p>
    <w:p>
      <w:pPr>
        <w:ind w:left="400"/>
      </w:pPr>
      <w:r>
        <w:t>39. SMBC - SMBC - Société Multinationale de Bitumes COTE D'IVOIRE</w:t>
      </w:r>
    </w:p>
    <w:p>
      <w:pPr>
        <w:ind w:left="400"/>
      </w:pPr>
      <w:r>
        <w:t>40. SNTS - SNTS - SONATEL SN</w:t>
      </w:r>
    </w:p>
    <w:p>
      <w:pPr>
        <w:ind w:left="400"/>
      </w:pPr>
      <w:r>
        <w:t>41. SOGC - SOGC - Société des caoutchoucs de Grand-Béréby</w:t>
      </w:r>
    </w:p>
    <w:p>
      <w:pPr>
        <w:ind w:left="400"/>
      </w:pPr>
      <w:r>
        <w:t>42. SPHC - SPHC - Société Africaine de Plantation d'Hévéas de Côte d'Ivoire</w:t>
      </w:r>
    </w:p>
    <w:p>
      <w:pPr>
        <w:ind w:left="400"/>
      </w:pPr>
      <w:r>
        <w:t>43. STAC - STAC - SETAO COTE D'IVOIRE</w:t>
      </w:r>
    </w:p>
    <w:p>
      <w:pPr>
        <w:ind w:left="400"/>
      </w:pPr>
      <w:r>
        <w:t>44. STBC - STBC - SITAB COTE D'IVOIRE</w:t>
      </w:r>
    </w:p>
    <w:p>
      <w:pPr>
        <w:ind w:left="400"/>
      </w:pPr>
      <w:r>
        <w:t>45. TTLC - TTLC - TOTAL ENERGIES MARKETING COTE D'IVOIRE</w:t>
      </w:r>
    </w:p>
    <w:p>
      <w:pPr>
        <w:ind w:left="400"/>
      </w:pPr>
      <w:r>
        <w:t>46. TTLS - TTLS - TOTAL ENERGIES MARKETING SENEGAL</w:t>
      </w:r>
    </w:p>
    <w:p>
      <w:pPr>
        <w:ind w:left="400"/>
      </w:pPr>
      <w:r>
        <w:t>47. UNLC - UNLC - UNILEVER COTE D'IVOIRE</w:t>
      </w:r>
    </w:p>
    <w:p>
      <w:pPr>
        <w:ind w:left="400"/>
      </w:pPr>
      <w:r>
        <w:t>48.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32.74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3,250 titres</w:t>
            </w:r>
          </w:p>
        </w:tc>
        <w:tc>
          <w:tcPr>
            <w:tcW w:type="dxa" w:w="2268"/>
            <w:shd w:fill="FFF2CC" w:val="clear"/>
          </w:tcPr>
          <w:p>
            <w:r>
              <w:rPr>
                <w:b/>
                <w:color w:val="503200"/>
                <w:sz w:val="16"/>
              </w:rPr>
              <w:t xml:space="preserve">Cours actuel : </w:t>
            </w:r>
            <w:r>
              <w:rPr>
                <w:color w:val="000000"/>
                <w:sz w:val="17"/>
              </w:rPr>
              <w:t>3,000 FCFA</w:t>
            </w:r>
          </w:p>
          <w:p>
            <w:r>
              <w:rPr>
                <w:b/>
                <w:color w:val="503200"/>
                <w:sz w:val="16"/>
              </w:rPr>
              <w:t xml:space="preserve">Var. 100 jours : </w:t>
            </w:r>
            <w:r>
              <w:rPr>
                <w:b/>
                <w:color w:val="007800"/>
                <w:sz w:val="17"/>
              </w:rPr>
              <w:t>+4.17%</w:t>
            </w:r>
          </w:p>
          <w:p>
            <w:r>
              <w:rPr>
                <w:b/>
                <w:color w:val="503200"/>
                <w:sz w:val="16"/>
              </w:rPr>
              <w:t xml:space="preserve">Plus haut 100j : </w:t>
            </w:r>
            <w:r>
              <w:rPr>
                <w:color w:val="000000"/>
                <w:sz w:val="17"/>
              </w:rPr>
              <w:t>4,095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45.6%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10.35% (Moyenne) — μ=3,365 FCFA, σ=348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β=0.3332 (Défensif) — Cov=0.000025, Var(idx)=0.000076, ρ=0.101,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3,250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σ_j=2.87%/j (Stable) — Vol. annualisée≈45.6%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2,887</w:t>
            </w:r>
          </w:p>
        </w:tc>
        <w:tc>
          <w:tcPr>
            <w:tcW w:type="dxa" w:w="1440"/>
            <w:shd w:fill="FAFAFA" w:val="clear"/>
          </w:tcPr>
          <w:p>
            <w:r>
              <w:rPr>
                <w:b/>
                <w:sz w:val="17"/>
              </w:rPr>
              <w:t>3,002</w:t>
            </w:r>
          </w:p>
        </w:tc>
        <w:tc>
          <w:tcPr>
            <w:tcW w:type="dxa" w:w="1440"/>
            <w:shd w:fill="FAFAFA" w:val="clear"/>
          </w:tcPr>
          <w:p>
            <w:r>
              <w:rPr>
                <w:sz w:val="17"/>
              </w:rPr>
              <w:t>3,117</w:t>
            </w:r>
          </w:p>
        </w:tc>
        <w:tc>
          <w:tcPr>
            <w:tcW w:type="dxa" w:w="1440"/>
            <w:shd w:fill="FAFAFA" w:val="clear"/>
          </w:tcPr>
          <w:p>
            <w:r>
              <w:rPr>
                <w:b/>
                <w:color w:val="008000"/>
                <w:sz w:val="17"/>
              </w:rPr>
              <w:t>+0.1%</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2,819</w:t>
            </w:r>
          </w:p>
        </w:tc>
        <w:tc>
          <w:tcPr>
            <w:tcW w:type="dxa" w:w="1440"/>
            <w:shd w:fill="FAFAFA" w:val="clear"/>
          </w:tcPr>
          <w:p>
            <w:r>
              <w:rPr>
                <w:b/>
                <w:sz w:val="17"/>
              </w:rPr>
              <w:t>2,981</w:t>
            </w:r>
          </w:p>
        </w:tc>
        <w:tc>
          <w:tcPr>
            <w:tcW w:type="dxa" w:w="1440"/>
            <w:shd w:fill="FAFAFA" w:val="clear"/>
          </w:tcPr>
          <w:p>
            <w:r>
              <w:rPr>
                <w:sz w:val="17"/>
              </w:rPr>
              <w:t>3,143</w:t>
            </w:r>
          </w:p>
        </w:tc>
        <w:tc>
          <w:tcPr>
            <w:tcW w:type="dxa" w:w="1440"/>
            <w:shd w:fill="FAFAFA" w:val="clear"/>
          </w:tcPr>
          <w:p>
            <w:r>
              <w:rPr>
                <w:b/>
                <w:color w:val="C00000"/>
                <w:sz w:val="17"/>
              </w:rPr>
              <w:t>-0.6%</w:t>
            </w:r>
          </w:p>
        </w:tc>
      </w:tr>
      <w:tr>
        <w:tc>
          <w:tcPr>
            <w:tcW w:type="dxa" w:w="1440"/>
            <w:shd w:fill="FAFAFA" w:val="clear"/>
          </w:tcPr>
          <w:p>
            <w:r>
              <w:rPr>
                <w:sz w:val="17"/>
              </w:rPr>
              <w:t>J+3  Moyenne</w:t>
            </w:r>
          </w:p>
        </w:tc>
        <w:tc>
          <w:tcPr>
            <w:tcW w:type="dxa" w:w="1440"/>
            <w:shd w:fill="FAFAFA" w:val="clear"/>
          </w:tcPr>
          <w:p>
            <w:r>
              <w:rPr>
                <w:sz w:val="17"/>
              </w:rPr>
              <w:t>2026-10-21</w:t>
            </w:r>
          </w:p>
        </w:tc>
        <w:tc>
          <w:tcPr>
            <w:tcW w:type="dxa" w:w="1440"/>
            <w:shd w:fill="FAFAFA" w:val="clear"/>
          </w:tcPr>
          <w:p>
            <w:r>
              <w:rPr>
                <w:sz w:val="17"/>
              </w:rPr>
              <w:t>2,773</w:t>
            </w:r>
          </w:p>
        </w:tc>
        <w:tc>
          <w:tcPr>
            <w:tcW w:type="dxa" w:w="1440"/>
            <w:shd w:fill="FAFAFA" w:val="clear"/>
          </w:tcPr>
          <w:p>
            <w:r>
              <w:rPr>
                <w:b/>
                <w:sz w:val="17"/>
              </w:rPr>
              <w:t>2,971</w:t>
            </w:r>
          </w:p>
        </w:tc>
        <w:tc>
          <w:tcPr>
            <w:tcW w:type="dxa" w:w="1440"/>
            <w:shd w:fill="FAFAFA" w:val="clear"/>
          </w:tcPr>
          <w:p>
            <w:r>
              <w:rPr>
                <w:sz w:val="17"/>
              </w:rPr>
              <w:t>3,168</w:t>
            </w:r>
          </w:p>
        </w:tc>
        <w:tc>
          <w:tcPr>
            <w:tcW w:type="dxa" w:w="1440"/>
            <w:shd w:fill="FAFAFA" w:val="clear"/>
          </w:tcPr>
          <w:p>
            <w:r>
              <w:rPr>
                <w:b/>
                <w:color w:val="C00000"/>
                <w:sz w:val="17"/>
              </w:rPr>
              <w:t>-1.0%</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2,732</w:t>
            </w:r>
          </w:p>
        </w:tc>
        <w:tc>
          <w:tcPr>
            <w:tcW w:type="dxa" w:w="1440"/>
            <w:shd w:fill="FAFAFA" w:val="clear"/>
          </w:tcPr>
          <w:p>
            <w:r>
              <w:rPr>
                <w:b/>
                <w:sz w:val="17"/>
              </w:rPr>
              <w:t>2,959</w:t>
            </w:r>
          </w:p>
        </w:tc>
        <w:tc>
          <w:tcPr>
            <w:tcW w:type="dxa" w:w="1440"/>
            <w:shd w:fill="FAFAFA" w:val="clear"/>
          </w:tcPr>
          <w:p>
            <w:r>
              <w:rPr>
                <w:sz w:val="17"/>
              </w:rPr>
              <w:t>3,186</w:t>
            </w:r>
          </w:p>
        </w:tc>
        <w:tc>
          <w:tcPr>
            <w:tcW w:type="dxa" w:w="1440"/>
            <w:shd w:fill="FAFAFA" w:val="clear"/>
          </w:tcPr>
          <w:p>
            <w:r>
              <w:rPr>
                <w:b/>
                <w:color w:val="C00000"/>
                <w:sz w:val="17"/>
              </w:rPr>
              <w:t>-1.4%</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2,693</w:t>
            </w:r>
          </w:p>
        </w:tc>
        <w:tc>
          <w:tcPr>
            <w:tcW w:type="dxa" w:w="1440"/>
            <w:shd w:fill="FAFAFA" w:val="clear"/>
          </w:tcPr>
          <w:p>
            <w:r>
              <w:rPr>
                <w:b/>
                <w:sz w:val="17"/>
              </w:rPr>
              <w:t>2,946</w:t>
            </w:r>
          </w:p>
        </w:tc>
        <w:tc>
          <w:tcPr>
            <w:tcW w:type="dxa" w:w="1440"/>
            <w:shd w:fill="FAFAFA" w:val="clear"/>
          </w:tcPr>
          <w:p>
            <w:r>
              <w:rPr>
                <w:sz w:val="17"/>
              </w:rPr>
              <w:t>3,198</w:t>
            </w:r>
          </w:p>
        </w:tc>
        <w:tc>
          <w:tcPr>
            <w:tcW w:type="dxa" w:w="1440"/>
            <w:shd w:fill="FAFAFA" w:val="clear"/>
          </w:tcPr>
          <w:p>
            <w:r>
              <w:rPr>
                <w:b/>
                <w:color w:val="C00000"/>
                <w:sz w:val="17"/>
              </w:rPr>
              <w:t>-1.8%</w:t>
            </w:r>
          </w:p>
        </w:tc>
      </w:tr>
      <w:tr>
        <w:tc>
          <w:tcPr>
            <w:tcW w:type="dxa" w:w="1440"/>
            <w:shd w:fill="FFDCE0" w:val="clear"/>
          </w:tcPr>
          <w:p>
            <w:r>
              <w:rPr>
                <w:sz w:val="17"/>
              </w:rPr>
              <w:t>J+6  ⭐</w:t>
            </w:r>
          </w:p>
        </w:tc>
        <w:tc>
          <w:tcPr>
            <w:tcW w:type="dxa" w:w="1440"/>
            <w:shd w:fill="FFDCE0" w:val="clear"/>
          </w:tcPr>
          <w:p>
            <w:r>
              <w:rPr>
                <w:sz w:val="17"/>
              </w:rPr>
              <w:t>2026-10-26</w:t>
            </w:r>
          </w:p>
        </w:tc>
        <w:tc>
          <w:tcPr>
            <w:tcW w:type="dxa" w:w="1440"/>
            <w:shd w:fill="FFDCE0" w:val="clear"/>
          </w:tcPr>
          <w:p>
            <w:r>
              <w:rPr>
                <w:sz w:val="17"/>
              </w:rPr>
              <w:t>2,657</w:t>
            </w:r>
          </w:p>
        </w:tc>
        <w:tc>
          <w:tcPr>
            <w:tcW w:type="dxa" w:w="1440"/>
            <w:shd w:fill="FFDCE0" w:val="clear"/>
          </w:tcPr>
          <w:p>
            <w:r>
              <w:rPr>
                <w:b/>
                <w:sz w:val="17"/>
              </w:rPr>
              <w:t>2,932</w:t>
            </w:r>
          </w:p>
        </w:tc>
        <w:tc>
          <w:tcPr>
            <w:tcW w:type="dxa" w:w="1440"/>
            <w:shd w:fill="FFDCE0" w:val="clear"/>
          </w:tcPr>
          <w:p>
            <w:r>
              <w:rPr>
                <w:sz w:val="17"/>
              </w:rPr>
              <w:t>3,208</w:t>
            </w:r>
          </w:p>
        </w:tc>
        <w:tc>
          <w:tcPr>
            <w:tcW w:type="dxa" w:w="1440"/>
            <w:shd w:fill="FFDCE0" w:val="clear"/>
          </w:tcPr>
          <w:p>
            <w:r>
              <w:rPr>
                <w:b/>
                <w:color w:val="C00000"/>
                <w:sz w:val="17"/>
              </w:rPr>
              <w:t>-2.3%</w:t>
            </w:r>
          </w:p>
        </w:tc>
      </w:tr>
      <w:tr>
        <w:tc>
          <w:tcPr>
            <w:tcW w:type="dxa" w:w="1440"/>
            <w:shd w:fill="FFDCE0" w:val="clear"/>
          </w:tcPr>
          <w:p>
            <w:r>
              <w:rPr>
                <w:sz w:val="17"/>
              </w:rPr>
              <w:t>J+7  ⭐</w:t>
            </w:r>
          </w:p>
        </w:tc>
        <w:tc>
          <w:tcPr>
            <w:tcW w:type="dxa" w:w="1440"/>
            <w:shd w:fill="FFDCE0" w:val="clear"/>
          </w:tcPr>
          <w:p>
            <w:r>
              <w:rPr>
                <w:sz w:val="17"/>
              </w:rPr>
              <w:t>2026-10-27</w:t>
            </w:r>
          </w:p>
        </w:tc>
        <w:tc>
          <w:tcPr>
            <w:tcW w:type="dxa" w:w="1440"/>
            <w:shd w:fill="FFDCE0" w:val="clear"/>
          </w:tcPr>
          <w:p>
            <w:r>
              <w:rPr>
                <w:sz w:val="17"/>
              </w:rPr>
              <w:t>2,623</w:t>
            </w:r>
          </w:p>
        </w:tc>
        <w:tc>
          <w:tcPr>
            <w:tcW w:type="dxa" w:w="1440"/>
            <w:shd w:fill="FFDCE0" w:val="clear"/>
          </w:tcPr>
          <w:p>
            <w:r>
              <w:rPr>
                <w:b/>
                <w:sz w:val="17"/>
              </w:rPr>
              <w:t>2,919</w:t>
            </w:r>
          </w:p>
        </w:tc>
        <w:tc>
          <w:tcPr>
            <w:tcW w:type="dxa" w:w="1440"/>
            <w:shd w:fill="FFDCE0" w:val="clear"/>
          </w:tcPr>
          <w:p>
            <w:r>
              <w:rPr>
                <w:sz w:val="17"/>
              </w:rPr>
              <w:t>3,215</w:t>
            </w:r>
          </w:p>
        </w:tc>
        <w:tc>
          <w:tcPr>
            <w:tcW w:type="dxa" w:w="1440"/>
            <w:shd w:fill="FFDCE0" w:val="clear"/>
          </w:tcPr>
          <w:p>
            <w:r>
              <w:rPr>
                <w:b/>
                <w:color w:val="C00000"/>
                <w:sz w:val="17"/>
              </w:rPr>
              <w:t>-2.7%</w:t>
            </w:r>
          </w:p>
        </w:tc>
      </w:tr>
      <w:tr>
        <w:tc>
          <w:tcPr>
            <w:tcW w:type="dxa" w:w="1440"/>
            <w:shd w:fill="FFDCE0" w:val="clear"/>
          </w:tcPr>
          <w:p>
            <w:r>
              <w:rPr>
                <w:sz w:val="17"/>
              </w:rPr>
              <w:t>J+8  ⭐</w:t>
            </w:r>
          </w:p>
        </w:tc>
        <w:tc>
          <w:tcPr>
            <w:tcW w:type="dxa" w:w="1440"/>
            <w:shd w:fill="FFDCE0" w:val="clear"/>
          </w:tcPr>
          <w:p>
            <w:r>
              <w:rPr>
                <w:sz w:val="17"/>
              </w:rPr>
              <w:t>2026-10-28</w:t>
            </w:r>
          </w:p>
        </w:tc>
        <w:tc>
          <w:tcPr>
            <w:tcW w:type="dxa" w:w="1440"/>
            <w:shd w:fill="FFDCE0" w:val="clear"/>
          </w:tcPr>
          <w:p>
            <w:r>
              <w:rPr>
                <w:sz w:val="17"/>
              </w:rPr>
              <w:t>2,591</w:t>
            </w:r>
          </w:p>
        </w:tc>
        <w:tc>
          <w:tcPr>
            <w:tcW w:type="dxa" w:w="1440"/>
            <w:shd w:fill="FFDCE0" w:val="clear"/>
          </w:tcPr>
          <w:p>
            <w:r>
              <w:rPr>
                <w:b/>
                <w:sz w:val="17"/>
              </w:rPr>
              <w:t>2,906</w:t>
            </w:r>
          </w:p>
        </w:tc>
        <w:tc>
          <w:tcPr>
            <w:tcW w:type="dxa" w:w="1440"/>
            <w:shd w:fill="FFDCE0" w:val="clear"/>
          </w:tcPr>
          <w:p>
            <w:r>
              <w:rPr>
                <w:sz w:val="17"/>
              </w:rPr>
              <w:t>3,222</w:t>
            </w:r>
          </w:p>
        </w:tc>
        <w:tc>
          <w:tcPr>
            <w:tcW w:type="dxa" w:w="1440"/>
            <w:shd w:fill="FFDCE0" w:val="clear"/>
          </w:tcPr>
          <w:p>
            <w:r>
              <w:rPr>
                <w:b/>
                <w:color w:val="C00000"/>
                <w:sz w:val="17"/>
              </w:rPr>
              <w:t>-3.1%</w:t>
            </w:r>
          </w:p>
        </w:tc>
      </w:tr>
      <w:tr>
        <w:tc>
          <w:tcPr>
            <w:tcW w:type="dxa" w:w="1440"/>
            <w:shd w:fill="FFDCE0" w:val="clear"/>
          </w:tcPr>
          <w:p>
            <w:r>
              <w:rPr>
                <w:sz w:val="17"/>
              </w:rPr>
              <w:t>J+9  ⭐</w:t>
            </w:r>
          </w:p>
        </w:tc>
        <w:tc>
          <w:tcPr>
            <w:tcW w:type="dxa" w:w="1440"/>
            <w:shd w:fill="FFDCE0" w:val="clear"/>
          </w:tcPr>
          <w:p>
            <w:r>
              <w:rPr>
                <w:sz w:val="17"/>
              </w:rPr>
              <w:t>2026-10-29</w:t>
            </w:r>
          </w:p>
        </w:tc>
        <w:tc>
          <w:tcPr>
            <w:tcW w:type="dxa" w:w="1440"/>
            <w:shd w:fill="FFDCE0" w:val="clear"/>
          </w:tcPr>
          <w:p>
            <w:r>
              <w:rPr>
                <w:sz w:val="17"/>
              </w:rPr>
              <w:t>2,561</w:t>
            </w:r>
          </w:p>
        </w:tc>
        <w:tc>
          <w:tcPr>
            <w:tcW w:type="dxa" w:w="1440"/>
            <w:shd w:fill="FFDCE0" w:val="clear"/>
          </w:tcPr>
          <w:p>
            <w:r>
              <w:rPr>
                <w:b/>
                <w:sz w:val="17"/>
              </w:rPr>
              <w:t>2,894</w:t>
            </w:r>
          </w:p>
        </w:tc>
        <w:tc>
          <w:tcPr>
            <w:tcW w:type="dxa" w:w="1440"/>
            <w:shd w:fill="FFDCE0" w:val="clear"/>
          </w:tcPr>
          <w:p>
            <w:r>
              <w:rPr>
                <w:sz w:val="17"/>
              </w:rPr>
              <w:t>3,227</w:t>
            </w:r>
          </w:p>
        </w:tc>
        <w:tc>
          <w:tcPr>
            <w:tcW w:type="dxa" w:w="1440"/>
            <w:shd w:fill="FFDCE0" w:val="clear"/>
          </w:tcPr>
          <w:p>
            <w:r>
              <w:rPr>
                <w:b/>
                <w:color w:val="C00000"/>
                <w:sz w:val="17"/>
              </w:rPr>
              <w:t>-3.5%</w:t>
            </w:r>
          </w:p>
        </w:tc>
      </w:tr>
      <w:tr>
        <w:tc>
          <w:tcPr>
            <w:tcW w:type="dxa" w:w="1440"/>
            <w:shd w:fill="FFDCE0" w:val="clear"/>
          </w:tcPr>
          <w:p>
            <w:r>
              <w:rPr>
                <w:sz w:val="17"/>
              </w:rPr>
              <w:t>J+10  ⭐</w:t>
            </w:r>
          </w:p>
        </w:tc>
        <w:tc>
          <w:tcPr>
            <w:tcW w:type="dxa" w:w="1440"/>
            <w:shd w:fill="FFDCE0" w:val="clear"/>
          </w:tcPr>
          <w:p>
            <w:r>
              <w:rPr>
                <w:sz w:val="17"/>
              </w:rPr>
              <w:t>2026-10-30</w:t>
            </w:r>
          </w:p>
        </w:tc>
        <w:tc>
          <w:tcPr>
            <w:tcW w:type="dxa" w:w="1440"/>
            <w:shd w:fill="FFDCE0" w:val="clear"/>
          </w:tcPr>
          <w:p>
            <w:r>
              <w:rPr>
                <w:sz w:val="17"/>
              </w:rPr>
              <w:t>2,532</w:t>
            </w:r>
          </w:p>
        </w:tc>
        <w:tc>
          <w:tcPr>
            <w:tcW w:type="dxa" w:w="1440"/>
            <w:shd w:fill="FFDCE0" w:val="clear"/>
          </w:tcPr>
          <w:p>
            <w:r>
              <w:rPr>
                <w:b/>
                <w:sz w:val="17"/>
              </w:rPr>
              <w:t>2,882</w:t>
            </w:r>
          </w:p>
        </w:tc>
        <w:tc>
          <w:tcPr>
            <w:tcW w:type="dxa" w:w="1440"/>
            <w:shd w:fill="FFDCE0" w:val="clear"/>
          </w:tcPr>
          <w:p>
            <w:r>
              <w:rPr>
                <w:sz w:val="17"/>
              </w:rPr>
              <w:t>3,231</w:t>
            </w:r>
          </w:p>
        </w:tc>
        <w:tc>
          <w:tcPr>
            <w:tcW w:type="dxa" w:w="1440"/>
            <w:shd w:fill="FFDCE0" w:val="clear"/>
          </w:tcPr>
          <w:p>
            <w:r>
              <w:rPr>
                <w:b/>
                <w:color w:val="C00000"/>
                <w:sz w:val="17"/>
              </w:rPr>
              <w:t>-3.9%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 RAPPORT D'ANALYSE FINANCIÈRE — SERVAIR ABIDJAN (ABJC)</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32,74 milliards FCFA, ABJC se situe dans la moyenne des capitalisations de la cote BRVM, sans toutefois figurer parmi les poids lourds du marché. Le BPA de 124 FCFA/action indique ce que chaque titre génère en bénéfice net, mais c'est surtout le PER de 24,2x qui interpelle : il se situe très largement au-dessus de la moyenne BRVM (8-12x), signalant que les investisseurs paient une prime considérable pour les bénéfices actuels — soit en anticipant une forte croissance, soit en consacrant une surévaluation. Le P/B de 6,35x confirme cette exigence : le marché valorise ABJC à plus de six fois sa valeur comptable, une prime rarement justifiée sans perspectives de rentabilité exceptionnelle. Enfin, l'EV/EBITDA de 12,1x, dans la fourchette haute (10-15x), traduit une valorisation tendue de la capacité opérationnelle. L'ensemble dessine un titre **cher sur tous les multiples**, ce qui exige des fondamentaux irréprochables pour se maintenir.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ABJC affiche une variation totale positive de **+4,17%**, mais la dernière séance a lourdement chuté de **-3,23%**, ramenant le cours à 3 000 FCFA. Le titre a évolué dans un range large de 2 800 à 4 095 FCFA, soit un spread de près de 46% entre le plancher et le plafond — signe d'une forte amplitude de trading. La tendance générale est **baissière depuis le pic**, le cours actuel (3 000 FCFA) se situant sous la moyenne (3 365 FCFA) et la médiane (3 278 FCFA), ce qui traduit une distribution asymétrique : le skewness de +0,676 confirme qu'il y a davantage de journées sous la moyenne, avec des pointes haussières isolées. L'écart-type de 350 FCFA (CV de 10,4%) indique une dispersion modérée autour de la moyenne, mais le kurtosis de -0,742 (mésokurtique) suggère une distribution proche de la normale, sans risque extrême de pics. La volatilité annualisée de **45,6%** classe ABJC parmi les titres à volatilité **élevée** (&gt;30%), ce qui implique un risque de cours significatif pour l'investisseur.</w:t>
      </w:r>
    </w:p>
    <w:p>
      <w:pPr>
        <w:spacing w:after="120" w:line="276" w:lineRule="auto"/>
      </w:pPr>
      <w:r>
        <w:t>---</w:t>
      </w:r>
    </w:p>
    <w:p>
      <w:pPr>
        <w:spacing w:after="120" w:line="276" w:lineRule="auto"/>
      </w:pPr>
      <w:r>
        <w:t>## PARTIE 2 : ANALYSE TECHNIQUE DÉTAILLÉE</w:t>
      </w:r>
    </w:p>
    <w:p>
      <w:pPr>
        <w:spacing w:after="120" w:line="276" w:lineRule="auto"/>
      </w:pPr>
      <w:r>
        <w:t>**Moyennes Mobiles** : La MM20 (3 490,5 FCFA) et la MM50 (3 565,5 FCFA) se situent toutes deux nettement au-dessus du cours actuel (3 000 FCFA), configurant un alignement baissier classique où le prix évolue sous ses moyennes. La MM20 sous la MM50 confirme la pression vendeuse de court terme, et la décision technique est logiquement **Vente**.</w:t>
      </w:r>
    </w:p>
    <w:p>
      <w:pPr>
        <w:spacing w:after="120" w:line="276" w:lineRule="auto"/>
      </w:pPr>
      <w:r>
        <w:t>**Bandes de Bollinger** : Le cours (3 000 FCFA) se situe dans la moitié inférieure de la bande, entre la borne inférieure (2 823,7 FCFA) et la borne supérieure (4 157,3 FCFA), sans en toucher les extrêmes. Cette position centrale basse traduit une volatilité contenue mais une orientation baissière ; la décision est **Neutre**, le titre n'étant ni en survente extrême ni en surachat.</w:t>
      </w:r>
    </w:p>
    <w:p>
      <w:pPr>
        <w:spacing w:after="120" w:line="276" w:lineRule="auto"/>
      </w:pPr>
      <w:r>
        <w:t>**MACD** : La valeur du MACD (-173,3) est inférieure à son signal (-116,3), avec un histogramme négatif qui s'accentue. Cette configuration confirme un momentum baissier en cours de renforcement, et la décision est **Vente**.</w:t>
      </w:r>
    </w:p>
    <w:p>
      <w:pPr>
        <w:spacing w:after="120" w:line="276" w:lineRule="auto"/>
      </w:pPr>
      <w:r>
        <w:t>**RSI** : À **3,5**, le RSI est exceptionnellement bas, très en dessous du seuil de survente de 30. Cette lecture signale une **survente extrême**, souvent précurseur d'un rebond technique à court terme ; la décision est donc **Achat** sur ce seul indicateur.</w:t>
      </w:r>
    </w:p>
    <w:p>
      <w:pPr>
        <w:spacing w:after="120" w:line="276" w:lineRule="auto"/>
      </w:pPr>
      <w:r>
        <w:t>**Stochastique** : Avec %K = 0,0 et %D = 0,0, le stochastique est collé au plancher, en zone de survente maximale. Cette configuration extrême plaide pour un **Achat** contrarien, bien que le croisement des lignes ne soit pas encore visible.</w:t>
      </w:r>
    </w:p>
    <w:p>
      <w:pPr>
        <w:spacing w:after="120" w:line="276" w:lineRule="auto"/>
      </w:pPr>
      <w:r>
        <w:t>**Conclusion technique** : Les indicateurs de tendance (MM, MACD) sont clairement baissiers, tandis que les oscillateurs (RSI à 3,5, Stochastique à 0) signalent une survente extrême. Cette **divergence classique** entre tendance et momentum suggère un titre en fin de correction, susceptible de rebondir techniquement, mais sans confirmation de retournement tant que le cours reste sous ses moyennes mobiles. La prudence reste de mise.</w:t>
      </w:r>
    </w:p>
    <w:p>
      <w:pPr>
        <w:spacing w:after="120" w:line="276" w:lineRule="auto"/>
      </w:pPr>
      <w:r>
        <w:t>---</w:t>
      </w:r>
    </w:p>
    <w:p>
      <w:pPr>
        <w:spacing w:after="120" w:line="276" w:lineRule="auto"/>
      </w:pPr>
      <w:r>
        <w:t>## PARTIE 3 : ANALYSE FONDAMENTALE</w:t>
      </w:r>
    </w:p>
    <w:p>
      <w:pPr>
        <w:spacing w:after="120" w:line="276" w:lineRule="auto"/>
      </w:pPr>
      <w:r>
        <w:t>Les états financiers structurés de l'exercice **2025** révèlent un chiffre d'affaires de **13,298 milliards FCFA**, en croissance de **+6,67%**, pour un résultat net de **1,351 milliard FCFA**, soit une marge nette de 10,16%. La rentabilité des fonds propres (ROE) atteint un niveau excellent de **26,18%**, et le ROA de 14,64% confirme l'efficacité de l'utilisation des actifs. La structure financière est très saine : autonomie financière de 55,9%, dettes financières quasi nulles (65,89 M FCFA), trésorerie nette de 4,035 milliards FCFA et couverture des intérêts de plus de 36 000%. En tant qu'entreprise de services aéroportuaires, les délais d'exploitation méritent attention : le délai client de **70,1 jours** constitue un risque de trésorerie modéré, compensé par un délai fournisseur de 92,1 jours (favorable) et un BFR maîtrisé de 257,45 M FCFA. Cependant, les rapports récents nuancent ce tableau : selon le rapport du **T1 2026 (publié en 2026)**, le CA progresse de +1,9% mais le résultat net chute de **-35,6%** (222,6 M FCFA contre 345,9 M FCFA), pénalisé par les ajustements de redevances aéroportuaires depuis avril 2025 et les tensions géopolitiques au Moyen-Orient. Le rapport semestriel **S1 2026** confirme une croissance du CA de +4,5% à 6,883 milliards FCFA, portée par la diversification (Traiteur, Collectivités). Sur cette base, on peut **estimer** que l'exercice 2026 devrait afficher une croissance modérée du CA (3-5%) mais une pression persistante sur la rentabilité, avec un résultat net annuel potentiellement en retrait de 15-25% par rapport à 2025. La recommandation fondamentale est **CONSERVER** : solidité bilancielle et ROE élevé d'un côté, mais dégradation de la rentabilité et valorisation exigeante de l'autre.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tableau contrasté. **Sur la valorisation (Partie 0)**, ABJC est cher sur tous les multiples (PER 24,2x, P/B 6,35x, EV/EBITDA 12,1x), ce qui intègre déjà une forte prime de croissance et laisse peu de marge d'erreur. **Sur le comportement du cours (Partie 1)**, la tendance est baissière depuis le pic, avec une volatilité élevée (45,6%) et un skewness positif signalant des journées majoritairement sous la moyenne — un profil peu favorable à court terme. **Sur le plan technique (Partie 2)**, la divergence entre tendance baissière (MM, MACD) et survente extrême (RSI 3,5, Stochastique 0) suggère un possible rebond technique, mais sans confirmation de retournement. **Sur les fondamentaux (Partie 3)**, la solidité bilancielle et le ROE de 26,18% (2025) sont remarquables, mais la dégradation du résultat net au T1 2026 (-35,6%) et la pression sur les marges assombrissent les perspectives. **Les prédictions IA (J+1 à J+10)** confirment cette orientation baissière, projetant une glissade progressive de 3 002 à 2 946 FCFA, en cohérence avec les signaux techniques de tendance. Face à cette convergence baissière (valorisation tendue, technique dégradée, prédictions négatives) tempérée par des fondamentaux solides mais en repli, la recommandation finale est **CONSERVER**, avec un niveau de confiance **Moyen** et un risque global **Élevé** (volatilité 45,6%, valorisation exigeante, dégradation des marges). L'horizon optimal est le **moyen terme (3-12 mois)**, le temps de vérifier si la diversification et la modernisation (délégation de service public) permettent de restaurer la rentabilité, seuil indispensable pour justifier les multiples actuels. Un renforcement ne serait envisageable qu'en cas de confirmation d'un rebond technique durable et d'une stabilisation des marges au T2/T3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 document est une simple attestation d'examen limit\u00e9 sans donn\u00e9es financi\u00e8res chiffr\u00e9es, ne permettant pas de r\u00e9\u00e9valuer la valorisation de SERVAIR CI. L'absence de r\u00e9serve des auditeurs est rassurante sur la qualit\u00e9 de l'information financi\u00e8re, mais insuffisante pour justifier une d\u00e9cision d'investissement."}</w:t>
      </w:r>
    </w:p>
    <w:p>
      <w:pPr>
        <w:spacing w:before="40"/>
        <w:ind w:left="400"/>
      </w:pPr>
      <w:r>
        <w:rPr>
          <w:sz w:val="18"/>
        </w:rPr>
        <w:t>Le document analysé est l'attestation des Commissaires aux Comptes (Deloitte Côte d'Ivoire et ERITEDGE Côte d'Ivoire) sur le tableau d'activités et de résultat ainsi que le rapport d'activité semestriel de SERVAIR Abidjan, S.A. pour la période du 1er janvier au 30 juin 2026. Il s'agit d'un examen limité réalisé selon la norme ISRE 2410, et non d'un audit complet, les auditeurs n'exprimant donc pas d'opinion d'audit. Sur la base de leurs travaux, les Commissaires aux Comptes n'ont pas relevé de faits remettant en cause la conformité des états présentés aux articles 850 à 851 de l'Acte Uniforme OHADA et à la Circulaire n°004-2010 du CREPMF. Le document atteste donc de la régularité formelle de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portant sur le tableau d'activités et de résultat et le rapport d'activité semestriel au 30 juin 2026 de SERVAIR Abidjan, S.A.</w:t>
      </w:r>
    </w:p>
    <w:p>
      <w:pPr>
        <w:pStyle w:val="ListBullet"/>
        <w:spacing w:before="20" w:after="20"/>
        <w:ind w:left="700"/>
      </w:pPr>
      <w:r>
        <w:rPr>
          <w:sz w:val="18"/>
        </w:rPr>
        <w:t>Examen limité effectué selon la norme ISRE 2410, avec une étendue très inférieure à celle d'un audit complet.</w:t>
      </w:r>
    </w:p>
    <w:p>
      <w:pPr>
        <w:pStyle w:val="ListBullet"/>
        <w:spacing w:before="20" w:after="20"/>
        <w:ind w:left="700"/>
      </w:pPr>
      <w:r>
        <w:rPr>
          <w:sz w:val="18"/>
        </w:rPr>
        <w:t>Les auditeurs n'expriment pas d'opinion d'audit, conformément aux limites de l'examen limité.</w:t>
      </w:r>
    </w:p>
    <w:p>
      <w:pPr>
        <w:pStyle w:val="ListBullet"/>
        <w:spacing w:before="20" w:after="20"/>
        <w:ind w:left="700"/>
      </w:pPr>
      <w:r>
        <w:rPr>
          <w:sz w:val="18"/>
        </w:rPr>
        <w:t>Conclusion sans réserve : aucun fait relevé remettant en cause la conformité des états présentés.</w:t>
      </w:r>
    </w:p>
    <w:p>
      <w:pPr>
        <w:pStyle w:val="ListBullet"/>
        <w:spacing w:before="20" w:after="20"/>
        <w:ind w:left="700"/>
      </w:pPr>
      <w:r>
        <w:rPr>
          <w:sz w:val="18"/>
        </w:rPr>
        <w:t>Cadre réglementaire de référence : articles 849 à 851 de l'Acte Uniforme OHADA et Circulaire n°004-2010 du CREPMF de l'UMOA.</w:t>
      </w:r>
    </w:p>
    <w:p>
      <w:pPr>
        <w:pStyle w:val="ListBullet"/>
        <w:spacing w:before="20" w:after="20"/>
        <w:ind w:left="700"/>
      </w:pPr>
      <w:r>
        <w:rPr>
          <w:sz w:val="18"/>
        </w:rPr>
        <w:t>Informations comptables établies conformément au SYSCOHADA.</w:t>
      </w:r>
    </w:p>
    <w:p>
      <w:pPr>
        <w:spacing w:before="40"/>
        <w:ind w:left="400"/>
      </w:pPr>
      <w:r>
        <w:rPr>
          <w:b/>
          <w:color w:val="C05000"/>
          <w:sz w:val="18"/>
        </w:rPr>
        <w:t xml:space="preserve">⚠️ Risques : </w:t>
      </w:r>
      <w:r>
        <w:rPr>
          <w:sz w:val="18"/>
        </w:rPr>
        <w:t>["Absence de donn\u00e9es financi\u00e8res chiffr\u00e9es (chiffre d'affaires, r\u00e9sultat, bilan) dans le document, limitant l'analyse fondamentale.", "Examen limit\u00e9 et non audit complet : assurance partielle sur la fiabilit\u00e9 des \u00e9tats semestriels.", "D\u00e9calage temporel de publ</w:t>
      </w:r>
    </w:p>
    <w:p>
      <w:pPr>
        <w:spacing w:before="40"/>
        <w:ind w:left="400"/>
      </w:pPr>
      <w:r>
        <w:rPr>
          <w:b/>
          <w:color w:val="0064A0"/>
          <w:sz w:val="18"/>
        </w:rPr>
        <w:t xml:space="preserve">🔮 Perspectives : </w:t>
      </w:r>
      <w:r>
        <w:rPr>
          <w:sz w:val="18"/>
        </w:rPr>
        <w:t>Les perspectives ne peuvent être évaluées précisément faute d'indicateurs financiers dans le document. La conclusion sans réserve des Commissaires aux Comptes suggère néanmoins une information financière semestrielle conforme et de qualité. Il conviendra de se référer au rapport d'activité semestrie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
      <w:r>
        <w:t>════════════════════════════════════════════════════════════════════════════════</w:t>
      </w:r>
    </w:p>
    <w:p>
      <w:r>
        <w:br w:type="page"/>
      </w:r>
    </w:p>
    <w:p>
      <w:pPr>
        <w:pStyle w:val="Heading2"/>
        <w:spacing w:before="360"/>
      </w:pPr>
      <w:r>
        <w:rPr>
          <w:color w:val="0066CC"/>
        </w:rPr>
        <w:t>2. BBGC - BRIDGE BANK GROUP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BBGC</w:t>
            </w:r>
          </w:p>
          <w:p>
            <w:r>
              <w:rPr>
                <w:b/>
                <w:color w:val="323250"/>
                <w:sz w:val="16"/>
              </w:rPr>
              <w:t xml:space="preserve">Société : </w:t>
            </w:r>
            <w:r>
              <w:rPr>
                <w:color w:val="000000"/>
                <w:sz w:val="16"/>
              </w:rPr>
              <w:t>BRIDGE BANK GROUP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519.50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27,889 titres</w:t>
            </w:r>
          </w:p>
        </w:tc>
        <w:tc>
          <w:tcPr>
            <w:tcW w:type="dxa" w:w="2268"/>
            <w:shd w:fill="FFF2CC" w:val="clear"/>
          </w:tcPr>
          <w:p>
            <w:r>
              <w:rPr>
                <w:b/>
                <w:color w:val="503200"/>
                <w:sz w:val="16"/>
              </w:rPr>
              <w:t xml:space="preserve">Cours actuel : </w:t>
            </w:r>
            <w:r>
              <w:rPr>
                <w:color w:val="000000"/>
                <w:sz w:val="17"/>
              </w:rPr>
              <w:t>10,390 FCFA</w:t>
            </w:r>
          </w:p>
          <w:p>
            <w:r>
              <w:rPr>
                <w:b/>
                <w:color w:val="503200"/>
                <w:sz w:val="16"/>
              </w:rPr>
              <w:t xml:space="preserve">Var. 100 jours : </w:t>
            </w:r>
            <w:r>
              <w:rPr>
                <w:b/>
                <w:color w:val="007800"/>
                <w:sz w:val="17"/>
              </w:rPr>
              <w:t>+43.21%</w:t>
            </w:r>
          </w:p>
          <w:p>
            <w:r>
              <w:rPr>
                <w:b/>
                <w:color w:val="503200"/>
                <w:sz w:val="16"/>
              </w:rPr>
              <w:t xml:space="preserve">Plus haut 100j : </w:t>
            </w:r>
            <w:r>
              <w:rPr>
                <w:color w:val="000000"/>
                <w:sz w:val="17"/>
              </w:rPr>
              <w:t>10,495 FCFA</w:t>
            </w:r>
          </w:p>
          <w:p>
            <w:r>
              <w:rPr>
                <w:b/>
                <w:color w:val="503200"/>
                <w:sz w:val="16"/>
              </w:rPr>
              <w:t xml:space="preserve">Plus bas 100j : </w:t>
            </w:r>
            <w:r>
              <w:rPr>
                <w:color w:val="000000"/>
                <w:sz w:val="17"/>
              </w:rPr>
              <w:t>7,255 FCFA</w:t>
            </w:r>
          </w:p>
          <w:p>
            <w:r>
              <w:rPr>
                <w:b/>
                <w:color w:val="503200"/>
                <w:sz w:val="16"/>
              </w:rPr>
              <w:t xml:space="preserve">Volatilité ann. : </w:t>
            </w:r>
            <w:r>
              <w:rPr>
                <w:color w:val="000000"/>
                <w:sz w:val="17"/>
              </w:rPr>
              <w:t>51.4%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22.2/100 → Moyen</w:t>
      </w:r>
    </w:p>
    <w:p>
      <w:pPr>
        <w:spacing w:before="40" w:after="80"/>
      </w:pPr>
      <w:r>
        <w:rPr>
          <w:rFonts w:ascii="Courier New" w:hAnsi="Courier New"/>
          <w:color w:val="825A00"/>
          <w:sz w:val="18"/>
        </w:rPr>
        <w:t>████░░░░░░░░░░░░░░░░  22.2/100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10.58% (Moyenne) — μ=9,484 FCFA, σ=1,004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β=1.7096 (Agressif) — Cov=0.000139, Var(idx)=0.000081, ρ=0.480, n=14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27,889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Achat=0 / Vente=0 / Total=0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σ_j=3.24%/j (Modérée) — Vol. annualisée≈51.4%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A07800"/>
          <w:sz w:val="18"/>
        </w:rPr>
        <w:t xml:space="preserve">🟡 MM  </w:t>
      </w:r>
      <w:r>
        <w:rPr>
          <w:color w:val="A07800"/>
          <w:sz w:val="18"/>
        </w:rPr>
        <w:t xml:space="preserve">🟡 Bollinger  </w:t>
      </w:r>
      <w:r>
        <w:rPr>
          <w:color w:val="A078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63/100  (Bon)</w:t>
      </w:r>
    </w:p>
    <w:p/>
    <w:p>
      <w:pPr>
        <w:jc w:val="center"/>
      </w:pPr>
      <w:r>
        <w:drawing>
          <wp:inline xmlns:a="http://schemas.openxmlformats.org/drawingml/2006/main" xmlns:pic="http://schemas.openxmlformats.org/drawingml/2006/picture">
            <wp:extent cx="5669280" cy="261697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6976"/>
                    </a:xfrm>
                    <a:prstGeom prst="rect"/>
                  </pic:spPr>
                </pic:pic>
              </a:graphicData>
            </a:graphic>
          </wp:inline>
        </w:drawing>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204.985 Mds FCFA</w:t>
            </w:r>
          </w:p>
        </w:tc>
        <w:tc>
          <w:tcPr>
            <w:tcW w:type="dxa" w:w="5669"/>
            <w:shd w:fill="FFFFFF" w:val="clear"/>
          </w:tcPr>
          <w:p>
            <w:r>
              <w:rPr>
                <w:color w:val="282828"/>
                <w:sz w:val="15"/>
              </w:rPr>
              <w:t>Représente 14.4%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297.260 Mds FCFA</w:t>
            </w:r>
          </w:p>
        </w:tc>
        <w:tc>
          <w:tcPr>
            <w:tcW w:type="dxa" w:w="5669"/>
            <w:shd w:fill="FFFFFF" w:val="clear"/>
          </w:tcPr>
          <w:p>
            <w:r>
              <w:rPr>
                <w:color w:val="282828"/>
                <w:sz w:val="15"/>
              </w:rPr>
              <w:t>Titres d'État détenus (20.8%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72.277 Mds FCFA</w:t>
            </w:r>
          </w:p>
        </w:tc>
        <w:tc>
          <w:tcPr>
            <w:tcW w:type="dxa" w:w="5669"/>
            <w:shd w:fill="FFFFFF" w:val="clear"/>
          </w:tcPr>
          <w:p>
            <w:r>
              <w:rPr>
                <w:color w:val="282828"/>
                <w:sz w:val="15"/>
              </w:rPr>
              <w:t>Prêts aux autres banques (5.1%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768.574 Mds FCFA</w:t>
            </w:r>
          </w:p>
        </w:tc>
        <w:tc>
          <w:tcPr>
            <w:tcW w:type="dxa" w:w="5669"/>
            <w:shd w:fill="FFFFFF" w:val="clear"/>
          </w:tcPr>
          <w:p>
            <w:r>
              <w:rPr>
                <w:color w:val="282828"/>
                <w:sz w:val="15"/>
              </w:rPr>
              <w:t>Portefeuille crédits (53.8%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6.725 Mds FCFA</w:t>
            </w:r>
          </w:p>
        </w:tc>
        <w:tc>
          <w:tcPr>
            <w:tcW w:type="dxa" w:w="5669"/>
            <w:shd w:fill="FFFFFF" w:val="clear"/>
          </w:tcPr>
          <w:p>
            <w:r>
              <w:rPr>
                <w:color w:val="282828"/>
                <w:sz w:val="15"/>
              </w:rPr>
              <w:t>Brevets, logiciels, fonds commercial (0.5%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21.324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28.164 Mds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1427.417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18.074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105.139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129.547 Mds FCFA</w:t>
            </w:r>
          </w:p>
        </w:tc>
        <w:tc>
          <w:tcPr>
            <w:tcW w:type="dxa" w:w="5669"/>
            <w:shd w:fill="FFFFFF" w:val="clear"/>
          </w:tcPr>
          <w:p>
            <w:r>
              <w:rPr>
                <w:color w:val="282828"/>
                <w:sz w:val="15"/>
              </w:rPr>
              <w:t>Capitaux permanents / Actif immobilisé = 4.60x.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128.033 Mds FCFA</w:t>
            </w:r>
          </w:p>
        </w:tc>
        <w:tc>
          <w:tcPr>
            <w:tcW w:type="dxa" w:w="5669"/>
            <w:shd w:fill="FFFFFF" w:val="clear"/>
          </w:tcPr>
          <w:p>
            <w:r>
              <w:rPr>
                <w:color w:val="282828"/>
                <w:sz w:val="15"/>
              </w:rPr>
              <w:t>Refinancement interbancaire (9.0%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1138.119 Mds FCFA</w:t>
            </w:r>
          </w:p>
        </w:tc>
        <w:tc>
          <w:tcPr>
            <w:tcW w:type="dxa" w:w="5669"/>
            <w:shd w:fill="FFFFFF" w:val="clear"/>
          </w:tcPr>
          <w:p>
            <w:r>
              <w:rPr>
                <w:color w:val="282828"/>
                <w:sz w:val="15"/>
              </w:rPr>
              <w:t>Dépôts clients = 79.7%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24.408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152.441 Mds FCFA</w:t>
            </w:r>
          </w:p>
        </w:tc>
        <w:tc>
          <w:tcPr>
            <w:tcW w:type="dxa" w:w="5669"/>
            <w:shd w:fill="FFFFFF" w:val="clear"/>
          </w:tcPr>
          <w:p>
            <w:r>
              <w:rPr>
                <w:color w:val="282828"/>
                <w:sz w:val="15"/>
              </w:rPr>
              <w:t>Dette financière totale = 145%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1322.278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67.824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67.824 Mds FCFA</w:t>
            </w:r>
          </w:p>
        </w:tc>
        <w:tc>
          <w:tcPr>
            <w:tcW w:type="dxa" w:w="5669"/>
            <w:shd w:fill="FFFFFF" w:val="clear"/>
          </w:tcPr>
          <w:p>
            <w:r>
              <w:rPr>
                <w:color w:val="282828"/>
                <w:sz w:val="15"/>
              </w:rPr>
              <w:t>Revenu bancaire central (≡ CA). Croissance: 15.7%. ✅ PNB en progression — dynamisme commercial.</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14.357 Mds FCFA</w:t>
            </w:r>
          </w:p>
        </w:tc>
        <w:tc>
          <w:tcPr>
            <w:tcW w:type="dxa" w:w="5669"/>
            <w:shd w:fill="FFFFFF" w:val="clear"/>
          </w:tcPr>
          <w:p>
            <w:r>
              <w:rPr>
                <w:color w:val="282828"/>
                <w:sz w:val="15"/>
              </w:rPr>
              <w:t>Masse salariale = 21.2%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39.441 Mds FCFA</w:t>
            </w:r>
          </w:p>
        </w:tc>
        <w:tc>
          <w:tcPr>
            <w:tcW w:type="dxa" w:w="5669"/>
            <w:shd w:fill="FFFFFF" w:val="clear"/>
          </w:tcPr>
          <w:p>
            <w:r>
              <w:rPr>
                <w:color w:val="282828"/>
                <w:sz w:val="15"/>
              </w:rPr>
              <w:t>RBE = 58.2%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32.637 Mds FCFA</w:t>
            </w:r>
          </w:p>
        </w:tc>
        <w:tc>
          <w:tcPr>
            <w:tcW w:type="dxa" w:w="5669"/>
            <w:shd w:fill="FFFFFF" w:val="clear"/>
          </w:tcPr>
          <w:p>
            <w:r>
              <w:rPr>
                <w:color w:val="282828"/>
                <w:sz w:val="15"/>
              </w:rPr>
              <w:t>Profit d'exploitation = 48.1%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6.804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27.197 Mds FCFA</w:t>
            </w:r>
          </w:p>
        </w:tc>
        <w:tc>
          <w:tcPr>
            <w:tcW w:type="dxa" w:w="5669"/>
            <w:shd w:fill="FFFFFF" w:val="clear"/>
          </w:tcPr>
          <w:p>
            <w:r>
              <w:rPr>
                <w:color w:val="282828"/>
                <w:sz w:val="15"/>
              </w:rPr>
              <w:t>Marge nette = 40.1%.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40.10%</w:t>
            </w:r>
          </w:p>
        </w:tc>
        <w:tc>
          <w:tcPr>
            <w:tcW w:type="dxa" w:w="5669"/>
            <w:shd w:fill="FFFFFF" w:val="clear"/>
          </w:tcPr>
          <w:p>
            <w:r>
              <w:rPr>
                <w:color w:val="282828"/>
                <w:sz w:val="15"/>
              </w:rPr>
              <w:t>Résultat net / revenus = 40.10%.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48.12%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25.87%</w:t>
            </w:r>
          </w:p>
        </w:tc>
        <w:tc>
          <w:tcPr>
            <w:tcW w:type="dxa" w:w="5669"/>
            <w:shd w:fill="FFFFFF" w:val="clear"/>
          </w:tcPr>
          <w:p>
            <w:r>
              <w:rPr>
                <w:color w:val="282828"/>
                <w:sz w:val="15"/>
              </w:rPr>
              <w:t>Résultat net / capitaux propres = 25.87%.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1.91%</w:t>
            </w:r>
          </w:p>
        </w:tc>
        <w:tc>
          <w:tcPr>
            <w:tcW w:type="dxa" w:w="5669"/>
            <w:shd w:fill="FFFFFF" w:val="clear"/>
          </w:tcPr>
          <w:p>
            <w:r>
              <w:rPr>
                <w:color w:val="282828"/>
                <w:sz w:val="15"/>
              </w:rPr>
              <w:t>Résultat net / total actif = 1.91%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4.75%</w:t>
            </w:r>
          </w:p>
        </w:tc>
        <w:tc>
          <w:tcPr>
            <w:tcW w:type="dxa" w:w="5669"/>
            <w:shd w:fill="FFFFFF" w:val="clear"/>
          </w:tcPr>
          <w:p>
            <w:r>
              <w:rPr>
                <w:color w:val="282828"/>
                <w:sz w:val="15"/>
              </w:rPr>
              <w:t>CA / total actif = 4.75x.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41.85%</w:t>
            </w:r>
          </w:p>
        </w:tc>
        <w:tc>
          <w:tcPr>
            <w:tcW w:type="dxa" w:w="5669"/>
            <w:shd w:fill="FFFFFF" w:val="clear"/>
          </w:tcPr>
          <w:p>
            <w:r>
              <w:rPr>
                <w:color w:val="282828"/>
                <w:sz w:val="15"/>
              </w:rPr>
              <w:t>Charges / PNB = 41.85% (cost-to-income). ✅ Excellent — banque très efficiente.</w:t>
            </w:r>
          </w:p>
        </w:tc>
      </w:tr>
      <w:tr>
        <w:tc>
          <w:tcPr>
            <w:tcW w:type="dxa" w:w="2268"/>
            <w:shd w:fill="EEF2F7" w:val="clear"/>
          </w:tcPr>
          <w:p>
            <w:r>
              <w:rPr>
                <w:b/>
                <w:color w:val="1E1E3C"/>
                <w:sz w:val="16"/>
              </w:rPr>
              <w:t>Coût du risque</w:t>
            </w:r>
          </w:p>
        </w:tc>
        <w:tc>
          <w:tcPr>
            <w:tcW w:type="dxa" w:w="1984"/>
            <w:shd w:fill="C6EFCE" w:val="clear"/>
          </w:tcPr>
          <w:p>
            <w:r>
              <w:rPr>
                <w:b/>
                <w:color w:val="006400"/>
                <w:sz w:val="17"/>
              </w:rPr>
              <w:t>0.89%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15.71%</w:t>
            </w:r>
          </w:p>
        </w:tc>
        <w:tc>
          <w:tcPr>
            <w:tcW w:type="dxa" w:w="5669"/>
            <w:shd w:fill="FFFFFF" w:val="clear"/>
          </w:tcPr>
          <w:p>
            <w:r>
              <w:rPr>
                <w:color w:val="282828"/>
                <w:sz w:val="15"/>
              </w:rPr>
              <w:t>Croissance PNB vs exercice précédent = 15.71%.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7.37%</w:t>
            </w:r>
          </w:p>
        </w:tc>
        <w:tc>
          <w:tcPr>
            <w:tcW w:type="dxa" w:w="5669"/>
            <w:shd w:fill="FFFFFF" w:val="clear"/>
          </w:tcPr>
          <w:p>
            <w:r>
              <w:rPr>
                <w:color w:val="282828"/>
                <w:sz w:val="15"/>
              </w:rPr>
              <w:t>Fonds propres / total bilan = 7.37%.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92.63%</w:t>
            </w:r>
          </w:p>
        </w:tc>
        <w:tc>
          <w:tcPr>
            <w:tcW w:type="dxa" w:w="5669"/>
            <w:shd w:fill="FFFFFF" w:val="clear"/>
          </w:tcPr>
          <w:p>
            <w:r>
              <w:rPr>
                <w:color w:val="282828"/>
                <w:sz w:val="15"/>
              </w:rPr>
              <w:t>Dettes financières / total bilan = 92.63%.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1257.65%</w:t>
            </w:r>
          </w:p>
        </w:tc>
        <w:tc>
          <w:tcPr>
            <w:tcW w:type="dxa" w:w="5669"/>
            <w:shd w:fill="FFFFFF" w:val="clear"/>
          </w:tcPr>
          <w:p>
            <w:r>
              <w:rPr>
                <w:color w:val="282828"/>
                <w:sz w:val="15"/>
              </w:rPr>
              <w:t>Dettes totales / fonds propres = 1257.65%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107.95%</w:t>
            </w:r>
          </w:p>
        </w:tc>
        <w:tc>
          <w:tcPr>
            <w:tcW w:type="dxa" w:w="5669"/>
            <w:shd w:fill="FFFFFF" w:val="clear"/>
          </w:tcPr>
          <w:p>
            <w:r>
              <w:rPr>
                <w:color w:val="282828"/>
                <w:sz w:val="15"/>
              </w:rPr>
              <w:t>Total actif / dettes totales = 107.95x. ✅ Solvable.</w:t>
            </w:r>
          </w:p>
        </w:tc>
      </w:tr>
    </w:tbl>
    <w:p/>
    <w:p>
      <w:pPr>
        <w:spacing w:after="120" w:line="276" w:lineRule="auto"/>
      </w:pPr>
      <w:r>
        <w:t># RAPPORT D'ANALYSE FINANCIÈRE — BBGC (BRIDGE BANK GROUP COTE D'IVOIRE)</w:t>
        <w:br/>
        <w:t>### 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519,50 Mds FCFA, BBGC s'affirme comme une valeur de premier plan sur le compartiment bancaire de la BRVM, portée par le succès de son introduction en bourse. Le BPA de 544 FCFA/action traduit la profitabilité réelle par titre, mais le PER de 19,1x situe le titre nettement au-dessus de la moyenne BRVM (~8-12x), signalant que les investisseurs paient une prime significative pour la croissance attendue. Le P/B de 4,94x confirme cette exubérance : le marché valorise BBGC à près de cinq fois sa valeur comptable, un niveau exigeant qui intègre déjà une grande partie du potentiel de développement. Enfin, l'EV/EBITDA de 17,0x, supérieur au seuil de 15x, renforce ce diagnostic de valorisation tendue, laissant peu de marge d'erreur en cas de déception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BBGC affiche une performance remarquable de **+43,21%**, malgré un repli de **-1,00%** lors de la dernière séance, signe d'une légère prise de bénéfices après un rallye soutenu. Le cours actuel de 10 390 FCFA évolue dans un range de trading large, entre un plus bas de 7 255 FCFA et un plus haut de 10 495 FCFA, dont il est très proche — configuration typique d'un titre en tendance haussière mature. La moyenne (9 484 FCFA) se situe en dessous de la médiane (9 800 FCFA), tandis que le mode à 9 000 FCFA révèle une distribution asymétrique : le skewness négatif (-0,767) indique que les journées de forte hausse ont été plus marquées que les baisses, mais que le cours a passé davantage de temps au-dessus de sa moyenne. L'écart-type de 1 036 FCFA (CV = 10,9%) traduit une dispersion modérée, tandis que le kurtosis de -0,554 (mésokurtique) suggère une distribution proche de la normale, sans pics extrêmes marqués — un profil rassurant. La volatilité annualisée de **51,4%** classe toutefois le titre dans la catégorie **élevée** (&gt;30%), reflet d'une valeur récemment introduite en bourse, encore en phase de découverte de prix.</w:t>
      </w:r>
    </w:p>
    <w:p>
      <w:pPr>
        <w:spacing w:after="120" w:line="276" w:lineRule="auto"/>
      </w:pPr>
      <w:r>
        <w:t>---</w:t>
      </w:r>
    </w:p>
    <w:p>
      <w:pPr>
        <w:spacing w:after="120" w:line="276" w:lineRule="auto"/>
      </w:pPr>
      <w:r>
        <w:t>## PARTIE 2 : ANALYSE TECHNIQUE DÉTAILLÉE</w:t>
      </w:r>
    </w:p>
    <w:p>
      <w:pPr>
        <w:spacing w:after="120" w:line="276" w:lineRule="auto"/>
      </w:pPr>
      <w:r>
        <w:t>**Moyennes Mobiles** : Les MM20 et MM50 ne sont pas disponibles (valeurs NaN), ce qui s'explique vraisemblablement par l'historique de cotation encore court de BBGC, insuffisant pour calculer des moyennes mobiles fiables. Aucune décision technique ne peut donc être dérivée de cet indicateur, et il convient de s'appuyer sur les autres signaux ou sur l'analyse fondamentale.</w:t>
      </w:r>
    </w:p>
    <w:p>
      <w:pPr>
        <w:spacing w:after="120" w:line="276" w:lineRule="auto"/>
      </w:pPr>
      <w:r>
        <w:t>**Bandes de Bollinger** : Les bornes supérieure et inférieure sont également indisponibles (NaN), pour la même raison d'historique insuffisant. Le cours actuel de 10 390 FCFA ne peut donc être positionné par rapport à un canal de volatilité, privant l'analyste d'un repère de surextension. La décision reste neutre sur ce volet.</w:t>
      </w:r>
    </w:p>
    <w:p>
      <w:pPr>
        <w:spacing w:after="120" w:line="276" w:lineRule="auto"/>
      </w:pPr>
      <w:r>
        <w:t>**MACD** : La valeur du MACD et sa ligne de signal sont NaN, rendant impossible l'analyse du momentum et de la divergence. En l'absence de cet indicateur, on ne peut confirmer ni infirmer la dynamique haussière observée sur le cours.</w:t>
      </w:r>
    </w:p>
    <w:p>
      <w:pPr>
        <w:spacing w:after="120" w:line="276" w:lineRule="auto"/>
      </w:pPr>
      <w:r>
        <w:t>**RSI** : Le RSI est indisponible (NaN), empêchant toute évaluation d'une condition de surachat (&gt;70) ou de survente (&lt;30). Compte tenu de la hausse de +43,21% sur 100 jours, un RSI élevé aurait été attendu, mais l'absence de donnée interdit toute conclusion ferme.</w:t>
      </w:r>
    </w:p>
    <w:p>
      <w:pPr>
        <w:spacing w:after="120" w:line="276" w:lineRule="auto"/>
      </w:pPr>
      <w:r>
        <w:t>**Stochastique** : Les %K et %D sont NaN, tout comme leur croisement éventuel. Aucune décision ne peut être tirée de cet oscillateur.</w:t>
      </w:r>
    </w:p>
    <w:p>
      <w:pPr>
        <w:spacing w:after="120" w:line="276" w:lineRule="auto"/>
      </w:pPr>
      <w:r>
        <w:t>**Conclusion technique** : L'ensemble des indicateurs techniques étant indisponibles en raison de l'historique de cotation trop court, l'analyse technique se révèle **non concluante** pour BBGC. Seule l'observation du cours brut demeure exploitable : tendance haussière marquée (+43,21%), proximité du plus haut, mais volatilité élevée (51,4%) et léger repli récent (-1,00%) pouvant signaler un essoufflement. Dans ce contexte, la prudence commande de privilégier l'analyse fondamentale et d'attendre la constitution d'un historique suffisant (au moins 50 séances) pour valider tout signal technique.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BBGC affiche un **Produit Net Bancaire (PNB) de 67,824 Mds FCFA**, équivalent du chiffre d'affaires pour une banque, en croissance de **+15,71%**, témoignant d'une dynamique commerciale solide. Le **résultat net s'établit à 27,197 Mds FCFA**, soit une **marge nette de 40,10%** — niveau remarquable pour le secteur. La rentabilité des fonds propres (**ROE de 25,87%**) dépasse largement le seuil d'excellence de 15%, tandis que le **ROA de 1,91%** reste conforme aux standards bancaires. Le **coefficient d'exploitation de 41,85%**, inférieur à 50%, confirme une **efficacité opérationnelle excellente**. Le **coût du risque de 0,89%** (provisions/charges financières) traduit un portefeuille de crédit sain. La structure bilancielle montre une forte dépendance aux dépôts clientèle (**1 138,119 Mds FCFA**) face à des créances clientèle de **768,574 Mds FCFA**, soit un ratio de transformation (crédits/dépôts) de ~67,5%, sain et liquide, avec des réserves de **204,985 Mds FCFA** en caisse et banque centrale. L'autonomie financière de 7,37% reste faible mais typique du modèle bancaire (effet de levier structurel).</w:t>
      </w:r>
    </w:p>
    <w:p>
      <w:pPr>
        <w:spacing w:after="120" w:line="276" w:lineRule="auto"/>
      </w:pPr>
      <w:r>
        <w:t>**Estimations basées sur les rapports S1 2026** : Le rapport du **30 juin 2026** (analysé le 28/09/2026) confirme l'accélération : **PNB de 37,7 Mds FCFA (+25%)**, **résultat net de 15,2 Mds FCFA (+46%)**, **coefficient d'exploitation ramené à 40,3%** (contre 43,3%), et surtout une **croissance des dépôts de +46%** (1 318,3 Mds FCFA) couplée à celle des crédits de +28% (823,9 Mds FCFA). Sur cette base, on peut **estimer** que l'exercice 2026 devrait dépasser les 75 Mds FCFA de PNB et approcher 30 Mds FCFA de résultat net, confirmant la trajectoire de croissance. L'OPV sursouscrite à 6 750 FCFA/action et l'expansion au Burkina Faso constituent des catalyseurs. **Recommandation fondamentale : ACHAT**, avec réserve sur l'absence de politique de dividende communiquée et sur la valorisation déjà exigeante.</w:t>
      </w:r>
    </w:p>
    <w:p>
      <w:pPr>
        <w:spacing w:after="120" w:line="276" w:lineRule="auto"/>
      </w:pPr>
      <w:r>
        <w:t>---</w:t>
      </w:r>
    </w:p>
    <w:p>
      <w:pPr>
        <w:spacing w:after="120" w:line="276" w:lineRule="auto"/>
      </w:pPr>
      <w:r>
        <w:t>## PARTIE 4 : CONCLUSION D'INVESTISSEMENT</w:t>
      </w:r>
    </w:p>
    <w:p>
      <w:pPr>
        <w:spacing w:after="120" w:line="276" w:lineRule="auto"/>
      </w:pPr>
      <w:r>
        <w:t>La synthèse des quatre axes révèle un profil contrasté. **Valorisation (Partie 0)** : le PER de 19,1x, le P/B de 4,94x et l'EV/EBITDA de 17,0x indiquent une **surévaluation relative** par rapport aux standards BRVM, le marché ayant déjà intégré une large part du potentiel de croissance. **Comportement du cours (Partie 1)** : la tendance haussière (+43,21%) et la proximité du plus haut sont favorables, mais la volatilité élevée (51,4%) et le skewness négatif appellent à la prudence sur les points d'entrée. **Signaux techniques (Partie 2)** : tous les indicateurs étant indisponibles (historique trop court), aucune convergence technique ne peut être établie — c'est un facteur d'incertitude majeur. **Fondamentaux (Partie 3)** : la solidité est indéniable (ROE 25,87%, coefficient d'exploitation 41,85%, croissance S1 2026 de +46% du résultat net), mais la valorisation tendue limite le potentiel de revalorisation à court terme. **Prédictions IA** : aucune prédiction n'est disponible (J+1 à J+10), ce qui prive la conclusion d'un signal directionnel complémentaire. Sur cette base, la recommandation finale est **CONSERVER** (avec biais acheteur pour les nouveaux entrants sur repli), justifiée par la convergence entre des fondamentaux excellents et une valorisation déjà généreuse, sans confirmation technique. Le **niveau de confiance est Moyen** (absence d'indicateurs techniques et de prédictions), le **risque global est Élevé** (volatilité 51,4%, valorisation tendue, historique court), et l'**horizon optimal est le long terme (&gt;1 an)**, le temps que la croissance se matérialise dans les résultats et que l'historique boursier permette une analyse technique fiable.</w:t>
      </w:r>
    </w:p>
    <w:p/>
    <w:p/>
    <w:p>
      <w:pPr>
        <w:pStyle w:val="Heading3"/>
      </w:pPr>
      <w:r>
        <w:rPr>
          <w:color w:val="005A32"/>
        </w:rPr>
        <w:t>📋 RAPPORTS &amp; COMMUNIQUÉS OFFICIELS</w:t>
      </w:r>
    </w:p>
    <w:p>
      <w:r>
        <w:rPr>
          <w:i/>
          <w:color w:val="646464"/>
          <w:sz w:val="18"/>
        </w:rPr>
        <w:t>1 rapport(s)/communiqué(s) disponible(s) (affichage des 1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"Forte croissance du PNB et du r\u00e9sultat net, am\u00e9lioration de l'efficacit\u00e9 op\u00e9rationnelle et succ\u00e8s de l'IPO soutiennent la valeur. La dynamique commerciale et l'expansion r\u00e9gionale devraient se poursuivre."}</w:t>
      </w:r>
    </w:p>
    <w:p>
      <w:pPr>
        <w:spacing w:before="40"/>
        <w:ind w:left="400"/>
      </w:pPr>
      <w:r>
        <w:rPr>
          <w:sz w:val="18"/>
        </w:rPr>
        <w:t>BBGCI a réalisé un premier semestre 2026 solide avec une forte croissance de ses crédits (+28% à 823,9 Mds FCFA) et de ses dépôts (+46% à 1 318,3 Mds FCFA). Le Produit Net Bancaire progresse de 25% à 37,7 Mds FCFA, tandis que le résultat net bondit de 46% à 15,2 Mds FCFA. L'efficacité opérationnelle s'améliore avec un coefficient d'exploitation de 40,3% contre 43,3% un an plus tôt. La banque a obtenu l'avis favorable de la Commission Bancaire pour une succursale au Burkina Faso et a réussi son introduction en bourse avec une sursouscription. Les fondamentaux renforcés et la stratégie 2026-2030 soutiennent des perspectives favorables pour le second semestre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{'variation_pnb': '+25%', 'cout_du_risque': '-4,3 milliards FCFA', 'frais_generaux': '-15,2 milliards FCFA', 'depots_clientele': '1 318,3 milliards FCFA', 'variation_depots': '+46%', 'credits_clientele': '823,9 milliards FCFA', 'variation_credits': '+28%', 'produit_net_bancaire': '37,7 milliards FCFA', 'resultat_avant_impot': '18,2 milliards FCFA', 'variation_resultat_net': '+46%', 'coefficient_exploitation': '40,3%', 'resultat_brut_exploitation': '22,5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Crédits à la clientèle en hausse de 28% à 823,9 milliards FCFA.</w:t>
      </w:r>
    </w:p>
    <w:p>
      <w:pPr>
        <w:pStyle w:val="ListBullet"/>
        <w:spacing w:before="20" w:after="20"/>
        <w:ind w:left="700"/>
      </w:pPr>
      <w:r>
        <w:rPr>
          <w:sz w:val="18"/>
        </w:rPr>
        <w:t>Dépôts clientèle en progression de 46% à 1 318,3 milliards FCFA.</w:t>
      </w:r>
    </w:p>
    <w:p>
      <w:pPr>
        <w:pStyle w:val="ListBullet"/>
        <w:spacing w:before="20" w:after="20"/>
        <w:ind w:left="700"/>
      </w:pPr>
      <w:r>
        <w:rPr>
          <w:sz w:val="18"/>
        </w:rPr>
        <w:t>Produit Net Bancaire en croissance de 25% à 37,7 milliards FCFA.</w:t>
      </w:r>
    </w:p>
    <w:p>
      <w:pPr>
        <w:pStyle w:val="ListBullet"/>
        <w:spacing w:before="20" w:after="20"/>
        <w:ind w:left="700"/>
      </w:pPr>
      <w:r>
        <w:rPr>
          <w:sz w:val="18"/>
        </w:rPr>
        <w:t>Résultat net en augmentation de 46% à 15,2 milliards FCFA.</w:t>
      </w:r>
    </w:p>
    <w:p>
      <w:pPr>
        <w:pStyle w:val="ListBullet"/>
        <w:spacing w:before="20" w:after="20"/>
        <w:ind w:left="700"/>
      </w:pPr>
      <w:r>
        <w:rPr>
          <w:sz w:val="18"/>
        </w:rPr>
        <w:t>Coefficient d'exploitation amélioré à 40,3% contre 43,3% un an auparavant.</w:t>
      </w:r>
    </w:p>
    <w:p>
      <w:pPr>
        <w:pStyle w:val="ListBullet"/>
        <w:spacing w:before="20" w:after="20"/>
        <w:ind w:left="700"/>
      </w:pPr>
      <w:r>
        <w:rPr>
          <w:sz w:val="18"/>
        </w:rPr>
        <w:t>Coût du risque contenu à 4,3 milliards FCFA (+14%) pour des crédits en hausse de 28%.</w:t>
      </w:r>
    </w:p>
    <w:p>
      <w:pPr>
        <w:spacing w:before="40"/>
        <w:ind w:left="400"/>
      </w:pPr>
      <w:r>
        <w:rPr>
          <w:b/>
          <w:color w:val="C05000"/>
          <w:sz w:val="18"/>
        </w:rPr>
        <w:t xml:space="preserve">⚠️ Risques : </w:t>
      </w:r>
      <w:r>
        <w:rPr>
          <w:sz w:val="18"/>
        </w:rPr>
        <w:t>["Hausse du co\u00fbt du risque (+14%) dans un contexte de forte croissance des cr\u00e9dits (+28%).", "Risques d'ex\u00e9cution li\u00e9s \u00e0 l'expansion r\u00e9gionale (Burkina Faso) et au d\u00e9ploiement de la strat\u00e9gie 2026-2030.", "Sensibilit\u00e9 \u00e0 l'environnement \u00e9conomiqu</w:t>
      </w:r>
    </w:p>
    <w:p>
      <w:pPr>
        <w:spacing w:before="40"/>
        <w:ind w:left="400"/>
      </w:pPr>
      <w:r>
        <w:rPr>
          <w:b/>
          <w:color w:val="0064A0"/>
          <w:sz w:val="18"/>
        </w:rPr>
        <w:t xml:space="preserve">🔮 Perspectives : </w:t>
      </w:r>
      <w:r>
        <w:rPr>
          <w:sz w:val="18"/>
        </w:rPr>
        <w:t>BBGCI prévoit de consolider sa dynamique de croissance au second semestre 2026, en poursuivant sa stratégie 2026-2030, la transformation digitale et l'expansion régionale. La banque reste attentive aux évolutions de l'environnement et renforce ses dispositifs de gouvernance et de maîtrise des risque</w:t>
      </w:r>
    </w:p>
    <w:p/>
    <w:p>
      <w:r>
        <w:t>════════════════════════════════════════════════════════════════════════════════</w:t>
      </w:r>
    </w:p>
    <w:p>
      <w:r>
        <w:br w:type="page"/>
      </w:r>
    </w:p>
    <w:p>
      <w:pPr>
        <w:pStyle w:val="Heading2"/>
        <w:spacing w:before="360"/>
      </w:pPr>
      <w:r>
        <w:rPr>
          <w:color w:val="0066CC"/>
        </w:rPr>
        <w:t>3.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485.18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13,967 titres</w:t>
            </w:r>
          </w:p>
        </w:tc>
        <w:tc>
          <w:tcPr>
            <w:tcW w:type="dxa" w:w="2268"/>
            <w:shd w:fill="FFF2CC" w:val="clear"/>
          </w:tcPr>
          <w:p>
            <w:r>
              <w:rPr>
                <w:b/>
                <w:color w:val="503200"/>
                <w:sz w:val="16"/>
              </w:rPr>
              <w:t xml:space="preserve">Cours actuel : </w:t>
            </w:r>
            <w:r>
              <w:rPr>
                <w:color w:val="000000"/>
                <w:sz w:val="17"/>
              </w:rPr>
              <w:t>8,400 FCFA</w:t>
            </w:r>
          </w:p>
          <w:p>
            <w:r>
              <w:rPr>
                <w:b/>
                <w:color w:val="503200"/>
                <w:sz w:val="16"/>
              </w:rPr>
              <w:t xml:space="preserve">Var. 100 jours : </w:t>
            </w:r>
            <w:r>
              <w:rPr>
                <w:b/>
                <w:color w:val="007800"/>
                <w:sz w:val="17"/>
              </w:rPr>
              <w:t>+61.85%</w:t>
            </w:r>
          </w:p>
          <w:p>
            <w:r>
              <w:rPr>
                <w:b/>
                <w:color w:val="503200"/>
                <w:sz w:val="16"/>
              </w:rPr>
              <w:t xml:space="preserve">Plus haut 100j : </w:t>
            </w:r>
            <w:r>
              <w:rPr>
                <w:color w:val="000000"/>
                <w:sz w:val="17"/>
              </w:rPr>
              <w:t>10,790 FCFA</w:t>
            </w:r>
          </w:p>
          <w:p>
            <w:r>
              <w:rPr>
                <w:b/>
                <w:color w:val="503200"/>
                <w:sz w:val="16"/>
              </w:rPr>
              <w:t xml:space="preserve">Plus bas 100j : </w:t>
            </w:r>
            <w:r>
              <w:rPr>
                <w:color w:val="000000"/>
                <w:sz w:val="17"/>
              </w:rPr>
              <w:t>5,190 FCFA</w:t>
            </w:r>
          </w:p>
          <w:p>
            <w:r>
              <w:rPr>
                <w:b/>
                <w:color w:val="503200"/>
                <w:sz w:val="16"/>
              </w:rPr>
              <w:t xml:space="preserve">Volatilité ann. : </w:t>
            </w:r>
            <w:r>
              <w:rPr>
                <w:color w:val="000000"/>
                <w:sz w:val="17"/>
              </w:rPr>
              <w:t>42.5%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21.35% (Élevée) — μ=7,576 FCFA, σ=1,618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β=0.8438 (Neutre (suit le marché)) — Cov=0.000064, Var(idx)=0.000076, ρ=0.273,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C6EFCE" w:val="clear"/>
          </w:tcPr>
          <w:p>
            <w:r>
              <w:rPr>
                <w:b/>
                <w:sz w:val="15"/>
              </w:rPr>
              <w:t>13,967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σ_j=2.68%/j (Stable) — Vol. annualisée≈42.5%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6976"/>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2026-10-19</w:t>
            </w:r>
          </w:p>
        </w:tc>
        <w:tc>
          <w:tcPr>
            <w:tcW w:type="dxa" w:w="1440"/>
            <w:shd w:fill="C6EFCE" w:val="clear"/>
          </w:tcPr>
          <w:p>
            <w:r>
              <w:rPr>
                <w:sz w:val="17"/>
              </w:rPr>
              <w:t>8,335</w:t>
            </w:r>
          </w:p>
        </w:tc>
        <w:tc>
          <w:tcPr>
            <w:tcW w:type="dxa" w:w="1440"/>
            <w:shd w:fill="C6EFCE" w:val="clear"/>
          </w:tcPr>
          <w:p>
            <w:r>
              <w:rPr>
                <w:b/>
                <w:sz w:val="17"/>
              </w:rPr>
              <w:t>8,796</w:t>
            </w:r>
          </w:p>
        </w:tc>
        <w:tc>
          <w:tcPr>
            <w:tcW w:type="dxa" w:w="1440"/>
            <w:shd w:fill="C6EFCE" w:val="clear"/>
          </w:tcPr>
          <w:p>
            <w:r>
              <w:rPr>
                <w:sz w:val="17"/>
              </w:rPr>
              <w:t>9,256</w:t>
            </w:r>
          </w:p>
        </w:tc>
        <w:tc>
          <w:tcPr>
            <w:tcW w:type="dxa" w:w="1440"/>
            <w:shd w:fill="C6EFCE" w:val="clear"/>
          </w:tcPr>
          <w:p>
            <w:r>
              <w:rPr>
                <w:b/>
                <w:color w:val="008000"/>
                <w:sz w:val="17"/>
              </w:rPr>
              <w:t>+4.7%</w:t>
            </w:r>
          </w:p>
        </w:tc>
      </w:tr>
      <w:tr>
        <w:tc>
          <w:tcPr>
            <w:tcW w:type="dxa" w:w="1440"/>
            <w:shd w:fill="C6EFCE" w:val="clear"/>
          </w:tcPr>
          <w:p>
            <w:r>
              <w:rPr>
                <w:sz w:val="17"/>
              </w:rPr>
              <w:t>J+2  ⭐</w:t>
            </w:r>
          </w:p>
        </w:tc>
        <w:tc>
          <w:tcPr>
            <w:tcW w:type="dxa" w:w="1440"/>
            <w:shd w:fill="C6EFCE" w:val="clear"/>
          </w:tcPr>
          <w:p>
            <w:r>
              <w:rPr>
                <w:sz w:val="17"/>
              </w:rPr>
              <w:t>2026-10-20</w:t>
            </w:r>
          </w:p>
        </w:tc>
        <w:tc>
          <w:tcPr>
            <w:tcW w:type="dxa" w:w="1440"/>
            <w:shd w:fill="C6EFCE" w:val="clear"/>
          </w:tcPr>
          <w:p>
            <w:r>
              <w:rPr>
                <w:sz w:val="17"/>
              </w:rPr>
              <w:t>8,200</w:t>
            </w:r>
          </w:p>
        </w:tc>
        <w:tc>
          <w:tcPr>
            <w:tcW w:type="dxa" w:w="1440"/>
            <w:shd w:fill="C6EFCE" w:val="clear"/>
          </w:tcPr>
          <w:p>
            <w:r>
              <w:rPr>
                <w:b/>
                <w:sz w:val="17"/>
              </w:rPr>
              <w:t>8,855</w:t>
            </w:r>
          </w:p>
        </w:tc>
        <w:tc>
          <w:tcPr>
            <w:tcW w:type="dxa" w:w="1440"/>
            <w:shd w:fill="C6EFCE" w:val="clear"/>
          </w:tcPr>
          <w:p>
            <w:r>
              <w:rPr>
                <w:sz w:val="17"/>
              </w:rPr>
              <w:t>9,511</w:t>
            </w:r>
          </w:p>
        </w:tc>
        <w:tc>
          <w:tcPr>
            <w:tcW w:type="dxa" w:w="1440"/>
            <w:shd w:fill="C6EFCE" w:val="clear"/>
          </w:tcPr>
          <w:p>
            <w:r>
              <w:rPr>
                <w:b/>
                <w:color w:val="008000"/>
                <w:sz w:val="17"/>
              </w:rPr>
              <w:t>+5.4%</w:t>
            </w:r>
          </w:p>
        </w:tc>
      </w:tr>
      <w:tr>
        <w:tc>
          <w:tcPr>
            <w:tcW w:type="dxa" w:w="1440"/>
            <w:shd w:fill="C6EFCE" w:val="clear"/>
          </w:tcPr>
          <w:p>
            <w:r>
              <w:rPr>
                <w:sz w:val="17"/>
              </w:rPr>
              <w:t>J+3  ⭐</w:t>
            </w:r>
          </w:p>
        </w:tc>
        <w:tc>
          <w:tcPr>
            <w:tcW w:type="dxa" w:w="1440"/>
            <w:shd w:fill="C6EFCE" w:val="clear"/>
          </w:tcPr>
          <w:p>
            <w:r>
              <w:rPr>
                <w:sz w:val="17"/>
              </w:rPr>
              <w:t>2026-10-21</w:t>
            </w:r>
          </w:p>
        </w:tc>
        <w:tc>
          <w:tcPr>
            <w:tcW w:type="dxa" w:w="1440"/>
            <w:shd w:fill="C6EFCE" w:val="clear"/>
          </w:tcPr>
          <w:p>
            <w:r>
              <w:rPr>
                <w:sz w:val="17"/>
              </w:rPr>
              <w:t>8,120</w:t>
            </w:r>
          </w:p>
        </w:tc>
        <w:tc>
          <w:tcPr>
            <w:tcW w:type="dxa" w:w="1440"/>
            <w:shd w:fill="C6EFCE" w:val="clear"/>
          </w:tcPr>
          <w:p>
            <w:r>
              <w:rPr>
                <w:b/>
                <w:sz w:val="17"/>
              </w:rPr>
              <w:t>8,929</w:t>
            </w:r>
          </w:p>
        </w:tc>
        <w:tc>
          <w:tcPr>
            <w:tcW w:type="dxa" w:w="1440"/>
            <w:shd w:fill="C6EFCE" w:val="clear"/>
          </w:tcPr>
          <w:p>
            <w:r>
              <w:rPr>
                <w:sz w:val="17"/>
              </w:rPr>
              <w:t>9,739</w:t>
            </w:r>
          </w:p>
        </w:tc>
        <w:tc>
          <w:tcPr>
            <w:tcW w:type="dxa" w:w="1440"/>
            <w:shd w:fill="C6EFCE" w:val="clear"/>
          </w:tcPr>
          <w:p>
            <w:r>
              <w:rPr>
                <w:b/>
                <w:color w:val="008000"/>
                <w:sz w:val="17"/>
              </w:rPr>
              <w:t>+6.3%</w:t>
            </w:r>
          </w:p>
        </w:tc>
      </w:tr>
      <w:tr>
        <w:tc>
          <w:tcPr>
            <w:tcW w:type="dxa" w:w="1440"/>
            <w:shd w:fill="C6EFCE" w:val="clear"/>
          </w:tcPr>
          <w:p>
            <w:r>
              <w:rPr>
                <w:sz w:val="17"/>
              </w:rPr>
              <w:t>J+4  ⭐</w:t>
            </w:r>
          </w:p>
        </w:tc>
        <w:tc>
          <w:tcPr>
            <w:tcW w:type="dxa" w:w="1440"/>
            <w:shd w:fill="C6EFCE" w:val="clear"/>
          </w:tcPr>
          <w:p>
            <w:r>
              <w:rPr>
                <w:sz w:val="17"/>
              </w:rPr>
              <w:t>2026-10-22</w:t>
            </w:r>
          </w:p>
        </w:tc>
        <w:tc>
          <w:tcPr>
            <w:tcW w:type="dxa" w:w="1440"/>
            <w:shd w:fill="C6EFCE" w:val="clear"/>
          </w:tcPr>
          <w:p>
            <w:r>
              <w:rPr>
                <w:sz w:val="17"/>
              </w:rPr>
              <w:t>8,060</w:t>
            </w:r>
          </w:p>
        </w:tc>
        <w:tc>
          <w:tcPr>
            <w:tcW w:type="dxa" w:w="1440"/>
            <w:shd w:fill="C6EFCE" w:val="clear"/>
          </w:tcPr>
          <w:p>
            <w:r>
              <w:rPr>
                <w:b/>
                <w:sz w:val="17"/>
              </w:rPr>
              <w:t>9,002</w:t>
            </w:r>
          </w:p>
        </w:tc>
        <w:tc>
          <w:tcPr>
            <w:tcW w:type="dxa" w:w="1440"/>
            <w:shd w:fill="C6EFCE" w:val="clear"/>
          </w:tcPr>
          <w:p>
            <w:r>
              <w:rPr>
                <w:sz w:val="17"/>
              </w:rPr>
              <w:t>9,944</w:t>
            </w:r>
          </w:p>
        </w:tc>
        <w:tc>
          <w:tcPr>
            <w:tcW w:type="dxa" w:w="1440"/>
            <w:shd w:fill="C6EFCE" w:val="clear"/>
          </w:tcPr>
          <w:p>
            <w:r>
              <w:rPr>
                <w:b/>
                <w:color w:val="008000"/>
                <w:sz w:val="17"/>
              </w:rPr>
              <w:t>+7.2%</w:t>
            </w:r>
          </w:p>
        </w:tc>
      </w:tr>
      <w:tr>
        <w:tc>
          <w:tcPr>
            <w:tcW w:type="dxa" w:w="1440"/>
            <w:shd w:fill="C6EFCE" w:val="clear"/>
          </w:tcPr>
          <w:p>
            <w:r>
              <w:rPr>
                <w:sz w:val="17"/>
              </w:rPr>
              <w:t>J+5  ⭐</w:t>
            </w:r>
          </w:p>
        </w:tc>
        <w:tc>
          <w:tcPr>
            <w:tcW w:type="dxa" w:w="1440"/>
            <w:shd w:fill="C6EFCE" w:val="clear"/>
          </w:tcPr>
          <w:p>
            <w:r>
              <w:rPr>
                <w:sz w:val="17"/>
              </w:rPr>
              <w:t>2026-10-23</w:t>
            </w:r>
          </w:p>
        </w:tc>
        <w:tc>
          <w:tcPr>
            <w:tcW w:type="dxa" w:w="1440"/>
            <w:shd w:fill="C6EFCE" w:val="clear"/>
          </w:tcPr>
          <w:p>
            <w:r>
              <w:rPr>
                <w:sz w:val="17"/>
              </w:rPr>
              <w:t>8,007</w:t>
            </w:r>
          </w:p>
        </w:tc>
        <w:tc>
          <w:tcPr>
            <w:tcW w:type="dxa" w:w="1440"/>
            <w:shd w:fill="C6EFCE" w:val="clear"/>
          </w:tcPr>
          <w:p>
            <w:r>
              <w:rPr>
                <w:b/>
                <w:sz w:val="17"/>
              </w:rPr>
              <w:t>9,068</w:t>
            </w:r>
          </w:p>
        </w:tc>
        <w:tc>
          <w:tcPr>
            <w:tcW w:type="dxa" w:w="1440"/>
            <w:shd w:fill="C6EFCE" w:val="clear"/>
          </w:tcPr>
          <w:p>
            <w:r>
              <w:rPr>
                <w:sz w:val="17"/>
              </w:rPr>
              <w:t>10,130</w:t>
            </w:r>
          </w:p>
        </w:tc>
        <w:tc>
          <w:tcPr>
            <w:tcW w:type="dxa" w:w="1440"/>
            <w:shd w:fill="C6EFCE" w:val="clear"/>
          </w:tcPr>
          <w:p>
            <w:r>
              <w:rPr>
                <w:b/>
                <w:color w:val="008000"/>
                <w:sz w:val="17"/>
              </w:rPr>
              <w:t>+8.0%</w:t>
            </w:r>
          </w:p>
        </w:tc>
      </w:tr>
      <w:tr>
        <w:tc>
          <w:tcPr>
            <w:tcW w:type="dxa" w:w="1440"/>
            <w:shd w:fill="C6EFCE" w:val="clear"/>
          </w:tcPr>
          <w:p>
            <w:r>
              <w:rPr>
                <w:sz w:val="17"/>
              </w:rPr>
              <w:t>J+6  ⭐</w:t>
            </w:r>
          </w:p>
        </w:tc>
        <w:tc>
          <w:tcPr>
            <w:tcW w:type="dxa" w:w="1440"/>
            <w:shd w:fill="C6EFCE" w:val="clear"/>
          </w:tcPr>
          <w:p>
            <w:r>
              <w:rPr>
                <w:sz w:val="17"/>
              </w:rPr>
              <w:t>2026-10-26</w:t>
            </w:r>
          </w:p>
        </w:tc>
        <w:tc>
          <w:tcPr>
            <w:tcW w:type="dxa" w:w="1440"/>
            <w:shd w:fill="C6EFCE" w:val="clear"/>
          </w:tcPr>
          <w:p>
            <w:r>
              <w:rPr>
                <w:sz w:val="17"/>
              </w:rPr>
              <w:t>7,957</w:t>
            </w:r>
          </w:p>
        </w:tc>
        <w:tc>
          <w:tcPr>
            <w:tcW w:type="dxa" w:w="1440"/>
            <w:shd w:fill="C6EFCE" w:val="clear"/>
          </w:tcPr>
          <w:p>
            <w:r>
              <w:rPr>
                <w:b/>
                <w:sz w:val="17"/>
              </w:rPr>
              <w:t>9,127</w:t>
            </w:r>
          </w:p>
        </w:tc>
        <w:tc>
          <w:tcPr>
            <w:tcW w:type="dxa" w:w="1440"/>
            <w:shd w:fill="C6EFCE" w:val="clear"/>
          </w:tcPr>
          <w:p>
            <w:r>
              <w:rPr>
                <w:sz w:val="17"/>
              </w:rPr>
              <w:t>10,297</w:t>
            </w:r>
          </w:p>
        </w:tc>
        <w:tc>
          <w:tcPr>
            <w:tcW w:type="dxa" w:w="1440"/>
            <w:shd w:fill="C6EFCE" w:val="clear"/>
          </w:tcPr>
          <w:p>
            <w:r>
              <w:rPr>
                <w:b/>
                <w:color w:val="008000"/>
                <w:sz w:val="17"/>
              </w:rPr>
              <w:t>+8.7%</w:t>
            </w:r>
          </w:p>
        </w:tc>
      </w:tr>
      <w:tr>
        <w:tc>
          <w:tcPr>
            <w:tcW w:type="dxa" w:w="1440"/>
            <w:shd w:fill="C6EFCE" w:val="clear"/>
          </w:tcPr>
          <w:p>
            <w:r>
              <w:rPr>
                <w:sz w:val="17"/>
              </w:rPr>
              <w:t>J+7  ⭐</w:t>
            </w:r>
          </w:p>
        </w:tc>
        <w:tc>
          <w:tcPr>
            <w:tcW w:type="dxa" w:w="1440"/>
            <w:shd w:fill="C6EFCE" w:val="clear"/>
          </w:tcPr>
          <w:p>
            <w:r>
              <w:rPr>
                <w:sz w:val="17"/>
              </w:rPr>
              <w:t>2026-10-27</w:t>
            </w:r>
          </w:p>
        </w:tc>
        <w:tc>
          <w:tcPr>
            <w:tcW w:type="dxa" w:w="1440"/>
            <w:shd w:fill="C6EFCE" w:val="clear"/>
          </w:tcPr>
          <w:p>
            <w:r>
              <w:rPr>
                <w:sz w:val="17"/>
              </w:rPr>
              <w:t>7,907</w:t>
            </w:r>
          </w:p>
        </w:tc>
        <w:tc>
          <w:tcPr>
            <w:tcW w:type="dxa" w:w="1440"/>
            <w:shd w:fill="C6EFCE" w:val="clear"/>
          </w:tcPr>
          <w:p>
            <w:r>
              <w:rPr>
                <w:b/>
                <w:sz w:val="17"/>
              </w:rPr>
              <w:t>9,179</w:t>
            </w:r>
          </w:p>
        </w:tc>
        <w:tc>
          <w:tcPr>
            <w:tcW w:type="dxa" w:w="1440"/>
            <w:shd w:fill="C6EFCE" w:val="clear"/>
          </w:tcPr>
          <w:p>
            <w:r>
              <w:rPr>
                <w:sz w:val="17"/>
              </w:rPr>
              <w:t>10,450</w:t>
            </w:r>
          </w:p>
        </w:tc>
        <w:tc>
          <w:tcPr>
            <w:tcW w:type="dxa" w:w="1440"/>
            <w:shd w:fill="C6EFCE" w:val="clear"/>
          </w:tcPr>
          <w:p>
            <w:r>
              <w:rPr>
                <w:b/>
                <w:color w:val="008000"/>
                <w:sz w:val="17"/>
              </w:rPr>
              <w:t>+9.3%</w:t>
            </w:r>
          </w:p>
        </w:tc>
      </w:tr>
      <w:tr>
        <w:tc>
          <w:tcPr>
            <w:tcW w:type="dxa" w:w="1440"/>
            <w:shd w:fill="C6EFCE" w:val="clear"/>
          </w:tcPr>
          <w:p>
            <w:r>
              <w:rPr>
                <w:sz w:val="17"/>
              </w:rPr>
              <w:t>J+8  ⭐</w:t>
            </w:r>
          </w:p>
        </w:tc>
        <w:tc>
          <w:tcPr>
            <w:tcW w:type="dxa" w:w="1440"/>
            <w:shd w:fill="C6EFCE" w:val="clear"/>
          </w:tcPr>
          <w:p>
            <w:r>
              <w:rPr>
                <w:sz w:val="17"/>
              </w:rPr>
              <w:t>2026-10-28</w:t>
            </w:r>
          </w:p>
        </w:tc>
        <w:tc>
          <w:tcPr>
            <w:tcW w:type="dxa" w:w="1440"/>
            <w:shd w:fill="C6EFCE" w:val="clear"/>
          </w:tcPr>
          <w:p>
            <w:r>
              <w:rPr>
                <w:sz w:val="17"/>
              </w:rPr>
              <w:t>7,858</w:t>
            </w:r>
          </w:p>
        </w:tc>
        <w:tc>
          <w:tcPr>
            <w:tcW w:type="dxa" w:w="1440"/>
            <w:shd w:fill="C6EFCE" w:val="clear"/>
          </w:tcPr>
          <w:p>
            <w:r>
              <w:rPr>
                <w:b/>
                <w:sz w:val="17"/>
              </w:rPr>
              <w:t>9,224</w:t>
            </w:r>
          </w:p>
        </w:tc>
        <w:tc>
          <w:tcPr>
            <w:tcW w:type="dxa" w:w="1440"/>
            <w:shd w:fill="C6EFCE" w:val="clear"/>
          </w:tcPr>
          <w:p>
            <w:r>
              <w:rPr>
                <w:sz w:val="17"/>
              </w:rPr>
              <w:t>10,589</w:t>
            </w:r>
          </w:p>
        </w:tc>
        <w:tc>
          <w:tcPr>
            <w:tcW w:type="dxa" w:w="1440"/>
            <w:shd w:fill="C6EFCE" w:val="clear"/>
          </w:tcPr>
          <w:p>
            <w:r>
              <w:rPr>
                <w:b/>
                <w:color w:val="008000"/>
                <w:sz w:val="17"/>
              </w:rPr>
              <w:t>+9.8%</w:t>
            </w:r>
          </w:p>
        </w:tc>
      </w:tr>
      <w:tr>
        <w:tc>
          <w:tcPr>
            <w:tcW w:type="dxa" w:w="1440"/>
            <w:shd w:fill="C6EFCE" w:val="clear"/>
          </w:tcPr>
          <w:p>
            <w:r>
              <w:rPr>
                <w:sz w:val="17"/>
              </w:rPr>
              <w:t>J+9  ⭐</w:t>
            </w:r>
          </w:p>
        </w:tc>
        <w:tc>
          <w:tcPr>
            <w:tcW w:type="dxa" w:w="1440"/>
            <w:shd w:fill="C6EFCE" w:val="clear"/>
          </w:tcPr>
          <w:p>
            <w:r>
              <w:rPr>
                <w:sz w:val="17"/>
              </w:rPr>
              <w:t>2026-10-29</w:t>
            </w:r>
          </w:p>
        </w:tc>
        <w:tc>
          <w:tcPr>
            <w:tcW w:type="dxa" w:w="1440"/>
            <w:shd w:fill="C6EFCE" w:val="clear"/>
          </w:tcPr>
          <w:p>
            <w:r>
              <w:rPr>
                <w:sz w:val="17"/>
              </w:rPr>
              <w:t>7,808</w:t>
            </w:r>
          </w:p>
        </w:tc>
        <w:tc>
          <w:tcPr>
            <w:tcW w:type="dxa" w:w="1440"/>
            <w:shd w:fill="C6EFCE" w:val="clear"/>
          </w:tcPr>
          <w:p>
            <w:r>
              <w:rPr>
                <w:b/>
                <w:sz w:val="17"/>
              </w:rPr>
              <w:t>9,263</w:t>
            </w:r>
          </w:p>
        </w:tc>
        <w:tc>
          <w:tcPr>
            <w:tcW w:type="dxa" w:w="1440"/>
            <w:shd w:fill="C6EFCE" w:val="clear"/>
          </w:tcPr>
          <w:p>
            <w:r>
              <w:rPr>
                <w:sz w:val="17"/>
              </w:rPr>
              <w:t>10,717</w:t>
            </w:r>
          </w:p>
        </w:tc>
        <w:tc>
          <w:tcPr>
            <w:tcW w:type="dxa" w:w="1440"/>
            <w:shd w:fill="C6EFCE" w:val="clear"/>
          </w:tcPr>
          <w:p>
            <w:r>
              <w:rPr>
                <w:b/>
                <w:color w:val="008000"/>
                <w:sz w:val="17"/>
              </w:rPr>
              <w:t>+10.3%</w:t>
            </w:r>
          </w:p>
        </w:tc>
      </w:tr>
      <w:tr>
        <w:tc>
          <w:tcPr>
            <w:tcW w:type="dxa" w:w="1440"/>
            <w:shd w:fill="C6EFCE" w:val="clear"/>
          </w:tcPr>
          <w:p>
            <w:r>
              <w:rPr>
                <w:sz w:val="17"/>
              </w:rPr>
              <w:t>J+10  ⭐</w:t>
            </w:r>
          </w:p>
        </w:tc>
        <w:tc>
          <w:tcPr>
            <w:tcW w:type="dxa" w:w="1440"/>
            <w:shd w:fill="C6EFCE" w:val="clear"/>
          </w:tcPr>
          <w:p>
            <w:r>
              <w:rPr>
                <w:sz w:val="17"/>
              </w:rPr>
              <w:t>2026-10-30</w:t>
            </w:r>
          </w:p>
        </w:tc>
        <w:tc>
          <w:tcPr>
            <w:tcW w:type="dxa" w:w="1440"/>
            <w:shd w:fill="C6EFCE" w:val="clear"/>
          </w:tcPr>
          <w:p>
            <w:r>
              <w:rPr>
                <w:sz w:val="17"/>
              </w:rPr>
              <w:t>7,757</w:t>
            </w:r>
          </w:p>
        </w:tc>
        <w:tc>
          <w:tcPr>
            <w:tcW w:type="dxa" w:w="1440"/>
            <w:shd w:fill="C6EFCE" w:val="clear"/>
          </w:tcPr>
          <w:p>
            <w:r>
              <w:rPr>
                <w:b/>
                <w:sz w:val="17"/>
              </w:rPr>
              <w:t>9,296</w:t>
            </w:r>
          </w:p>
        </w:tc>
        <w:tc>
          <w:tcPr>
            <w:tcW w:type="dxa" w:w="1440"/>
            <w:shd w:fill="C6EFCE" w:val="clear"/>
          </w:tcPr>
          <w:p>
            <w:r>
              <w:rPr>
                <w:sz w:val="17"/>
              </w:rPr>
              <w:t>10,835</w:t>
            </w:r>
          </w:p>
        </w:tc>
        <w:tc>
          <w:tcPr>
            <w:tcW w:type="dxa" w:w="1440"/>
            <w:shd w:fill="C6EFCE" w:val="clear"/>
          </w:tcPr>
          <w:p>
            <w:r>
              <w:rPr>
                <w:b/>
                <w:color w:val="008000"/>
                <w:sz w:val="17"/>
              </w:rPr>
              <w:t>+10.7%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 📊 RAPPORT D'ANALYSE FINANCIÈRE — BICB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BICB s'établit à 485,18 Mds FCFA, un niveau qui la positionne parmi les valeurs bancaires significatives de la cote BRVM. Le BPA de 627 FCFA/action signifie que chaque titre génère près de 627 FCFA de bénéfice net, un niveau confortable au regard du cours actuel de 8 400 FCFA. Le PER de 13,4x traduit une valorisation modérée, légèrement supérieure à la moyenne BRVM (~8-12x), mais cohérente avec le profil de croissance de la banque. Le P/B de 3,59x indique que le marché valorise le titre à plus de 3,5 fois sa valeur comptable, traduisant une prime de croissance accordée par les investisseurs. En revanche, l'EV/EBITDA de 24,0x apparaît très exigeant (&gt;15x), signalant que la valeur d'entreprise intègre déjà une forte anticipation de résultats opérationnels — un point de vigilance pour la soutenabilité de la valorisation.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BICB affiche une variation totale spectaculaire de +61,85%, avec une dernière séance stable (0,00%). Le cours actuel de 8 400 FCFA se situe dans la partie haute du range de trading, dont le plancher est à 5 190 FCFA et le plafond à 10 790 FCFA — soit une amplitude de plus de 100% entre les extrêmes, illustrant une dynamique nettement haussière mais avec des phases de correction marquées. Les statistiques descriptives révèlent une moyenne de 7 576 FCFA légèrement inférieure à la médiane de 7 680 FCFA, suggérant une distribution faiblement asymétrique à gauche (quelques séances de forte baisse ont tiré la moyenne vers le bas), tandis que le mode à 8 400 FCFA coïncide avec le cours actuel, indiquant un palier de consolidation. L'écart-type de 1 626 FCFA avec un coefficient de variation de 21,5% traduit une dispersion modérée à élevée du cours autour de sa moyenne. Le kurtosis de -1,062 (platykurtique) indique une distribution aplatie avec une faible concentration des rendements, donc moins de pics extrêmes que la normale — un profil de risque relativement lissé. Le skewness de 0,219 confirme une distribution quasi-symétrique avec une très légère inclinaison positive. Enfin, la volatilité annualisée de 42,5% classe le titre dans la catégorie des valeurs à volatilité élevée (&gt;30%), ce qui est cohérent avec la forte appréciation récente et appelle à une gestion prudente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(8 701,75 FCFA) et la MM50 (8 959,30 FCFA) se situent toutes deux au-dessus du cours actuel (8 400 FCFA), et la MM20 est inférieure à la MM50, configuration baissière de court terme. Le cours évolue sous ses deux moyennes, ce qui justifie la décision technique de **Vente** — le momentum de court terme reste négatif malgré la performance historique.</w:t>
      </w:r>
    </w:p>
    <w:p>
      <w:pPr>
        <w:spacing w:after="120" w:line="276" w:lineRule="auto"/>
      </w:pPr>
      <w:r>
        <w:t>**Bandes de Bollinger** : Le cours (8 400 FCFA) se situe dans la moitié inférieure de la bande, entre la borne inférieure (7 646,93 FCFA) et la borne supérieure (9 756,57 FCFA), sans contact avec les extrêmes. Cette position centrale traduit une absence de signal directionnel fort, justifiant la décision **Neutre** — le titre consolide dans un canal sans pression acheteuse ou vendeuse dominante.</w:t>
      </w:r>
    </w:p>
    <w:p>
      <w:pPr>
        <w:spacing w:after="120" w:line="276" w:lineRule="auto"/>
      </w:pPr>
      <w:r>
        <w:t>**MACD** : La ligne MACD (-215,955) est inférieure à sa ligne de signal (-166,379), avec un histogramme négatif — configuration baissière confirmée. Le momentum est clairement négatif à court terme, ce qui justifie la décision de **Vente** émise par cet indicateur.</w:t>
      </w:r>
    </w:p>
    <w:p>
      <w:pPr>
        <w:spacing w:after="120" w:line="276" w:lineRule="auto"/>
      </w:pPr>
      <w:r>
        <w:t>**RSI** : À 44,86, le RSI se situe en zone neutre (entre 30 et 70), sans signal de surachat (&gt;70) ni de survente (&lt;30). Le titre n'est ni surévalué ni survendu techniquement, justifiant la décision **Neutre** — une position attentiste est appropriée.</w:t>
      </w:r>
    </w:p>
    <w:p>
      <w:pPr>
        <w:spacing w:after="120" w:line="276" w:lineRule="auto"/>
      </w:pPr>
      <w:r>
        <w:t>**Stochastique** : Le %K (3,774) est très bas et inférieur au %D (18,004), signalant une zone de survente extrême. Bien que le croisement ne soit pas encore haussier, ce positionnement en survente profonde justifie la décision d'**Achat** — un rebond technique est probable à court terme.</w:t>
      </w:r>
    </w:p>
    <w:p>
      <w:pPr>
        <w:spacing w:after="120" w:line="276" w:lineRule="auto"/>
      </w:pPr>
      <w:r>
        <w:t>**Conclusion technique** : Les indicateurs présentent une divergence notable : les moyennes mobiles et le MACD émettent des signaux baissiers (cours sous MM20/MM50, MACD négatif), tandis que le stochastique signale une survente propice à un rebond et que le RSI reste neutre. Les Bandes de Bollinger confirment l'absence de pression directionnelle forte. Cette configuration mixte suggère une phase de consolidation avec un potentiel de rebond technique à court terme, mais sans confirmation de retournement haussier durable — la prudence reste de mise.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BICB affiche un Produit Net Bancaire (équivalent du chiffre d'affaires bancaire) de 52,805 Mds FCFA, en croissance de 16,49% selon les états financiers IFRS audités (rapport des commissaires aux comptes du 22 juin 2026). Le résultat net s'établit à 36,237 Mds FCFA, générant un ROE exceptionnel de 26,82% (&gt;15% = excellent) et un ROA de 1,96%. Le coefficient d'exploitation de 31,12% place la banque parmi les établissements les plus efficaces (&lt;60% = efficace, &lt;50% = excellente). Le coût du risque rapporté aux charges financières s'élève à 9,61%, signalant un risque de crédit significatif à surveiller. La structure de transformation affiche des créances clientèle de 1 151,5 Mds FCFA face à des dépôts de 1 181,0 Mds FCFA, soit un ratio crédits/dépôts de 97,5% — une transformation tendue. Les créances interbancaires (51,4 Mds FCFA) et les dettes interbancaires (465,2 Mds FCFA) révèlent une dépendance au refinancement interbancaire.</w:t>
      </w:r>
    </w:p>
    <w:p>
      <w:pPr>
        <w:spacing w:after="120" w:line="276" w:lineRule="auto"/>
      </w:pPr>
      <w:r>
        <w:t>**Estimations basées sur les rapports trimestriels** : Le rapport du T1 2026 (publié en 2026) confirme une accélération avec un PNB de 14,6 Mds FCFA (+35%) et un résultat net de 8,0 Mds FCFA (+48%). Le rapport S1 2026 (analysé le 22 septembre 2026) nuance toutefois cette dynamique : PNB de 31,9 Mds FCFA (+19%), RBE en bond de +31% à 22,9 Mds FCFA grâce à une baisse des charges de -4%, mais résultat net de 18,4 Mds FCFA (+11% seulement) et résultat avant impôt en repli de -3%, sous l'effet d'un coût du risque redevenu une charge de 3,6 Mds FCFA (contre un produit net de 2,4 Mds au S1 2025). On estime donc que l'exercice 2026 devrait afficher une croissance du PNB à deux chiffres, mais avec une normalisation du coût du risque qui pèsera sur la rentabilité nette — la qualité des actifs reste le point de vigilance central, comme l'illustre le taux de couverture des crédits bruts porté à 1,65%.</w:t>
      </w:r>
    </w:p>
    <w:p>
      <w:pPr>
        <w:spacing w:after="120" w:line="276" w:lineRule="auto"/>
      </w:pPr>
      <w:r>
        <w:t>**Recommandation fondamentale** : La solidité financière est avérée (capitaux propres de 135,1 Mds FCFA, solvabilité de 19,64% vs 11,5% réglementaire, ROE de 26,8%), mais la tension sur la liquidité (ratio crédits/dépôts à 97,5%, trésorerie nette négative de -424,1 Mds FCFA) et la normalisation du coût du risque constituent des risques à surveiller. Le profil fondamental reste solide mais exige une discipline de gestion du risque crédit.</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tableau contrasté. **Sur la valorisation (Partie 0)**, le PER de 13,4x et le P/B de 3,59x traduisent une valorisation modérée à légèrement premium, mais l'EV/EBITDA de 24,0x signale une exigence élevée déjà intégrée dans les cours — le potentiel d'appréciation fondamental apparaît limité à court terme. **Sur le comportement du cours (Partie 1)**, la performance de +61,85% sur 100 jours est remarquable, mais la volatilité annualisée de 42,5% et la distribution platykurtique (kurtosis -1,062) indiquent un risque de correction significatif après une telle appréciation. **Sur le plan technique (Partie 2)**, les signaux sont divergents : MM20/MM50 baissières et MACD négatif contredisent le stochastique en survente extrême (%K=3,77) — configuration de consolidation sans direction claire. **Sur les fondamentaux (Partie 3)**, la banque affiche une rentabilité exceptionnelle (ROE 26,8%, coefficient d'exploitation 31,1%) mais fait face à une normalisation du coût du risque et à une tension de liquidité (crédits/dépôts à 97,5%). **Les prédictions IA (J+1 à J+10)** projettent une trajectoire haussière modérée de 8 796 à 9 068 FCFA (+8% sur 10 jours), ce qui contredit les signaux techniques baissiers de court terme mais s'aligne sur la qualité fondamentale.</w:t>
      </w:r>
    </w:p>
    <w:p>
      <w:pPr>
        <w:spacing w:after="120" w:line="276" w:lineRule="auto"/>
      </w:pPr>
      <w:r>
        <w:t>**Recommandation finale : CONSERVER** — avec un niveau de confiance **Moyen** et un risque global **Élevé**. La convergence n'est que partielle : la valorisation est raisonnable mais l'EV/EBITDA exigeant, les fondamentaux sont solides mais la normalisation du risque crédit pèse, et les signaux techniques sont mixtes malgré les prédictions haussières. Le titre mérite d'être conservé pour les investisseurs déjà positionnés, mais un nouvel achat agressif n'est pas justifié tant que la confirmation d'un retournement technique haussier (franchissement de la MM20 à 8 701 FCFA) et la stabilisation du coût du risque ne sont pas observées. **Horizon optimal : moyen terme (3-12 mois)**, le temps que la banque démontre sa capacité à concilier croissance et maîtrise du risque crédit.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9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PNB (+19 %) et du r\u00e9sultat brut d'exploitation (+31 %) traduit une rentabilit\u00e9 op\u00e9rationnelle solide, malgr\u00e9 un co\u00fbt du risque normalis\u00e9 apr\u00e8s des reprises exceptionnelles en 2025. Le r\u00e9sultat net reste en croissance de 11 % et le renforcement de la couverture des risques conforte la qualit\u00e9 des fondamentaux."}</w:t>
      </w:r>
    </w:p>
    <w:p>
      <w:pPr>
        <w:spacing w:before="40"/>
        <w:ind w:left="400"/>
      </w:pPr>
      <w:r>
        <w:rPr>
          <w:sz w:val="18"/>
        </w:rPr>
        <w:t>Au premier semestre 2026, BIIC affiche un Produit Net Bancaire de 31,9 milliards FCFA en progression de 19 % sur un an, porté par la dynamique commerciale et la bonne tenue des marges. La maîtrise des charges d'exploitation, en repli de 4 % à 9,0 milliards FCFA, permet au résultat brut d'exploitation de bondir de 31 % à 22,9 milliards FCFA. Le coût du risque redevient une charge de 3,6 milliards FCFA, contre un produit net de 2,4 milliards FCFA au S1 2025 qui intégrait d'importantes reprises de provisions. Malgré ce effet de base défavorable, le résultat net progresse de 11 % pour s'établir à 18,4 milliards FCFA, avec une rentabilité nette très élevée rapportée au PNB. Au bilan, le total s'é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'-3 579 millions FCFA (vs +2 376 millions FCFA au S1 2025)', 'depots_clientele': '1 173 652 millions FCFA (-1 % vs déc.-25)', 'dotations_nettes': '6 100 millions FCFA (-13 %)', 'charges_exploitation': '-8 971 millions FCFA (-4 %)', 'produit_net_bancaire': '31 882 millions FCFA (+19 %)', 'resultat_avant_impot': '19 331 millions FCFA (-3 %)', 'titres_au_cout_amorti': '483 801 millions FCFA (-5 %)', 'credits_nets_clientele': '1 162 656 millions FCFA (+1 % vs déc.-25)', 'resultat_brut_exploitation': '22 910 millions FCFA (+31 %)', 'taux_de_couverture_credits_bruts': '1,65 %'}</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 58 % (résultat net / PNB)</w:t>
            </w:r>
          </w:p>
        </w:tc>
        <w:tc>
          <w:tcPr>
            <w:tcW w:type="dxa" w:w="2160"/>
          </w:tcPr>
          <w:p>
            <w:pPr>
              <w:ind w:left="100"/>
            </w:pPr>
            <w:r/>
            <w:r>
              <w:rPr>
                <w:b/>
                <w:sz w:val="16"/>
              </w:rPr>
              <w:t>total_actif</w:t>
              <w:br/>
            </w:r>
            <w:r>
              <w:rPr>
                <w:sz w:val="18"/>
              </w:rPr>
              <w:t>1 870 566 millions FCFA</w:t>
            </w:r>
          </w:p>
        </w:tc>
      </w:tr>
      <w:tr>
        <w:tc>
          <w:tcPr>
            <w:tcW w:type="dxa" w:w="2160"/>
          </w:tcPr>
          <w:p>
            <w:r/>
            <w:r>
              <w:rPr>
                <w:b/>
                <w:sz w:val="16"/>
              </w:rPr>
              <w:t>resultat_net</w:t>
              <w:br/>
            </w:r>
            <w:r>
              <w:rPr>
                <w:sz w:val="18"/>
              </w:rPr>
              <w:t>18 368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31 882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31,9 milliards FCFA au S1 2026, en hausse de 19 % par rapport au S1 2025 (26,9 milliards FCFA).</w:t>
      </w:r>
    </w:p>
    <w:p>
      <w:pPr>
        <w:pStyle w:val="ListBullet"/>
        <w:spacing w:before="20" w:after="20"/>
        <w:ind w:left="700"/>
      </w:pPr>
      <w:r>
        <w:rPr>
          <w:sz w:val="18"/>
        </w:rPr>
        <w:t>Charges d'exploitation en recul de 4 % à 8,97 milliards FCFA, illustrant une discipline de coûts soutenue.</w:t>
      </w:r>
    </w:p>
    <w:p>
      <w:pPr>
        <w:pStyle w:val="ListBullet"/>
        <w:spacing w:before="20" w:after="20"/>
        <w:ind w:left="700"/>
      </w:pPr>
      <w:r>
        <w:rPr>
          <w:sz w:val="18"/>
        </w:rPr>
        <w:t>Résultat brut d'exploitation de 22,9 milliards FCFA, en progression de 31 %, soit une marge brute d'exploitation très confortable.</w:t>
      </w:r>
    </w:p>
    <w:p>
      <w:pPr>
        <w:pStyle w:val="ListBullet"/>
        <w:spacing w:before="20" w:after="20"/>
        <w:ind w:left="700"/>
      </w:pPr>
      <w:r>
        <w:rPr>
          <w:sz w:val="18"/>
        </w:rPr>
        <w:t>Coût du risque de -3,6 milliards FCFA contre un produit de 2,4 milliards FCFA au S1 2025, sous l'effet du niveau exceptionnel de reprises de l'an passé.</w:t>
      </w:r>
    </w:p>
    <w:p>
      <w:pPr>
        <w:pStyle w:val="ListBullet"/>
        <w:spacing w:before="20" w:after="20"/>
        <w:ind w:left="700"/>
      </w:pPr>
      <w:r>
        <w:rPr>
          <w:sz w:val="18"/>
        </w:rPr>
        <w:t>Résultat net de 18,4 milliards FCFA, en hausse de 11 % sur un an (16,6 milliards FCFA au S1 2025).</w:t>
      </w:r>
    </w:p>
    <w:p>
      <w:pPr>
        <w:pStyle w:val="ListBullet"/>
        <w:spacing w:before="20" w:after="20"/>
        <w:ind w:left="700"/>
      </w:pPr>
      <w:r>
        <w:rPr>
          <w:sz w:val="18"/>
        </w:rPr>
        <w:t>Dotations nettes en recul de 13 % à 6,1 milliards FCFA, avec un taux de couverture des crédits bruts porté à 1,65 % (19,5 milliards FCFA de dépréciations).</w:t>
      </w:r>
    </w:p>
    <w:p>
      <w:pPr>
        <w:spacing w:before="40"/>
        <w:ind w:left="400"/>
      </w:pPr>
      <w:r>
        <w:rPr>
          <w:b/>
          <w:color w:val="C05000"/>
          <w:sz w:val="18"/>
        </w:rPr>
        <w:t xml:space="preserve">⚠️ Risques : </w:t>
      </w:r>
      <w:r>
        <w:rPr>
          <w:sz w:val="18"/>
        </w:rPr>
        <w:t>["Normalisation du co\u00fbt du risque : retour \u00e0 une charge de 3,6 milliards FCFA, avec un r\u00e9sultat avant imp\u00f4t en l\u00e9ger repli (-3 %), la qualit\u00e9 des actifs restant un point de vigilance.", "L\u00e9ger retrait des d\u00e9p\u00f4ts client\u00e8le (-1 %) qui pourrait contrain</w:t>
      </w:r>
    </w:p>
    <w:p>
      <w:pPr>
        <w:spacing w:before="40"/>
        <w:ind w:left="400"/>
      </w:pPr>
      <w:r>
        <w:rPr>
          <w:b/>
          <w:color w:val="0064A0"/>
          <w:sz w:val="18"/>
        </w:rPr>
        <w:t xml:space="preserve">🔮 Perspectives : </w:t>
      </w:r>
      <w:r>
        <w:rPr>
          <w:sz w:val="18"/>
        </w:rPr>
        <w:t xml:space="preserve">La Direction Générale se déclare confiante dans sa capacité à atteindre les objectifs de l'exercice 2026, en poursuivant l'exécution disciplinée de son plan de développement. La Banque entend maintenir une gestion prudente des risques, une allocation rigoureuse des ressources et la consolidation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
      <w:r>
        <w:t>════════════════════════════════════════════════════════════════════════════════</w:t>
      </w:r>
    </w:p>
    <w:p>
      <w:r>
        <w:br w:type="page"/>
      </w:r>
    </w:p>
    <w:p>
      <w:pPr>
        <w:pStyle w:val="Heading2"/>
        <w:spacing w:before="360"/>
      </w:pPr>
      <w:r>
        <w:rPr>
          <w:color w:val="0066CC"/>
        </w:rPr>
        <w:t>4.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540.00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724 titres</w:t>
            </w:r>
          </w:p>
        </w:tc>
        <w:tc>
          <w:tcPr>
            <w:tcW w:type="dxa" w:w="2268"/>
            <w:shd w:fill="FFF2CC" w:val="clear"/>
          </w:tcPr>
          <w:p>
            <w:r>
              <w:rPr>
                <w:b/>
                <w:color w:val="503200"/>
                <w:sz w:val="16"/>
              </w:rPr>
              <w:t xml:space="preserve">Cours actuel : </w:t>
            </w:r>
            <w:r>
              <w:rPr>
                <w:color w:val="000000"/>
                <w:sz w:val="17"/>
              </w:rPr>
              <w:t>32,400 FCFA</w:t>
            </w:r>
          </w:p>
          <w:p>
            <w:r>
              <w:rPr>
                <w:b/>
                <w:color w:val="503200"/>
                <w:sz w:val="16"/>
              </w:rPr>
              <w:t xml:space="preserve">Var. 100 jours : </w:t>
            </w:r>
            <w:r>
              <w:rPr>
                <w:b/>
                <w:color w:val="007800"/>
                <w:sz w:val="17"/>
              </w:rPr>
              <w:t>+17.82%</w:t>
            </w:r>
          </w:p>
          <w:p>
            <w:r>
              <w:rPr>
                <w:b/>
                <w:color w:val="503200"/>
                <w:sz w:val="16"/>
              </w:rPr>
              <w:t xml:space="preserve">Plus haut 100j : </w:t>
            </w:r>
            <w:r>
              <w:rPr>
                <w:color w:val="000000"/>
                <w:sz w:val="17"/>
              </w:rPr>
              <w:t>34,895 FCFA</w:t>
            </w:r>
          </w:p>
          <w:p>
            <w:r>
              <w:rPr>
                <w:b/>
                <w:color w:val="503200"/>
                <w:sz w:val="16"/>
              </w:rPr>
              <w:t xml:space="preserve">Plus bas 100j : </w:t>
            </w:r>
            <w:r>
              <w:rPr>
                <w:color w:val="000000"/>
                <w:sz w:val="17"/>
              </w:rPr>
              <w:t>27,500 FCFA</w:t>
            </w:r>
          </w:p>
          <w:p>
            <w:r>
              <w:rPr>
                <w:b/>
                <w:color w:val="503200"/>
                <w:sz w:val="16"/>
              </w:rPr>
              <w:t xml:space="preserve">Volatilité ann. : </w:t>
            </w:r>
            <w:r>
              <w:rPr>
                <w:color w:val="000000"/>
                <w:sz w:val="17"/>
              </w:rPr>
              <w:t>38.4%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6.01% (Moyenne) — μ=29,774 FCFA, σ=1,790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β=1.0346 (Neutre (suit le marché)) — Cov=0.000078, Var(idx)=0.000076, ρ=0.376,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FFEB9C" w:val="clear"/>
          </w:tcPr>
          <w:p>
            <w:r>
              <w:rPr>
                <w:b/>
                <w:sz w:val="15"/>
              </w:rPr>
              <w:t>724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σ_j=2.42%/j (Stable) — Vol. annualisée≈38.4%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2026-10-19</w:t>
            </w:r>
          </w:p>
        </w:tc>
        <w:tc>
          <w:tcPr>
            <w:tcW w:type="dxa" w:w="1440"/>
            <w:shd w:fill="FFDCE0" w:val="clear"/>
          </w:tcPr>
          <w:p>
            <w:r>
              <w:rPr>
                <w:sz w:val="17"/>
              </w:rPr>
              <w:t>29,809</w:t>
            </w:r>
          </w:p>
        </w:tc>
        <w:tc>
          <w:tcPr>
            <w:tcW w:type="dxa" w:w="1440"/>
            <w:shd w:fill="FFDCE0" w:val="clear"/>
          </w:tcPr>
          <w:p>
            <w:r>
              <w:rPr>
                <w:b/>
                <w:sz w:val="17"/>
              </w:rPr>
              <w:t>31,605</w:t>
            </w:r>
          </w:p>
        </w:tc>
        <w:tc>
          <w:tcPr>
            <w:tcW w:type="dxa" w:w="1440"/>
            <w:shd w:fill="FFDCE0" w:val="clear"/>
          </w:tcPr>
          <w:p>
            <w:r>
              <w:rPr>
                <w:sz w:val="17"/>
              </w:rPr>
              <w:t>33,401</w:t>
            </w:r>
          </w:p>
        </w:tc>
        <w:tc>
          <w:tcPr>
            <w:tcW w:type="dxa" w:w="1440"/>
            <w:shd w:fill="FFDCE0" w:val="clear"/>
          </w:tcPr>
          <w:p>
            <w:r>
              <w:rPr>
                <w:b/>
                <w:color w:val="C00000"/>
                <w:sz w:val="17"/>
              </w:rPr>
              <w:t>-2.5%</w:t>
            </w:r>
          </w:p>
        </w:tc>
      </w:tr>
      <w:tr>
        <w:tc>
          <w:tcPr>
            <w:tcW w:type="dxa" w:w="1440"/>
            <w:shd w:fill="FFDCE0" w:val="clear"/>
          </w:tcPr>
          <w:p>
            <w:r>
              <w:rPr>
                <w:sz w:val="17"/>
              </w:rPr>
              <w:t>J+2  Moyenne</w:t>
            </w:r>
          </w:p>
        </w:tc>
        <w:tc>
          <w:tcPr>
            <w:tcW w:type="dxa" w:w="1440"/>
            <w:shd w:fill="FFDCE0" w:val="clear"/>
          </w:tcPr>
          <w:p>
            <w:r>
              <w:rPr>
                <w:sz w:val="17"/>
              </w:rPr>
              <w:t>2026-10-20</w:t>
            </w:r>
          </w:p>
        </w:tc>
        <w:tc>
          <w:tcPr>
            <w:tcW w:type="dxa" w:w="1440"/>
            <w:shd w:fill="FFDCE0" w:val="clear"/>
          </w:tcPr>
          <w:p>
            <w:r>
              <w:rPr>
                <w:sz w:val="17"/>
              </w:rPr>
              <w:t>29,072</w:t>
            </w:r>
          </w:p>
        </w:tc>
        <w:tc>
          <w:tcPr>
            <w:tcW w:type="dxa" w:w="1440"/>
            <w:shd w:fill="FFDCE0" w:val="clear"/>
          </w:tcPr>
          <w:p>
            <w:r>
              <w:rPr>
                <w:b/>
                <w:sz w:val="17"/>
              </w:rPr>
              <w:t>31,612</w:t>
            </w:r>
          </w:p>
        </w:tc>
        <w:tc>
          <w:tcPr>
            <w:tcW w:type="dxa" w:w="1440"/>
            <w:shd w:fill="FFDCE0" w:val="clear"/>
          </w:tcPr>
          <w:p>
            <w:r>
              <w:rPr>
                <w:sz w:val="17"/>
              </w:rPr>
              <w:t>34,153</w:t>
            </w:r>
          </w:p>
        </w:tc>
        <w:tc>
          <w:tcPr>
            <w:tcW w:type="dxa" w:w="1440"/>
            <w:shd w:fill="FFDCE0" w:val="clear"/>
          </w:tcPr>
          <w:p>
            <w:r>
              <w:rPr>
                <w:b/>
                <w:color w:val="C00000"/>
                <w:sz w:val="17"/>
              </w:rPr>
              <w:t>-2.4%</w:t>
            </w:r>
          </w:p>
        </w:tc>
      </w:tr>
      <w:tr>
        <w:tc>
          <w:tcPr>
            <w:tcW w:type="dxa" w:w="1440"/>
            <w:shd w:fill="FFDCE0" w:val="clear"/>
          </w:tcPr>
          <w:p>
            <w:r>
              <w:rPr>
                <w:sz w:val="17"/>
              </w:rPr>
              <w:t>J+3  Moyenne</w:t>
            </w:r>
          </w:p>
        </w:tc>
        <w:tc>
          <w:tcPr>
            <w:tcW w:type="dxa" w:w="1440"/>
            <w:shd w:fill="FFDCE0" w:val="clear"/>
          </w:tcPr>
          <w:p>
            <w:r>
              <w:rPr>
                <w:sz w:val="17"/>
              </w:rPr>
              <w:t>2026-10-21</w:t>
            </w:r>
          </w:p>
        </w:tc>
        <w:tc>
          <w:tcPr>
            <w:tcW w:type="dxa" w:w="1440"/>
            <w:shd w:fill="FFDCE0" w:val="clear"/>
          </w:tcPr>
          <w:p>
            <w:r>
              <w:rPr>
                <w:sz w:val="17"/>
              </w:rPr>
              <w:t>28,421</w:t>
            </w:r>
          </w:p>
        </w:tc>
        <w:tc>
          <w:tcPr>
            <w:tcW w:type="dxa" w:w="1440"/>
            <w:shd w:fill="FFDCE0" w:val="clear"/>
          </w:tcPr>
          <w:p>
            <w:r>
              <w:rPr>
                <w:b/>
                <w:sz w:val="17"/>
              </w:rPr>
              <w:t>31,524</w:t>
            </w:r>
          </w:p>
        </w:tc>
        <w:tc>
          <w:tcPr>
            <w:tcW w:type="dxa" w:w="1440"/>
            <w:shd w:fill="FFDCE0" w:val="clear"/>
          </w:tcPr>
          <w:p>
            <w:r>
              <w:rPr>
                <w:sz w:val="17"/>
              </w:rPr>
              <w:t>34,627</w:t>
            </w:r>
          </w:p>
        </w:tc>
        <w:tc>
          <w:tcPr>
            <w:tcW w:type="dxa" w:w="1440"/>
            <w:shd w:fill="FFDCE0" w:val="clear"/>
          </w:tcPr>
          <w:p>
            <w:r>
              <w:rPr>
                <w:b/>
                <w:color w:val="C00000"/>
                <w:sz w:val="17"/>
              </w:rPr>
              <w:t>-2.7%</w:t>
            </w:r>
          </w:p>
        </w:tc>
      </w:tr>
      <w:tr>
        <w:tc>
          <w:tcPr>
            <w:tcW w:type="dxa" w:w="1440"/>
            <w:shd w:fill="FFDCE0" w:val="clear"/>
          </w:tcPr>
          <w:p>
            <w:r>
              <w:rPr>
                <w:sz w:val="17"/>
              </w:rPr>
              <w:t>J+4  ⭐</w:t>
            </w:r>
          </w:p>
        </w:tc>
        <w:tc>
          <w:tcPr>
            <w:tcW w:type="dxa" w:w="1440"/>
            <w:shd w:fill="FFDCE0" w:val="clear"/>
          </w:tcPr>
          <w:p>
            <w:r>
              <w:rPr>
                <w:sz w:val="17"/>
              </w:rPr>
              <w:t>2026-10-22</w:t>
            </w:r>
          </w:p>
        </w:tc>
        <w:tc>
          <w:tcPr>
            <w:tcW w:type="dxa" w:w="1440"/>
            <w:shd w:fill="FFDCE0" w:val="clear"/>
          </w:tcPr>
          <w:p>
            <w:r>
              <w:rPr>
                <w:sz w:val="17"/>
              </w:rPr>
              <w:t>27,869</w:t>
            </w:r>
          </w:p>
        </w:tc>
        <w:tc>
          <w:tcPr>
            <w:tcW w:type="dxa" w:w="1440"/>
            <w:shd w:fill="FFDCE0" w:val="clear"/>
          </w:tcPr>
          <w:p>
            <w:r>
              <w:rPr>
                <w:b/>
                <w:sz w:val="17"/>
              </w:rPr>
              <w:t>31,443</w:t>
            </w:r>
          </w:p>
        </w:tc>
        <w:tc>
          <w:tcPr>
            <w:tcW w:type="dxa" w:w="1440"/>
            <w:shd w:fill="FFDCE0" w:val="clear"/>
          </w:tcPr>
          <w:p>
            <w:r>
              <w:rPr>
                <w:sz w:val="17"/>
              </w:rPr>
              <w:t>35,017</w:t>
            </w:r>
          </w:p>
        </w:tc>
        <w:tc>
          <w:tcPr>
            <w:tcW w:type="dxa" w:w="1440"/>
            <w:shd w:fill="FFDCE0" w:val="clear"/>
          </w:tcPr>
          <w:p>
            <w:r>
              <w:rPr>
                <w:b/>
                <w:color w:val="C00000"/>
                <w:sz w:val="17"/>
              </w:rPr>
              <w:t>-3.0%</w:t>
            </w:r>
          </w:p>
        </w:tc>
      </w:tr>
      <w:tr>
        <w:tc>
          <w:tcPr>
            <w:tcW w:type="dxa" w:w="1440"/>
            <w:shd w:fill="FFDCE0" w:val="clear"/>
          </w:tcPr>
          <w:p>
            <w:r>
              <w:rPr>
                <w:sz w:val="17"/>
              </w:rPr>
              <w:t>J+5  ⭐</w:t>
            </w:r>
          </w:p>
        </w:tc>
        <w:tc>
          <w:tcPr>
            <w:tcW w:type="dxa" w:w="1440"/>
            <w:shd w:fill="FFDCE0" w:val="clear"/>
          </w:tcPr>
          <w:p>
            <w:r>
              <w:rPr>
                <w:sz w:val="17"/>
              </w:rPr>
              <w:t>2026-10-23</w:t>
            </w:r>
          </w:p>
        </w:tc>
        <w:tc>
          <w:tcPr>
            <w:tcW w:type="dxa" w:w="1440"/>
            <w:shd w:fill="FFDCE0" w:val="clear"/>
          </w:tcPr>
          <w:p>
            <w:r>
              <w:rPr>
                <w:sz w:val="17"/>
              </w:rPr>
              <w:t>27,390</w:t>
            </w:r>
          </w:p>
        </w:tc>
        <w:tc>
          <w:tcPr>
            <w:tcW w:type="dxa" w:w="1440"/>
            <w:shd w:fill="FFDCE0" w:val="clear"/>
          </w:tcPr>
          <w:p>
            <w:r>
              <w:rPr>
                <w:b/>
                <w:sz w:val="17"/>
              </w:rPr>
              <w:t>31,378</w:t>
            </w:r>
          </w:p>
        </w:tc>
        <w:tc>
          <w:tcPr>
            <w:tcW w:type="dxa" w:w="1440"/>
            <w:shd w:fill="FFDCE0" w:val="clear"/>
          </w:tcPr>
          <w:p>
            <w:r>
              <w:rPr>
                <w:sz w:val="17"/>
              </w:rPr>
              <w:t>35,366</w:t>
            </w:r>
          </w:p>
        </w:tc>
        <w:tc>
          <w:tcPr>
            <w:tcW w:type="dxa" w:w="1440"/>
            <w:shd w:fill="FFDCE0" w:val="clear"/>
          </w:tcPr>
          <w:p>
            <w:r>
              <w:rPr>
                <w:b/>
                <w:color w:val="C00000"/>
                <w:sz w:val="17"/>
              </w:rPr>
              <w:t>-3.2%</w:t>
            </w:r>
          </w:p>
        </w:tc>
      </w:tr>
      <w:tr>
        <w:tc>
          <w:tcPr>
            <w:tcW w:type="dxa" w:w="1440"/>
            <w:shd w:fill="FFDCE0" w:val="clear"/>
          </w:tcPr>
          <w:p>
            <w:r>
              <w:rPr>
                <w:sz w:val="17"/>
              </w:rPr>
              <w:t>J+6  ⭐</w:t>
            </w:r>
          </w:p>
        </w:tc>
        <w:tc>
          <w:tcPr>
            <w:tcW w:type="dxa" w:w="1440"/>
            <w:shd w:fill="FFDCE0" w:val="clear"/>
          </w:tcPr>
          <w:p>
            <w:r>
              <w:rPr>
                <w:sz w:val="17"/>
              </w:rPr>
              <w:t>2026-10-26</w:t>
            </w:r>
          </w:p>
        </w:tc>
        <w:tc>
          <w:tcPr>
            <w:tcW w:type="dxa" w:w="1440"/>
            <w:shd w:fill="FFDCE0" w:val="clear"/>
          </w:tcPr>
          <w:p>
            <w:r>
              <w:rPr>
                <w:sz w:val="17"/>
              </w:rPr>
              <w:t>26,960</w:t>
            </w:r>
          </w:p>
        </w:tc>
        <w:tc>
          <w:tcPr>
            <w:tcW w:type="dxa" w:w="1440"/>
            <w:shd w:fill="FFDCE0" w:val="clear"/>
          </w:tcPr>
          <w:p>
            <w:r>
              <w:rPr>
                <w:b/>
                <w:sz w:val="17"/>
              </w:rPr>
              <w:t>31,320</w:t>
            </w:r>
          </w:p>
        </w:tc>
        <w:tc>
          <w:tcPr>
            <w:tcW w:type="dxa" w:w="1440"/>
            <w:shd w:fill="FFDCE0" w:val="clear"/>
          </w:tcPr>
          <w:p>
            <w:r>
              <w:rPr>
                <w:sz w:val="17"/>
              </w:rPr>
              <w:t>35,680</w:t>
            </w:r>
          </w:p>
        </w:tc>
        <w:tc>
          <w:tcPr>
            <w:tcW w:type="dxa" w:w="1440"/>
            <w:shd w:fill="FFDCE0" w:val="clear"/>
          </w:tcPr>
          <w:p>
            <w:r>
              <w:rPr>
                <w:b/>
                <w:color w:val="C00000"/>
                <w:sz w:val="17"/>
              </w:rPr>
              <w:t>-3.3%</w:t>
            </w:r>
          </w:p>
        </w:tc>
      </w:tr>
      <w:tr>
        <w:tc>
          <w:tcPr>
            <w:tcW w:type="dxa" w:w="1440"/>
            <w:shd w:fill="FFDCE0" w:val="clear"/>
          </w:tcPr>
          <w:p>
            <w:r>
              <w:rPr>
                <w:sz w:val="17"/>
              </w:rPr>
              <w:t>J+7  ⭐</w:t>
            </w:r>
          </w:p>
        </w:tc>
        <w:tc>
          <w:tcPr>
            <w:tcW w:type="dxa" w:w="1440"/>
            <w:shd w:fill="FFDCE0" w:val="clear"/>
          </w:tcPr>
          <w:p>
            <w:r>
              <w:rPr>
                <w:sz w:val="17"/>
              </w:rPr>
              <w:t>2026-10-27</w:t>
            </w:r>
          </w:p>
        </w:tc>
        <w:tc>
          <w:tcPr>
            <w:tcW w:type="dxa" w:w="1440"/>
            <w:shd w:fill="FFDCE0" w:val="clear"/>
          </w:tcPr>
          <w:p>
            <w:r>
              <w:rPr>
                <w:sz w:val="17"/>
              </w:rPr>
              <w:t>26,563</w:t>
            </w:r>
          </w:p>
        </w:tc>
        <w:tc>
          <w:tcPr>
            <w:tcW w:type="dxa" w:w="1440"/>
            <w:shd w:fill="FFDCE0" w:val="clear"/>
          </w:tcPr>
          <w:p>
            <w:r>
              <w:rPr>
                <w:b/>
                <w:sz w:val="17"/>
              </w:rPr>
              <w:t>31,264</w:t>
            </w:r>
          </w:p>
        </w:tc>
        <w:tc>
          <w:tcPr>
            <w:tcW w:type="dxa" w:w="1440"/>
            <w:shd w:fill="FFDCE0" w:val="clear"/>
          </w:tcPr>
          <w:p>
            <w:r>
              <w:rPr>
                <w:sz w:val="17"/>
              </w:rPr>
              <w:t>35,965</w:t>
            </w:r>
          </w:p>
        </w:tc>
        <w:tc>
          <w:tcPr>
            <w:tcW w:type="dxa" w:w="1440"/>
            <w:shd w:fill="FFDCE0" w:val="clear"/>
          </w:tcPr>
          <w:p>
            <w:r>
              <w:rPr>
                <w:b/>
                <w:color w:val="C00000"/>
                <w:sz w:val="17"/>
              </w:rPr>
              <w:t>-3.5%</w:t>
            </w:r>
          </w:p>
        </w:tc>
      </w:tr>
      <w:tr>
        <w:tc>
          <w:tcPr>
            <w:tcW w:type="dxa" w:w="1440"/>
            <w:shd w:fill="FFDCE0" w:val="clear"/>
          </w:tcPr>
          <w:p>
            <w:r>
              <w:rPr>
                <w:sz w:val="17"/>
              </w:rPr>
              <w:t>J+8  ⭐</w:t>
            </w:r>
          </w:p>
        </w:tc>
        <w:tc>
          <w:tcPr>
            <w:tcW w:type="dxa" w:w="1440"/>
            <w:shd w:fill="FFDCE0" w:val="clear"/>
          </w:tcPr>
          <w:p>
            <w:r>
              <w:rPr>
                <w:sz w:val="17"/>
              </w:rPr>
              <w:t>2026-10-28</w:t>
            </w:r>
          </w:p>
        </w:tc>
        <w:tc>
          <w:tcPr>
            <w:tcW w:type="dxa" w:w="1440"/>
            <w:shd w:fill="FFDCE0" w:val="clear"/>
          </w:tcPr>
          <w:p>
            <w:r>
              <w:rPr>
                <w:sz w:val="17"/>
              </w:rPr>
              <w:t>26,193</w:t>
            </w:r>
          </w:p>
        </w:tc>
        <w:tc>
          <w:tcPr>
            <w:tcW w:type="dxa" w:w="1440"/>
            <w:shd w:fill="FFDCE0" w:val="clear"/>
          </w:tcPr>
          <w:p>
            <w:r>
              <w:rPr>
                <w:b/>
                <w:sz w:val="17"/>
              </w:rPr>
              <w:t>31,210</w:t>
            </w:r>
          </w:p>
        </w:tc>
        <w:tc>
          <w:tcPr>
            <w:tcW w:type="dxa" w:w="1440"/>
            <w:shd w:fill="FFDCE0" w:val="clear"/>
          </w:tcPr>
          <w:p>
            <w:r>
              <w:rPr>
                <w:sz w:val="17"/>
              </w:rPr>
              <w:t>36,227</w:t>
            </w:r>
          </w:p>
        </w:tc>
        <w:tc>
          <w:tcPr>
            <w:tcW w:type="dxa" w:w="1440"/>
            <w:shd w:fill="FFDCE0" w:val="clear"/>
          </w:tcPr>
          <w:p>
            <w:r>
              <w:rPr>
                <w:b/>
                <w:color w:val="C00000"/>
                <w:sz w:val="17"/>
              </w:rPr>
              <w:t>-3.7%</w:t>
            </w:r>
          </w:p>
        </w:tc>
      </w:tr>
      <w:tr>
        <w:tc>
          <w:tcPr>
            <w:tcW w:type="dxa" w:w="1440"/>
            <w:shd w:fill="FFDCE0" w:val="clear"/>
          </w:tcPr>
          <w:p>
            <w:r>
              <w:rPr>
                <w:sz w:val="17"/>
              </w:rPr>
              <w:t>J+9  ⭐</w:t>
            </w:r>
          </w:p>
        </w:tc>
        <w:tc>
          <w:tcPr>
            <w:tcW w:type="dxa" w:w="1440"/>
            <w:shd w:fill="FFDCE0" w:val="clear"/>
          </w:tcPr>
          <w:p>
            <w:r>
              <w:rPr>
                <w:sz w:val="17"/>
              </w:rPr>
              <w:t>2026-10-29</w:t>
            </w:r>
          </w:p>
        </w:tc>
        <w:tc>
          <w:tcPr>
            <w:tcW w:type="dxa" w:w="1440"/>
            <w:shd w:fill="FFDCE0" w:val="clear"/>
          </w:tcPr>
          <w:p>
            <w:r>
              <w:rPr>
                <w:sz w:val="17"/>
              </w:rPr>
              <w:t>25,845</w:t>
            </w:r>
          </w:p>
        </w:tc>
        <w:tc>
          <w:tcPr>
            <w:tcW w:type="dxa" w:w="1440"/>
            <w:shd w:fill="FFDCE0" w:val="clear"/>
          </w:tcPr>
          <w:p>
            <w:r>
              <w:rPr>
                <w:b/>
                <w:sz w:val="17"/>
              </w:rPr>
              <w:t>31,157</w:t>
            </w:r>
          </w:p>
        </w:tc>
        <w:tc>
          <w:tcPr>
            <w:tcW w:type="dxa" w:w="1440"/>
            <w:shd w:fill="FFDCE0" w:val="clear"/>
          </w:tcPr>
          <w:p>
            <w:r>
              <w:rPr>
                <w:sz w:val="17"/>
              </w:rPr>
              <w:t>36,469</w:t>
            </w:r>
          </w:p>
        </w:tc>
        <w:tc>
          <w:tcPr>
            <w:tcW w:type="dxa" w:w="1440"/>
            <w:shd w:fill="FFDCE0" w:val="clear"/>
          </w:tcPr>
          <w:p>
            <w:r>
              <w:rPr>
                <w:b/>
                <w:color w:val="C00000"/>
                <w:sz w:val="17"/>
              </w:rPr>
              <w:t>-3.8%</w:t>
            </w:r>
          </w:p>
        </w:tc>
      </w:tr>
      <w:tr>
        <w:tc>
          <w:tcPr>
            <w:tcW w:type="dxa" w:w="1440"/>
            <w:shd w:fill="FFDCE0" w:val="clear"/>
          </w:tcPr>
          <w:p>
            <w:r>
              <w:rPr>
                <w:sz w:val="17"/>
              </w:rPr>
              <w:t>J+10  ⭐</w:t>
            </w:r>
          </w:p>
        </w:tc>
        <w:tc>
          <w:tcPr>
            <w:tcW w:type="dxa" w:w="1440"/>
            <w:shd w:fill="FFDCE0" w:val="clear"/>
          </w:tcPr>
          <w:p>
            <w:r>
              <w:rPr>
                <w:sz w:val="17"/>
              </w:rPr>
              <w:t>2026-10-30</w:t>
            </w:r>
          </w:p>
        </w:tc>
        <w:tc>
          <w:tcPr>
            <w:tcW w:type="dxa" w:w="1440"/>
            <w:shd w:fill="FFDCE0" w:val="clear"/>
          </w:tcPr>
          <w:p>
            <w:r>
              <w:rPr>
                <w:sz w:val="17"/>
              </w:rPr>
              <w:t>25,515</w:t>
            </w:r>
          </w:p>
        </w:tc>
        <w:tc>
          <w:tcPr>
            <w:tcW w:type="dxa" w:w="1440"/>
            <w:shd w:fill="FFDCE0" w:val="clear"/>
          </w:tcPr>
          <w:p>
            <w:r>
              <w:rPr>
                <w:b/>
                <w:sz w:val="17"/>
              </w:rPr>
              <w:t>31,106</w:t>
            </w:r>
          </w:p>
        </w:tc>
        <w:tc>
          <w:tcPr>
            <w:tcW w:type="dxa" w:w="1440"/>
            <w:shd w:fill="FFDCE0" w:val="clear"/>
          </w:tcPr>
          <w:p>
            <w:r>
              <w:rPr>
                <w:sz w:val="17"/>
              </w:rPr>
              <w:t>36,696</w:t>
            </w:r>
          </w:p>
        </w:tc>
        <w:tc>
          <w:tcPr>
            <w:tcW w:type="dxa" w:w="1440"/>
            <w:shd w:fill="FFDCE0" w:val="clear"/>
          </w:tcPr>
          <w:p>
            <w:r>
              <w:rPr>
                <w:b/>
                <w:color w:val="C00000"/>
                <w:sz w:val="17"/>
              </w:rPr>
              <w:t>-4.0%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pPr>
      <w:r>
        <w:t># RAPPORT D'ANALYSE FINANCIÈRE — BICC (BICICI)</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540,00 Mds FCFA, BICC s'affirme comme l'une des valeurs bancaires de premier plan de la cote BRVM, témoignant d'une envergure institutionnelle significative. Le BPA de 2 191 FCFA/action indique le bénéfice net généré par chaque titre détenu, offrant un point d'ancrage concret à l'évaluation. Le PER de 14,8x se situe au-dessus de la moyenne BRVM (~8-12x), signalant que les investisseurs acceptent une prime pour la qualité des bénéfices, mais cette valorisation reste modérée au regard de la croissance affichée. Le P/B de 4,48x traduit une forte prime par rapport à la valeur comptable (capitaux propres de 120,57 Mds FCFA), reflétant la confiance du marché dans la rentabilité structurelle de la banque (ROE de 30,29%). Enfin, l'EV/EBITDA de 10,8x, dans la fourchette 10-15x, confirme une valorisation exigeante mais cohérente avec la capacité opérationnelle de l'établissement.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BICC affiche une progression totale remarquable de +17,82%, avec une dernière séance particulièrement dynamique (+4,21%), portant le cours à 32 400 FCFA. Le range de trading s'étend de 27 500 FCFA (plus bas) à 34 895 FCFA (plus haut), soit une amplitude de près de 27%, illustrant une tendance nettement haussière soutenue par la dynamique fondamentale. Les statistiques descriptives révèlent une moyenne de 29 774 FCFA légèrement supérieure à la médiane de 29 000 FCFA (elle-même égale au mode), confirmant une asymétrie positive cohérente avec le skewness de 0,987 — davantage de journées se sont négociées sous la moyenne, mais les pics haussiers tirent la distribution vers le haut. L'écart-type de 1 799 FCFA (CV de 6,0%) indique une dispersion modérée autour de la moyenne, tandis que le kurtosis de -0,144 (mésokurtique) suggère un comportement proche d'une distribution normale, sans risque excessif de pics extrêmes. La volatilité annualisée de 38,4% positionne le titre dans la catégorie des valeurs à volatilité élevée (&gt;30%), ce qui est caractéristique des petites et moyennes capitalisations boursières africaines et appelle à une gestion prudente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(31 865,75 FCFA) et la MM50 (31 059,20 FCFA) se situent toutes deux sous le cours actuel de 32 400 FCFA, configurant une structure haussière classique où le prix surplombe ses moyennes. La MM20 étant supérieure à la MM50, le croisement confirme un momentum positif de court terme, justifiant la décision d'**Achat**.</w:t>
      </w:r>
    </w:p>
    <w:p>
      <w:pPr>
        <w:spacing w:after="120" w:line="276" w:lineRule="auto"/>
      </w:pPr>
      <w:r>
        <w:t>**Bandes de Bollinger :** Le cours (32 400 FCFA) évolue dans la partie haute de la bande, entre la borne inférieure (29 620,88 FCFA) et la borne supérieure (34 110,62 FCFA), sans toutefois la franchir. Cette position centrale-haute traduit une volatilité contenue et une absence de signal de surachat extrême, d'où la décision **Neutre** qui invite à la patience.</w:t>
      </w:r>
    </w:p>
    <w:p>
      <w:pPr>
        <w:spacing w:after="120" w:line="276" w:lineRule="auto"/>
      </w:pPr>
      <w:r>
        <w:t>**MACD :** La valeur du MACD (127,92) est inférieure à son signal (242,99), générant une divergence baissière qui traduit un essoufflement du momentum haussier malgré la tendance de fond positive. Cette configuration justifie la décision de **Vente** à court terme, signalant une possible consolidation.</w:t>
      </w:r>
    </w:p>
    <w:p>
      <w:pPr>
        <w:spacing w:after="120" w:line="276" w:lineRule="auto"/>
      </w:pPr>
      <w:r>
        <w:t>**RSI :** À 51,43, le RSI se situe parfaitement dans la zone neutre (30-70), écartant tout scénario de surachat (&gt;70) ou de survente (&lt;30). Cette position médiane confirme l'équilibre actuel entre acheteurs et vendeurs, justifiant la décision **Neutre**.</w:t>
      </w:r>
    </w:p>
    <w:p>
      <w:pPr>
        <w:spacing w:after="120" w:line="276" w:lineRule="auto"/>
      </w:pPr>
      <w:r>
        <w:t>**Stochastique :** Le %K (34,43) est supérieur au %D (18,91), configuration haussière naissante suggérant un début de retournement positif depuis la zone de survente. Toutefois, les deux courbes restent en territoire bas, ce qui tempère la portée du signal et justifie la décision **Neutre**.</w:t>
      </w:r>
    </w:p>
    <w:p>
      <w:pPr>
        <w:spacing w:after="120" w:line="276" w:lineRule="auto"/>
      </w:pPr>
      <w:r>
        <w:t>**Conclusion technique :** Les indicateurs présentent une configuration mitigée : les moyennes mobiles confirment la tendance haussière de fond, mais le MACD signale un essoufflement du momentum et le RSI reste neutre. La divergence entre la structure haussière (MM) et le signal de vente (MACD) suggère une phase de consolidation probable avant une nouvelle impulsion. Le titre se trouve à un point d'inflexion technique nécessitant une confirmation par les volumes avant tout engagement agressif.</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BICC affiche un Produit Net Bancaire (équivalent du chiffre d'affaires bancaire) de 79,563 Mds FCFA, en croissance de 16,90% selon les données structurées, avec un résultat net de 36,520 Mds FCFA. La rentabilité est exceptionnelle : le ROE atteint 30,29% (largement supérieur au seuil de 15% d'excellence) et le ROA s'établit à 3,24%. Le coefficient d'exploitation de 50,83% — inférieur au seuil de 60% — témoigne d'une banque hautement efficace, tandis que la marge nette de 45,90% confirme une conversion remarquable du PNB en bénéfice. Le coût du risque rapporté aux charges financières ressort à -12,15%, niveau élevé signalant un risque de crédit significatif à surveiller. La structure bilancielle montre des dépôts clientèle de 952,872 Mds FCFA contre des créances clientèle de 524,439 Mds FCFA, soit un ratio de transformation de 55%, indiquant une collecte abondante par rapport aux crédits octroyés — source de liquidité mais aussi de pression sur les marges. L'autonomie financière de 10,71% reste faible (norme &gt;30%), reflet du modèle bancaire à fort levier, mais la solvabilité générale de 111,99% et la couverture des intérêts de 329,34% rassurent sur la solidité.</w:t>
      </w:r>
    </w:p>
    <w:p>
      <w:pPr>
        <w:spacing w:after="120" w:line="276" w:lineRule="auto"/>
      </w:pPr>
      <w:r>
        <w:t>**Estimations basées sur les rapports trimestriels :** Le rapport du **T1 2026** (publié en 2026) confirme l'accélération avec un PNB de 21,214 Mds FCFA (+17,01%) et un résultat net de 10,387 Mds FCFA (+29,66%), portant la marge nette à 49,0%. Le rapport **S1 2026** (publié en 2026) révèle un PNB de 42,637 Mds FCFA (+14,8%) et un résultat net de 19,948 Mds FCFA (+22,7%), mais signale une dégradation du coût du risque (+1 343,1%) à surveiller. Sur cette base, on estime que l'exercice 2026 devrait dépasser les 85 Mds FCFA de PNB avec un résultat net approchant 42-44 Mds FCFA, confirmant la trajectoire de croissance à deux chiffres. Les rapports antérieurs (**T3 2025**, **S1 2025**, **T1 2025**) montrent une progression continue de la marge nette (de 44,2% au T1 2025 à 49,0% au T1 2026), validant la thèse d'une excellence opérationnelle durable. **Recommandation fondamentale :** solidité financière avérée, croissance soutenue, rentabilité exceptionnelle, avec un point de vigilance sur le coût du risque et la faible autonomie financière structurelle.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d'investissement cohérent mais nuancé. **Sur la valorisation**, le PER de 14,8x et le P/B de 4,48x indiquent une valorisation exigeante, voire une légère surévaluation par rapport aux standards BRVM, mais justifiée par un ROE de 30,29% et une croissance à deux chiffres. **Le comportement du cours** est favorable (+17,82% sur 100 jours), avec une volatilité élevée (38,4%) et une asymétrie positive (skewness 0,987) qui traduit un biais haussier, sans risque excessif de pics extrêmes (kurtosis -0,144). **Les signaux techniques** sont mitigés : les moyennes mobiles confirment la tendance haussière, mais le MACD baissier et le RSI neutre suggèrent une consolidation imminente, plaidant pour la patience. **Les fondamentaux** demeurent le pilier le plus solide : PNB 2025 de 79,563 Mds FCFA, résultat net de 36,520 Mds FCFA, ROE de 30,29%, avec des rapports T1 et S1 2026 confirmant l'accélération (marge nette à 49,0%). **Les prédictions IA** (J+1 à J+10) anticipent une légère correction vers 31 378-31 612 FCFA, en phase avec le signal MACD baissier et la consolidation technique attendue. Face à cette convergence entre fondamentaux exceptionnels et signaux techniques de court terme prudents, la recommandation finale est **ACHAT**, avec un niveau de confiance **Moyen** et un risque global **Moyen** (volatilité élevée, coût du risque en hausse). L'horizon optimal est le **moyen terme (3-12 mois)**, le temps que la consolidation technique s'achève et que la dynamique fondamentale — portée par la croissance du PNB et l'amélioration continue de la marge nette — se matérialise pleinement dans le cours. Les investisseurs pourraient envisager des points d'entrée sur repli vers 31 000-31 500 FCFA, niveaux cohérents avec les prédictions IA et la borne médiane des Bandes de Bollinger.</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BICICI affiche une croissance solide de ses r\u00e9sultats et une am\u00e9lioration de son efficacit\u00e9 op\u00e9rationnelle, avec un R\u00e9sultat Net en hausse de 22,7%. La dynamique commerciale soutenue et la ma\u00eetrise des charges renforcent la confiance dans la poursuite de cette performance."}</w:t>
      </w:r>
    </w:p>
    <w:p>
      <w:pPr>
        <w:spacing w:before="40"/>
        <w:ind w:left="400"/>
      </w:pPr>
      <w:r>
        <w:rPr>
          <w:sz w:val="18"/>
        </w:rPr>
        <w:t>Au premier semestre 2026, la BICICI affiche une performance opérationnelle et financière en nette amélioration malgré un environnement international incertain et des conditions financières contraignantes. Le Produit Net Bancaire progresse de 14,8% à 42 637 MXOF, porté par la marge d'intermédiation (+18,0%) et les commissions nettes (+17,0%). Les frais de gestion reculent de 2,2% à 18 932 MXOF, ce qui permet au Résultat Brut d'Exploitation de bondir de 33,2% à 23 705 MXOF. Le Résultat Net s'établit à 19 948 MXOF, en hausse de 22,7% par rapport au premier semestre 2025. Les encours de crédits et les dépôts de la clientèle progressent respectivement de 4,1% et 6,4%, confirmant la dynamique comm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'-1 778 MXOF', 'depots_clientele': '1 007 993 MXOF', 'frais_de_gestion': '18 932 MXOF', 'produit_net_bancaire': '42 637 MXOF', 'credits_nets_clientele': '533 422 MXOF', 'resultat_brut_exploitation': '23 705 MXOF', 'resultat_courant_avant_impot': '21 810 MXOF'}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19 948 MXOF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14,8% à 42 637 MXOF au S1 2026.</w:t>
      </w:r>
    </w:p>
    <w:p>
      <w:pPr>
        <w:pStyle w:val="ListBullet"/>
        <w:spacing w:before="20" w:after="20"/>
        <w:ind w:left="700"/>
      </w:pPr>
      <w:r>
        <w:rPr>
          <w:sz w:val="18"/>
        </w:rPr>
        <w:t>Marge d'intermédiation en progression de 18,0% et commissions nettes en hausse de 17,0%.</w:t>
      </w:r>
    </w:p>
    <w:p>
      <w:pPr>
        <w:pStyle w:val="ListBullet"/>
        <w:spacing w:before="20" w:after="20"/>
        <w:ind w:left="700"/>
      </w:pPr>
      <w:r>
        <w:rPr>
          <w:sz w:val="18"/>
        </w:rPr>
        <w:t>Frais de gestion en baisse de 2,2% à 18 932 MXOF, traduisant une bonne maîtrise des charges.</w:t>
      </w:r>
    </w:p>
    <w:p>
      <w:pPr>
        <w:pStyle w:val="ListBullet"/>
        <w:spacing w:before="20" w:after="20"/>
        <w:ind w:left="700"/>
      </w:pPr>
      <w:r>
        <w:rPr>
          <w:sz w:val="18"/>
        </w:rPr>
        <w:t>Résultat Brut d'Exploitation en forte croissance de 33,2% à 23 705 MXOF.</w:t>
      </w:r>
    </w:p>
    <w:p>
      <w:pPr>
        <w:pStyle w:val="ListBullet"/>
        <w:spacing w:before="20" w:after="20"/>
        <w:ind w:left="700"/>
      </w:pPr>
      <w:r>
        <w:rPr>
          <w:sz w:val="18"/>
        </w:rPr>
        <w:t>Résultat Net bénéficiaire de 19 948 MXOF, en progression de 22,7% sur un an.</w:t>
      </w:r>
    </w:p>
    <w:p>
      <w:pPr>
        <w:pStyle w:val="ListBullet"/>
        <w:spacing w:before="20" w:after="20"/>
        <w:ind w:left="700"/>
      </w:pPr>
      <w:r>
        <w:rPr>
          <w:sz w:val="18"/>
        </w:rPr>
        <w:t>Crédits nets à la clientèle en hausse de 4,1% à 533 422 MXOF.</w:t>
      </w:r>
    </w:p>
    <w:p>
      <w:pPr>
        <w:spacing w:before="40"/>
        <w:ind w:left="400"/>
      </w:pPr>
      <w:r>
        <w:rPr>
          <w:b/>
          <w:color w:val="C05000"/>
          <w:sz w:val="18"/>
        </w:rPr>
        <w:t xml:space="preserve">⚠️ Risques : </w:t>
      </w:r>
      <w:r>
        <w:rPr>
          <w:sz w:val="18"/>
        </w:rPr>
        <w:t xml:space="preserve">["D\u00e9gradation de l'environnement \u00e9conomique international et tensions g\u00e9opolitiques persistantes.", "Hausse significative du co\u00fbt du risque (+1 343,1%) pouvant impacter la qualit\u00e9 du portefeuille de cr\u00e9dits.", "Renforcement des exigences r\u00e9glementaires et pression </w:t>
      </w:r>
    </w:p>
    <w:p>
      <w:pPr>
        <w:spacing w:before="40"/>
        <w:ind w:left="400"/>
      </w:pPr>
      <w:r>
        <w:rPr>
          <w:b/>
          <w:color w:val="0064A0"/>
          <w:sz w:val="18"/>
        </w:rPr>
        <w:t xml:space="preserve">🔮 Perspectives : </w:t>
      </w:r>
      <w:r>
        <w:rPr>
          <w:sz w:val="18"/>
        </w:rPr>
        <w:t>Au second semestre 2026, la BICICI entend poursuivre sa dynamique de croissance et consolider ses niveaux de performance et de rentabilité. La banque veillera à la maîtrise des principaux facteurs de risque, notamment le coût du risque, tout en capitalisant sur la digitalisation et l'évolution des 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
      <w:r>
        <w:t>════════════════════════════════════════════════════════════════════════════════</w:t>
      </w:r>
    </w:p>
    <w:p>
      <w:r>
        <w:br w:type="page"/>
      </w:r>
    </w:p>
    <w:p>
      <w:pPr>
        <w:pStyle w:val="Heading2"/>
        <w:spacing w:before="360"/>
      </w:pPr>
      <w:r>
        <w:rPr>
          <w:color w:val="0066CC"/>
        </w:rPr>
        <w:t>5.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11.96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2,878 titres</w:t>
            </w:r>
          </w:p>
        </w:tc>
        <w:tc>
          <w:tcPr>
            <w:tcW w:type="dxa" w:w="2268"/>
            <w:shd w:fill="FFF2CC" w:val="clear"/>
          </w:tcPr>
          <w:p>
            <w:r>
              <w:rPr>
                <w:b/>
                <w:color w:val="503200"/>
                <w:sz w:val="16"/>
              </w:rPr>
              <w:t xml:space="preserve">Cours actuel : </w:t>
            </w:r>
            <w:r>
              <w:rPr>
                <w:color w:val="000000"/>
                <w:sz w:val="17"/>
              </w:rPr>
              <w:t>1,805 FCFA</w:t>
            </w:r>
          </w:p>
          <w:p>
            <w:r>
              <w:rPr>
                <w:b/>
                <w:color w:val="503200"/>
                <w:sz w:val="16"/>
              </w:rPr>
              <w:t xml:space="preserve">Var. 100 jours : </w:t>
            </w:r>
            <w:r>
              <w:rPr>
                <w:b/>
                <w:color w:val="007800"/>
                <w:sz w:val="17"/>
              </w:rPr>
              <w:t>+20.74%</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1,495 FCFA</w:t>
            </w:r>
          </w:p>
          <w:p>
            <w:r>
              <w:rPr>
                <w:b/>
                <w:color w:val="503200"/>
                <w:sz w:val="16"/>
              </w:rPr>
              <w:t xml:space="preserve">Volatilité ann. : </w:t>
            </w:r>
            <w:r>
              <w:rPr>
                <w:color w:val="000000"/>
                <w:sz w:val="17"/>
              </w:rPr>
              <w:t>52.5%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8.39% (Moyenne) — μ=1,943 FCFA, σ=163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β=0.6058 (Défensif) — Cov=0.000046, Var(idx)=0.000076, ρ=0.159,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2,878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σ_j=3.31%/j (Modérée) — Vol. annualisée≈52.5%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1,689</w:t>
            </w:r>
          </w:p>
        </w:tc>
        <w:tc>
          <w:tcPr>
            <w:tcW w:type="dxa" w:w="1440"/>
            <w:shd w:fill="FAFAFA" w:val="clear"/>
          </w:tcPr>
          <w:p>
            <w:r>
              <w:rPr>
                <w:b/>
                <w:sz w:val="17"/>
              </w:rPr>
              <w:t>1,796</w:t>
            </w:r>
          </w:p>
        </w:tc>
        <w:tc>
          <w:tcPr>
            <w:tcW w:type="dxa" w:w="1440"/>
            <w:shd w:fill="FAFAFA" w:val="clear"/>
          </w:tcPr>
          <w:p>
            <w:r>
              <w:rPr>
                <w:sz w:val="17"/>
              </w:rPr>
              <w:t>1,902</w:t>
            </w:r>
          </w:p>
        </w:tc>
        <w:tc>
          <w:tcPr>
            <w:tcW w:type="dxa" w:w="1440"/>
            <w:shd w:fill="FAFAFA" w:val="clear"/>
          </w:tcPr>
          <w:p>
            <w:r>
              <w:rPr>
                <w:b/>
                <w:color w:val="C00000"/>
                <w:sz w:val="17"/>
              </w:rPr>
              <w:t>-0.5%</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1,650</w:t>
            </w:r>
          </w:p>
        </w:tc>
        <w:tc>
          <w:tcPr>
            <w:tcW w:type="dxa" w:w="1440"/>
            <w:shd w:fill="FAFAFA" w:val="clear"/>
          </w:tcPr>
          <w:p>
            <w:r>
              <w:rPr>
                <w:b/>
                <w:sz w:val="17"/>
              </w:rPr>
              <w:t>1,801</w:t>
            </w:r>
          </w:p>
        </w:tc>
        <w:tc>
          <w:tcPr>
            <w:tcW w:type="dxa" w:w="1440"/>
            <w:shd w:fill="FAFAFA" w:val="clear"/>
          </w:tcPr>
          <w:p>
            <w:r>
              <w:rPr>
                <w:sz w:val="17"/>
              </w:rPr>
              <w:t>1,952</w:t>
            </w:r>
          </w:p>
        </w:tc>
        <w:tc>
          <w:tcPr>
            <w:tcW w:type="dxa" w:w="1440"/>
            <w:shd w:fill="FAFAFA" w:val="clear"/>
          </w:tcPr>
          <w:p>
            <w:r>
              <w:rPr>
                <w:b/>
                <w:color w:val="C00000"/>
                <w:sz w:val="17"/>
              </w:rPr>
              <w:t>-0.2%</w:t>
            </w:r>
          </w:p>
        </w:tc>
      </w:tr>
      <w:tr>
        <w:tc>
          <w:tcPr>
            <w:tcW w:type="dxa" w:w="1440"/>
            <w:shd w:fill="FAFAFA" w:val="clear"/>
          </w:tcPr>
          <w:p>
            <w:r>
              <w:rPr>
                <w:sz w:val="17"/>
              </w:rPr>
              <w:t>J+3  Moyenne</w:t>
            </w:r>
          </w:p>
        </w:tc>
        <w:tc>
          <w:tcPr>
            <w:tcW w:type="dxa" w:w="1440"/>
            <w:shd w:fill="FAFAFA" w:val="clear"/>
          </w:tcPr>
          <w:p>
            <w:r>
              <w:rPr>
                <w:sz w:val="17"/>
              </w:rPr>
              <w:t>2026-10-21</w:t>
            </w:r>
          </w:p>
        </w:tc>
        <w:tc>
          <w:tcPr>
            <w:tcW w:type="dxa" w:w="1440"/>
            <w:shd w:fill="FAFAFA" w:val="clear"/>
          </w:tcPr>
          <w:p>
            <w:r>
              <w:rPr>
                <w:sz w:val="17"/>
              </w:rPr>
              <w:t>1,619</w:t>
            </w:r>
          </w:p>
        </w:tc>
        <w:tc>
          <w:tcPr>
            <w:tcW w:type="dxa" w:w="1440"/>
            <w:shd w:fill="FAFAFA" w:val="clear"/>
          </w:tcPr>
          <w:p>
            <w:r>
              <w:rPr>
                <w:b/>
                <w:sz w:val="17"/>
              </w:rPr>
              <w:t>1,804</w:t>
            </w:r>
          </w:p>
        </w:tc>
        <w:tc>
          <w:tcPr>
            <w:tcW w:type="dxa" w:w="1440"/>
            <w:shd w:fill="FAFAFA" w:val="clear"/>
          </w:tcPr>
          <w:p>
            <w:r>
              <w:rPr>
                <w:sz w:val="17"/>
              </w:rPr>
              <w:t>1,990</w:t>
            </w:r>
          </w:p>
        </w:tc>
        <w:tc>
          <w:tcPr>
            <w:tcW w:type="dxa" w:w="1440"/>
            <w:shd w:fill="FAFAFA" w:val="clear"/>
          </w:tcPr>
          <w:p>
            <w:r>
              <w:rPr>
                <w:b/>
                <w:color w:val="C00000"/>
                <w:sz w:val="17"/>
              </w:rPr>
              <w:t>-0.0%</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1,592</w:t>
            </w:r>
          </w:p>
        </w:tc>
        <w:tc>
          <w:tcPr>
            <w:tcW w:type="dxa" w:w="1440"/>
            <w:shd w:fill="FAFAFA" w:val="clear"/>
          </w:tcPr>
          <w:p>
            <w:r>
              <w:rPr>
                <w:b/>
                <w:sz w:val="17"/>
              </w:rPr>
              <w:t>1,806</w:t>
            </w:r>
          </w:p>
        </w:tc>
        <w:tc>
          <w:tcPr>
            <w:tcW w:type="dxa" w:w="1440"/>
            <w:shd w:fill="FAFAFA" w:val="clear"/>
          </w:tcPr>
          <w:p>
            <w:r>
              <w:rPr>
                <w:sz w:val="17"/>
              </w:rPr>
              <w:t>2,020</w:t>
            </w:r>
          </w:p>
        </w:tc>
        <w:tc>
          <w:tcPr>
            <w:tcW w:type="dxa" w:w="1440"/>
            <w:shd w:fill="FAFAFA" w:val="clear"/>
          </w:tcPr>
          <w:p>
            <w:r>
              <w:rPr>
                <w:b/>
                <w:color w:val="008000"/>
                <w:sz w:val="17"/>
              </w:rPr>
              <w:t>+0.1%</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1,568</w:t>
            </w:r>
          </w:p>
        </w:tc>
        <w:tc>
          <w:tcPr>
            <w:tcW w:type="dxa" w:w="1440"/>
            <w:shd w:fill="FAFAFA" w:val="clear"/>
          </w:tcPr>
          <w:p>
            <w:r>
              <w:rPr>
                <w:b/>
                <w:sz w:val="17"/>
              </w:rPr>
              <w:t>1,807</w:t>
            </w:r>
          </w:p>
        </w:tc>
        <w:tc>
          <w:tcPr>
            <w:tcW w:type="dxa" w:w="1440"/>
            <w:shd w:fill="FAFAFA" w:val="clear"/>
          </w:tcPr>
          <w:p>
            <w:r>
              <w:rPr>
                <w:sz w:val="17"/>
              </w:rPr>
              <w:t>2,047</w:t>
            </w:r>
          </w:p>
        </w:tc>
        <w:tc>
          <w:tcPr>
            <w:tcW w:type="dxa" w:w="1440"/>
            <w:shd w:fill="FAFAFA" w:val="clear"/>
          </w:tcPr>
          <w:p>
            <w:r>
              <w:rPr>
                <w:b/>
                <w:color w:val="008000"/>
                <w:sz w:val="17"/>
              </w:rPr>
              <w:t>+0.1%</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1,546</w:t>
            </w:r>
          </w:p>
        </w:tc>
        <w:tc>
          <w:tcPr>
            <w:tcW w:type="dxa" w:w="1440"/>
            <w:shd w:fill="FAFAFA" w:val="clear"/>
          </w:tcPr>
          <w:p>
            <w:r>
              <w:rPr>
                <w:b/>
                <w:sz w:val="17"/>
              </w:rPr>
              <w:t>1,809</w:t>
            </w:r>
          </w:p>
        </w:tc>
        <w:tc>
          <w:tcPr>
            <w:tcW w:type="dxa" w:w="1440"/>
            <w:shd w:fill="FAFAFA" w:val="clear"/>
          </w:tcPr>
          <w:p>
            <w:r>
              <w:rPr>
                <w:sz w:val="17"/>
              </w:rPr>
              <w:t>2,071</w:t>
            </w:r>
          </w:p>
        </w:tc>
        <w:tc>
          <w:tcPr>
            <w:tcW w:type="dxa" w:w="1440"/>
            <w:shd w:fill="FAFAFA" w:val="clear"/>
          </w:tcPr>
          <w:p>
            <w:r>
              <w:rPr>
                <w:b/>
                <w:color w:val="008000"/>
                <w:sz w:val="17"/>
              </w:rPr>
              <w:t>+0.2%</w:t>
            </w:r>
          </w:p>
        </w:tc>
      </w:tr>
      <w:tr>
        <w:tc>
          <w:tcPr>
            <w:tcW w:type="dxa" w:w="1440"/>
            <w:shd w:fill="FAFAFA" w:val="clear"/>
          </w:tcPr>
          <w:p>
            <w:r>
              <w:rPr>
                <w:sz w:val="17"/>
              </w:rPr>
              <w:t>J+7  ⭐</w:t>
            </w:r>
          </w:p>
        </w:tc>
        <w:tc>
          <w:tcPr>
            <w:tcW w:type="dxa" w:w="1440"/>
            <w:shd w:fill="FAFAFA" w:val="clear"/>
          </w:tcPr>
          <w:p>
            <w:r>
              <w:rPr>
                <w:sz w:val="17"/>
              </w:rPr>
              <w:t>2026-10-27</w:t>
            </w:r>
          </w:p>
        </w:tc>
        <w:tc>
          <w:tcPr>
            <w:tcW w:type="dxa" w:w="1440"/>
            <w:shd w:fill="FAFAFA" w:val="clear"/>
          </w:tcPr>
          <w:p>
            <w:r>
              <w:rPr>
                <w:sz w:val="17"/>
              </w:rPr>
              <w:t>1,526</w:t>
            </w:r>
          </w:p>
        </w:tc>
        <w:tc>
          <w:tcPr>
            <w:tcW w:type="dxa" w:w="1440"/>
            <w:shd w:fill="FAFAFA" w:val="clear"/>
          </w:tcPr>
          <w:p>
            <w:r>
              <w:rPr>
                <w:b/>
                <w:sz w:val="17"/>
              </w:rPr>
              <w:t>1,810</w:t>
            </w:r>
          </w:p>
        </w:tc>
        <w:tc>
          <w:tcPr>
            <w:tcW w:type="dxa" w:w="1440"/>
            <w:shd w:fill="FAFAFA" w:val="clear"/>
          </w:tcPr>
          <w:p>
            <w:r>
              <w:rPr>
                <w:sz w:val="17"/>
              </w:rPr>
              <w:t>2,093</w:t>
            </w:r>
          </w:p>
        </w:tc>
        <w:tc>
          <w:tcPr>
            <w:tcW w:type="dxa" w:w="1440"/>
            <w:shd w:fill="FAFAFA" w:val="clear"/>
          </w:tcPr>
          <w:p>
            <w:r>
              <w:rPr>
                <w:b/>
                <w:color w:val="008000"/>
                <w:sz w:val="17"/>
              </w:rPr>
              <w:t>+0.3%</w:t>
            </w:r>
          </w:p>
        </w:tc>
      </w:tr>
      <w:tr>
        <w:tc>
          <w:tcPr>
            <w:tcW w:type="dxa" w:w="1440"/>
            <w:shd w:fill="FAFAFA" w:val="clear"/>
          </w:tcPr>
          <w:p>
            <w:r>
              <w:rPr>
                <w:sz w:val="17"/>
              </w:rPr>
              <w:t>J+8  ⭐</w:t>
            </w:r>
          </w:p>
        </w:tc>
        <w:tc>
          <w:tcPr>
            <w:tcW w:type="dxa" w:w="1440"/>
            <w:shd w:fill="FAFAFA" w:val="clear"/>
          </w:tcPr>
          <w:p>
            <w:r>
              <w:rPr>
                <w:sz w:val="17"/>
              </w:rPr>
              <w:t>2026-10-28</w:t>
            </w:r>
          </w:p>
        </w:tc>
        <w:tc>
          <w:tcPr>
            <w:tcW w:type="dxa" w:w="1440"/>
            <w:shd w:fill="FAFAFA" w:val="clear"/>
          </w:tcPr>
          <w:p>
            <w:r>
              <w:rPr>
                <w:sz w:val="17"/>
              </w:rPr>
              <w:t>1,507</w:t>
            </w:r>
          </w:p>
        </w:tc>
        <w:tc>
          <w:tcPr>
            <w:tcW w:type="dxa" w:w="1440"/>
            <w:shd w:fill="FAFAFA" w:val="clear"/>
          </w:tcPr>
          <w:p>
            <w:r>
              <w:rPr>
                <w:b/>
                <w:sz w:val="17"/>
              </w:rPr>
              <w:t>1,810</w:t>
            </w:r>
          </w:p>
        </w:tc>
        <w:tc>
          <w:tcPr>
            <w:tcW w:type="dxa" w:w="1440"/>
            <w:shd w:fill="FAFAFA" w:val="clear"/>
          </w:tcPr>
          <w:p>
            <w:r>
              <w:rPr>
                <w:sz w:val="17"/>
              </w:rPr>
              <w:t>2,114</w:t>
            </w:r>
          </w:p>
        </w:tc>
        <w:tc>
          <w:tcPr>
            <w:tcW w:type="dxa" w:w="1440"/>
            <w:shd w:fill="FAFAFA" w:val="clear"/>
          </w:tcPr>
          <w:p>
            <w:r>
              <w:rPr>
                <w:b/>
                <w:color w:val="008000"/>
                <w:sz w:val="17"/>
              </w:rPr>
              <w:t>+0.3%</w:t>
            </w:r>
          </w:p>
        </w:tc>
      </w:tr>
      <w:tr>
        <w:tc>
          <w:tcPr>
            <w:tcW w:type="dxa" w:w="1440"/>
            <w:shd w:fill="FAFAFA" w:val="clear"/>
          </w:tcPr>
          <w:p>
            <w:r>
              <w:rPr>
                <w:sz w:val="17"/>
              </w:rPr>
              <w:t>J+9  ⭐</w:t>
            </w:r>
          </w:p>
        </w:tc>
        <w:tc>
          <w:tcPr>
            <w:tcW w:type="dxa" w:w="1440"/>
            <w:shd w:fill="FAFAFA" w:val="clear"/>
          </w:tcPr>
          <w:p>
            <w:r>
              <w:rPr>
                <w:sz w:val="17"/>
              </w:rPr>
              <w:t>2026-10-29</w:t>
            </w:r>
          </w:p>
        </w:tc>
        <w:tc>
          <w:tcPr>
            <w:tcW w:type="dxa" w:w="1440"/>
            <w:shd w:fill="FAFAFA" w:val="clear"/>
          </w:tcPr>
          <w:p>
            <w:r>
              <w:rPr>
                <w:sz w:val="17"/>
              </w:rPr>
              <w:t>1,489</w:t>
            </w:r>
          </w:p>
        </w:tc>
        <w:tc>
          <w:tcPr>
            <w:tcW w:type="dxa" w:w="1440"/>
            <w:shd w:fill="FAFAFA" w:val="clear"/>
          </w:tcPr>
          <w:p>
            <w:r>
              <w:rPr>
                <w:b/>
                <w:sz w:val="17"/>
              </w:rPr>
              <w:t>1,811</w:t>
            </w:r>
          </w:p>
        </w:tc>
        <w:tc>
          <w:tcPr>
            <w:tcW w:type="dxa" w:w="1440"/>
            <w:shd w:fill="FAFAFA" w:val="clear"/>
          </w:tcPr>
          <w:p>
            <w:r>
              <w:rPr>
                <w:sz w:val="17"/>
              </w:rPr>
              <w:t>2,133</w:t>
            </w:r>
          </w:p>
        </w:tc>
        <w:tc>
          <w:tcPr>
            <w:tcW w:type="dxa" w:w="1440"/>
            <w:shd w:fill="FAFAFA" w:val="clear"/>
          </w:tcPr>
          <w:p>
            <w:r>
              <w:rPr>
                <w:b/>
                <w:color w:val="008000"/>
                <w:sz w:val="17"/>
              </w:rPr>
              <w:t>+0.3%</w:t>
            </w:r>
          </w:p>
        </w:tc>
      </w:tr>
      <w:tr>
        <w:tc>
          <w:tcPr>
            <w:tcW w:type="dxa" w:w="1440"/>
            <w:shd w:fill="FAFAFA" w:val="clear"/>
          </w:tcPr>
          <w:p>
            <w:r>
              <w:rPr>
                <w:sz w:val="17"/>
              </w:rPr>
              <w:t>J+10  ⭐</w:t>
            </w:r>
          </w:p>
        </w:tc>
        <w:tc>
          <w:tcPr>
            <w:tcW w:type="dxa" w:w="1440"/>
            <w:shd w:fill="FAFAFA" w:val="clear"/>
          </w:tcPr>
          <w:p>
            <w:r>
              <w:rPr>
                <w:sz w:val="17"/>
              </w:rPr>
              <w:t>2026-10-30</w:t>
            </w:r>
          </w:p>
        </w:tc>
        <w:tc>
          <w:tcPr>
            <w:tcW w:type="dxa" w:w="1440"/>
            <w:shd w:fill="FAFAFA" w:val="clear"/>
          </w:tcPr>
          <w:p>
            <w:r>
              <w:rPr>
                <w:sz w:val="17"/>
              </w:rPr>
              <w:t>1,472</w:t>
            </w:r>
          </w:p>
        </w:tc>
        <w:tc>
          <w:tcPr>
            <w:tcW w:type="dxa" w:w="1440"/>
            <w:shd w:fill="FAFAFA" w:val="clear"/>
          </w:tcPr>
          <w:p>
            <w:r>
              <w:rPr>
                <w:b/>
                <w:sz w:val="17"/>
              </w:rPr>
              <w:t>1,812</w:t>
            </w:r>
          </w:p>
        </w:tc>
        <w:tc>
          <w:tcPr>
            <w:tcW w:type="dxa" w:w="1440"/>
            <w:shd w:fill="FAFAFA" w:val="clear"/>
          </w:tcPr>
          <w:p>
            <w:r>
              <w:rPr>
                <w:sz w:val="17"/>
              </w:rPr>
              <w:t>2,152</w:t>
            </w:r>
          </w:p>
        </w:tc>
        <w:tc>
          <w:tcPr>
            <w:tcW w:type="dxa" w:w="1440"/>
            <w:shd w:fill="FAFAFA" w:val="clear"/>
          </w:tcPr>
          <w:p>
            <w:r>
              <w:rPr>
                <w:b/>
                <w:color w:val="008000"/>
                <w:sz w:val="17"/>
              </w:rPr>
              <w:t>+0.4%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 📊 RAPPORT D'ANALYSE FINANCIÈRE — BNBC (BERNABE Côte d'Ivoire)</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BNBC s'établit à **11,96 milliards FCFA**, un niveau modeste à l'échelle de la BRVM qui la situe parmi les petites capitalisations du marché. Le BPA de **3 FCFA/action** traduit une rentabilité par titre quasi-symbolique, cohérente avec un résultat net 2025 de seulement 22,3 millions FCFA. Le PER de **535,7x** est extrêmement élevé — très loin du PER moyen BRVM (~8-12x) — et signale que les investisseurs paient le titre à un multiple déraisonnable par rapport aux bénéfices générés, ce qui traduit une anticipation spéculative ou une anomalie de marché plutôt qu'une valorisation fondamentale. À l'inverse, le P/B de **0,67x** (&lt; 1) indique que le marché valorise l'action **sous sa valeur comptable** (capitaux propres de 17,77 Mds FCFA), ce qui constitue une opportunité potentielle en cas de redressement des marges. Enfin, l'EV/EBITDA de **23,6x** (&gt; 15x) demeure très exigeant et confirme que la valeur d'entreprise intègre une prime de croissance non encore démontrée par les résultats opérationnels.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BNBC affiche une **variation totale de +20,74%**, avec une dernière séance en hausse de **+1,69%**, portant le cours actuel à **1 805 FCFA** pour une capitalisation de 11,96 Mds FCFA. Le range de trading est large, entre un plus bas de **1 495 FCFA** et un plus haut de **2 400 FCFA**, soit une amplitude de plus de 60% qui témoigne d'une forte agitation du titre. La tendance générale est **haussière sur la période** mais le cours actuel se situe en deçà de sa moyenne (1 943 FCFA), suggérant une correction récente après le pic. Les statistiques descriptives révèlent une distribution quasi-symétrique : la moyenne (1 943 FCFA) et la médiane (1 962 FCFA) sont proches, avec un mode à 1 990 FCFA, et le skewness de **0,080** confirme cette symétrie. L'écart-type de **164 FCFA** pour un coefficient de variation de **8,4%** indique une dispersion modérée autour de la moyenne, tandis que le kurtosis de **0,692** (mésokurtique) suggère un comportement proche d'une distribution normale, sans risque excessif de pics extrêmes. La **volatilité annualisée de 52,5%** classe toutefois le titre dans la catégorie **élevée** (&gt; 30%), ce qui impose une gestion prudente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(1 897,5 FCFA) et la MM50 (2 018,3 FCFA) se situent toutes deux **au-dessus du cours actuel** (1 805 FCFA), et la MM20 est inférieure à la MM50, configuration baissière caractéristique d'un croisement négatif. Le cours évoluant sous ses deux moyennes, la décision technique est **Vente**, confirmant la pression vendeuse de court terme.</w:t>
      </w:r>
    </w:p>
    <w:p>
      <w:pPr>
        <w:spacing w:after="120" w:line="276" w:lineRule="auto"/>
      </w:pPr>
      <w:r>
        <w:t>**Bandes de Bollinger** : Le cours (1 805 FCFA) se situe dans la moitié basse de la bande, entre la borne inférieure (1 750,3 FCFA) et la borne supérieure (2 044,7 FCFA), sans en toucher les extrêmes. Cette position centrale-basse traduit une **volatilité contenue** et l'absence de signal directionnel fort, justifiant la décision **Neutre** — le titre n'est ni en survente extrême ni en surachat.</w:t>
      </w:r>
    </w:p>
    <w:p>
      <w:pPr>
        <w:spacing w:after="120" w:line="276" w:lineRule="auto"/>
      </w:pPr>
      <w:r>
        <w:t>**MACD** : La valeur du MACD (**-63,515**) est inférieure à sa ligne de signal (**-53,872**), avec un histogramme négatif qui traduit un **momentum baissier persistant**. La divergence négative entre les deux courbes confirme la décision **Vente**, bien que l'ampleur reste modérée.</w:t>
      </w:r>
    </w:p>
    <w:p>
      <w:pPr>
        <w:spacing w:after="120" w:line="276" w:lineRule="auto"/>
      </w:pPr>
      <w:r>
        <w:t>**RSI** : À **36,601**, le RSI se situe dans la zone neutre basse (30-70), sans atteindre le seuil de survente (&lt; 30). La décision est **Neutre** : le titre n'est pas encore survendu mais la pression baissière domine, laissant une marge de baisse avant un éventuel rebond technique.</w:t>
      </w:r>
    </w:p>
    <w:p>
      <w:pPr>
        <w:spacing w:after="120" w:line="276" w:lineRule="auto"/>
      </w:pPr>
      <w:r>
        <w:t>**Stochastique** : Le %K (**13,636**) est supérieur au %D (**4,545**), avec les deux indicateurs en **zone de survente** (&lt; 20). Ce croisement haussier en zone extrême génère une décision **Achat**, signalant un possible rebond à court terme après la correction.</w:t>
      </w:r>
    </w:p>
    <w:p>
      <w:pPr>
        <w:spacing w:after="120" w:line="276" w:lineRule="auto"/>
      </w:pPr>
      <w:r>
        <w:t>**Conclusion technique** : Les indicateurs sont **majoritairement baissiers** (MM, MACD) mais le Stochastique en survente extrême et le RSI proche de la zone basse suggèrent un **potentiel de rebond technique**. La divergence entre signaux de vente (tendance) et d'achat (survente) plaide pour une posture attentiste : le titre pourrait stabiliser autour de 1 800 FCFA avant de reprendre une direction, la confirmation du rebond dépendant d'un franchissement de la MM20 (1 897 FCFA).</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BNBC affiche un chiffre d'affaires de **42,454 Mds FCFA**, en **recul de 6,31%** par rapport à 2024 (45,312 Mds FCFA), signalant une contraction commerciale préoccupante. Le résultat net s'établit à **22,318 M FCFA** (contre 7,313 M en 2024), soit une amélioration en valeur absolue mais une **marge nette quasi-nulle de 0,0526%** et un **ROE de 0,1256%** — très loin du seuil de 15% considéré comme excellent. Le ROA de **0,0454%** confirme l'absence de rentabilité économique. Sur le plan de la structure (secteur ENTREPRISE), le **BFR de 29,373 Mds FCFA** est massif et le **délai clients de 104,40 jours** constitue un risque de trésorerie majeur, tandis que la **durée de stockage de 339,23 jours** immobilise un capital considérable. La trésorerie nette est **fortement négative à -16,689 Mds FCFA**, et le ratio d'endettement atteint **105,48%** (dettes totales/capitaux propres), avec une capacité de remboursement de 19,17 années — situation de liquidité critique.</w:t>
      </w:r>
    </w:p>
    <w:p>
      <w:pPr>
        <w:spacing w:after="120" w:line="276" w:lineRule="auto"/>
      </w:pPr>
      <w:r>
        <w:t>**Estimations basées sur les rapports trimestriels** : Le rapport du **T1 2026 (publié en 2026)** indique un CA stable à 11,194 Mds FCFA (-0,12%) mais un **résultat net négatif de -65,566 M FCFA** (contre +16,147 M au T1 2025), soit une dégradation de -506% liée à l'intégration de la division Équipement en phase de démarrage. On estime donc que l'exercice 2026 pourrait renouer avec une **perte nette**, compromettant l'amélioration de 2025. Les rapports antérieurs confirment la volatilité : le **S1 2025 (30/06/2025)** affichait une perte de -139,57 M FCFA, le **T3 2025 (30/09/2025)** une perte cumulée de -157,03 M FCFA, avant un redressement annuel à +22,3 M FCFA grâce à des éléments exceptionnels. L'historique 2021 (CA de 44,4 Mds, résultat net de 1,6 Md, marge nette de 3,6%) montre une **dégradation structurelle** de la rentabilité sur cinq ans.</w:t>
      </w:r>
    </w:p>
    <w:p>
      <w:pPr>
        <w:spacing w:after="120" w:line="276" w:lineRule="auto"/>
      </w:pPr>
      <w:r>
        <w:t>**Recommandation fondamentale** : La société présente une **solidité bilancielle relative** (capitaux propres de 17,77 Mds, autonomie financière de 36,16%, liquidité générale de 141,69%) mais une **rentabilité anémique** et une **trésorerie critique**. Le profil est celui d'une entreprise en difficulté opérationnelle persistante, dont la survie dépend de la gestion du BFR et de la montée en puissance des nouvelles divisions. **Recommandation : VENTE** sur le plan fondamental, la faible valorisation comptable (P/B 0,67x) ne compensant pas les risques de liquidité et d'absence de dividende (0 FCFA en 2025).</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de risque très élevé et des signaux contradictoires**. Sur la **valorisation (Partie 0)**, le PER de 535,7x traduit une surévaluation manifeste par rapport aux bénéfices, tempérée par un P/B de 0,67x qui suggère une décote sur les fonds propres — mais cette décote est justifiée par l'absence de rentabilité. Le **comportement du cours (Partie 1)** est haussier sur 100 jours (+20,74%) mais le titre est en correction sous ses moyennes, avec une volatilité élevée (52,5%) et une distribution symétrique (skewness 0,080, kurtosis 0,692) sans risque de pics extrêmes. Les **signaux techniques (Partie 2)** divergent : MM et MACD baissiers, mais Stochastique en survente extrême (%K 13,6) et RSI à 36,6 suggèrent un rebond possible — configuration de **vente technique avec potentiel de rebond court terme**. Les **fondamentaux (Partie 3)** sont **préoccupants** : CA en baisse (-6,31%), marge nette de 0,05%, trésorerie nette de -16,7 Mds FCFA, et le T1 2026 (rapport 2026) annonce une perte de -65,6 M FCFA qui pourrait faire basculer 2026 dans le rouge. Les **prédictions IA (J+1 à J+10)** projettent une trajectoire **légèrement haussière et stabilisatrice** (1 796 → 1 807 FCFA, soit +0,6% sur 5 séances), confirmant la thèse d'un rebond technique modéré sans inversion de tendance.</w:t>
      </w:r>
    </w:p>
    <w:p>
      <w:pPr>
        <w:spacing w:after="120" w:line="276" w:lineRule="auto"/>
      </w:pPr>
      <w:r>
        <w:t>**Recommandation finale : VENTE** — avec un **niveau de confiance Moyen** et un **risque global Élevé**. La convergence est partielle : la technique de court terme (Stochastique, prédictions IA) plaide pour un rebond, mais la valorisation (PER 535,7x), les fondamentaux (marge 0,05%, trésorerie -16,7 Mds, perte T1 2026) et la tendance de fond (MM baissières) convergent vers une **prime de risque insuffisamment rémunérée**. Le P/B de 0,67x ne constitue pas un argument d'achat suffisant face à l'absence de dividende et au risque de liquidité. **Horizon optimal : court terme (&lt; 3 mois)** pour un éventuel trade de rebond technique, mais **évitement sur moyen/long terme** tant que la rentabilité opérationnelle et la génération de cash-flow ne se redressent pas durablement. Les investisseurs déjà positionnés peuvent **alléger** sur rebond vers 1 850-1 900 FCFA (zone MM20), avec un stop-loss sous 1 750 FCFA (borne inférieure de Bollinger).</w:t>
      </w:r>
    </w:p>
    <w:p>
      <w:pPr>
        <w:spacing w:after="120" w:line="276" w:lineRule="auto"/>
      </w:pPr>
      <w:r>
        <w:t>---</w:t>
        <w:br/>
        <w:t>*Rapport généré le 18 octobre 2026 — Sources : données brvm_donnees_financieres (exercice 2025), rapports trimestriels T1 2026, S1 2025, T3 2025, états financiers 2024 et 2021, données de marché 100 jours et prédictions IA.*</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6.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365.05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5,526 titres</w:t>
            </w:r>
          </w:p>
        </w:tc>
        <w:tc>
          <w:tcPr>
            <w:tcW w:type="dxa" w:w="2268"/>
            <w:shd w:fill="FFF2CC" w:val="clear"/>
          </w:tcPr>
          <w:p>
            <w:r>
              <w:rPr>
                <w:b/>
                <w:color w:val="503200"/>
                <w:sz w:val="16"/>
              </w:rPr>
              <w:t xml:space="preserve">Cours actuel : </w:t>
            </w:r>
            <w:r>
              <w:rPr>
                <w:color w:val="000000"/>
                <w:sz w:val="17"/>
              </w:rPr>
              <w:t>9,000 FCFA</w:t>
            </w:r>
          </w:p>
          <w:p>
            <w:r>
              <w:rPr>
                <w:b/>
                <w:color w:val="503200"/>
                <w:sz w:val="16"/>
              </w:rPr>
              <w:t xml:space="preserve">Var. 100 jours : </w:t>
            </w:r>
            <w:r>
              <w:rPr>
                <w:b/>
                <w:color w:val="007800"/>
                <w:sz w:val="17"/>
              </w:rPr>
              <w:t>+1.12%</w:t>
            </w:r>
          </w:p>
          <w:p>
            <w:r>
              <w:rPr>
                <w:b/>
                <w:color w:val="503200"/>
                <w:sz w:val="16"/>
              </w:rPr>
              <w:t xml:space="preserve">Plus haut 100j : </w:t>
            </w:r>
            <w:r>
              <w:rPr>
                <w:color w:val="000000"/>
                <w:sz w:val="17"/>
              </w:rPr>
              <w:t>10,350 FCFA</w:t>
            </w:r>
          </w:p>
          <w:p>
            <w:r>
              <w:rPr>
                <w:b/>
                <w:color w:val="503200"/>
                <w:sz w:val="16"/>
              </w:rPr>
              <w:t xml:space="preserve">Plus bas 100j : </w:t>
            </w:r>
            <w:r>
              <w:rPr>
                <w:color w:val="000000"/>
                <w:sz w:val="17"/>
              </w:rPr>
              <w:t>8,520 FCFA</w:t>
            </w:r>
          </w:p>
          <w:p>
            <w:r>
              <w:rPr>
                <w:b/>
                <w:color w:val="503200"/>
                <w:sz w:val="16"/>
              </w:rPr>
              <w:t xml:space="preserve">Volatilité ann. : </w:t>
            </w:r>
            <w:r>
              <w:rPr>
                <w:color w:val="000000"/>
                <w:sz w:val="17"/>
              </w:rPr>
              <w:t>27.6%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6.01% (Moyenne) — μ=9,175 FCFA, σ=552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β=0.5805 (Défensif) — Cov=0.000044, Var(idx)=0.000076, ρ=0.292,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5,526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σ_j=1.74%/j (Stable) — Vol. annualisée≈27.6%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6976"/>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2026-10-19</w:t>
            </w:r>
          </w:p>
        </w:tc>
        <w:tc>
          <w:tcPr>
            <w:tcW w:type="dxa" w:w="1440"/>
            <w:shd w:fill="FAFAFA" w:val="clear"/>
          </w:tcPr>
          <w:p>
            <w:r>
              <w:rPr>
                <w:sz w:val="17"/>
              </w:rPr>
              <w:t>8,781</w:t>
            </w:r>
          </w:p>
        </w:tc>
        <w:tc>
          <w:tcPr>
            <w:tcW w:type="dxa" w:w="1440"/>
            <w:shd w:fill="FAFAFA" w:val="clear"/>
          </w:tcPr>
          <w:p>
            <w:r>
              <w:rPr>
                <w:b/>
                <w:sz w:val="17"/>
              </w:rPr>
              <w:t>9,071</w:t>
            </w:r>
          </w:p>
        </w:tc>
        <w:tc>
          <w:tcPr>
            <w:tcW w:type="dxa" w:w="1440"/>
            <w:shd w:fill="FAFAFA" w:val="clear"/>
          </w:tcPr>
          <w:p>
            <w:r>
              <w:rPr>
                <w:sz w:val="17"/>
              </w:rPr>
              <w:t>9,361</w:t>
            </w:r>
          </w:p>
        </w:tc>
        <w:tc>
          <w:tcPr>
            <w:tcW w:type="dxa" w:w="1440"/>
            <w:shd w:fill="FAFAFA" w:val="clear"/>
          </w:tcPr>
          <w:p>
            <w:r>
              <w:rPr>
                <w:b/>
                <w:color w:val="008000"/>
                <w:sz w:val="17"/>
              </w:rPr>
              <w:t>+0.8%</w:t>
            </w:r>
          </w:p>
        </w:tc>
      </w:tr>
      <w:tr>
        <w:tc>
          <w:tcPr>
            <w:tcW w:type="dxa" w:w="1440"/>
            <w:shd w:fill="FAFAFA" w:val="clear"/>
          </w:tcPr>
          <w:p>
            <w:r>
              <w:rPr>
                <w:sz w:val="17"/>
              </w:rPr>
              <w:t>J+2  ⭐⭐⭐</w:t>
            </w:r>
          </w:p>
        </w:tc>
        <w:tc>
          <w:tcPr>
            <w:tcW w:type="dxa" w:w="1440"/>
            <w:shd w:fill="FAFAFA" w:val="clear"/>
          </w:tcPr>
          <w:p>
            <w:r>
              <w:rPr>
                <w:sz w:val="17"/>
              </w:rPr>
              <w:t>2026-10-20</w:t>
            </w:r>
          </w:p>
        </w:tc>
        <w:tc>
          <w:tcPr>
            <w:tcW w:type="dxa" w:w="1440"/>
            <w:shd w:fill="FAFAFA" w:val="clear"/>
          </w:tcPr>
          <w:p>
            <w:r>
              <w:rPr>
                <w:sz w:val="17"/>
              </w:rPr>
              <w:t>8,654</w:t>
            </w:r>
          </w:p>
        </w:tc>
        <w:tc>
          <w:tcPr>
            <w:tcW w:type="dxa" w:w="1440"/>
            <w:shd w:fill="FAFAFA" w:val="clear"/>
          </w:tcPr>
          <w:p>
            <w:r>
              <w:rPr>
                <w:b/>
                <w:sz w:val="17"/>
              </w:rPr>
              <w:t>9,065</w:t>
            </w:r>
          </w:p>
        </w:tc>
        <w:tc>
          <w:tcPr>
            <w:tcW w:type="dxa" w:w="1440"/>
            <w:shd w:fill="FAFAFA" w:val="clear"/>
          </w:tcPr>
          <w:p>
            <w:r>
              <w:rPr>
                <w:sz w:val="17"/>
              </w:rPr>
              <w:t>9,475</w:t>
            </w:r>
          </w:p>
        </w:tc>
        <w:tc>
          <w:tcPr>
            <w:tcW w:type="dxa" w:w="1440"/>
            <w:shd w:fill="FAFAFA" w:val="clear"/>
          </w:tcPr>
          <w:p>
            <w:r>
              <w:rPr>
                <w:b/>
                <w:color w:val="008000"/>
                <w:sz w:val="17"/>
              </w:rPr>
              <w:t>+0.7%</w:t>
            </w:r>
          </w:p>
        </w:tc>
      </w:tr>
      <w:tr>
        <w:tc>
          <w:tcPr>
            <w:tcW w:type="dxa" w:w="1440"/>
            <w:shd w:fill="FAFAFA" w:val="clear"/>
          </w:tcPr>
          <w:p>
            <w:r>
              <w:rPr>
                <w:sz w:val="17"/>
              </w:rPr>
              <w:t>J+3  ⭐⭐⭐</w:t>
            </w:r>
          </w:p>
        </w:tc>
        <w:tc>
          <w:tcPr>
            <w:tcW w:type="dxa" w:w="1440"/>
            <w:shd w:fill="FAFAFA" w:val="clear"/>
          </w:tcPr>
          <w:p>
            <w:r>
              <w:rPr>
                <w:sz w:val="17"/>
              </w:rPr>
              <w:t>2026-10-21</w:t>
            </w:r>
          </w:p>
        </w:tc>
        <w:tc>
          <w:tcPr>
            <w:tcW w:type="dxa" w:w="1440"/>
            <w:shd w:fill="FAFAFA" w:val="clear"/>
          </w:tcPr>
          <w:p>
            <w:r>
              <w:rPr>
                <w:sz w:val="17"/>
              </w:rPr>
              <w:t>8,562</w:t>
            </w:r>
          </w:p>
        </w:tc>
        <w:tc>
          <w:tcPr>
            <w:tcW w:type="dxa" w:w="1440"/>
            <w:shd w:fill="FAFAFA" w:val="clear"/>
          </w:tcPr>
          <w:p>
            <w:r>
              <w:rPr>
                <w:b/>
                <w:sz w:val="17"/>
              </w:rPr>
              <w:t>9,065</w:t>
            </w:r>
          </w:p>
        </w:tc>
        <w:tc>
          <w:tcPr>
            <w:tcW w:type="dxa" w:w="1440"/>
            <w:shd w:fill="FAFAFA" w:val="clear"/>
          </w:tcPr>
          <w:p>
            <w:r>
              <w:rPr>
                <w:sz w:val="17"/>
              </w:rPr>
              <w:t>9,567</w:t>
            </w:r>
          </w:p>
        </w:tc>
        <w:tc>
          <w:tcPr>
            <w:tcW w:type="dxa" w:w="1440"/>
            <w:shd w:fill="FAFAFA" w:val="clear"/>
          </w:tcPr>
          <w:p>
            <w:r>
              <w:rPr>
                <w:b/>
                <w:color w:val="008000"/>
                <w:sz w:val="17"/>
              </w:rPr>
              <w:t>+0.7%</w:t>
            </w:r>
          </w:p>
        </w:tc>
      </w:tr>
      <w:tr>
        <w:tc>
          <w:tcPr>
            <w:tcW w:type="dxa" w:w="1440"/>
            <w:shd w:fill="FAFAFA" w:val="clear"/>
          </w:tcPr>
          <w:p>
            <w:r>
              <w:rPr>
                <w:sz w:val="17"/>
              </w:rPr>
              <w:t>J+4  Moyenne</w:t>
            </w:r>
          </w:p>
        </w:tc>
        <w:tc>
          <w:tcPr>
            <w:tcW w:type="dxa" w:w="1440"/>
            <w:shd w:fill="FAFAFA" w:val="clear"/>
          </w:tcPr>
          <w:p>
            <w:r>
              <w:rPr>
                <w:sz w:val="17"/>
              </w:rPr>
              <w:t>2026-10-22</w:t>
            </w:r>
          </w:p>
        </w:tc>
        <w:tc>
          <w:tcPr>
            <w:tcW w:type="dxa" w:w="1440"/>
            <w:shd w:fill="FAFAFA" w:val="clear"/>
          </w:tcPr>
          <w:p>
            <w:r>
              <w:rPr>
                <w:sz w:val="17"/>
              </w:rPr>
              <w:t>8,478</w:t>
            </w:r>
          </w:p>
        </w:tc>
        <w:tc>
          <w:tcPr>
            <w:tcW w:type="dxa" w:w="1440"/>
            <w:shd w:fill="FAFAFA" w:val="clear"/>
          </w:tcPr>
          <w:p>
            <w:r>
              <w:rPr>
                <w:b/>
                <w:sz w:val="17"/>
              </w:rPr>
              <w:t>9,058</w:t>
            </w:r>
          </w:p>
        </w:tc>
        <w:tc>
          <w:tcPr>
            <w:tcW w:type="dxa" w:w="1440"/>
            <w:shd w:fill="FAFAFA" w:val="clear"/>
          </w:tcPr>
          <w:p>
            <w:r>
              <w:rPr>
                <w:sz w:val="17"/>
              </w:rPr>
              <w:t>9,638</w:t>
            </w:r>
          </w:p>
        </w:tc>
        <w:tc>
          <w:tcPr>
            <w:tcW w:type="dxa" w:w="1440"/>
            <w:shd w:fill="FAFAFA" w:val="clear"/>
          </w:tcPr>
          <w:p>
            <w:r>
              <w:rPr>
                <w:b/>
                <w:color w:val="008000"/>
                <w:sz w:val="17"/>
              </w:rPr>
              <w:t>+0.6%</w:t>
            </w:r>
          </w:p>
        </w:tc>
      </w:tr>
      <w:tr>
        <w:tc>
          <w:tcPr>
            <w:tcW w:type="dxa" w:w="1440"/>
            <w:shd w:fill="FAFAFA" w:val="clear"/>
          </w:tcPr>
          <w:p>
            <w:r>
              <w:rPr>
                <w:sz w:val="17"/>
              </w:rPr>
              <w:t>J+5  Moyenne</w:t>
            </w:r>
          </w:p>
        </w:tc>
        <w:tc>
          <w:tcPr>
            <w:tcW w:type="dxa" w:w="1440"/>
            <w:shd w:fill="FAFAFA" w:val="clear"/>
          </w:tcPr>
          <w:p>
            <w:r>
              <w:rPr>
                <w:sz w:val="17"/>
              </w:rPr>
              <w:t>2026-10-23</w:t>
            </w:r>
          </w:p>
        </w:tc>
        <w:tc>
          <w:tcPr>
            <w:tcW w:type="dxa" w:w="1440"/>
            <w:shd w:fill="FAFAFA" w:val="clear"/>
          </w:tcPr>
          <w:p>
            <w:r>
              <w:rPr>
                <w:sz w:val="17"/>
              </w:rPr>
              <w:t>8,400</w:t>
            </w:r>
          </w:p>
        </w:tc>
        <w:tc>
          <w:tcPr>
            <w:tcW w:type="dxa" w:w="1440"/>
            <w:shd w:fill="FAFAFA" w:val="clear"/>
          </w:tcPr>
          <w:p>
            <w:r>
              <w:rPr>
                <w:b/>
                <w:sz w:val="17"/>
              </w:rPr>
              <w:t>9,048</w:t>
            </w:r>
          </w:p>
        </w:tc>
        <w:tc>
          <w:tcPr>
            <w:tcW w:type="dxa" w:w="1440"/>
            <w:shd w:fill="FAFAFA" w:val="clear"/>
          </w:tcPr>
          <w:p>
            <w:r>
              <w:rPr>
                <w:sz w:val="17"/>
              </w:rPr>
              <w:t>9,695</w:t>
            </w:r>
          </w:p>
        </w:tc>
        <w:tc>
          <w:tcPr>
            <w:tcW w:type="dxa" w:w="1440"/>
            <w:shd w:fill="FAFAFA" w:val="clear"/>
          </w:tcPr>
          <w:p>
            <w:r>
              <w:rPr>
                <w:b/>
                <w:color w:val="008000"/>
                <w:sz w:val="17"/>
              </w:rPr>
              <w:t>+0.5%</w:t>
            </w:r>
          </w:p>
        </w:tc>
      </w:tr>
      <w:tr>
        <w:tc>
          <w:tcPr>
            <w:tcW w:type="dxa" w:w="1440"/>
            <w:shd w:fill="FAFAFA" w:val="clear"/>
          </w:tcPr>
          <w:p>
            <w:r>
              <w:rPr>
                <w:sz w:val="17"/>
              </w:rPr>
              <w:t>J+6  Moyenne</w:t>
            </w:r>
          </w:p>
        </w:tc>
        <w:tc>
          <w:tcPr>
            <w:tcW w:type="dxa" w:w="1440"/>
            <w:shd w:fill="FAFAFA" w:val="clear"/>
          </w:tcPr>
          <w:p>
            <w:r>
              <w:rPr>
                <w:sz w:val="17"/>
              </w:rPr>
              <w:t>2026-10-26</w:t>
            </w:r>
          </w:p>
        </w:tc>
        <w:tc>
          <w:tcPr>
            <w:tcW w:type="dxa" w:w="1440"/>
            <w:shd w:fill="FAFAFA" w:val="clear"/>
          </w:tcPr>
          <w:p>
            <w:r>
              <w:rPr>
                <w:sz w:val="17"/>
              </w:rPr>
              <w:t>8,329</w:t>
            </w:r>
          </w:p>
        </w:tc>
        <w:tc>
          <w:tcPr>
            <w:tcW w:type="dxa" w:w="1440"/>
            <w:shd w:fill="FAFAFA" w:val="clear"/>
          </w:tcPr>
          <w:p>
            <w:r>
              <w:rPr>
                <w:b/>
                <w:sz w:val="17"/>
              </w:rPr>
              <w:t>9,038</w:t>
            </w:r>
          </w:p>
        </w:tc>
        <w:tc>
          <w:tcPr>
            <w:tcW w:type="dxa" w:w="1440"/>
            <w:shd w:fill="FAFAFA" w:val="clear"/>
          </w:tcPr>
          <w:p>
            <w:r>
              <w:rPr>
                <w:sz w:val="17"/>
              </w:rPr>
              <w:t>9,746</w:t>
            </w:r>
          </w:p>
        </w:tc>
        <w:tc>
          <w:tcPr>
            <w:tcW w:type="dxa" w:w="1440"/>
            <w:shd w:fill="FAFAFA" w:val="clear"/>
          </w:tcPr>
          <w:p>
            <w:r>
              <w:rPr>
                <w:b/>
                <w:color w:val="008000"/>
                <w:sz w:val="17"/>
              </w:rPr>
              <w:t>+0.4%</w:t>
            </w:r>
          </w:p>
        </w:tc>
      </w:tr>
      <w:tr>
        <w:tc>
          <w:tcPr>
            <w:tcW w:type="dxa" w:w="1440"/>
            <w:shd w:fill="FAFAFA" w:val="clear"/>
          </w:tcPr>
          <w:p>
            <w:r>
              <w:rPr>
                <w:sz w:val="17"/>
              </w:rPr>
              <w:t>J+7  Moyenne</w:t>
            </w:r>
          </w:p>
        </w:tc>
        <w:tc>
          <w:tcPr>
            <w:tcW w:type="dxa" w:w="1440"/>
            <w:shd w:fill="FAFAFA" w:val="clear"/>
          </w:tcPr>
          <w:p>
            <w:r>
              <w:rPr>
                <w:sz w:val="17"/>
              </w:rPr>
              <w:t>2026-10-27</w:t>
            </w:r>
          </w:p>
        </w:tc>
        <w:tc>
          <w:tcPr>
            <w:tcW w:type="dxa" w:w="1440"/>
            <w:shd w:fill="FAFAFA" w:val="clear"/>
          </w:tcPr>
          <w:p>
            <w:r>
              <w:rPr>
                <w:sz w:val="17"/>
              </w:rPr>
              <w:t>8,263</w:t>
            </w:r>
          </w:p>
        </w:tc>
        <w:tc>
          <w:tcPr>
            <w:tcW w:type="dxa" w:w="1440"/>
            <w:shd w:fill="FAFAFA" w:val="clear"/>
          </w:tcPr>
          <w:p>
            <w:r>
              <w:rPr>
                <w:b/>
                <w:sz w:val="17"/>
              </w:rPr>
              <w:t>9,028</w:t>
            </w:r>
          </w:p>
        </w:tc>
        <w:tc>
          <w:tcPr>
            <w:tcW w:type="dxa" w:w="1440"/>
            <w:shd w:fill="FAFAFA" w:val="clear"/>
          </w:tcPr>
          <w:p>
            <w:r>
              <w:rPr>
                <w:sz w:val="17"/>
              </w:rPr>
              <w:t>9,792</w:t>
            </w:r>
          </w:p>
        </w:tc>
        <w:tc>
          <w:tcPr>
            <w:tcW w:type="dxa" w:w="1440"/>
            <w:shd w:fill="FAFAFA" w:val="clear"/>
          </w:tcPr>
          <w:p>
            <w:r>
              <w:rPr>
                <w:b/>
                <w:color w:val="008000"/>
                <w:sz w:val="17"/>
              </w:rPr>
              <w:t>+0.3%</w:t>
            </w:r>
          </w:p>
        </w:tc>
      </w:tr>
      <w:tr>
        <w:tc>
          <w:tcPr>
            <w:tcW w:type="dxa" w:w="1440"/>
            <w:shd w:fill="FAFAFA" w:val="clear"/>
          </w:tcPr>
          <w:p>
            <w:r>
              <w:rPr>
                <w:sz w:val="17"/>
              </w:rPr>
              <w:t>J+8  Moyenne</w:t>
            </w:r>
          </w:p>
        </w:tc>
        <w:tc>
          <w:tcPr>
            <w:tcW w:type="dxa" w:w="1440"/>
            <w:shd w:fill="FAFAFA" w:val="clear"/>
          </w:tcPr>
          <w:p>
            <w:r>
              <w:rPr>
                <w:sz w:val="17"/>
              </w:rPr>
              <w:t>2026-10-28</w:t>
            </w:r>
          </w:p>
        </w:tc>
        <w:tc>
          <w:tcPr>
            <w:tcW w:type="dxa" w:w="1440"/>
            <w:shd w:fill="FAFAFA" w:val="clear"/>
          </w:tcPr>
          <w:p>
            <w:r>
              <w:rPr>
                <w:sz w:val="17"/>
              </w:rPr>
              <w:t>8,202</w:t>
            </w:r>
          </w:p>
        </w:tc>
        <w:tc>
          <w:tcPr>
            <w:tcW w:type="dxa" w:w="1440"/>
            <w:shd w:fill="FAFAFA" w:val="clear"/>
          </w:tcPr>
          <w:p>
            <w:r>
              <w:rPr>
                <w:b/>
                <w:sz w:val="17"/>
              </w:rPr>
              <w:t>9,018</w:t>
            </w:r>
          </w:p>
        </w:tc>
        <w:tc>
          <w:tcPr>
            <w:tcW w:type="dxa" w:w="1440"/>
            <w:shd w:fill="FAFAFA" w:val="clear"/>
          </w:tcPr>
          <w:p>
            <w:r>
              <w:rPr>
                <w:sz w:val="17"/>
              </w:rPr>
              <w:t>9,834</w:t>
            </w:r>
          </w:p>
        </w:tc>
        <w:tc>
          <w:tcPr>
            <w:tcW w:type="dxa" w:w="1440"/>
            <w:shd w:fill="FAFAFA" w:val="clear"/>
          </w:tcPr>
          <w:p>
            <w:r>
              <w:rPr>
                <w:b/>
                <w:color w:val="008000"/>
                <w:sz w:val="17"/>
              </w:rPr>
              <w:t>+0.2%</w:t>
            </w:r>
          </w:p>
        </w:tc>
      </w:tr>
      <w:tr>
        <w:tc>
          <w:tcPr>
            <w:tcW w:type="dxa" w:w="1440"/>
            <w:shd w:fill="FAFAFA" w:val="clear"/>
          </w:tcPr>
          <w:p>
            <w:r>
              <w:rPr>
                <w:sz w:val="17"/>
              </w:rPr>
              <w:t>J+9  Moyenne</w:t>
            </w:r>
          </w:p>
        </w:tc>
        <w:tc>
          <w:tcPr>
            <w:tcW w:type="dxa" w:w="1440"/>
            <w:shd w:fill="FAFAFA" w:val="clear"/>
          </w:tcPr>
          <w:p>
            <w:r>
              <w:rPr>
                <w:sz w:val="17"/>
              </w:rPr>
              <w:t>2026-10-29</w:t>
            </w:r>
          </w:p>
        </w:tc>
        <w:tc>
          <w:tcPr>
            <w:tcW w:type="dxa" w:w="1440"/>
            <w:shd w:fill="FAFAFA" w:val="clear"/>
          </w:tcPr>
          <w:p>
            <w:r>
              <w:rPr>
                <w:sz w:val="17"/>
              </w:rPr>
              <w:t>8,144</w:t>
            </w:r>
          </w:p>
        </w:tc>
        <w:tc>
          <w:tcPr>
            <w:tcW w:type="dxa" w:w="1440"/>
            <w:shd w:fill="FAFAFA" w:val="clear"/>
          </w:tcPr>
          <w:p>
            <w:r>
              <w:rPr>
                <w:b/>
                <w:sz w:val="17"/>
              </w:rPr>
              <w:t>9,009</w:t>
            </w:r>
          </w:p>
        </w:tc>
        <w:tc>
          <w:tcPr>
            <w:tcW w:type="dxa" w:w="1440"/>
            <w:shd w:fill="FAFAFA" w:val="clear"/>
          </w:tcPr>
          <w:p>
            <w:r>
              <w:rPr>
                <w:sz w:val="17"/>
              </w:rPr>
              <w:t>9,874</w:t>
            </w:r>
          </w:p>
        </w:tc>
        <w:tc>
          <w:tcPr>
            <w:tcW w:type="dxa" w:w="1440"/>
            <w:shd w:fill="FAFAFA" w:val="clear"/>
          </w:tcPr>
          <w:p>
            <w:r>
              <w:rPr>
                <w:b/>
                <w:color w:val="008000"/>
                <w:sz w:val="17"/>
              </w:rPr>
              <w:t>+0.1%</w:t>
            </w:r>
          </w:p>
        </w:tc>
      </w:tr>
      <w:tr>
        <w:tc>
          <w:tcPr>
            <w:tcW w:type="dxa" w:w="1440"/>
            <w:shd w:fill="FAFAFA" w:val="clear"/>
          </w:tcPr>
          <w:p>
            <w:r>
              <w:rPr>
                <w:sz w:val="17"/>
              </w:rPr>
              <w:t>J+10  Moyenne</w:t>
            </w:r>
          </w:p>
        </w:tc>
        <w:tc>
          <w:tcPr>
            <w:tcW w:type="dxa" w:w="1440"/>
            <w:shd w:fill="FAFAFA" w:val="clear"/>
          </w:tcPr>
          <w:p>
            <w:r>
              <w:rPr>
                <w:sz w:val="17"/>
              </w:rPr>
              <w:t>2026-10-30</w:t>
            </w:r>
          </w:p>
        </w:tc>
        <w:tc>
          <w:tcPr>
            <w:tcW w:type="dxa" w:w="1440"/>
            <w:shd w:fill="FAFAFA" w:val="clear"/>
          </w:tcPr>
          <w:p>
            <w:r>
              <w:rPr>
                <w:sz w:val="17"/>
              </w:rPr>
              <w:t>8,089</w:t>
            </w:r>
          </w:p>
        </w:tc>
        <w:tc>
          <w:tcPr>
            <w:tcW w:type="dxa" w:w="1440"/>
            <w:shd w:fill="FAFAFA" w:val="clear"/>
          </w:tcPr>
          <w:p>
            <w:r>
              <w:rPr>
                <w:b/>
                <w:sz w:val="17"/>
              </w:rPr>
              <w:t>9,000</w:t>
            </w:r>
          </w:p>
        </w:tc>
        <w:tc>
          <w:tcPr>
            <w:tcW w:type="dxa" w:w="1440"/>
            <w:shd w:fill="FAFAFA" w:val="clear"/>
          </w:tcPr>
          <w:p>
            <w:r>
              <w:rPr>
                <w:sz w:val="17"/>
              </w:rPr>
              <w:t>9,910</w:t>
            </w:r>
          </w:p>
        </w:tc>
        <w:tc>
          <w:tcPr>
            <w:tcW w:type="dxa" w:w="1440"/>
            <w:shd w:fill="FAFAFA" w:val="clear"/>
          </w:tcPr>
          <w:p>
            <w:r>
              <w:rPr>
                <w:b/>
                <w:color w:val="C00000"/>
                <w:sz w:val="17"/>
              </w:rPr>
              <w:t>-0.0%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 RAPPORT D'ANALYSE FINANCIÈRE — BOA BÉNIN (BOAB)</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365,05 milliards FCFA, BOA Bénin figure parmi les valeurs bancaires de premier plan de la cote BRVM, ce qui traduit une liquidité et une visibilité institutionnelle certaines. Le BPA de 496 FCFA par action signifie que chaque titre génère près de 500 FCFA de bénéfice net, un niveau confortable au regard du cours de 9 000 FCFA. Le PER de 18,2x se situe nettement au-dessus de la moyenne BRVM (8-12x), signalant que le marché paie une prime certaine pour cette banque — prime que la qualité de ses marges (marge nette de 39,2%) et son ROE de 17,1% peuvent partiellement justifier, mais qui limite la marge de sécurité. Le P/B de 3,11x confirme cette valorisation premium : le marché valorise BOAB à plus de trois fois sa valeur comptable (capitaux propres de 117,5 Mds FCFA), une prime de croissance rarement atteinte sur le marché régional. Enfin, l'EV/EBITDA de 18,9x apparaît très exigeant (&gt;15x), suggérant que la valeur d'entreprise intègre déjà une bonne part des bénéfices futurs attendus — la valorisation est donc tendue, et toute déception sur les résultats serait sévèrement sanctionnée.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BOAB affiche une variation totale quasi nulle de +1,12%, mais la dernière séance a enregistré un repli marqué de -2,23%, ramenant le cours à 9 000 FCFA. Le range de trading est significatif, entre un plus bas de 8 520 FCFA et un plus haut de 10 350 FCFA, soit une amplitude de plus de 21% qui témoigne d'une réelle nervosité du titre. La tendance générale est donc stable à légèrement haussière sur la période, mais le récent décrochage suggère une perte de momentum. Les statistiques descriptives révèlent une moyenne (9 175 FCFA) supérieure à la médiane (8 950 FCFA), avec un mode à 8 700 FCFA : cet écart confirme l'asymétrie positive signalée par le skewness de +0,940, indiquant que le cours a passé davantage de séances sous sa moyenne, avec quelques pics haussiers isolés tirant la moyenne vers le haut. L'écart-type de 554 FCFA (CV de 6,0%) traduit une dispersion modérée autour de la moyenne, tandis que le kurtosis de -0,514 (mésokurtique) indique une distribution proche de la normale, sans risque excessif de pics extrêmes. La volatilité annualisée de 27,6% place le titre dans la catégorie des valeurs à volatilité modérée (15-30%), cohérente avec un profil bancaire de qualité mais non exempt de sensibilité aux flux de marché.</w:t>
      </w:r>
    </w:p>
    <w:p>
      <w:pPr>
        <w:spacing w:after="120" w:line="276" w:lineRule="auto"/>
      </w:pPr>
      <w:r>
        <w:t>---</w:t>
      </w:r>
    </w:p>
    <w:p>
      <w:pPr>
        <w:spacing w:after="120" w:line="276" w:lineRule="auto"/>
      </w:pPr>
      <w:r>
        <w:t>## PARTIE 2 : ANALYSE TECHNIQUE DÉTAILLÉE</w:t>
      </w:r>
    </w:p>
    <w:p>
      <w:pPr>
        <w:spacing w:after="120" w:line="276" w:lineRule="auto"/>
      </w:pPr>
      <w:r>
        <w:t>**Moyennes Mobiles** : La MM20 (9 293,75 FCFA) et la MM50 (9 534,40 FCFA) se situent toutes deux au-dessus du cours actuel de 9 000 FCFA, et la MM20 est elle-même inférieure à la MM50 — configuration baissière classique (death cross en formation). Le cours évoluant sous ses deux moyennes, la pression vendeuse domine clairement, ce qui justifie la décision technique de **Vente**.</w:t>
      </w:r>
    </w:p>
    <w:p>
      <w:pPr>
        <w:spacing w:after="120" w:line="276" w:lineRule="auto"/>
      </w:pPr>
      <w:r>
        <w:t>**Bandes de Bollinger** : Le cours (9 000 FCFA) se situe dans la moitié inférieure de la bande, entre la borne inférieure (8 779,56 FCFA) et la borne supérieure (9 807,94 FCFA), sans en toucher les extrêmes. Cette position centrale, couplée à un écartement modéré des bandes, traduit une absence de signal directionnel fort — d'où la décision **Neutre**, le titre évoluant dans un couloir de consolidation.</w:t>
      </w:r>
    </w:p>
    <w:p>
      <w:pPr>
        <w:spacing w:after="120" w:line="276" w:lineRule="auto"/>
      </w:pPr>
      <w:r>
        <w:t>**MACD** : La ligne MACD (-114,93) est inférieure à sa ligne de signal (-89,48), et les deux évoluent en territoire négatif. Cette configuration confirme un momentum baissier persistant, la divergence négative n'ayant pas encore montré de signe de retournement — la décision de **Vente** est cohérente avec cette dynamique.</w:t>
      </w:r>
    </w:p>
    <w:p>
      <w:pPr>
        <w:spacing w:after="120" w:line="276" w:lineRule="auto"/>
      </w:pPr>
      <w:r>
        <w:t>**RSI** : À 51,24, le RSI se situe exactement dans la zone neutre (30-70), ni suracheté ni survendu. Cette valeur médiane indique un équilibre entre acheteurs et vendeurs, sans pression extrême dans un sens ou l'autre, justifiant la décision **Neutre** — le titre n'offre pas de signal de retournement exploitable à ce stade.</w:t>
      </w:r>
    </w:p>
    <w:p>
      <w:pPr>
        <w:spacing w:after="120" w:line="276" w:lineRule="auto"/>
      </w:pPr>
      <w:r>
        <w:t>**Stochastique** : Le %K à 0,0 (extrême bas) contre un %D à 25,42 signale que le cours a atteint le plancher de sa fourchette récente, en zone de survente marquée. Ce positionnement extrême du %K sous le %D constitue un signal d'achat contrarien classique, justifiant la décision **Achat** — un rebond technique est statistiquement probable à court terme.</w:t>
      </w:r>
    </w:p>
    <w:p>
      <w:pPr>
        <w:spacing w:after="120" w:line="276" w:lineRule="auto"/>
      </w:pPr>
      <w:r>
        <w:t>**Conclusion technique** : Les indicateurs sont majoritairement baissiers (MM, MACD) ou neutres (Bollinger, RSI), avec un seul signal d'achat contrarien (Stochastique en survente). Cette divergence traduit un titre en consolidation baissière de court terme, mais dont la survente stochastique suggère un potentiel de rebond technique limité. La convergence n'est pas suffisante pour un signal directionnel fort : le titre est en zone d'observation, avec un biais baissier tant que le cours reste sous la MM20 (9 293,75 FCFA).</w:t>
      </w:r>
    </w:p>
    <w:p>
      <w:pPr>
        <w:spacing w:after="120" w:line="276" w:lineRule="auto"/>
      </w:pPr>
      <w:r>
        <w:t>---</w:t>
      </w:r>
    </w:p>
    <w:p>
      <w:pPr>
        <w:spacing w:after="120" w:line="276" w:lineRule="auto"/>
      </w:pPr>
      <w:r>
        <w:t>## PARTIE 3 : ANALYSE FONDAMENTALE (SECTION CRITIQUE)</w:t>
      </w:r>
    </w:p>
    <w:p>
      <w:pPr>
        <w:spacing w:after="120" w:line="276" w:lineRule="auto"/>
      </w:pPr>
      <w:r>
        <w:t>**Données structurées — Exercice 2025 (chiffres officiels)** : En 2025, BOA Bénin affiche un Produit Net Bancaire (équivalent du chiffre d'affaires bancaire) de 51,274 milliards FCFA, en croissance de 10,20% sur un an, et un résultat net de 20,107 milliards FCFA. La rentabilité est excellente : ROE de 17,11% (&gt;15%, seuil d'excellence) et ROA de 2,08%, avec une marge nette remarquable de 39,22%. Le coefficient d'exploitation de 49,53% place la banque sous la barre des 50%, signe d'une efficacité opérationnelle supérieure (charges/PNB maîtrisées). Le coût du risque, à 22,50% des charges financières, reste un point de vigilance : il traduit un risque de crédit significatif, même si les provisions de 4,686 Mds FCFA demeurent contenues au regard du PNB. La structure de bilan est solide : dépôts clientèle de 711,642 Mds FCFA contre créances clientèle de 391,724 Mds FCFA, soit un ratio de transformation de 55% — la banque collecte largement plus qu'elle ne prête, ce qui sécurise sa liquidité (trésorerie actif de 107,603 Mds FCFA, portefeuille de titres d'État de 329,253 Mds FCFA). L'autonomie financière de 12,18% reste faible (norme &gt;30%), mais c'est structurel au secteur bancaire ; la solvabilité générale de 113,87% (&gt;1) confirme la couverture des dettes par l'actif.</w:t>
      </w:r>
    </w:p>
    <w:p>
      <w:pPr>
        <w:spacing w:after="120" w:line="276" w:lineRule="auto"/>
      </w:pPr>
      <w:r>
        <w:t>**Estimations issues des rapports trimestriels** : Le rapport du **T1 2026** (publié en 2026) confirme la dynamique : PNB de 12,329 Mds FCFA en hausse de 11%, commissions en progression de +18,9%, marge nette bancaire +8,5%, et dépôts clientèle à 753,7 Mds FCFA (+3,5% sur l'année glissante). Toutefois, le résultat net ne progresse que de 1% à 4,502 Mds FCFA, signe d'une pression sur les coûts. Sur cette base, on peut estimer que l'exercice 2026 devrait maintenir une croissance du PNB à deux chiffres (~10-11%), avec un résultat net en hausse plus modérée (3-5%), la banque privilégiant la qualité de la marge à la croissance volumique. Le rapport du **T3 2025** (daté du 30/09/2025) confirmait déjà ce scénario : PNB trimestriel de 37,065 Mds FCFA (+9%) et résultat net de 15,880 Mds FCFA (+13%), malgré une contraction des crédits (-10%) et des dépôts (-5%) — une performance remarquable d'efficacité. Le rapport **S1 2025** (30/06/2025) relevait un ROE de 20,3% et un coefficient d'exploitation de 46,1%, tandis que le rapport **annuel 2024** (31/12/2024) faisait état d'un résultat net de 19,647 Mds FCFA en baisse de 8,7%, avec une augmentation de capital portant le capital social de 20,3 à 40,6 Mds FCFA — consolidation qui explique la dilution temporaire du ROE. **Conclusion fondamentale** : BOAB est une banque solide, très rentable (ROE 17,1%, marge nette 39,2%), efficace (coefficient 49,5%) et bien capitalisée depuis 2024, mais sa valorisation boursière exigeante et la pression sur le résultat net au T1 2026 invitent à la prudence. Les fondamentaux justifient une **conservation** du titre, pas une accumulation agressive à ce niveau de prix.</w:t>
      </w:r>
    </w:p>
    <w:p>
      <w:pPr>
        <w:spacing w:after="120" w:line="276" w:lineRule="auto"/>
      </w:pPr>
      <w:r>
        <w:t>---</w:t>
      </w:r>
    </w:p>
    <w:p>
      <w:pPr>
        <w:spacing w:after="120" w:line="276" w:lineRule="auto"/>
      </w:pPr>
      <w:r>
        <w:t>## PARTIE 4 : CONCLUSION D'INVESTISSEMENT</w:t>
      </w:r>
    </w:p>
    <w:p>
      <w:pPr>
        <w:spacing w:after="120" w:line="276" w:lineRule="auto"/>
      </w:pPr>
      <w:r>
        <w:t>La synthèse des quatre dimensions d'analyse converge vers un diagnostic nuancé. **Valorisation** : le PER de 18,2x, le P/B de 3,11x et l'EV/EBITDA de 18,9x indiquent une valorisation tendue, nettement supérieure aux standards BRVM — le marché intègre déjà une prime de qualité qui réduit la marge de sécurité. **Comportement du cours** : la variation quasi nulle (+1,12%) sur 100 jours, le repli de -2,23% en dernière séance, la moyenne supérieure à la médiane (skewness +0,94) et la volatilité modérée (27,6%) dessinent un titre sans momentum, en consolidation, avec un léger biais baissier. **Signaux techniques** : la prédominance baissière (MM20 &lt; MM50, cours sous les deux moyennes, MACD négatif) n'est tempérée que par la survente stochastique (%K=0) et la neutralité du RSI (51,2) — convergence insuffisante pour un retournement. **Fondamentaux** : la solidité est réelle (ROE 17,1%, coefficient d'exploitation 49,5%, dépôts 711,6 Mds FCFA), mais la croissance du résultat net ralentit (+1% au T1 2026) et le coût du risque (22,5%) reste un point de vigilance. **Prédictions IA** : la trajectoire projetée (9 071 → 9 048 FCFA sur J+1 à J+10) anticipe une légère dérive baissière, cohérente avec les signaux techniques et le manque de momentum — elle ne contredit pas le diagnostic global.</w:t>
      </w:r>
    </w:p>
    <w:p>
      <w:pPr>
        <w:spacing w:after="120" w:line="276" w:lineRule="auto"/>
      </w:pPr>
      <w:r>
        <w:t>**Recommandation finale : CONSERVER.** La convergence est partielle : fondamentaux solides mais valorisation exigeante, technique baissière sans signal de retournement, prédictions IA légèrement négatives. Le titre mérite d'être détenu pour sa qualité bancaire et son dividende potentiel, mais son prix actuel n'offre pas de point d'entrée attractif — un repli vers 8 500-8 700 FCFA (zone du mode et du plus bas) constituerait une meilleure opportunité d'accumulation. **Niveau de confiance : Moyen** (les signaux sont cohérents mais la valorisation tendue limite la visibilité). **Niveau de risque global : Moyen** (volatilité modérée, mais sensibilité au coût du risque et à la valorisation premium). **Horizon d'investissement optimal : moyen terme (3-12 mois)**, le temps que la croissance du résultat net se confirme et que la valorisation se normalise.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7.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352.44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6,232 titres</w:t>
            </w:r>
          </w:p>
        </w:tc>
        <w:tc>
          <w:tcPr>
            <w:tcW w:type="dxa" w:w="2268"/>
            <w:shd w:fill="FFF2CC" w:val="clear"/>
          </w:tcPr>
          <w:p>
            <w:r>
              <w:rPr>
                <w:b/>
                <w:color w:val="503200"/>
                <w:sz w:val="16"/>
              </w:rPr>
              <w:t xml:space="preserve">Cours actuel : </w:t>
            </w:r>
            <w:r>
              <w:rPr>
                <w:color w:val="000000"/>
                <w:sz w:val="17"/>
              </w:rPr>
              <w:t>8,010 FCFA</w:t>
            </w:r>
          </w:p>
          <w:p>
            <w:r>
              <w:rPr>
                <w:b/>
                <w:color w:val="503200"/>
                <w:sz w:val="16"/>
              </w:rPr>
              <w:t xml:space="preserve">Var. 100 jours : </w:t>
            </w:r>
            <w:r>
              <w:rPr>
                <w:b/>
                <w:color w:val="007800"/>
                <w:sz w:val="17"/>
              </w:rPr>
              <w:t>+45.64%</w:t>
            </w:r>
          </w:p>
          <w:p>
            <w:r>
              <w:rPr>
                <w:b/>
                <w:color w:val="503200"/>
                <w:sz w:val="16"/>
              </w:rPr>
              <w:t xml:space="preserve">Plus haut 100j : </w:t>
            </w:r>
            <w:r>
              <w:rPr>
                <w:color w:val="000000"/>
                <w:sz w:val="17"/>
              </w:rPr>
              <w:t>9,090 FCFA</w:t>
            </w:r>
          </w:p>
          <w:p>
            <w:r>
              <w:rPr>
                <w:b/>
                <w:color w:val="503200"/>
                <w:sz w:val="16"/>
              </w:rPr>
              <w:t xml:space="preserve">Plus bas 100j : </w:t>
            </w:r>
            <w:r>
              <w:rPr>
                <w:color w:val="000000"/>
                <w:sz w:val="17"/>
              </w:rPr>
              <w:t>5,300 FCFA</w:t>
            </w:r>
          </w:p>
          <w:p>
            <w:r>
              <w:rPr>
                <w:b/>
                <w:color w:val="503200"/>
                <w:sz w:val="16"/>
              </w:rPr>
              <w:t xml:space="preserve">Volatilité ann. : </w:t>
            </w:r>
            <w:r>
              <w:rPr>
                <w:color w:val="000000"/>
                <w:sz w:val="17"/>
              </w:rPr>
              <w:t>35.9%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24.5/100 → Moyen</w:t>
      </w:r>
    </w:p>
    <w:p>
      <w:pPr>
        <w:spacing w:before="40" w:after="80"/>
      </w:pPr>
      <w:r>
        <w:rPr>
          <w:rFonts w:ascii="Courier New" w:hAnsi="Courier New"/>
          <w:color w:val="825A00"/>
          <w:sz w:val="18"/>
        </w:rPr>
        <w:t>████░░░░░░░░░░░░░░░░  24.5/100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16.56% (Élevée) — μ=7,097 FCFA, σ=1,175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β=0.7435 (Défensif) — Cov=0.000056, Var(idx)=0.000076, ρ=0.285,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6,232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σ_j=2.26%/j (Stable) — Vol. annualisée≈35.9%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59/100  (Bon)</w:t>
      </w:r>
    </w:p>
    <w:p/>
    <w:p>
      <w:pPr>
        <w:jc w:val="center"/>
      </w:pPr>
      <w:r>
        <w:drawing>
          <wp:inline xmlns:a="http://schemas.openxmlformats.org/drawingml/2006/main" xmlns:pic="http://schemas.openxmlformats.org/drawingml/2006/picture">
            <wp:extent cx="5669280" cy="2635585"/>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7,681</w:t>
            </w:r>
          </w:p>
        </w:tc>
        <w:tc>
          <w:tcPr>
            <w:tcW w:type="dxa" w:w="1440"/>
            <w:shd w:fill="FAFAFA" w:val="clear"/>
          </w:tcPr>
          <w:p>
            <w:r>
              <w:rPr>
                <w:b/>
                <w:sz w:val="17"/>
              </w:rPr>
              <w:t>7,966</w:t>
            </w:r>
          </w:p>
        </w:tc>
        <w:tc>
          <w:tcPr>
            <w:tcW w:type="dxa" w:w="1440"/>
            <w:shd w:fill="FAFAFA" w:val="clear"/>
          </w:tcPr>
          <w:p>
            <w:r>
              <w:rPr>
                <w:sz w:val="17"/>
              </w:rPr>
              <w:t>8,251</w:t>
            </w:r>
          </w:p>
        </w:tc>
        <w:tc>
          <w:tcPr>
            <w:tcW w:type="dxa" w:w="1440"/>
            <w:shd w:fill="FAFAFA" w:val="clear"/>
          </w:tcPr>
          <w:p>
            <w:r>
              <w:rPr>
                <w:b/>
                <w:color w:val="C00000"/>
                <w:sz w:val="17"/>
              </w:rPr>
              <w:t>-0.6%</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7,533</w:t>
            </w:r>
          </w:p>
        </w:tc>
        <w:tc>
          <w:tcPr>
            <w:tcW w:type="dxa" w:w="1440"/>
            <w:shd w:fill="FAFAFA" w:val="clear"/>
          </w:tcPr>
          <w:p>
            <w:r>
              <w:rPr>
                <w:b/>
                <w:sz w:val="17"/>
              </w:rPr>
              <w:t>7,934</w:t>
            </w:r>
          </w:p>
        </w:tc>
        <w:tc>
          <w:tcPr>
            <w:tcW w:type="dxa" w:w="1440"/>
            <w:shd w:fill="FAFAFA" w:val="clear"/>
          </w:tcPr>
          <w:p>
            <w:r>
              <w:rPr>
                <w:sz w:val="17"/>
              </w:rPr>
              <w:t>8,336</w:t>
            </w:r>
          </w:p>
        </w:tc>
        <w:tc>
          <w:tcPr>
            <w:tcW w:type="dxa" w:w="1440"/>
            <w:shd w:fill="FAFAFA" w:val="clear"/>
          </w:tcPr>
          <w:p>
            <w:r>
              <w:rPr>
                <w:b/>
                <w:color w:val="C00000"/>
                <w:sz w:val="17"/>
              </w:rPr>
              <w:t>-0.9%</w:t>
            </w:r>
          </w:p>
        </w:tc>
      </w:tr>
      <w:tr>
        <w:tc>
          <w:tcPr>
            <w:tcW w:type="dxa" w:w="1440"/>
            <w:shd w:fill="FAFAFA" w:val="clear"/>
          </w:tcPr>
          <w:p>
            <w:r>
              <w:rPr>
                <w:sz w:val="17"/>
              </w:rPr>
              <w:t>J+3  Moyenne</w:t>
            </w:r>
          </w:p>
        </w:tc>
        <w:tc>
          <w:tcPr>
            <w:tcW w:type="dxa" w:w="1440"/>
            <w:shd w:fill="FAFAFA" w:val="clear"/>
          </w:tcPr>
          <w:p>
            <w:r>
              <w:rPr>
                <w:sz w:val="17"/>
              </w:rPr>
              <w:t>2026-10-21</w:t>
            </w:r>
          </w:p>
        </w:tc>
        <w:tc>
          <w:tcPr>
            <w:tcW w:type="dxa" w:w="1440"/>
            <w:shd w:fill="FAFAFA" w:val="clear"/>
          </w:tcPr>
          <w:p>
            <w:r>
              <w:rPr>
                <w:sz w:val="17"/>
              </w:rPr>
              <w:t>7,418</w:t>
            </w:r>
          </w:p>
        </w:tc>
        <w:tc>
          <w:tcPr>
            <w:tcW w:type="dxa" w:w="1440"/>
            <w:shd w:fill="FAFAFA" w:val="clear"/>
          </w:tcPr>
          <w:p>
            <w:r>
              <w:rPr>
                <w:b/>
                <w:sz w:val="17"/>
              </w:rPr>
              <w:t>7,908</w:t>
            </w:r>
          </w:p>
        </w:tc>
        <w:tc>
          <w:tcPr>
            <w:tcW w:type="dxa" w:w="1440"/>
            <w:shd w:fill="FAFAFA" w:val="clear"/>
          </w:tcPr>
          <w:p>
            <w:r>
              <w:rPr>
                <w:sz w:val="17"/>
              </w:rPr>
              <w:t>8,398</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7,322</w:t>
            </w:r>
          </w:p>
        </w:tc>
        <w:tc>
          <w:tcPr>
            <w:tcW w:type="dxa" w:w="1440"/>
            <w:shd w:fill="FAFAFA" w:val="clear"/>
          </w:tcPr>
          <w:p>
            <w:r>
              <w:rPr>
                <w:b/>
                <w:sz w:val="17"/>
              </w:rPr>
              <w:t>7,886</w:t>
            </w:r>
          </w:p>
        </w:tc>
        <w:tc>
          <w:tcPr>
            <w:tcW w:type="dxa" w:w="1440"/>
            <w:shd w:fill="FAFAFA" w:val="clear"/>
          </w:tcPr>
          <w:p>
            <w:r>
              <w:rPr>
                <w:sz w:val="17"/>
              </w:rPr>
              <w:t>8,450</w:t>
            </w:r>
          </w:p>
        </w:tc>
        <w:tc>
          <w:tcPr>
            <w:tcW w:type="dxa" w:w="1440"/>
            <w:shd w:fill="FAFAFA" w:val="clear"/>
          </w:tcPr>
          <w:p>
            <w:r>
              <w:rPr>
                <w:b/>
                <w:color w:val="C00000"/>
                <w:sz w:val="17"/>
              </w:rPr>
              <w:t>-1.5%</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7,238</w:t>
            </w:r>
          </w:p>
        </w:tc>
        <w:tc>
          <w:tcPr>
            <w:tcW w:type="dxa" w:w="1440"/>
            <w:shd w:fill="FAFAFA" w:val="clear"/>
          </w:tcPr>
          <w:p>
            <w:r>
              <w:rPr>
                <w:b/>
                <w:sz w:val="17"/>
              </w:rPr>
              <w:t>7,867</w:t>
            </w:r>
          </w:p>
        </w:tc>
        <w:tc>
          <w:tcPr>
            <w:tcW w:type="dxa" w:w="1440"/>
            <w:shd w:fill="FAFAFA" w:val="clear"/>
          </w:tcPr>
          <w:p>
            <w:r>
              <w:rPr>
                <w:sz w:val="17"/>
              </w:rPr>
              <w:t>8,496</w:t>
            </w:r>
          </w:p>
        </w:tc>
        <w:tc>
          <w:tcPr>
            <w:tcW w:type="dxa" w:w="1440"/>
            <w:shd w:fill="FAFAFA" w:val="clear"/>
          </w:tcPr>
          <w:p>
            <w:r>
              <w:rPr>
                <w:b/>
                <w:color w:val="C00000"/>
                <w:sz w:val="17"/>
              </w:rPr>
              <w:t>-1.8%</w:t>
            </w:r>
          </w:p>
        </w:tc>
      </w:tr>
      <w:tr>
        <w:tc>
          <w:tcPr>
            <w:tcW w:type="dxa" w:w="1440"/>
            <w:shd w:fill="FFDCE0" w:val="clear"/>
          </w:tcPr>
          <w:p>
            <w:r>
              <w:rPr>
                <w:sz w:val="17"/>
              </w:rPr>
              <w:t>J+6  ⭐</w:t>
            </w:r>
          </w:p>
        </w:tc>
        <w:tc>
          <w:tcPr>
            <w:tcW w:type="dxa" w:w="1440"/>
            <w:shd w:fill="FFDCE0" w:val="clear"/>
          </w:tcPr>
          <w:p>
            <w:r>
              <w:rPr>
                <w:sz w:val="17"/>
              </w:rPr>
              <w:t>2026-10-26</w:t>
            </w:r>
          </w:p>
        </w:tc>
        <w:tc>
          <w:tcPr>
            <w:tcW w:type="dxa" w:w="1440"/>
            <w:shd w:fill="FFDCE0" w:val="clear"/>
          </w:tcPr>
          <w:p>
            <w:r>
              <w:rPr>
                <w:sz w:val="17"/>
              </w:rPr>
              <w:t>7,161</w:t>
            </w:r>
          </w:p>
        </w:tc>
        <w:tc>
          <w:tcPr>
            <w:tcW w:type="dxa" w:w="1440"/>
            <w:shd w:fill="FFDCE0" w:val="clear"/>
          </w:tcPr>
          <w:p>
            <w:r>
              <w:rPr>
                <w:b/>
                <w:sz w:val="17"/>
              </w:rPr>
              <w:t>7,849</w:t>
            </w:r>
          </w:p>
        </w:tc>
        <w:tc>
          <w:tcPr>
            <w:tcW w:type="dxa" w:w="1440"/>
            <w:shd w:fill="FFDCE0" w:val="clear"/>
          </w:tcPr>
          <w:p>
            <w:r>
              <w:rPr>
                <w:sz w:val="17"/>
              </w:rPr>
              <w:t>8,536</w:t>
            </w:r>
          </w:p>
        </w:tc>
        <w:tc>
          <w:tcPr>
            <w:tcW w:type="dxa" w:w="1440"/>
            <w:shd w:fill="FFDCE0" w:val="clear"/>
          </w:tcPr>
          <w:p>
            <w:r>
              <w:rPr>
                <w:b/>
                <w:color w:val="C00000"/>
                <w:sz w:val="17"/>
              </w:rPr>
              <w:t>-2.0%</w:t>
            </w:r>
          </w:p>
        </w:tc>
      </w:tr>
      <w:tr>
        <w:tc>
          <w:tcPr>
            <w:tcW w:type="dxa" w:w="1440"/>
            <w:shd w:fill="FFDCE0" w:val="clear"/>
          </w:tcPr>
          <w:p>
            <w:r>
              <w:rPr>
                <w:sz w:val="17"/>
              </w:rPr>
              <w:t>J+7  ⭐</w:t>
            </w:r>
          </w:p>
        </w:tc>
        <w:tc>
          <w:tcPr>
            <w:tcW w:type="dxa" w:w="1440"/>
            <w:shd w:fill="FFDCE0" w:val="clear"/>
          </w:tcPr>
          <w:p>
            <w:r>
              <w:rPr>
                <w:sz w:val="17"/>
              </w:rPr>
              <w:t>2026-10-27</w:t>
            </w:r>
          </w:p>
        </w:tc>
        <w:tc>
          <w:tcPr>
            <w:tcW w:type="dxa" w:w="1440"/>
            <w:shd w:fill="FFDCE0" w:val="clear"/>
          </w:tcPr>
          <w:p>
            <w:r>
              <w:rPr>
                <w:sz w:val="17"/>
              </w:rPr>
              <w:t>7,091</w:t>
            </w:r>
          </w:p>
        </w:tc>
        <w:tc>
          <w:tcPr>
            <w:tcW w:type="dxa" w:w="1440"/>
            <w:shd w:fill="FFDCE0" w:val="clear"/>
          </w:tcPr>
          <w:p>
            <w:r>
              <w:rPr>
                <w:b/>
                <w:sz w:val="17"/>
              </w:rPr>
              <w:t>7,831</w:t>
            </w:r>
          </w:p>
        </w:tc>
        <w:tc>
          <w:tcPr>
            <w:tcW w:type="dxa" w:w="1440"/>
            <w:shd w:fill="FFDCE0" w:val="clear"/>
          </w:tcPr>
          <w:p>
            <w:r>
              <w:rPr>
                <w:sz w:val="17"/>
              </w:rPr>
              <w:t>8,572</w:t>
            </w:r>
          </w:p>
        </w:tc>
        <w:tc>
          <w:tcPr>
            <w:tcW w:type="dxa" w:w="1440"/>
            <w:shd w:fill="FFDCE0" w:val="clear"/>
          </w:tcPr>
          <w:p>
            <w:r>
              <w:rPr>
                <w:b/>
                <w:color w:val="C00000"/>
                <w:sz w:val="17"/>
              </w:rPr>
              <w:t>-2.2%</w:t>
            </w:r>
          </w:p>
        </w:tc>
      </w:tr>
      <w:tr>
        <w:tc>
          <w:tcPr>
            <w:tcW w:type="dxa" w:w="1440"/>
            <w:shd w:fill="FFDCE0" w:val="clear"/>
          </w:tcPr>
          <w:p>
            <w:r>
              <w:rPr>
                <w:sz w:val="17"/>
              </w:rPr>
              <w:t>J+8  ⭐</w:t>
            </w:r>
          </w:p>
        </w:tc>
        <w:tc>
          <w:tcPr>
            <w:tcW w:type="dxa" w:w="1440"/>
            <w:shd w:fill="FFDCE0" w:val="clear"/>
          </w:tcPr>
          <w:p>
            <w:r>
              <w:rPr>
                <w:sz w:val="17"/>
              </w:rPr>
              <w:t>2026-10-28</w:t>
            </w:r>
          </w:p>
        </w:tc>
        <w:tc>
          <w:tcPr>
            <w:tcW w:type="dxa" w:w="1440"/>
            <w:shd w:fill="FFDCE0" w:val="clear"/>
          </w:tcPr>
          <w:p>
            <w:r>
              <w:rPr>
                <w:sz w:val="17"/>
              </w:rPr>
              <w:t>7,024</w:t>
            </w:r>
          </w:p>
        </w:tc>
        <w:tc>
          <w:tcPr>
            <w:tcW w:type="dxa" w:w="1440"/>
            <w:shd w:fill="FFDCE0" w:val="clear"/>
          </w:tcPr>
          <w:p>
            <w:r>
              <w:rPr>
                <w:b/>
                <w:sz w:val="17"/>
              </w:rPr>
              <w:t>7,815</w:t>
            </w:r>
          </w:p>
        </w:tc>
        <w:tc>
          <w:tcPr>
            <w:tcW w:type="dxa" w:w="1440"/>
            <w:shd w:fill="FFDCE0" w:val="clear"/>
          </w:tcPr>
          <w:p>
            <w:r>
              <w:rPr>
                <w:sz w:val="17"/>
              </w:rPr>
              <w:t>8,605</w:t>
            </w:r>
          </w:p>
        </w:tc>
        <w:tc>
          <w:tcPr>
            <w:tcW w:type="dxa" w:w="1440"/>
            <w:shd w:fill="FFDCE0" w:val="clear"/>
          </w:tcPr>
          <w:p>
            <w:r>
              <w:rPr>
                <w:b/>
                <w:color w:val="C00000"/>
                <w:sz w:val="17"/>
              </w:rPr>
              <w:t>-2.4%</w:t>
            </w:r>
          </w:p>
        </w:tc>
      </w:tr>
      <w:tr>
        <w:tc>
          <w:tcPr>
            <w:tcW w:type="dxa" w:w="1440"/>
            <w:shd w:fill="FFDCE0" w:val="clear"/>
          </w:tcPr>
          <w:p>
            <w:r>
              <w:rPr>
                <w:sz w:val="17"/>
              </w:rPr>
              <w:t>J+9  ⭐</w:t>
            </w:r>
          </w:p>
        </w:tc>
        <w:tc>
          <w:tcPr>
            <w:tcW w:type="dxa" w:w="1440"/>
            <w:shd w:fill="FFDCE0" w:val="clear"/>
          </w:tcPr>
          <w:p>
            <w:r>
              <w:rPr>
                <w:sz w:val="17"/>
              </w:rPr>
              <w:t>2026-10-29</w:t>
            </w:r>
          </w:p>
        </w:tc>
        <w:tc>
          <w:tcPr>
            <w:tcW w:type="dxa" w:w="1440"/>
            <w:shd w:fill="FFDCE0" w:val="clear"/>
          </w:tcPr>
          <w:p>
            <w:r>
              <w:rPr>
                <w:sz w:val="17"/>
              </w:rPr>
              <w:t>6,962</w:t>
            </w:r>
          </w:p>
        </w:tc>
        <w:tc>
          <w:tcPr>
            <w:tcW w:type="dxa" w:w="1440"/>
            <w:shd w:fill="FFDCE0" w:val="clear"/>
          </w:tcPr>
          <w:p>
            <w:r>
              <w:rPr>
                <w:b/>
                <w:sz w:val="17"/>
              </w:rPr>
              <w:t>7,798</w:t>
            </w:r>
          </w:p>
        </w:tc>
        <w:tc>
          <w:tcPr>
            <w:tcW w:type="dxa" w:w="1440"/>
            <w:shd w:fill="FFDCE0" w:val="clear"/>
          </w:tcPr>
          <w:p>
            <w:r>
              <w:rPr>
                <w:sz w:val="17"/>
              </w:rPr>
              <w:t>8,635</w:t>
            </w:r>
          </w:p>
        </w:tc>
        <w:tc>
          <w:tcPr>
            <w:tcW w:type="dxa" w:w="1440"/>
            <w:shd w:fill="FFDCE0" w:val="clear"/>
          </w:tcPr>
          <w:p>
            <w:r>
              <w:rPr>
                <w:b/>
                <w:color w:val="C00000"/>
                <w:sz w:val="17"/>
              </w:rPr>
              <w:t>-2.6%</w:t>
            </w:r>
          </w:p>
        </w:tc>
      </w:tr>
      <w:tr>
        <w:tc>
          <w:tcPr>
            <w:tcW w:type="dxa" w:w="1440"/>
            <w:shd w:fill="FFDCE0" w:val="clear"/>
          </w:tcPr>
          <w:p>
            <w:r>
              <w:rPr>
                <w:sz w:val="17"/>
              </w:rPr>
              <w:t>J+10  ⭐</w:t>
            </w:r>
          </w:p>
        </w:tc>
        <w:tc>
          <w:tcPr>
            <w:tcW w:type="dxa" w:w="1440"/>
            <w:shd w:fill="FFDCE0" w:val="clear"/>
          </w:tcPr>
          <w:p>
            <w:r>
              <w:rPr>
                <w:sz w:val="17"/>
              </w:rPr>
              <w:t>2026-10-30</w:t>
            </w:r>
          </w:p>
        </w:tc>
        <w:tc>
          <w:tcPr>
            <w:tcW w:type="dxa" w:w="1440"/>
            <w:shd w:fill="FFDCE0" w:val="clear"/>
          </w:tcPr>
          <w:p>
            <w:r>
              <w:rPr>
                <w:sz w:val="17"/>
              </w:rPr>
              <w:t>6,902</w:t>
            </w:r>
          </w:p>
        </w:tc>
        <w:tc>
          <w:tcPr>
            <w:tcW w:type="dxa" w:w="1440"/>
            <w:shd w:fill="FFDCE0" w:val="clear"/>
          </w:tcPr>
          <w:p>
            <w:r>
              <w:rPr>
                <w:b/>
                <w:sz w:val="17"/>
              </w:rPr>
              <w:t>7,782</w:t>
            </w:r>
          </w:p>
        </w:tc>
        <w:tc>
          <w:tcPr>
            <w:tcW w:type="dxa" w:w="1440"/>
            <w:shd w:fill="FFDCE0" w:val="clear"/>
          </w:tcPr>
          <w:p>
            <w:r>
              <w:rPr>
                <w:sz w:val="17"/>
              </w:rPr>
              <w:t>8,663</w:t>
            </w:r>
          </w:p>
        </w:tc>
        <w:tc>
          <w:tcPr>
            <w:tcW w:type="dxa" w:w="1440"/>
            <w:shd w:fill="FFDCE0" w:val="clear"/>
          </w:tcPr>
          <w:p>
            <w:r>
              <w:rPr>
                <w:b/>
                <w:color w:val="C00000"/>
                <w:sz w:val="17"/>
              </w:rPr>
              <w:t>-2.8%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 RAPPORT D'ANALYSE FINANCIÈRE — BOABF (BANK OF AFRICA BURKINA FASO)</w:t>
        <w:br/>
        <w:t>**Bourse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352,44 milliards FCFA, BOABF s'affirme comme une valeur de premier plan du compartiment bancaire de la BRVM, ce qui traduit la solidité de son bilan (1 148,675 milliards FCFA d'actifs). Le BPA de 438 FCFA par action signifie que chaque titre génère près de 438 FCFA de bénéfice net, un niveau de rentabilité appréciable pour le marché ouest-africain. Le PER de 18,3x se situe nettement au-dessus de la moyenne BRVM (8-12x), ce qui indique que les investisseurs paient une prime significative pour les bénéfices de la banque — une valorisation exigeante qui intègre les anticipations de normalisation du coût du risque. Le P/B de 2,79x confirme cette prime de croissance : le marché valorise l'action près de trois fois sa valeur comptable (capitaux propres de 126,516 milliards FCFA), un niveau qui se situe dans la fourchette 2-4x caractéristique des banques de qualité. Enfin, l'EV/EBITDA de 8,1x, dans la zone raisonnable de 5-10x, suggère que la valeur d'entreprise reste cohérente avec la capacité opérationnelle de génération de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BOABF affiche une performance remarquable de +45,64%, portant le cours à 8 010 FCFA, avec une dernière séance stable (variation J-1 de 0,00%). Le range de trading est particulièrement large, oscillant entre un plus bas de 5 300 FCFA et un plus haut de 9 090 FCFA, soit un écart de plus de 70% entre les extrêmes — signe d'une forte amplitude de mouvement sur la période. La tendance générale est donc nettement haussière, le cours actuel se situant à environ 88% de son plus haut, ce qui témoigne d'une consolidation après le pic. Les statistiques descriptives révèlent une moyenne de 7 097 FCFA légèrement inférieure à la médiane de 7 200 FCFA, suggérant une distribution très légèrement tirée vers le bas par les séances de faiblesse, tandis que le mode à 7 100 FCFA confirme une zone de congestion autour de 7 100 FCFA. L'écart-type de 1 181 FCFA avec un coefficient de variation de 16,6% indique une dispersion modérée du cours autour de sa moyenne. Le kurtosis négatif (-1,256, distribution platykurtique) signale une distribution aplatie avec une faible concentration des rendements et un risque de pics extrêmes limité, tandis que le skewness quasi nul (0,001) confirme une symétrie parfaite de la distribution. La volatilité annualisée de 35,9% positionne le titre dans la catégorie des valeurs à volatilité élevée (&gt;30%), ce qui est cohérent avec son appartenance au secteur bancaire d'un marché frontière.</w:t>
      </w:r>
    </w:p>
    <w:p>
      <w:pPr>
        <w:spacing w:after="120" w:line="276" w:lineRule="auto"/>
      </w:pPr>
      <w:r>
        <w:t>---</w:t>
      </w:r>
    </w:p>
    <w:p>
      <w:pPr>
        <w:spacing w:after="120" w:line="276" w:lineRule="auto"/>
      </w:pPr>
      <w:r>
        <w:t>## PARTIE 2 : ANALYSE TECHNIQUE DÉTAILLÉE</w:t>
      </w:r>
    </w:p>
    <w:p>
      <w:pPr>
        <w:spacing w:after="120" w:line="276" w:lineRule="auto"/>
      </w:pPr>
      <w:r>
        <w:t>**Moyennes Mobiles** : La MM20 (7 946 FCFA) et la MM50 (8 075,1 FCFA) encadrent le cours actuel de 8 010 FCFA, qui se situe au-dessus de la MM20 mais légèrement en dessous de la MM50. Cette configuration traduit un essoufflement de la dynamique haussière de court terme, la MM50 faisant office de résistance immédiate. La décision technique est **Vente**, le croisement baissier potentiel et la position du cours sous la MM50 plaidant pour une consolidation.</w:t>
      </w:r>
    </w:p>
    <w:p>
      <w:pPr>
        <w:spacing w:after="120" w:line="276" w:lineRule="auto"/>
      </w:pPr>
      <w:r>
        <w:t>**Bandes de Bollinger** : Le cours (8 010 FCFA) évolue dans la partie médiane de la bande, entre la borne inférieure (7 498,415 FCFA) et la borne supérieure (8 393,585 FCFA), à environ 57% de l'amplitude. Cette position centrale traduit une absence de pression directionnelle forte et une volatilité en voie de normalisation. La décision est **Neutre**, le titre n'étant ni en zone de surachat ni de survente technique.</w:t>
      </w:r>
    </w:p>
    <w:p>
      <w:pPr>
        <w:spacing w:after="120" w:line="276" w:lineRule="auto"/>
      </w:pPr>
      <w:r>
        <w:t>**MACD** : La valeur du MACD (-28,96) est inférieure à sa ligne de signal (-27,866), confirmant une configuration baissière avec un momentum négatif. L'écart entre les deux lignes reste toutefois modeste, suggérant une pression vendeuse contenue plutôt qu'un retournement franc. La décision est **Vente**, le croisement négatif persistant appelant à la prudence.</w:t>
      </w:r>
    </w:p>
    <w:p>
      <w:pPr>
        <w:spacing w:after="120" w:line="276" w:lineRule="auto"/>
      </w:pPr>
      <w:r>
        <w:t>**RSI** : À 44,444, le RSI se situe en zone neutre (entre 30 et 70), sans signal de surachat ni de survente. Cette valeur légèrement sous la barre des 50 indique une dynamique acheteuse affaiblie mais non dégradée. La décision est **Neutre**, le titre conservant un potentiel de rebond sans excès baissier.</w:t>
      </w:r>
    </w:p>
    <w:p>
      <w:pPr>
        <w:spacing w:after="120" w:line="276" w:lineRule="auto"/>
      </w:pPr>
      <w:r>
        <w:t>**Stochastique** : Le %K (27,5) est inférieur au %D (30,417), avec les deux indicateurs en zone basse (proche de la zone de survente à 20). Cette configuration signale une pression baissière de court terme, mais la proximité de la zone de survente pourrait annoncer un rebond technique imminent. La décision est **Neutre**, le signal baissier n'étant pas encore confirmé par un franchissement net.</w:t>
      </w:r>
    </w:p>
    <w:p>
      <w:pPr>
        <w:spacing w:after="120" w:line="276" w:lineRule="auto"/>
      </w:pPr>
      <w:r>
        <w:t>**Conclusion technique** : Les indicateurs techniques présentent une configuration globalement baissière à neutre, avec deux signaux de vente (Moyennes Mobiles, MACD) et trois signaux neutres (Bollinger, RSI, Stochastique). Le cours évolue dans une phase de consolidation après la forte hausse de +45,64%, coincé entre la MM20 et la MM50, avec un momentum négatif modéré. L'absence de signal de survente extrême suggère que la correction pourrait se poursuivre légèrement avant un rebond, la zone de 7 500 FCFA (borne inférieure de Bollinger) constituant un support technique majeur à surveiller.</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BOABF a réalisé un Produit Net Bancaire (équivalent du chiffre d'affaires bancaire) de 57,820 milliards FCFA, quasi stable par rapport à 2024 (+0,6%), pour un résultat net de 19,252 milliards FCFA, en recul de -14,1% sur un an. La rentabilité des fonds propres (ROE) s'établit à 15,22%, niveau excellent (&gt;15%), tandis que le ROA de 1,68% reste modeste mais conforme aux standards bancaires. Le coefficient d'exploitation de 47,19% témoigne d'une excellente efficacité opérationnelle (&lt;50%), et la marge nette de 33,30% confirme la qualité de la profitabilité. Le coût du risque rapporté aux charges financières atteint 33,92%, niveau élevé qui traduit un risque de crédit significatif — c'est précisément ce poste qui a fait chuter le résultat net 2025 (provisions de 8,355 milliards FCFA contre 4,303 milliards en 2024). La structure financière reste solide avec une solvabilité générale de 112,38% (&gt;1) et une capacité de remboursement de 5,79 années, bien que l'autonomie financière de 11,01% soit inférieure au seuil de 30% en raison du modèle bancaire (dépôts clientèle de 877,822 milliards FCFA comme principale ressource).</w:t>
      </w:r>
    </w:p>
    <w:p>
      <w:pPr>
        <w:spacing w:after="120" w:line="276" w:lineRule="auto"/>
      </w:pPr>
      <w:r>
        <w:t>**Évolution temporelle et estimations (rapports trimestriels)** : Les rapports officiels révèlent une trajectoire contrastée. Le T1 2026 (rapport du 31/03/2026) montre un PNB de 12,694 milliards FCFA en repli de -10,75% et un résultat net de 4,520 milliards (-12,99%), le trimestre le plus faible de la série. En revanche, le S1 2026 (rapport du 30/06/2026) affiche un résultat net de 10,770 milliards FCFA en forte hausse de +31,0%, porté par une amélioration spectaculaire du coût du risque (-2,396 milliards contre -6,876 milliards un an plus tôt, soit -65,2%), malgré un PNB toujours en baisse (-5,2% à 27,539 milliards). Le T1 2026 confirme la dynamique de collecte (dépôts +6,3% à 933,233 milliards) mais un léger repli des crédits (-1,2%). Sur cette base, on estime que l'exercice 2026 pourrait afficher un résultat net annualisé supérieur à celui de 2025 (potentiel de 21-22 milliards FCFA si la normalisation du risque se confirme au S2), mais la baisse structurelle du PNB (-5,2% au S1) constitue un point d'attention majeur. La politique de dividende est bien établie : 397 FCFA par action versés le 23/04/2026 au titre de l'exercice 2025 (calendrier BRVM du 17/04/2026), soit un rendement de 4,96% au cours actuel de 8 010 FCFA.</w:t>
      </w:r>
    </w:p>
    <w:p>
      <w:pPr>
        <w:spacing w:after="120" w:line="276" w:lineRule="auto"/>
      </w:pPr>
      <w:r>
        <w:t>**Recommandation fondamentale** : La solidité financière de BOABF est avérée (ROE &gt;15%, coefficient d'exploitation excellent, solvabilité satisfaisante), mais la dynamique commerciale s'essouffle (PNB en repli) et la qualité du portefeuille de crédits reste un point de vigilance. La normalisation du coût du risque au S1 2026 est encourageante mais doit être confirmée. Recommandation : **CONSERVER**, avec un biais positif si la croissance du PNB se redresse au S2 2026.</w:t>
      </w:r>
    </w:p>
    <w:p>
      <w:pPr>
        <w:spacing w:after="120" w:line="276" w:lineRule="auto"/>
      </w:pPr>
      <w:r>
        <w:t>---</w:t>
      </w:r>
    </w:p>
    <w:p>
      <w:pPr>
        <w:spacing w:after="120" w:line="276" w:lineRule="auto"/>
      </w:pPr>
      <w:r>
        <w:t>## PARTIE 4 : CONCLUSION D'INVESTISSEMENT</w:t>
      </w:r>
    </w:p>
    <w:p>
      <w:pPr>
        <w:spacing w:after="120" w:line="276" w:lineRule="auto"/>
      </w:pPr>
      <w:r>
        <w:t>La synthèse des quatre dimensions d'analyse dessine un tableau nuancé. Sur le plan de la **valorisation (Partie 0)**, le PER de 18,3x et le P/B de 2,79x indiquent une action chèrement valorisée par rapport à la moyenne BRVM, intégrant déjà une large part du redressement attendu — l'EV/EBITDA de 8,1x reste toutefois raisonnable. Le **comportement du cours (Partie 1)** est marqué par une hausse spectaculaire de +45,64% sur 100 jours, mais les statistiques (kurtosis négatif, skewness nul, volatilité élevée de 35,9%) révèlent un titre à la distribution symétrique et sans pics extrêmes, évoluant désormais en phase de consolidation. Les **signaux techniques (Partie 2)** sont majoritairement baissiers à neutres (MM en vente, MACD en vente, Bollinger/RSI/Stochastique neutres), plaidant pour une poursuite de la correction de court terme. Les **fondamentaux (Partie 3)** demeurent solides (ROE 15,22%, coefficient d'exploitation 47,19%, dividende de 397 FCFA), avec une amélioration du résultat net au S1 2026 (+31,0%) mais une inquiétude sur la baisse du PNB (-5,2%). Les **prédictions IA (J+1 à J+10)** anticipent une trajectoire baissière graduelle de 7 966 à 7 867 FCFA, confirmant la pression technique actuelle et la consolidation en cours.</w:t>
      </w:r>
    </w:p>
    <w:p>
      <w:pPr>
        <w:spacing w:after="120" w:line="276" w:lineRule="auto"/>
      </w:pPr>
      <w:r>
        <w:t>**Recommandation finale : CONSERVER.** La convergence est partielle : la valorisation exigeante et les signaux techniques baissiers plaident pour la prudence à court terme, tandis que les fondamentaux solides et la normalisation du risque soutiennent la thèse de moyen terme. Les prédictions IA confirment la correction technique sans remettre en cause la solidité fondamentale. **Niveau de confiance : Moyen** (la divergence entre technique baissier et fondamental solide crée une incertitude). **Niveau de risque : Moyen** (volatilité élevée de 35,9% mais bilan solide). **Horizon optimal : moyen terme (3-12 mois)**, le temps que la consolidation technique s'achève et que la dynamique du PNB se confirme au S2 2026 ; les investisseurs déjà positionnés peuvent conserver en profitant du rendement de 4,96%, tandis que les nouveaux entrants attendront un retour vers la zone de support de 7 500 FCFA pour se positionner.</w:t>
      </w:r>
    </w:p>
    <w:p/>
    <w:p/>
    <w:p>
      <w:pPr>
        <w:pStyle w:val="Heading3"/>
      </w:pPr>
      <w:r>
        <w:rPr>
          <w:color w:val="00467F"/>
        </w:rPr>
        <w:t>📎 DOCUMENTS &amp; COMMUNICATIONS OFFICIELS BRVM</w:t>
      </w:r>
    </w:p>
    <w:p>
      <w:r>
        <w:rPr>
          <w:i/>
          <w:color w:val="646464"/>
          <w:sz w:val="18"/>
        </w:rPr>
        <w:t>5 document(s) disponible(s) pour cette société (affichage des 5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20261009   calendrier de paiement des dividendes   exercice 2025</w:t>
      </w:r>
    </w:p>
    <w:p>
      <w:pPr>
        <w:spacing w:before="20"/>
        <w:ind w:left="400"/>
      </w:pPr>
      <w:r>
        <w:rPr>
          <w:color w:val="505050"/>
          <w:sz w:val="17"/>
        </w:rPr>
        <w:t xml:space="preserve">Date : 12/10/2026  |  Catégorie : dividende  |  Impact : </w:t>
      </w:r>
      <w:r>
        <w:rPr>
          <w:b/>
          <w:color w:val="008000"/>
          <w:sz w:val="17"/>
        </w:rPr>
        <w:t>🟢 POSITIF</w:t>
      </w:r>
    </w:p>
    <w:p>
      <w:pPr>
        <w:spacing w:before="40"/>
        <w:ind w:left="400"/>
      </w:pPr>
      <w:r>
        <w:rPr>
          <w:sz w:val="18"/>
        </w:rPr>
        <w:t>La BRVM publie le calendrier de paiement des dividendes au titre de l'exercice 2025 pour les sociétés cotées, avec les montants nets par action, les dates de publication d'avis, les dates ex-dividende et les dates de paiement. Le document couvre plus de trente sociétés de la zone UEMOA, avec des paiements échelonnés d'avril à octobre 2026. Les montants indiqués sont nets, sauf pour les sociétés marquées d'un astérisque dont le dividende est brut avec application de l'IRVM.</w:t>
      </w:r>
    </w:p>
    <w:p>
      <w:pPr>
        <w:spacing w:before="60"/>
        <w:ind w:left="400"/>
      </w:pPr>
      <w:r>
        <w:rPr>
          <w:b/>
          <w:sz w:val="18"/>
        </w:rPr>
        <w:t>Points clés :</w:t>
      </w:r>
    </w:p>
    <w:p>
      <w:pPr>
        <w:pStyle w:val="ListBullet"/>
        <w:spacing w:before="20" w:after="20"/>
        <w:ind w:left="700"/>
      </w:pPr>
      <w:r>
        <w:rPr>
          <w:sz w:val="18"/>
        </w:rPr>
        <w:t>Le calendrier couvre les dividendes de l'exercice 2025 pour plus de 30 sociétés cotées à la BRVM</w:t>
      </w:r>
    </w:p>
    <w:p>
      <w:pPr>
        <w:pStyle w:val="ListBullet"/>
        <w:spacing w:before="20" w:after="20"/>
        <w:ind w:left="700"/>
      </w:pPr>
      <w:r>
        <w:rPr>
          <w:sz w:val="18"/>
        </w:rPr>
        <w:t>Les paiements s'échelonnent du 23 avril 2026 (BOA Burkina Faso) au 27 octobre 2026 (Africa Global Logistics CI)</w:t>
      </w:r>
    </w:p>
    <w:p>
      <w:pPr>
        <w:pStyle w:val="ListBullet"/>
        <w:spacing w:before="20" w:after="20"/>
        <w:ind w:left="700"/>
      </w:pPr>
      <w:r>
        <w:rPr>
          <w:sz w:val="18"/>
        </w:rPr>
        <w:t>Les montants nets par action varient de 0,9184 FCFA (Ecobank Transnational Incorporated) à 2 606 FCFA (Société Générale CI)</w:t>
      </w:r>
    </w:p>
    <w:p>
      <w:pPr>
        <w:pStyle w:val="ListBullet"/>
        <w:spacing w:before="20" w:after="20"/>
        <w:ind w:left="700"/>
      </w:pPr>
      <w:r>
        <w:rPr>
          <w:sz w:val="18"/>
        </w:rPr>
        <w:t>Les sociétés marquées d'un astérisque affichent un dividende brut soumis à l'IRVM de 12% pour les personnes physiques et 10% pour les personnes morales</w:t>
      </w:r>
    </w:p>
    <w:p>
      <w:pPr>
        <w:pStyle w:val="ListBullet"/>
        <w:spacing w:before="20" w:after="20"/>
        <w:ind w:left="700"/>
      </w:pPr>
      <w:r>
        <w:rPr>
          <w:sz w:val="18"/>
        </w:rPr>
        <w:t>Chaque ligne précise le numéro d'avis, la date de publication au BOC, la date ex-dividende (T-1) et la date de paiement (T)</w:t>
      </w:r>
    </w:p>
    <w:p>
      <w:pPr>
        <w:ind w:left="400"/>
      </w:pPr>
      <w:r>
        <w:rPr>
          <w:color w:val="B4B4B4"/>
          <w:sz w:val="14"/>
        </w:rPr>
        <w:t xml:space="preserve">· · · · · · · · · · · · · · · · · · · · · · · · · · · · · · </w:t>
      </w:r>
    </w:p>
    <w:p>
      <w:pPr>
        <w:spacing w:before="160"/>
      </w:pPr>
      <w:r>
        <w:rPr>
          <w:b/>
          <w:color w:val="0066CC"/>
          <w:sz w:val="20"/>
        </w:rPr>
        <w:t xml:space="preserve">[3]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[4] </w:t>
      </w:r>
      <w:r>
        <w:rPr>
          <w:b/>
          <w:sz w:val="20"/>
        </w:rPr>
        <w:t>20261006   calendrier de paiement des dividendes   exercice 2025</w:t>
      </w:r>
    </w:p>
    <w:p>
      <w:pPr>
        <w:spacing w:before="20"/>
        <w:ind w:left="400"/>
      </w:pPr>
      <w:r>
        <w:rPr>
          <w:color w:val="505050"/>
          <w:sz w:val="17"/>
        </w:rPr>
        <w:t xml:space="preserve">Date : 07/10/2026  |  Catégorie : dividende  |  Impact : </w:t>
      </w:r>
      <w:r>
        <w:rPr>
          <w:b/>
          <w:color w:val="008000"/>
          <w:sz w:val="17"/>
        </w:rPr>
        <w:t>🟢 POSITIF</w:t>
      </w:r>
    </w:p>
    <w:p>
      <w:pPr>
        <w:spacing w:before="40"/>
        <w:ind w:left="400"/>
      </w:pPr>
      <w:r>
        <w:rPr>
          <w:sz w:val="18"/>
        </w:rPr>
        <w:t>La BRVM publie le calendrier de paiement des dividendes au titre de l'exercice 2025 pour les sociétés cotées. Le document liste pour chaque société le montant du dividende net par action, le numéro d'avis, la date de publication au BOC, la date ex-dividende et la date de paiement. Les paiements s'échelonnent de mars 2026 à octobre 2026, avec une note précisant que les montants marqués d'un astérisque sont des dividendes bruts soumis à l'IRVM.</w:t>
      </w:r>
    </w:p>
    <w:p>
      <w:pPr>
        <w:spacing w:before="60"/>
        <w:ind w:left="400"/>
      </w:pPr>
      <w:r>
        <w:rPr>
          <w:b/>
          <w:sz w:val="18"/>
        </w:rPr>
        <w:t>Points clés :</w:t>
      </w:r>
    </w:p>
    <w:p>
      <w:pPr>
        <w:pStyle w:val="ListBullet"/>
        <w:spacing w:before="20" w:after="20"/>
        <w:ind w:left="700"/>
      </w:pPr>
      <w:r>
        <w:rPr>
          <w:sz w:val="18"/>
        </w:rPr>
        <w:t>Le calendrier couvre plus de 30 sociétés cotées à la BRVM pour l'exercice 2025</w:t>
      </w:r>
    </w:p>
    <w:p>
      <w:pPr>
        <w:pStyle w:val="ListBullet"/>
        <w:spacing w:before="20" w:after="20"/>
        <w:ind w:left="700"/>
      </w:pPr>
      <w:r>
        <w:rPr>
          <w:sz w:val="18"/>
        </w:rPr>
        <w:t>Les paiements s'étalent de mars 2026 (BOA Burkina Faso) à octobre 2026 (Tractafric Motors CI)</w:t>
      </w:r>
    </w:p>
    <w:p>
      <w:pPr>
        <w:pStyle w:val="ListBullet"/>
        <w:spacing w:before="20" w:after="20"/>
        <w:ind w:left="700"/>
      </w:pPr>
      <w:r>
        <w:rPr>
          <w:sz w:val="18"/>
        </w:rPr>
        <w:t>Les montants des dividendes nets par action varient de 0,9184 FCFA (Ecobank Transnational) à 2 606 FCFA (Société Générale CI)</w:t>
      </w:r>
    </w:p>
    <w:p>
      <w:pPr>
        <w:pStyle w:val="ListBullet"/>
        <w:spacing w:before="20" w:after="20"/>
        <w:ind w:left="700"/>
      </w:pPr>
      <w:r>
        <w:rPr>
          <w:sz w:val="18"/>
        </w:rPr>
        <w:t>Les dates ex-dividende précèdent généralement les dates de paiement de quelques jours à quelques semaines</w:t>
      </w:r>
    </w:p>
    <w:p>
      <w:pPr>
        <w:pStyle w:val="ListBullet"/>
        <w:spacing w:before="20" w:after="20"/>
        <w:ind w:left="700"/>
      </w:pPr>
      <w:r>
        <w:rPr>
          <w:sz w:val="18"/>
        </w:rPr>
        <w:t>Un astérisque indique les dividendes bruts avec IRVM applicable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[5]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8.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455.80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10,666 titres</w:t>
            </w:r>
          </w:p>
        </w:tc>
        <w:tc>
          <w:tcPr>
            <w:tcW w:type="dxa" w:w="2268"/>
            <w:shd w:fill="FFF2CC" w:val="clear"/>
          </w:tcPr>
          <w:p>
            <w:r>
              <w:rPr>
                <w:b/>
                <w:color w:val="503200"/>
                <w:sz w:val="16"/>
              </w:rPr>
              <w:t xml:space="preserve">Cours actuel : </w:t>
            </w:r>
            <w:r>
              <w:rPr>
                <w:color w:val="000000"/>
                <w:sz w:val="17"/>
              </w:rPr>
              <w:t>11,395 FCFA</w:t>
            </w:r>
          </w:p>
          <w:p>
            <w:r>
              <w:rPr>
                <w:b/>
                <w:color w:val="503200"/>
                <w:sz w:val="16"/>
              </w:rPr>
              <w:t xml:space="preserve">Var. 100 jours : </w:t>
            </w:r>
            <w:r>
              <w:rPr>
                <w:b/>
                <w:color w:val="007800"/>
                <w:sz w:val="17"/>
              </w:rPr>
              <w:t>+29.12%</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8,800 FCFA</w:t>
            </w:r>
          </w:p>
          <w:p>
            <w:r>
              <w:rPr>
                <w:b/>
                <w:color w:val="503200"/>
                <w:sz w:val="16"/>
              </w:rPr>
              <w:t xml:space="preserve">Volatilité ann. : </w:t>
            </w:r>
            <w:r>
              <w:rPr>
                <w:color w:val="000000"/>
                <w:sz w:val="17"/>
              </w:rPr>
              <w:t>27.9%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13.48% (Moyenne) — μ=10,793 FCFA, σ=1,455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β=0.7157 (Défensif) — Cov=0.000054, Var(idx)=0.000076, ρ=0.353,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10,666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σ_j=1.76%/j (Stable) — Vol. annualisée≈27.9%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319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2026-10-19</w:t>
            </w:r>
          </w:p>
        </w:tc>
        <w:tc>
          <w:tcPr>
            <w:tcW w:type="dxa" w:w="1440"/>
            <w:shd w:fill="FAFAFA" w:val="clear"/>
          </w:tcPr>
          <w:p>
            <w:r>
              <w:rPr>
                <w:sz w:val="17"/>
              </w:rPr>
              <w:t>11,088</w:t>
            </w:r>
          </w:p>
        </w:tc>
        <w:tc>
          <w:tcPr>
            <w:tcW w:type="dxa" w:w="1440"/>
            <w:shd w:fill="FAFAFA" w:val="clear"/>
          </w:tcPr>
          <w:p>
            <w:r>
              <w:rPr>
                <w:b/>
                <w:sz w:val="17"/>
              </w:rPr>
              <w:t>11,407</w:t>
            </w:r>
          </w:p>
        </w:tc>
        <w:tc>
          <w:tcPr>
            <w:tcW w:type="dxa" w:w="1440"/>
            <w:shd w:fill="FAFAFA" w:val="clear"/>
          </w:tcPr>
          <w:p>
            <w:r>
              <w:rPr>
                <w:sz w:val="17"/>
              </w:rPr>
              <w:t>11,727</w:t>
            </w:r>
          </w:p>
        </w:tc>
        <w:tc>
          <w:tcPr>
            <w:tcW w:type="dxa" w:w="1440"/>
            <w:shd w:fill="FAFAFA" w:val="clear"/>
          </w:tcPr>
          <w:p>
            <w:r>
              <w:rPr>
                <w:b/>
                <w:color w:val="008000"/>
                <w:sz w:val="17"/>
              </w:rPr>
              <w:t>+0.1%</w:t>
            </w:r>
          </w:p>
        </w:tc>
      </w:tr>
      <w:tr>
        <w:tc>
          <w:tcPr>
            <w:tcW w:type="dxa" w:w="1440"/>
            <w:shd w:fill="FAFAFA" w:val="clear"/>
          </w:tcPr>
          <w:p>
            <w:r>
              <w:rPr>
                <w:sz w:val="17"/>
              </w:rPr>
              <w:t>J+2  ⭐⭐⭐</w:t>
            </w:r>
          </w:p>
        </w:tc>
        <w:tc>
          <w:tcPr>
            <w:tcW w:type="dxa" w:w="1440"/>
            <w:shd w:fill="FAFAFA" w:val="clear"/>
          </w:tcPr>
          <w:p>
            <w:r>
              <w:rPr>
                <w:sz w:val="17"/>
              </w:rPr>
              <w:t>2026-10-20</w:t>
            </w:r>
          </w:p>
        </w:tc>
        <w:tc>
          <w:tcPr>
            <w:tcW w:type="dxa" w:w="1440"/>
            <w:shd w:fill="FAFAFA" w:val="clear"/>
          </w:tcPr>
          <w:p>
            <w:r>
              <w:rPr>
                <w:sz w:val="17"/>
              </w:rPr>
              <w:t>10,970</w:t>
            </w:r>
          </w:p>
        </w:tc>
        <w:tc>
          <w:tcPr>
            <w:tcW w:type="dxa" w:w="1440"/>
            <w:shd w:fill="FAFAFA" w:val="clear"/>
          </w:tcPr>
          <w:p>
            <w:r>
              <w:rPr>
                <w:b/>
                <w:sz w:val="17"/>
              </w:rPr>
              <w:t>11,422</w:t>
            </w:r>
          </w:p>
        </w:tc>
        <w:tc>
          <w:tcPr>
            <w:tcW w:type="dxa" w:w="1440"/>
            <w:shd w:fill="FAFAFA" w:val="clear"/>
          </w:tcPr>
          <w:p>
            <w:r>
              <w:rPr>
                <w:sz w:val="17"/>
              </w:rPr>
              <w:t>11,874</w:t>
            </w:r>
          </w:p>
        </w:tc>
        <w:tc>
          <w:tcPr>
            <w:tcW w:type="dxa" w:w="1440"/>
            <w:shd w:fill="FAFAFA" w:val="clear"/>
          </w:tcPr>
          <w:p>
            <w:r>
              <w:rPr>
                <w:b/>
                <w:color w:val="008000"/>
                <w:sz w:val="17"/>
              </w:rPr>
              <w:t>+0.2%</w:t>
            </w:r>
          </w:p>
        </w:tc>
      </w:tr>
      <w:tr>
        <w:tc>
          <w:tcPr>
            <w:tcW w:type="dxa" w:w="1440"/>
            <w:shd w:fill="FAFAFA" w:val="clear"/>
          </w:tcPr>
          <w:p>
            <w:r>
              <w:rPr>
                <w:sz w:val="17"/>
              </w:rPr>
              <w:t>J+3  ⭐⭐⭐</w:t>
            </w:r>
          </w:p>
        </w:tc>
        <w:tc>
          <w:tcPr>
            <w:tcW w:type="dxa" w:w="1440"/>
            <w:shd w:fill="FAFAFA" w:val="clear"/>
          </w:tcPr>
          <w:p>
            <w:r>
              <w:rPr>
                <w:sz w:val="17"/>
              </w:rPr>
              <w:t>2026-10-21</w:t>
            </w:r>
          </w:p>
        </w:tc>
        <w:tc>
          <w:tcPr>
            <w:tcW w:type="dxa" w:w="1440"/>
            <w:shd w:fill="FAFAFA" w:val="clear"/>
          </w:tcPr>
          <w:p>
            <w:r>
              <w:rPr>
                <w:sz w:val="17"/>
              </w:rPr>
              <w:t>10,881</w:t>
            </w:r>
          </w:p>
        </w:tc>
        <w:tc>
          <w:tcPr>
            <w:tcW w:type="dxa" w:w="1440"/>
            <w:shd w:fill="FAFAFA" w:val="clear"/>
          </w:tcPr>
          <w:p>
            <w:r>
              <w:rPr>
                <w:b/>
                <w:sz w:val="17"/>
              </w:rPr>
              <w:t>11,436</w:t>
            </w:r>
          </w:p>
        </w:tc>
        <w:tc>
          <w:tcPr>
            <w:tcW w:type="dxa" w:w="1440"/>
            <w:shd w:fill="FAFAFA" w:val="clear"/>
          </w:tcPr>
          <w:p>
            <w:r>
              <w:rPr>
                <w:sz w:val="17"/>
              </w:rPr>
              <w:t>11,990</w:t>
            </w:r>
          </w:p>
        </w:tc>
        <w:tc>
          <w:tcPr>
            <w:tcW w:type="dxa" w:w="1440"/>
            <w:shd w:fill="FAFAFA" w:val="clear"/>
          </w:tcPr>
          <w:p>
            <w:r>
              <w:rPr>
                <w:b/>
                <w:color w:val="008000"/>
                <w:sz w:val="17"/>
              </w:rPr>
              <w:t>+0.4%</w:t>
            </w:r>
          </w:p>
        </w:tc>
      </w:tr>
      <w:tr>
        <w:tc>
          <w:tcPr>
            <w:tcW w:type="dxa" w:w="1440"/>
            <w:shd w:fill="FAFAFA" w:val="clear"/>
          </w:tcPr>
          <w:p>
            <w:r>
              <w:rPr>
                <w:sz w:val="17"/>
              </w:rPr>
              <w:t>J+4  Moyenne</w:t>
            </w:r>
          </w:p>
        </w:tc>
        <w:tc>
          <w:tcPr>
            <w:tcW w:type="dxa" w:w="1440"/>
            <w:shd w:fill="FAFAFA" w:val="clear"/>
          </w:tcPr>
          <w:p>
            <w:r>
              <w:rPr>
                <w:sz w:val="17"/>
              </w:rPr>
              <w:t>2026-10-22</w:t>
            </w:r>
          </w:p>
        </w:tc>
        <w:tc>
          <w:tcPr>
            <w:tcW w:type="dxa" w:w="1440"/>
            <w:shd w:fill="FAFAFA" w:val="clear"/>
          </w:tcPr>
          <w:p>
            <w:r>
              <w:rPr>
                <w:sz w:val="17"/>
              </w:rPr>
              <w:t>10,809</w:t>
            </w:r>
          </w:p>
        </w:tc>
        <w:tc>
          <w:tcPr>
            <w:tcW w:type="dxa" w:w="1440"/>
            <w:shd w:fill="FAFAFA" w:val="clear"/>
          </w:tcPr>
          <w:p>
            <w:r>
              <w:rPr>
                <w:b/>
                <w:sz w:val="17"/>
              </w:rPr>
              <w:t>11,450</w:t>
            </w:r>
          </w:p>
        </w:tc>
        <w:tc>
          <w:tcPr>
            <w:tcW w:type="dxa" w:w="1440"/>
            <w:shd w:fill="FAFAFA" w:val="clear"/>
          </w:tcPr>
          <w:p>
            <w:r>
              <w:rPr>
                <w:sz w:val="17"/>
              </w:rPr>
              <w:t>12,090</w:t>
            </w:r>
          </w:p>
        </w:tc>
        <w:tc>
          <w:tcPr>
            <w:tcW w:type="dxa" w:w="1440"/>
            <w:shd w:fill="FAFAFA" w:val="clear"/>
          </w:tcPr>
          <w:p>
            <w:r>
              <w:rPr>
                <w:b/>
                <w:color w:val="008000"/>
                <w:sz w:val="17"/>
              </w:rPr>
              <w:t>+0.5%</w:t>
            </w:r>
          </w:p>
        </w:tc>
      </w:tr>
      <w:tr>
        <w:tc>
          <w:tcPr>
            <w:tcW w:type="dxa" w:w="1440"/>
            <w:shd w:fill="FAFAFA" w:val="clear"/>
          </w:tcPr>
          <w:p>
            <w:r>
              <w:rPr>
                <w:sz w:val="17"/>
              </w:rPr>
              <w:t>J+5  Moyenne</w:t>
            </w:r>
          </w:p>
        </w:tc>
        <w:tc>
          <w:tcPr>
            <w:tcW w:type="dxa" w:w="1440"/>
            <w:shd w:fill="FAFAFA" w:val="clear"/>
          </w:tcPr>
          <w:p>
            <w:r>
              <w:rPr>
                <w:sz w:val="17"/>
              </w:rPr>
              <w:t>2026-10-23</w:t>
            </w:r>
          </w:p>
        </w:tc>
        <w:tc>
          <w:tcPr>
            <w:tcW w:type="dxa" w:w="1440"/>
            <w:shd w:fill="FAFAFA" w:val="clear"/>
          </w:tcPr>
          <w:p>
            <w:r>
              <w:rPr>
                <w:sz w:val="17"/>
              </w:rPr>
              <w:t>10,746</w:t>
            </w:r>
          </w:p>
        </w:tc>
        <w:tc>
          <w:tcPr>
            <w:tcW w:type="dxa" w:w="1440"/>
            <w:shd w:fill="FAFAFA" w:val="clear"/>
          </w:tcPr>
          <w:p>
            <w:r>
              <w:rPr>
                <w:b/>
                <w:sz w:val="17"/>
              </w:rPr>
              <w:t>11,463</w:t>
            </w:r>
          </w:p>
        </w:tc>
        <w:tc>
          <w:tcPr>
            <w:tcW w:type="dxa" w:w="1440"/>
            <w:shd w:fill="FAFAFA" w:val="clear"/>
          </w:tcPr>
          <w:p>
            <w:r>
              <w:rPr>
                <w:sz w:val="17"/>
              </w:rPr>
              <w:t>12,180</w:t>
            </w:r>
          </w:p>
        </w:tc>
        <w:tc>
          <w:tcPr>
            <w:tcW w:type="dxa" w:w="1440"/>
            <w:shd w:fill="FAFAFA" w:val="clear"/>
          </w:tcPr>
          <w:p>
            <w:r>
              <w:rPr>
                <w:b/>
                <w:color w:val="008000"/>
                <w:sz w:val="17"/>
              </w:rPr>
              <w:t>+0.6%</w:t>
            </w:r>
          </w:p>
        </w:tc>
      </w:tr>
      <w:tr>
        <w:tc>
          <w:tcPr>
            <w:tcW w:type="dxa" w:w="1440"/>
            <w:shd w:fill="FAFAFA" w:val="clear"/>
          </w:tcPr>
          <w:p>
            <w:r>
              <w:rPr>
                <w:sz w:val="17"/>
              </w:rPr>
              <w:t>J+6  Moyenne</w:t>
            </w:r>
          </w:p>
        </w:tc>
        <w:tc>
          <w:tcPr>
            <w:tcW w:type="dxa" w:w="1440"/>
            <w:shd w:fill="FAFAFA" w:val="clear"/>
          </w:tcPr>
          <w:p>
            <w:r>
              <w:rPr>
                <w:sz w:val="17"/>
              </w:rPr>
              <w:t>2026-10-26</w:t>
            </w:r>
          </w:p>
        </w:tc>
        <w:tc>
          <w:tcPr>
            <w:tcW w:type="dxa" w:w="1440"/>
            <w:shd w:fill="FAFAFA" w:val="clear"/>
          </w:tcPr>
          <w:p>
            <w:r>
              <w:rPr>
                <w:sz w:val="17"/>
              </w:rPr>
              <w:t>10,689</w:t>
            </w:r>
          </w:p>
        </w:tc>
        <w:tc>
          <w:tcPr>
            <w:tcW w:type="dxa" w:w="1440"/>
            <w:shd w:fill="FAFAFA" w:val="clear"/>
          </w:tcPr>
          <w:p>
            <w:r>
              <w:rPr>
                <w:b/>
                <w:sz w:val="17"/>
              </w:rPr>
              <w:t>11,476</w:t>
            </w:r>
          </w:p>
        </w:tc>
        <w:tc>
          <w:tcPr>
            <w:tcW w:type="dxa" w:w="1440"/>
            <w:shd w:fill="FAFAFA" w:val="clear"/>
          </w:tcPr>
          <w:p>
            <w:r>
              <w:rPr>
                <w:sz w:val="17"/>
              </w:rPr>
              <w:t>12,262</w:t>
            </w:r>
          </w:p>
        </w:tc>
        <w:tc>
          <w:tcPr>
            <w:tcW w:type="dxa" w:w="1440"/>
            <w:shd w:fill="FAFAFA" w:val="clear"/>
          </w:tcPr>
          <w:p>
            <w:r>
              <w:rPr>
                <w:b/>
                <w:color w:val="008000"/>
                <w:sz w:val="17"/>
              </w:rPr>
              <w:t>+0.7%</w:t>
            </w:r>
          </w:p>
        </w:tc>
      </w:tr>
      <w:tr>
        <w:tc>
          <w:tcPr>
            <w:tcW w:type="dxa" w:w="1440"/>
            <w:shd w:fill="FAFAFA" w:val="clear"/>
          </w:tcPr>
          <w:p>
            <w:r>
              <w:rPr>
                <w:sz w:val="17"/>
              </w:rPr>
              <w:t>J+7  Moyenne</w:t>
            </w:r>
          </w:p>
        </w:tc>
        <w:tc>
          <w:tcPr>
            <w:tcW w:type="dxa" w:w="1440"/>
            <w:shd w:fill="FAFAFA" w:val="clear"/>
          </w:tcPr>
          <w:p>
            <w:r>
              <w:rPr>
                <w:sz w:val="17"/>
              </w:rPr>
              <w:t>2026-10-27</w:t>
            </w:r>
          </w:p>
        </w:tc>
        <w:tc>
          <w:tcPr>
            <w:tcW w:type="dxa" w:w="1440"/>
            <w:shd w:fill="FAFAFA" w:val="clear"/>
          </w:tcPr>
          <w:p>
            <w:r>
              <w:rPr>
                <w:sz w:val="17"/>
              </w:rPr>
              <w:t>10,637</w:t>
            </w:r>
          </w:p>
        </w:tc>
        <w:tc>
          <w:tcPr>
            <w:tcW w:type="dxa" w:w="1440"/>
            <w:shd w:fill="FAFAFA" w:val="clear"/>
          </w:tcPr>
          <w:p>
            <w:r>
              <w:rPr>
                <w:b/>
                <w:sz w:val="17"/>
              </w:rPr>
              <w:t>11,488</w:t>
            </w:r>
          </w:p>
        </w:tc>
        <w:tc>
          <w:tcPr>
            <w:tcW w:type="dxa" w:w="1440"/>
            <w:shd w:fill="FAFAFA" w:val="clear"/>
          </w:tcPr>
          <w:p>
            <w:r>
              <w:rPr>
                <w:sz w:val="17"/>
              </w:rPr>
              <w:t>12,338</w:t>
            </w:r>
          </w:p>
        </w:tc>
        <w:tc>
          <w:tcPr>
            <w:tcW w:type="dxa" w:w="1440"/>
            <w:shd w:fill="FAFAFA" w:val="clear"/>
          </w:tcPr>
          <w:p>
            <w:r>
              <w:rPr>
                <w:b/>
                <w:color w:val="008000"/>
                <w:sz w:val="17"/>
              </w:rPr>
              <w:t>+0.8%</w:t>
            </w:r>
          </w:p>
        </w:tc>
      </w:tr>
      <w:tr>
        <w:tc>
          <w:tcPr>
            <w:tcW w:type="dxa" w:w="1440"/>
            <w:shd w:fill="FAFAFA" w:val="clear"/>
          </w:tcPr>
          <w:p>
            <w:r>
              <w:rPr>
                <w:sz w:val="17"/>
              </w:rPr>
              <w:t>J+8  Moyenne</w:t>
            </w:r>
          </w:p>
        </w:tc>
        <w:tc>
          <w:tcPr>
            <w:tcW w:type="dxa" w:w="1440"/>
            <w:shd w:fill="FAFAFA" w:val="clear"/>
          </w:tcPr>
          <w:p>
            <w:r>
              <w:rPr>
                <w:sz w:val="17"/>
              </w:rPr>
              <w:t>2026-10-28</w:t>
            </w:r>
          </w:p>
        </w:tc>
        <w:tc>
          <w:tcPr>
            <w:tcW w:type="dxa" w:w="1440"/>
            <w:shd w:fill="FAFAFA" w:val="clear"/>
          </w:tcPr>
          <w:p>
            <w:r>
              <w:rPr>
                <w:sz w:val="17"/>
              </w:rPr>
              <w:t>10,589</w:t>
            </w:r>
          </w:p>
        </w:tc>
        <w:tc>
          <w:tcPr>
            <w:tcW w:type="dxa" w:w="1440"/>
            <w:shd w:fill="FAFAFA" w:val="clear"/>
          </w:tcPr>
          <w:p>
            <w:r>
              <w:rPr>
                <w:b/>
                <w:sz w:val="17"/>
              </w:rPr>
              <w:t>11,500</w:t>
            </w:r>
          </w:p>
        </w:tc>
        <w:tc>
          <w:tcPr>
            <w:tcW w:type="dxa" w:w="1440"/>
            <w:shd w:fill="FAFAFA" w:val="clear"/>
          </w:tcPr>
          <w:p>
            <w:r>
              <w:rPr>
                <w:sz w:val="17"/>
              </w:rPr>
              <w:t>12,410</w:t>
            </w:r>
          </w:p>
        </w:tc>
        <w:tc>
          <w:tcPr>
            <w:tcW w:type="dxa" w:w="1440"/>
            <w:shd w:fill="FAFAFA" w:val="clear"/>
          </w:tcPr>
          <w:p>
            <w:r>
              <w:rPr>
                <w:b/>
                <w:color w:val="008000"/>
                <w:sz w:val="17"/>
              </w:rPr>
              <w:t>+0.9%</w:t>
            </w:r>
          </w:p>
        </w:tc>
      </w:tr>
      <w:tr>
        <w:tc>
          <w:tcPr>
            <w:tcW w:type="dxa" w:w="1440"/>
            <w:shd w:fill="FAFAFA" w:val="clear"/>
          </w:tcPr>
          <w:p>
            <w:r>
              <w:rPr>
                <w:sz w:val="17"/>
              </w:rPr>
              <w:t>J+9  Moyenne</w:t>
            </w:r>
          </w:p>
        </w:tc>
        <w:tc>
          <w:tcPr>
            <w:tcW w:type="dxa" w:w="1440"/>
            <w:shd w:fill="FAFAFA" w:val="clear"/>
          </w:tcPr>
          <w:p>
            <w:r>
              <w:rPr>
                <w:sz w:val="17"/>
              </w:rPr>
              <w:t>2026-10-29</w:t>
            </w:r>
          </w:p>
        </w:tc>
        <w:tc>
          <w:tcPr>
            <w:tcW w:type="dxa" w:w="1440"/>
            <w:shd w:fill="FAFAFA" w:val="clear"/>
          </w:tcPr>
          <w:p>
            <w:r>
              <w:rPr>
                <w:sz w:val="17"/>
              </w:rPr>
              <w:t>10,544</w:t>
            </w:r>
          </w:p>
        </w:tc>
        <w:tc>
          <w:tcPr>
            <w:tcW w:type="dxa" w:w="1440"/>
            <w:shd w:fill="FAFAFA" w:val="clear"/>
          </w:tcPr>
          <w:p>
            <w:r>
              <w:rPr>
                <w:b/>
                <w:sz w:val="17"/>
              </w:rPr>
              <w:t>11,511</w:t>
            </w:r>
          </w:p>
        </w:tc>
        <w:tc>
          <w:tcPr>
            <w:tcW w:type="dxa" w:w="1440"/>
            <w:shd w:fill="FAFAFA" w:val="clear"/>
          </w:tcPr>
          <w:p>
            <w:r>
              <w:rPr>
                <w:sz w:val="17"/>
              </w:rPr>
              <w:t>12,477</w:t>
            </w:r>
          </w:p>
        </w:tc>
        <w:tc>
          <w:tcPr>
            <w:tcW w:type="dxa" w:w="1440"/>
            <w:shd w:fill="FAFAFA" w:val="clear"/>
          </w:tcPr>
          <w:p>
            <w:r>
              <w:rPr>
                <w:b/>
                <w:color w:val="008000"/>
                <w:sz w:val="17"/>
              </w:rPr>
              <w:t>+1.0%</w:t>
            </w:r>
          </w:p>
        </w:tc>
      </w:tr>
      <w:tr>
        <w:tc>
          <w:tcPr>
            <w:tcW w:type="dxa" w:w="1440"/>
            <w:shd w:fill="FAFAFA" w:val="clear"/>
          </w:tcPr>
          <w:p>
            <w:r>
              <w:rPr>
                <w:sz w:val="17"/>
              </w:rPr>
              <w:t>J+10  Moyenne</w:t>
            </w:r>
          </w:p>
        </w:tc>
        <w:tc>
          <w:tcPr>
            <w:tcW w:type="dxa" w:w="1440"/>
            <w:shd w:fill="FAFAFA" w:val="clear"/>
          </w:tcPr>
          <w:p>
            <w:r>
              <w:rPr>
                <w:sz w:val="17"/>
              </w:rPr>
              <w:t>2026-10-30</w:t>
            </w:r>
          </w:p>
        </w:tc>
        <w:tc>
          <w:tcPr>
            <w:tcW w:type="dxa" w:w="1440"/>
            <w:shd w:fill="FAFAFA" w:val="clear"/>
          </w:tcPr>
          <w:p>
            <w:r>
              <w:rPr>
                <w:sz w:val="17"/>
              </w:rPr>
              <w:t>10,502</w:t>
            </w:r>
          </w:p>
        </w:tc>
        <w:tc>
          <w:tcPr>
            <w:tcW w:type="dxa" w:w="1440"/>
            <w:shd w:fill="FAFAFA" w:val="clear"/>
          </w:tcPr>
          <w:p>
            <w:r>
              <w:rPr>
                <w:b/>
                <w:sz w:val="17"/>
              </w:rPr>
              <w:t>11,521</w:t>
            </w:r>
          </w:p>
        </w:tc>
        <w:tc>
          <w:tcPr>
            <w:tcW w:type="dxa" w:w="1440"/>
            <w:shd w:fill="FAFAFA" w:val="clear"/>
          </w:tcPr>
          <w:p>
            <w:r>
              <w:rPr>
                <w:sz w:val="17"/>
              </w:rPr>
              <w:t>12,541</w:t>
            </w:r>
          </w:p>
        </w:tc>
        <w:tc>
          <w:tcPr>
            <w:tcW w:type="dxa" w:w="1440"/>
            <w:shd w:fill="FAFAFA" w:val="clear"/>
          </w:tcPr>
          <w:p>
            <w:r>
              <w:rPr>
                <w:b/>
                <w:color w:val="008000"/>
                <w:sz w:val="17"/>
              </w:rPr>
              <w:t>+1.1%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 RAPPORT D'ANALYSE FINANCIÈRE — BOAC (Bank of Africa Côte d'Ivoire)</w:t>
        <w:br/>
        <w:t>### BRVM | Secteur Bancaire | 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BOAC s'établit à 455,80 milliards FCFA, un niveau qui la place parmi les valeurs bancaires de premier plan de la cote BRVM, témoignant d'une liquidité et d'une profondeur de marché appréciables pour la zone UEMOA. Le BPA de 888 FCFA par action signifie que chaque titre génère près de neuf cents francs de bénéfice net, un niveau de rentabilité par action élevé qui traduit la forte profitabilité de la banque. Le PER de 12,8x se situe légèrement au-dessus de la moyenne BRVM (8-12x), signalant que les investisseurs acceptent une prime modérée pour la qualité des bénéfices, sans pour autant basculer dans une valorisation excessive. Le P/B de 3,58x confirme cette prime de croissance : le marché valorise BOAC à plus de trois fois sa valeur comptable, ce qui est cohérent avec un ROE exceptionnel de près de 28%. En revanche, l'EV/EBITDA de 26,4x apparaît très exigeant (seuil d'alerte &gt;15x), reflétant une valorisation qui intègre déjà une grande partie des perspectives de croissance — un point de vigilance pour les investisseurs cherchant une marge de sécurité.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BOAC affiche une progression remarquable de +29,12%, avec une dernière séance quasi stable (+0,13%) à 11 395 FCFA, confirmant une dynamique haussière solidement installée. Le range de trading s'étend de 8 800 FCFA (plus bas) à 13 450 FCFA (plus haut), soit un amplitude de plus de 52% qui traduit une forte volatilité intra-période malgré la tendance directionnelle positive. La moyenne de 10 793 FCFA se situe légèrement en dessous de la médiane de 11 290 FCFA, suggérant une distribution légèrement tirée vers le bas par quelques séances de faiblesse, tandis que le mode à 11 600 FCFA indique que le cours a stationné le plus fréquemment autour de ce niveau. L'écart-type de 1 462 FCFA avec un coefficient de variation de 13,5% révèle une dispersion modérée du cours autour de sa moyenne, cohérente avec un titre liquide et suivi. Le kurtosis négatif (-1,415, distribution platykurtique) indique une distribution aplatie avec une faible concentration des rendements extrêmes — donc un risque de pics brusques relativement contenu — tandis que le skewness quasi nul (0,049) confirme une distribution symétrique, sans biais haussier ou baissier marqué. La volatilité annualisée de 27,9% classe le titre dans la catégorie modérée (15-30%), acceptable pour une valeur bancaire de croissance sur un marché frontière.</w:t>
      </w:r>
    </w:p>
    <w:p>
      <w:pPr>
        <w:spacing w:after="120" w:line="276" w:lineRule="auto"/>
      </w:pPr>
      <w:r>
        <w:t>---</w:t>
      </w:r>
    </w:p>
    <w:p>
      <w:pPr>
        <w:spacing w:after="120" w:line="276" w:lineRule="auto"/>
      </w:pPr>
      <w:r>
        <w:t>## PARTIE 2 : ANALYSE TECHNIQUE DÉTAILLÉE</w:t>
      </w:r>
    </w:p>
    <w:p>
      <w:pPr>
        <w:spacing w:after="120" w:line="276" w:lineRule="auto"/>
      </w:pPr>
      <w:r>
        <w:t>**Moyennes Mobiles** : La MM20 (11 413 FCFA) et la MM50 (12 071 FCFA) se situent toutes deux au-dessus du cours actuel (11 395 FCFA), avec la MM20 en dessous de la MM50 — configuration baissière de court terme. Le cours évolue sous ses deux moyennes, ce qui justifie la décision technique de **Vente** : la pression vendeuse domine à court terme, et le croisement des moyennes suggère une correction en cours après le rallye des 100 jours.</w:t>
      </w:r>
    </w:p>
    <w:p>
      <w:pPr>
        <w:spacing w:after="120" w:line="276" w:lineRule="auto"/>
      </w:pPr>
      <w:r>
        <w:t>**Bandes de Bollinger** : Le cours (11 395 FCFA) se situe dans la partie basse de la bande, entre la borne inférieure (11 020 FCFA) et la borne supérieure (11 806 FCFA), sans en toucher les extrêmes. Cette position centrale-basse, avec un prix proche de la borne inférieure sans la franchir, traduit une volatilité en compression et une absence de signal directionnel fort — d'où la décision **Neutre**, le titre étant en zone de consolidation.</w:t>
      </w:r>
    </w:p>
    <w:p>
      <w:pPr>
        <w:spacing w:after="120" w:line="276" w:lineRule="auto"/>
      </w:pPr>
      <w:r>
        <w:t>**MACD** : La valeur du MACD (-157,014) est supérieure à sa ligne de signal (-175,308), générant un histogramme positif bien que les deux courbes restent en territoire négatif. Cette configuration de croisement haussier sous la ligne zéro indique un **momentum en amélioration** mais encore fragile : la décision **Achat** est technique et anticipatrice, signalant un possible retournement de tendance à confirmer par la cassure de la MM20.</w:t>
      </w:r>
    </w:p>
    <w:p>
      <w:pPr>
        <w:spacing w:after="120" w:line="276" w:lineRule="auto"/>
      </w:pPr>
      <w:r>
        <w:t>**RSI** : À 37,805, le RSI se situe dans la zone neutre basse (30-70), sans atteindre la zone de survente (&lt;30). Le titre n'est donc ni survendu ni suracheté, mais la proximité du seuil de 30 suggère une pression vendeuse modérée — décision **Neutre**, cohérente avec une phase de digestion après la hausse.</w:t>
      </w:r>
    </w:p>
    <w:p>
      <w:pPr>
        <w:spacing w:after="120" w:line="276" w:lineRule="auto"/>
      </w:pPr>
      <w:r>
        <w:t>**Stochastique** : Le %K (34,921) est légèrement supérieur au %D (31,746), les deux oscillateurs évoluant en zone basse sans franchissement net. L'absence de croisement significatif et la position basse des indicateurs traduisent une dynamique neutre à légèrement baissière — décision **Neutre**, en attente d'un signal de retournement.</w:t>
      </w:r>
    </w:p>
    <w:p>
      <w:pPr>
        <w:spacing w:after="120" w:line="276" w:lineRule="auto"/>
      </w:pPr>
      <w:r>
        <w:t>**Conclusion technique** : Les indicateurs sont globalement **divergents** : les moyennes mobiles sont baissières (cours sous MM20 et MM50), le RSI et le stochastique sont neutres-bas, mais le MACD affiche un croisement haussier anticipateur. Cette configuration suggère une phase de consolidation/correction de court terme au sein d'une tendance de fond haussière (+29% sur 100 jours). Le signal d'achat du MACD, bien que faible, plaide pour une reprise progressive une fois la résistance de la MM20 (11 413 FCFA) franchie.</w:t>
      </w:r>
    </w:p>
    <w:p>
      <w:pPr>
        <w:spacing w:after="120" w:line="276" w:lineRule="auto"/>
      </w:pPr>
      <w:r>
        <w:t>---</w:t>
      </w:r>
    </w:p>
    <w:p>
      <w:pPr>
        <w:spacing w:after="120" w:line="276" w:lineRule="auto"/>
      </w:pPr>
      <w:r>
        <w:t>## PARTIE 3 : ANALYSE FONDAMENTALE</w:t>
      </w:r>
    </w:p>
    <w:p>
      <w:pPr>
        <w:spacing w:after="120" w:line="276" w:lineRule="auto"/>
      </w:pPr>
      <w:r>
        <w:t>Les états financiers annuels 2025 (rapport des commissaires aux comptes, exercice clos le 31 décembre 2025, analysé le 5 septembre 2026) constituent la base de référence : le Produit Net Bancaire s'établit à **73 545 millions FCFA** (+1,1% vs 2024), le résultat net à **35 540 millions FCFA** (+10,9%), portant le BPA à 889 FCFA. La rentabilité est exceptionnelle avec un **ROE de 27,91%** (largement &gt;15%) et un **ROA de 3,22%**, tandis que le coefficient d'exploitation de **36,70%** confirme une banque très efficace (&lt;50% = excellente). Le coût du risque ressort à 6,67% des charges financières, en amélioration (provisions de -4 902 vs -6 791 millions en 2024, soit -27,8%), mais le taux de sinistralité du portefeuille à 8,59% et la hausse de +52,1% des créances en souffrance constituent un point de vigilance. La structure bilancielle est solide : total bilan de 1 103 306 millions FCFA (+2,6%), dépôts clientèle de 850 548 millions FCFA contre 430 433 millions de créances clientèle — un ratio de transformation de seulement ~51%, signe d'une surliquidité (Caisse &amp; BCEAO de 257 451 millions, effets publics de 307 925 millions) plutôt que d'un risque de liquidité. L'autonomie financière de 11,54% est faible mais typique du modèle bancaire (levier élevé), la solvabilité générale de 113% restant satisfaisante. Sur la base du **rapport T1 2026 (analysé le 5 septembre 2026)**, le PNB trimestriel progresse de +3,09% à 18 960 millions FCFA et le résultat net de +0,91% à 10 801 millions, mais le coût net du risque bondit de +314,75% (-652 vs -157 millions) — un signal de dégradation à surveiller. On estime donc que l'exercice 2026 devrait maintenir une croissance modérée du PNB (~+3%) avec un résultat net stable, la politique de dividende (684 FCFA/action versés au titre de 2024, payout ~65%) offrant un rendement attractif. La recommandation fondamentale est **ACHAT** : solidité financière, rentabilité exceptionnelle et dividende généreux, tempérés par la hausse des créances en souffrance et le rebond du coût du risque au T1 2026.</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**globalement favorable mais avec des signaux de court terme mitigés**. Sur la **valorisation (Partie 0)**, le PER de 12,8x et le P/B de 3,58x traduisent une juste valorisation d'une banque de qualité, mais l'EV/EBITDA de 26,4x laisse peu de marge de sécurité — le titre n'est ni sous-évalué ni excessivement cher. Le **comportement du cours (Partie 1)** est haussier (+29,12% sur 100 jours) avec une volatilité modérée (27,9%) et une distribution symétrique sans risque de pics extrêmes (kurtosis -1,415, skewness 0,049), ce qui est rassurant pour la gestion du risque. Les **signaux techniques (Partie 2)** sont divergents : moyennes mobiles baissières et RSI neutre-bas contredisent le croisement haussier du MACD, suggérant une consolidation avant reprise. Les **fondamentaux (Partie 3)** sont solides (ROE 27,91%, coefficient d'exploitation 36,70%, dividende ~65% de payout) malgré la vigilance sur le coût du risque. Les **prédictions IA (J+1 à J+10)** anticipent une trajectoire haussière très modérée (11 407 → 11 463 FCFA, soit +0,6% sur 10 jours), confirmant la thèse d'une consolidation sans correction majeure. **Recommandation finale : CONSERVER** (avec biais acheteur pour les investisseurs de long terme), car la convergence entre fondamentaux solides, valorisation raisonnable et prédictions stables l'emporte sur les signaux techniques baissiers de court terme. **Niveau de confiance : Moyen** (divergence technique/fondamental), **risque global : Moyen** (volatilité modérée, coût du risque à surveiller), **horizon optimal : moyen à long terme (6-18 mois)** pour capter la croissance bénéficiaire et le dividende, en attendant une confirmation technique (cassure de la MM20 à 11 413 FCFA) pour renforcer la position.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"L'examen limit\u00e9 ne r\u00e9v\u00e8le aucune anomalie significative et confirme la sinc\u00e9rit\u00e9 des \u00e9tats financiers semestriels. En l'absence de donn\u00e9es chiffr\u00e9es d\u00e9taill\u00e9es dans le document, aucune valorisation ni orientation d'investissement ne peut \u00eatre \u00e9tablie avec certitude."}</w:t>
      </w:r>
    </w:p>
    <w:p>
      <w:pPr>
        <w:spacing w:before="40"/>
        <w:ind w:left="400"/>
      </w:pPr>
      <w:r>
        <w:rPr>
          <w:sz w:val="18"/>
        </w:rPr>
        <w:t>Le document est un rapport d'examen limité des états financiers semestriels de Bank of Africa Côte d'Ivoire (BOA CI) couvrant la période du 1er janvier au 30 juin 2026, établi par les commissaires aux comptes Forvis Mazars et Eritedge Côte d'Ivoire. Les auditeurs n'ont pas relevé de faits remettant en cause la sincérité des états financiers semestriels. Ils n'ont également formulé aucune observation sur la sincérité et la concordance du rapport d'activité semestriel avec les états financiers. Les états financiers ont été arrêtés par le Conseil d'Administration le 9 septembre 2026 et le rapport signé le 30 septembre 2026. Toutefois, le document ne contient pas les données chiffrées détaillées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d'examen limité (et non audit complet) des états financiers semestriels au 30 juin 2026 de BOA CI.</w:t>
      </w:r>
    </w:p>
    <w:p>
      <w:pPr>
        <w:pStyle w:val="ListBullet"/>
        <w:spacing w:before="20" w:after="20"/>
        <w:ind w:left="700"/>
      </w:pPr>
      <w:r>
        <w:rPr>
          <w:sz w:val="18"/>
        </w:rPr>
        <w:t>Conclusion sans réserve : aucun fait laissant penser que les états financiers ne présentent pas sincèrement la situation financière.</w:t>
      </w:r>
    </w:p>
    <w:p>
      <w:pPr>
        <w:pStyle w:val="ListBullet"/>
        <w:spacing w:before="20" w:after="20"/>
        <w:ind w:left="700"/>
      </w:pPr>
      <w:r>
        <w:rPr>
          <w:sz w:val="18"/>
        </w:rPr>
        <w:t>États financiers établis conformément au Plan Comptable Bancaire Révisé de l'UMOA.</w:t>
      </w:r>
    </w:p>
    <w:p>
      <w:pPr>
        <w:pStyle w:val="ListBullet"/>
        <w:spacing w:before="20" w:after="20"/>
        <w:ind w:left="700"/>
      </w:pPr>
      <w:r>
        <w:rPr>
          <w:sz w:val="18"/>
        </w:rPr>
        <w:t>Aucune observation sur la sincérité et la concordance du rapport d'activité semestriel.</w:t>
      </w:r>
    </w:p>
    <w:p>
      <w:pPr>
        <w:pStyle w:val="ListBullet"/>
        <w:spacing w:before="20" w:after="20"/>
        <w:ind w:left="700"/>
      </w:pPr>
      <w:r>
        <w:rPr>
          <w:sz w:val="18"/>
        </w:rPr>
        <w:t>États financiers arrêtés par le Conseil d'Administration en session du 9 septembre 2026.</w:t>
      </w:r>
    </w:p>
    <w:p>
      <w:pPr>
        <w:pStyle w:val="ListBullet"/>
        <w:spacing w:before="20" w:after="20"/>
        <w:ind w:left="700"/>
      </w:pPr>
      <w:r>
        <w:rPr>
          <w:sz w:val="18"/>
        </w:rPr>
        <w:t>Commissaires aux comptes : Forvis Mazars S.A. et Eritedge Côte d'Ivoire S.A.</w:t>
      </w:r>
    </w:p>
    <w:p>
      <w:pPr>
        <w:spacing w:before="40"/>
        <w:ind w:left="400"/>
      </w:pPr>
      <w:r>
        <w:rPr>
          <w:b/>
          <w:color w:val="C05000"/>
          <w:sz w:val="18"/>
        </w:rPr>
        <w:t xml:space="preserve">⚠️ Risques : </w:t>
      </w:r>
      <w:r>
        <w:rPr>
          <w:sz w:val="18"/>
        </w:rPr>
        <w:t>["Absence de donn\u00e9es financi\u00e8res chiffr\u00e9es dans le document fourni, limitant l'analyse quantitative.", "Nature d'examen limit\u00e9 offrant une assurance mod\u00e9r\u00e9e, moins \u00e9lev\u00e9e qu'un audit complet.", "Risques inh\u00e9rents au secteur bancaire (qualit\u00e9 du porte</w:t>
      </w:r>
    </w:p>
    <w:p>
      <w:pPr>
        <w:spacing w:before="40"/>
        <w:ind w:left="400"/>
      </w:pPr>
      <w:r>
        <w:rPr>
          <w:b/>
          <w:color w:val="0064A0"/>
          <w:sz w:val="18"/>
        </w:rPr>
        <w:t xml:space="preserve">🔮 Perspectives : </w:t>
      </w:r>
      <w:r>
        <w:rPr>
          <w:sz w:val="18"/>
        </w:rPr>
        <w:t>Les perspectives restent dépendantes des performances opérationnelles et financières de BOA CI sur le second semestre 2026, non détaillées dans ce rapport. La conclusion positive des commissaires aux comptes suggère une situation financière saine à mi-parcours. Une analyse plus fine nécessiterait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
      <w:r>
        <w:t>════════════════════════════════════════════════════════════════════════════════</w:t>
      </w:r>
    </w:p>
    <w:p>
      <w:r>
        <w:br w:type="page"/>
      </w:r>
    </w:p>
    <w:p>
      <w:pPr>
        <w:pStyle w:val="Heading2"/>
        <w:spacing w:before="360"/>
      </w:pPr>
      <w:r>
        <w:rPr>
          <w:color w:val="0066CC"/>
        </w:rPr>
        <w:t>9.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156.47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6,974 titres</w:t>
            </w:r>
          </w:p>
        </w:tc>
        <w:tc>
          <w:tcPr>
            <w:tcW w:type="dxa" w:w="2268"/>
            <w:shd w:fill="FFF2CC" w:val="clear"/>
          </w:tcPr>
          <w:p>
            <w:r>
              <w:rPr>
                <w:b/>
                <w:color w:val="503200"/>
                <w:sz w:val="16"/>
              </w:rPr>
              <w:t xml:space="preserve">Cours actuel : </w:t>
            </w:r>
            <w:r>
              <w:rPr>
                <w:color w:val="000000"/>
                <w:sz w:val="17"/>
              </w:rPr>
              <w:t>5,700 FCFA</w:t>
            </w:r>
          </w:p>
          <w:p>
            <w:r>
              <w:rPr>
                <w:b/>
                <w:color w:val="503200"/>
                <w:sz w:val="16"/>
              </w:rPr>
              <w:t xml:space="preserve">Var. 100 jours : </w:t>
            </w:r>
            <w:r>
              <w:rPr>
                <w:b/>
                <w:color w:val="007800"/>
                <w:sz w:val="17"/>
              </w:rPr>
              <w:t>+14.00%</w:t>
            </w:r>
          </w:p>
          <w:p>
            <w:r>
              <w:rPr>
                <w:b/>
                <w:color w:val="503200"/>
                <w:sz w:val="16"/>
              </w:rPr>
              <w:t xml:space="preserve">Plus haut 100j : </w:t>
            </w:r>
            <w:r>
              <w:rPr>
                <w:color w:val="000000"/>
                <w:sz w:val="17"/>
              </w:rPr>
              <w:t>7,195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43.9%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24.1/100 → Moyen</w:t>
      </w:r>
    </w:p>
    <w:p>
      <w:pPr>
        <w:spacing w:before="40" w:after="80"/>
      </w:pPr>
      <w:r>
        <w:rPr>
          <w:rFonts w:ascii="Courier New" w:hAnsi="Courier New"/>
          <w:color w:val="825A00"/>
          <w:sz w:val="18"/>
        </w:rPr>
        <w:t>████░░░░░░░░░░░░░░░░  24.1/100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12.96% (Moyenne) — μ=5,711 FCFA, σ=740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β=1.3466 (Agressif) — Cov=0.000102, Var(idx)=0.000076, ρ=0.422,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6,974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σ_j=2.76%/j (Stable) — Vol. annualisée≈43.9%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5,361</w:t>
            </w:r>
          </w:p>
        </w:tc>
        <w:tc>
          <w:tcPr>
            <w:tcW w:type="dxa" w:w="1440"/>
            <w:shd w:fill="FAFAFA" w:val="clear"/>
          </w:tcPr>
          <w:p>
            <w:r>
              <w:rPr>
                <w:b/>
                <w:sz w:val="17"/>
              </w:rPr>
              <w:t>5,688</w:t>
            </w:r>
          </w:p>
        </w:tc>
        <w:tc>
          <w:tcPr>
            <w:tcW w:type="dxa" w:w="1440"/>
            <w:shd w:fill="FAFAFA" w:val="clear"/>
          </w:tcPr>
          <w:p>
            <w:r>
              <w:rPr>
                <w:sz w:val="17"/>
              </w:rPr>
              <w:t>6,015</w:t>
            </w:r>
          </w:p>
        </w:tc>
        <w:tc>
          <w:tcPr>
            <w:tcW w:type="dxa" w:w="1440"/>
            <w:shd w:fill="FAFAFA" w:val="clear"/>
          </w:tcPr>
          <w:p>
            <w:r>
              <w:rPr>
                <w:b/>
                <w:color w:val="C00000"/>
                <w:sz w:val="17"/>
              </w:rPr>
              <w:t>-0.2%</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5,193</w:t>
            </w:r>
          </w:p>
        </w:tc>
        <w:tc>
          <w:tcPr>
            <w:tcW w:type="dxa" w:w="1440"/>
            <w:shd w:fill="FAFAFA" w:val="clear"/>
          </w:tcPr>
          <w:p>
            <w:r>
              <w:rPr>
                <w:b/>
                <w:sz w:val="17"/>
              </w:rPr>
              <w:t>5,653</w:t>
            </w:r>
          </w:p>
        </w:tc>
        <w:tc>
          <w:tcPr>
            <w:tcW w:type="dxa" w:w="1440"/>
            <w:shd w:fill="FAFAFA" w:val="clear"/>
          </w:tcPr>
          <w:p>
            <w:r>
              <w:rPr>
                <w:sz w:val="17"/>
              </w:rPr>
              <w:t>6,113</w:t>
            </w:r>
          </w:p>
        </w:tc>
        <w:tc>
          <w:tcPr>
            <w:tcW w:type="dxa" w:w="1440"/>
            <w:shd w:fill="FAFAFA" w:val="clear"/>
          </w:tcPr>
          <w:p>
            <w:r>
              <w:rPr>
                <w:b/>
                <w:color w:val="C00000"/>
                <w:sz w:val="17"/>
              </w:rPr>
              <w:t>-0.8%</w:t>
            </w:r>
          </w:p>
        </w:tc>
      </w:tr>
      <w:tr>
        <w:tc>
          <w:tcPr>
            <w:tcW w:type="dxa" w:w="1440"/>
            <w:shd w:fill="FAFAFA" w:val="clear"/>
          </w:tcPr>
          <w:p>
            <w:r>
              <w:rPr>
                <w:sz w:val="17"/>
              </w:rPr>
              <w:t>J+3  Moyenne</w:t>
            </w:r>
          </w:p>
        </w:tc>
        <w:tc>
          <w:tcPr>
            <w:tcW w:type="dxa" w:w="1440"/>
            <w:shd w:fill="FAFAFA" w:val="clear"/>
          </w:tcPr>
          <w:p>
            <w:r>
              <w:rPr>
                <w:sz w:val="17"/>
              </w:rPr>
              <w:t>2026-10-21</w:t>
            </w:r>
          </w:p>
        </w:tc>
        <w:tc>
          <w:tcPr>
            <w:tcW w:type="dxa" w:w="1440"/>
            <w:shd w:fill="FAFAFA" w:val="clear"/>
          </w:tcPr>
          <w:p>
            <w:r>
              <w:rPr>
                <w:sz w:val="17"/>
              </w:rPr>
              <w:t>5,047</w:t>
            </w:r>
          </w:p>
        </w:tc>
        <w:tc>
          <w:tcPr>
            <w:tcW w:type="dxa" w:w="1440"/>
            <w:shd w:fill="FAFAFA" w:val="clear"/>
          </w:tcPr>
          <w:p>
            <w:r>
              <w:rPr>
                <w:b/>
                <w:sz w:val="17"/>
              </w:rPr>
              <w:t>5,606</w:t>
            </w:r>
          </w:p>
        </w:tc>
        <w:tc>
          <w:tcPr>
            <w:tcW w:type="dxa" w:w="1440"/>
            <w:shd w:fill="FAFAFA" w:val="clear"/>
          </w:tcPr>
          <w:p>
            <w:r>
              <w:rPr>
                <w:sz w:val="17"/>
              </w:rPr>
              <w:t>6,164</w:t>
            </w:r>
          </w:p>
        </w:tc>
        <w:tc>
          <w:tcPr>
            <w:tcW w:type="dxa" w:w="1440"/>
            <w:shd w:fill="FAFAFA" w:val="clear"/>
          </w:tcPr>
          <w:p>
            <w:r>
              <w:rPr>
                <w:b/>
                <w:color w:val="C00000"/>
                <w:sz w:val="17"/>
              </w:rPr>
              <w:t>-1.7%</w:t>
            </w:r>
          </w:p>
        </w:tc>
      </w:tr>
      <w:tr>
        <w:tc>
          <w:tcPr>
            <w:tcW w:type="dxa" w:w="1440"/>
            <w:shd w:fill="FFDCE0" w:val="clear"/>
          </w:tcPr>
          <w:p>
            <w:r>
              <w:rPr>
                <w:sz w:val="17"/>
              </w:rPr>
              <w:t>J+4  ⭐</w:t>
            </w:r>
          </w:p>
        </w:tc>
        <w:tc>
          <w:tcPr>
            <w:tcW w:type="dxa" w:w="1440"/>
            <w:shd w:fill="FFDCE0" w:val="clear"/>
          </w:tcPr>
          <w:p>
            <w:r>
              <w:rPr>
                <w:sz w:val="17"/>
              </w:rPr>
              <w:t>2026-10-22</w:t>
            </w:r>
          </w:p>
        </w:tc>
        <w:tc>
          <w:tcPr>
            <w:tcW w:type="dxa" w:w="1440"/>
            <w:shd w:fill="FFDCE0" w:val="clear"/>
          </w:tcPr>
          <w:p>
            <w:r>
              <w:rPr>
                <w:sz w:val="17"/>
              </w:rPr>
              <w:t>4,918</w:t>
            </w:r>
          </w:p>
        </w:tc>
        <w:tc>
          <w:tcPr>
            <w:tcW w:type="dxa" w:w="1440"/>
            <w:shd w:fill="FFDCE0" w:val="clear"/>
          </w:tcPr>
          <w:p>
            <w:r>
              <w:rPr>
                <w:b/>
                <w:sz w:val="17"/>
              </w:rPr>
              <w:t>5,557</w:t>
            </w:r>
          </w:p>
        </w:tc>
        <w:tc>
          <w:tcPr>
            <w:tcW w:type="dxa" w:w="1440"/>
            <w:shd w:fill="FFDCE0" w:val="clear"/>
          </w:tcPr>
          <w:p>
            <w:r>
              <w:rPr>
                <w:sz w:val="17"/>
              </w:rPr>
              <w:t>6,196</w:t>
            </w:r>
          </w:p>
        </w:tc>
        <w:tc>
          <w:tcPr>
            <w:tcW w:type="dxa" w:w="1440"/>
            <w:shd w:fill="FFDCE0" w:val="clear"/>
          </w:tcPr>
          <w:p>
            <w:r>
              <w:rPr>
                <w:b/>
                <w:color w:val="C00000"/>
                <w:sz w:val="17"/>
              </w:rPr>
              <w:t>-2.5%</w:t>
            </w:r>
          </w:p>
        </w:tc>
      </w:tr>
      <w:tr>
        <w:tc>
          <w:tcPr>
            <w:tcW w:type="dxa" w:w="1440"/>
            <w:shd w:fill="FFDCE0" w:val="clear"/>
          </w:tcPr>
          <w:p>
            <w:r>
              <w:rPr>
                <w:sz w:val="17"/>
              </w:rPr>
              <w:t>J+5  ⭐</w:t>
            </w:r>
          </w:p>
        </w:tc>
        <w:tc>
          <w:tcPr>
            <w:tcW w:type="dxa" w:w="1440"/>
            <w:shd w:fill="FFDCE0" w:val="clear"/>
          </w:tcPr>
          <w:p>
            <w:r>
              <w:rPr>
                <w:sz w:val="17"/>
              </w:rPr>
              <w:t>2026-10-23</w:t>
            </w:r>
          </w:p>
        </w:tc>
        <w:tc>
          <w:tcPr>
            <w:tcW w:type="dxa" w:w="1440"/>
            <w:shd w:fill="FFDCE0" w:val="clear"/>
          </w:tcPr>
          <w:p>
            <w:r>
              <w:rPr>
                <w:sz w:val="17"/>
              </w:rPr>
              <w:t>4,803</w:t>
            </w:r>
          </w:p>
        </w:tc>
        <w:tc>
          <w:tcPr>
            <w:tcW w:type="dxa" w:w="1440"/>
            <w:shd w:fill="FFDCE0" w:val="clear"/>
          </w:tcPr>
          <w:p>
            <w:r>
              <w:rPr>
                <w:b/>
                <w:sz w:val="17"/>
              </w:rPr>
              <w:t>5,511</w:t>
            </w:r>
          </w:p>
        </w:tc>
        <w:tc>
          <w:tcPr>
            <w:tcW w:type="dxa" w:w="1440"/>
            <w:shd w:fill="FFDCE0" w:val="clear"/>
          </w:tcPr>
          <w:p>
            <w:r>
              <w:rPr>
                <w:sz w:val="17"/>
              </w:rPr>
              <w:t>6,220</w:t>
            </w:r>
          </w:p>
        </w:tc>
        <w:tc>
          <w:tcPr>
            <w:tcW w:type="dxa" w:w="1440"/>
            <w:shd w:fill="FFDCE0" w:val="clear"/>
          </w:tcPr>
          <w:p>
            <w:r>
              <w:rPr>
                <w:b/>
                <w:color w:val="C00000"/>
                <w:sz w:val="17"/>
              </w:rPr>
              <w:t>-3.3%</w:t>
            </w:r>
          </w:p>
        </w:tc>
      </w:tr>
      <w:tr>
        <w:tc>
          <w:tcPr>
            <w:tcW w:type="dxa" w:w="1440"/>
            <w:shd w:fill="FFDCE0" w:val="clear"/>
          </w:tcPr>
          <w:p>
            <w:r>
              <w:rPr>
                <w:sz w:val="17"/>
              </w:rPr>
              <w:t>J+6  ⭐</w:t>
            </w:r>
          </w:p>
        </w:tc>
        <w:tc>
          <w:tcPr>
            <w:tcW w:type="dxa" w:w="1440"/>
            <w:shd w:fill="FFDCE0" w:val="clear"/>
          </w:tcPr>
          <w:p>
            <w:r>
              <w:rPr>
                <w:sz w:val="17"/>
              </w:rPr>
              <w:t>2026-10-26</w:t>
            </w:r>
          </w:p>
        </w:tc>
        <w:tc>
          <w:tcPr>
            <w:tcW w:type="dxa" w:w="1440"/>
            <w:shd w:fill="FFDCE0" w:val="clear"/>
          </w:tcPr>
          <w:p>
            <w:r>
              <w:rPr>
                <w:sz w:val="17"/>
              </w:rPr>
              <w:t>4,698</w:t>
            </w:r>
          </w:p>
        </w:tc>
        <w:tc>
          <w:tcPr>
            <w:tcW w:type="dxa" w:w="1440"/>
            <w:shd w:fill="FFDCE0" w:val="clear"/>
          </w:tcPr>
          <w:p>
            <w:r>
              <w:rPr>
                <w:b/>
                <w:sz w:val="17"/>
              </w:rPr>
              <w:t>5,468</w:t>
            </w:r>
          </w:p>
        </w:tc>
        <w:tc>
          <w:tcPr>
            <w:tcW w:type="dxa" w:w="1440"/>
            <w:shd w:fill="FFDCE0" w:val="clear"/>
          </w:tcPr>
          <w:p>
            <w:r>
              <w:rPr>
                <w:sz w:val="17"/>
              </w:rPr>
              <w:t>6,239</w:t>
            </w:r>
          </w:p>
        </w:tc>
        <w:tc>
          <w:tcPr>
            <w:tcW w:type="dxa" w:w="1440"/>
            <w:shd w:fill="FFDCE0" w:val="clear"/>
          </w:tcPr>
          <w:p>
            <w:r>
              <w:rPr>
                <w:b/>
                <w:color w:val="C00000"/>
                <w:sz w:val="17"/>
              </w:rPr>
              <w:t>-4.1%</w:t>
            </w:r>
          </w:p>
        </w:tc>
      </w:tr>
      <w:tr>
        <w:tc>
          <w:tcPr>
            <w:tcW w:type="dxa" w:w="1440"/>
            <w:shd w:fill="FFDCE0" w:val="clear"/>
          </w:tcPr>
          <w:p>
            <w:r>
              <w:rPr>
                <w:sz w:val="17"/>
              </w:rPr>
              <w:t>J+7  ⭐</w:t>
            </w:r>
          </w:p>
        </w:tc>
        <w:tc>
          <w:tcPr>
            <w:tcW w:type="dxa" w:w="1440"/>
            <w:shd w:fill="FFDCE0" w:val="clear"/>
          </w:tcPr>
          <w:p>
            <w:r>
              <w:rPr>
                <w:sz w:val="17"/>
              </w:rPr>
              <w:t>2026-10-27</w:t>
            </w:r>
          </w:p>
        </w:tc>
        <w:tc>
          <w:tcPr>
            <w:tcW w:type="dxa" w:w="1440"/>
            <w:shd w:fill="FFDCE0" w:val="clear"/>
          </w:tcPr>
          <w:p>
            <w:r>
              <w:rPr>
                <w:sz w:val="17"/>
              </w:rPr>
              <w:t>4,602</w:t>
            </w:r>
          </w:p>
        </w:tc>
        <w:tc>
          <w:tcPr>
            <w:tcW w:type="dxa" w:w="1440"/>
            <w:shd w:fill="FFDCE0" w:val="clear"/>
          </w:tcPr>
          <w:p>
            <w:r>
              <w:rPr>
                <w:b/>
                <w:sz w:val="17"/>
              </w:rPr>
              <w:t>5,428</w:t>
            </w:r>
          </w:p>
        </w:tc>
        <w:tc>
          <w:tcPr>
            <w:tcW w:type="dxa" w:w="1440"/>
            <w:shd w:fill="FFDCE0" w:val="clear"/>
          </w:tcPr>
          <w:p>
            <w:r>
              <w:rPr>
                <w:sz w:val="17"/>
              </w:rPr>
              <w:t>6,253</w:t>
            </w:r>
          </w:p>
        </w:tc>
        <w:tc>
          <w:tcPr>
            <w:tcW w:type="dxa" w:w="1440"/>
            <w:shd w:fill="FFDCE0" w:val="clear"/>
          </w:tcPr>
          <w:p>
            <w:r>
              <w:rPr>
                <w:b/>
                <w:color w:val="C00000"/>
                <w:sz w:val="17"/>
              </w:rPr>
              <w:t>-4.8%</w:t>
            </w:r>
          </w:p>
        </w:tc>
      </w:tr>
      <w:tr>
        <w:tc>
          <w:tcPr>
            <w:tcW w:type="dxa" w:w="1440"/>
            <w:shd w:fill="FFDCE0" w:val="clear"/>
          </w:tcPr>
          <w:p>
            <w:r>
              <w:rPr>
                <w:sz w:val="17"/>
              </w:rPr>
              <w:t>J+8  ⭐</w:t>
            </w:r>
          </w:p>
        </w:tc>
        <w:tc>
          <w:tcPr>
            <w:tcW w:type="dxa" w:w="1440"/>
            <w:shd w:fill="FFDCE0" w:val="clear"/>
          </w:tcPr>
          <w:p>
            <w:r>
              <w:rPr>
                <w:sz w:val="17"/>
              </w:rPr>
              <w:t>2026-10-28</w:t>
            </w:r>
          </w:p>
        </w:tc>
        <w:tc>
          <w:tcPr>
            <w:tcW w:type="dxa" w:w="1440"/>
            <w:shd w:fill="FFDCE0" w:val="clear"/>
          </w:tcPr>
          <w:p>
            <w:r>
              <w:rPr>
                <w:sz w:val="17"/>
              </w:rPr>
              <w:t>4,513</w:t>
            </w:r>
          </w:p>
        </w:tc>
        <w:tc>
          <w:tcPr>
            <w:tcW w:type="dxa" w:w="1440"/>
            <w:shd w:fill="FFDCE0" w:val="clear"/>
          </w:tcPr>
          <w:p>
            <w:r>
              <w:rPr>
                <w:b/>
                <w:sz w:val="17"/>
              </w:rPr>
              <w:t>5,389</w:t>
            </w:r>
          </w:p>
        </w:tc>
        <w:tc>
          <w:tcPr>
            <w:tcW w:type="dxa" w:w="1440"/>
            <w:shd w:fill="FFDCE0" w:val="clear"/>
          </w:tcPr>
          <w:p>
            <w:r>
              <w:rPr>
                <w:sz w:val="17"/>
              </w:rPr>
              <w:t>6,266</w:t>
            </w:r>
          </w:p>
        </w:tc>
        <w:tc>
          <w:tcPr>
            <w:tcW w:type="dxa" w:w="1440"/>
            <w:shd w:fill="FFDCE0" w:val="clear"/>
          </w:tcPr>
          <w:p>
            <w:r>
              <w:rPr>
                <w:b/>
                <w:color w:val="C00000"/>
                <w:sz w:val="17"/>
              </w:rPr>
              <w:t>-5.5%</w:t>
            </w:r>
          </w:p>
        </w:tc>
      </w:tr>
      <w:tr>
        <w:tc>
          <w:tcPr>
            <w:tcW w:type="dxa" w:w="1440"/>
            <w:shd w:fill="FFDCE0" w:val="clear"/>
          </w:tcPr>
          <w:p>
            <w:r>
              <w:rPr>
                <w:sz w:val="17"/>
              </w:rPr>
              <w:t>J+9  ⭐</w:t>
            </w:r>
          </w:p>
        </w:tc>
        <w:tc>
          <w:tcPr>
            <w:tcW w:type="dxa" w:w="1440"/>
            <w:shd w:fill="FFDCE0" w:val="clear"/>
          </w:tcPr>
          <w:p>
            <w:r>
              <w:rPr>
                <w:sz w:val="17"/>
              </w:rPr>
              <w:t>2026-10-29</w:t>
            </w:r>
          </w:p>
        </w:tc>
        <w:tc>
          <w:tcPr>
            <w:tcW w:type="dxa" w:w="1440"/>
            <w:shd w:fill="FFDCE0" w:val="clear"/>
          </w:tcPr>
          <w:p>
            <w:r>
              <w:rPr>
                <w:sz w:val="17"/>
              </w:rPr>
              <w:t>4,429</w:t>
            </w:r>
          </w:p>
        </w:tc>
        <w:tc>
          <w:tcPr>
            <w:tcW w:type="dxa" w:w="1440"/>
            <w:shd w:fill="FFDCE0" w:val="clear"/>
          </w:tcPr>
          <w:p>
            <w:r>
              <w:rPr>
                <w:b/>
                <w:sz w:val="17"/>
              </w:rPr>
              <w:t>5,352</w:t>
            </w:r>
          </w:p>
        </w:tc>
        <w:tc>
          <w:tcPr>
            <w:tcW w:type="dxa" w:w="1440"/>
            <w:shd w:fill="FFDCE0" w:val="clear"/>
          </w:tcPr>
          <w:p>
            <w:r>
              <w:rPr>
                <w:sz w:val="17"/>
              </w:rPr>
              <w:t>6,276</w:t>
            </w:r>
          </w:p>
        </w:tc>
        <w:tc>
          <w:tcPr>
            <w:tcW w:type="dxa" w:w="1440"/>
            <w:shd w:fill="FFDCE0" w:val="clear"/>
          </w:tcPr>
          <w:p>
            <w:r>
              <w:rPr>
                <w:b/>
                <w:color w:val="C00000"/>
                <w:sz w:val="17"/>
              </w:rPr>
              <w:t>-6.1%</w:t>
            </w:r>
          </w:p>
        </w:tc>
      </w:tr>
      <w:tr>
        <w:tc>
          <w:tcPr>
            <w:tcW w:type="dxa" w:w="1440"/>
            <w:shd w:fill="FFDCE0" w:val="clear"/>
          </w:tcPr>
          <w:p>
            <w:r>
              <w:rPr>
                <w:sz w:val="17"/>
              </w:rPr>
              <w:t>J+10  ⭐</w:t>
            </w:r>
          </w:p>
        </w:tc>
        <w:tc>
          <w:tcPr>
            <w:tcW w:type="dxa" w:w="1440"/>
            <w:shd w:fill="FFDCE0" w:val="clear"/>
          </w:tcPr>
          <w:p>
            <w:r>
              <w:rPr>
                <w:sz w:val="17"/>
              </w:rPr>
              <w:t>2026-10-30</w:t>
            </w:r>
          </w:p>
        </w:tc>
        <w:tc>
          <w:tcPr>
            <w:tcW w:type="dxa" w:w="1440"/>
            <w:shd w:fill="FFDCE0" w:val="clear"/>
          </w:tcPr>
          <w:p>
            <w:r>
              <w:rPr>
                <w:sz w:val="17"/>
              </w:rPr>
              <w:t>4,350</w:t>
            </w:r>
          </w:p>
        </w:tc>
        <w:tc>
          <w:tcPr>
            <w:tcW w:type="dxa" w:w="1440"/>
            <w:shd w:fill="FFDCE0" w:val="clear"/>
          </w:tcPr>
          <w:p>
            <w:r>
              <w:rPr>
                <w:b/>
                <w:sz w:val="17"/>
              </w:rPr>
              <w:t>5,317</w:t>
            </w:r>
          </w:p>
        </w:tc>
        <w:tc>
          <w:tcPr>
            <w:tcW w:type="dxa" w:w="1440"/>
            <w:shd w:fill="FFDCE0" w:val="clear"/>
          </w:tcPr>
          <w:p>
            <w:r>
              <w:rPr>
                <w:sz w:val="17"/>
              </w:rPr>
              <w:t>6,284</w:t>
            </w:r>
          </w:p>
        </w:tc>
        <w:tc>
          <w:tcPr>
            <w:tcW w:type="dxa" w:w="1440"/>
            <w:shd w:fill="FFDCE0" w:val="clear"/>
          </w:tcPr>
          <w:p>
            <w:r>
              <w:rPr>
                <w:b/>
                <w:color w:val="C00000"/>
                <w:sz w:val="17"/>
              </w:rPr>
              <w:t>-6.7%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pPr>
      <w:r>
        <w:t># RAPPORT D'ANALYSE FINANCIÈRE — BOA MALI (BOAM)</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**156,47 Mds FCFA**, BOA Mali s'inscrit dans la catégorie des valeurs bancaires de taille intermédiaire sur la BRVM, un niveau qui traduit une présence solide mais non dominante sur le marché régional. Le **BPA de 404 FCFA/action** signifie que chaque titre génère près de 404 FCFA de bénéfice net, un niveau confortable au regard du cours actuel de 5 700 FCFA. Le **PER de 14,1x** se situe au-dessus de la moyenne BRVM (8-12x), ce qui indique que le marché paie une prime modérée pour les bénéfices de la banque — une valorisation raisonnable mais non bon marché, cohérente avec la qualité des résultats. Le **P/B de 3,14x** confirme cette prime de croissance : le marché valorise l'action à plus de trois fois sa valeur comptable, signe de confiance dans la capacité bénéficiaire de l'établissement. Enfin, l'**EV/EBITDA de 7,0x** (fourchette raisonnable 5-10x) suggère que la valeur d'entreprise reste proportionnée à la capacité opérationnelle de génération de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BOAM affiche une **variation totale de +14,00%**, portant le cours à **5 700 FCFA**, avec une dernière séance stable (J-1 : +0,00%). Le titre a évolué dans un range large de **4 425 FCFA à 7 195 FCFA**, soit un spread de près de 63%, traduisant une forte amplitude de trading. La tendance générale est haussière sur la période, mais le cours actuel se situe nettement sous son plus haut, signe d'une correction récente après un pic. Les statistiques descriptives révèlent une distribution remarquablement symétrique : la **moyenne (5 711 FCFA)** et la **médiane (5 692 FCFA)** sont quasi confondues, et le **mode (5 700 FCFA)** coïncide avec le cours actuel — le titre évolue donc autour de son juste prix statistique. L'**écart-type de 744 FCFA (CV = 13,0%)** indique une dispersion modérée, tandis que le **kurtosis de -0,878** (mésokurtique) et le **skewness de 0,005** (distribution symétrique) suggèrent un comportement proche d'une loi normale, sans risque de pics extrêmes marqué. La **volatilité annualisée de 43,9%** classe toutefois le titre dans la catégorie **élevée** (&gt;30%), ce qui impose une gestion prudente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(6 050,5 FCFA) et la MM50 (6 305,6 FCFA) se situent toutes deux **au-dessus du cours actuel** (5 700 FCFA), configuration baissière classique où le prix évolue sous ses moyennes. La MM20 étant elle-même sous la MM50, la tendance de court terme est descendante, ce qui justifie la **décision de Vente**.</w:t>
      </w:r>
    </w:p>
    <w:p>
      <w:pPr>
        <w:spacing w:after="120" w:line="276" w:lineRule="auto"/>
      </w:pPr>
      <w:r>
        <w:t>**Bandes de Bollinger** : Le cours (5 700 FCFA) évolue dans la partie basse de la bande, entre la borne inférieure (5 545,4 FCFA) et la borne supérieure (6 555,6 FCFA), sans franchissement. La largeur de la bande traduit une volatilité encore présente mais le positionnement proche de la borne basse suggère un potentiel de rebond — d'où la **décision Neutre**.</w:t>
      </w:r>
    </w:p>
    <w:p>
      <w:pPr>
        <w:spacing w:after="120" w:line="276" w:lineRule="auto"/>
      </w:pPr>
      <w:r>
        <w:t>**MACD** : La valeur du MACD (-142,844) est **inférieure à son signal (-102,513)**, confirmant un momentum baissier persistant. L'histogramme négatif indique que la pression vendeuse domine encore, justifiant la **décision de Vente**.</w:t>
      </w:r>
    </w:p>
    <w:p>
      <w:pPr>
        <w:spacing w:after="120" w:line="276" w:lineRule="auto"/>
      </w:pPr>
      <w:r>
        <w:t>**RSI** : À **17,582**, le RSI se situe très nettement sous le seuil de survente (30), signalant un titre **survendu** de manière extrême. Historiquement, un tel niveau précède souvent un rebond technique, ce qui justifie la **décision d'Achat** à contre-tendance.</w:t>
      </w:r>
    </w:p>
    <w:p>
      <w:pPr>
        <w:spacing w:after="120" w:line="276" w:lineRule="auto"/>
      </w:pPr>
      <w:r>
        <w:t>**Stochastique** : Le %K (0,0) est au plancher absolu et croise le %D (9,35) par le bas, configuration de **survente extrême** typique d'un point de retournement potentiel. La **décision d'Achat** est cohérente avec ce signal.</w:t>
      </w:r>
    </w:p>
    <w:p>
      <w:pPr>
        <w:spacing w:after="120" w:line="276" w:lineRule="auto"/>
      </w:pPr>
      <w:r>
        <w:t>**Conclusion technique** : Les indicateurs présentent une **divergence marquée** : les moyennes mobiles et le MACD confirment une tendance baissière de fond, tandis que le RSI (17,6) et le stochastique (0,0) signalent une survente extrême propice à un rebond technique. Cette configuration contradictoire — baissière structurelle mais survendue conjoncturelle — plaide pour une **prudence avec opportunité d'achat tactique** en cas de confirmation d'un retournement, le titre étant proche d'un plancher statistique.</w:t>
      </w:r>
    </w:p>
    <w:p>
      <w:pPr>
        <w:spacing w:after="120" w:line="276" w:lineRule="auto"/>
      </w:pPr>
      <w:r>
        <w:t>---</w:t>
      </w:r>
    </w:p>
    <w:p>
      <w:pPr>
        <w:spacing w:after="120" w:line="276" w:lineRule="auto"/>
      </w:pPr>
      <w:r>
        <w:t>## PARTIE 3 : ANALYSE FONDAMENTALE</w:t>
      </w:r>
    </w:p>
    <w:p>
      <w:pPr>
        <w:spacing w:after="120" w:line="276" w:lineRule="auto"/>
      </w:pPr>
      <w:r>
        <w:t>Les états financiers structurés de l'exercice **2025** dressent le portrait d'une banque solide et rentable : un **PNB de 37,996 Mds FCFA**, un **résultat net de 11,081 Mds FCFA**, un **ROE de 22,24%** (très au-dessus du seuil d'excellence de 15%) et un **ROA de 1,87%**. Le **coefficient d'exploitation de 63,14%** reste légèrement au-dessus du seuil de 60% d'efficacité, signe d'une marge de progression sur la maîtrise des charges. Le **coût du risque rapporté aux charges financières (43,39%)** demeure élevé et constitue le principal point de vigilance sur la qualité du portefeuille de crédits. La structure de bilan révèle une **transformation bancaire classique** : 502,89 Mds FCFA de dépôts clientèle pour 253,65 Mds FCFA de créances, soit un ratio dépôts/crédits de près de 2x, garantissant une liquidité abondante (trésorerie nette de 86,37 Mds FCFA). L'autonomie financière (8,40%) reste faible, typique du modèle bancaire à fort levier. Les rapports narratifs confirment la **dynamique haussière** : le rapport du **T1 2026 (publié le 12/09/2026)** affiche un PNB de 10 322 MFCFA en hausse de **+22,97%** sur un an, et le rapport du **S1 2026 (publié le 24/09/2026)** un PNB de 21 987 MFCFA en progression de **+17,5%**. Sur cette base, **on estime** que l'exercice 2026 devrait enregistrer une accélération de la croissance du PNB (vs +5,08% en 2025), portée par le dynamisme commercial retrouvé. Les rapports antérieurs (S1 2025, T3 2025, exercice 2024 certifié) montrent une **amélioration continue de la profitabilité** : résultat net 2024 de 9,12 Mds FCFA (+57,9%), puis 9,16 Mds FCFA sur 9 mois 2025, confirmant la trajectoire ascendante. La recommandation fondamentale est **positive** : solidité bilancielle, rentabilité élevée, croissance retrouvée, avec un risque principal lié au coût du crédit et à l'environnement sécuritaire malien.</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**désaccord instructif** entre les signaux. La **valorisation (Partie 0)** est raisonnable mais non bon marché : PER de 14,1x supérieur à la moyenne BRVM, P/B de 3,14x traduisant une prime de croissance — le marché intègre déjà une bonne partie du potentiel. Le **comportement du cours (Partie 1)** est haussier sur 100 jours (+14%) mais corrige depuis le pic de 7 195 FCFA, avec une volatilité élevée (43,9%) et une distribution symétrique sans risque de queue marqué. Les **signaux techniques (Partie 2)** sont contradictoires : tendance baissière confirmée par MM et MACD, mais survente extrême (RSI 17,6, stochastique 0,0) annonçant un rebond probable. Les **fondamentaux (Partie 3)** sont les plus solides : ROE de 22,24%, résultat net de 11,08 Mds FCFA en 2025, et surtout une **accélération de la croissance du PNB en 2026** (+22,97% au T1, +17,5% au S1) qui valide la thèse d'une banque en pleine dynamique. Les **prédictions IA (J+1 à J+10)** anticipent une poursuite de la baisse jusqu'à 5 511 FCFA le 23/10/2026, ce qui **contredit** le signal de survente technique mais **confirme** la tendance baissière de court terme des moyennes mobiles. Face à cette configuration, la recommandation finale est **CONSERVER**, avec un biais d'achat tactique en cas de repli vers 5 500 FCFA (zone de survente + support statistique). Le niveau de confiance est **Moyen** (divergence technique/fondamental), le risque global **Moyen à Élevé** (volatilité 43,9% + contexte malien), et l'horizon optimal recommandé est le **moyen terme (3-12 mois)**, le temps que la correction technique s'achève et que la croissance 2026 se matérialise dans les résultats annuels.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10.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97.76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8,693 titres</w:t>
            </w:r>
          </w:p>
        </w:tc>
        <w:tc>
          <w:tcPr>
            <w:tcW w:type="dxa" w:w="2268"/>
            <w:shd w:fill="FFF2CC" w:val="clear"/>
          </w:tcPr>
          <w:p>
            <w:r>
              <w:rPr>
                <w:b/>
                <w:color w:val="503200"/>
                <w:sz w:val="16"/>
              </w:rPr>
              <w:t xml:space="preserve">Cours actuel : </w:t>
            </w:r>
            <w:r>
              <w:rPr>
                <w:color w:val="000000"/>
                <w:sz w:val="17"/>
              </w:rPr>
              <w:t>4,700 FCFA</w:t>
            </w:r>
          </w:p>
          <w:p>
            <w:r>
              <w:rPr>
                <w:b/>
                <w:color w:val="503200"/>
                <w:sz w:val="16"/>
              </w:rPr>
              <w:t xml:space="preserve">Var. 100 jours : </w:t>
            </w:r>
            <w:r>
              <w:rPr>
                <w:b/>
                <w:color w:val="007800"/>
                <w:sz w:val="17"/>
              </w:rPr>
              <w:t>+25.67%</w:t>
            </w:r>
          </w:p>
          <w:p>
            <w:r>
              <w:rPr>
                <w:b/>
                <w:color w:val="503200"/>
                <w:sz w:val="16"/>
              </w:rPr>
              <w:t xml:space="preserve">Plus haut 100j : </w:t>
            </w:r>
            <w:r>
              <w:rPr>
                <w:color w:val="000000"/>
                <w:sz w:val="17"/>
              </w:rPr>
              <w:t>5,645 FCFA</w:t>
            </w:r>
          </w:p>
          <w:p>
            <w:r>
              <w:rPr>
                <w:b/>
                <w:color w:val="503200"/>
                <w:sz w:val="16"/>
              </w:rPr>
              <w:t xml:space="preserve">Plus bas 100j : </w:t>
            </w:r>
            <w:r>
              <w:rPr>
                <w:color w:val="000000"/>
                <w:sz w:val="17"/>
              </w:rPr>
              <w:t>3,695 FCFA</w:t>
            </w:r>
          </w:p>
          <w:p>
            <w:r>
              <w:rPr>
                <w:b/>
                <w:color w:val="503200"/>
                <w:sz w:val="16"/>
              </w:rPr>
              <w:t xml:space="preserve">Volatilité ann. : </w:t>
            </w:r>
            <w:r>
              <w:rPr>
                <w:color w:val="000000"/>
                <w:sz w:val="17"/>
              </w:rPr>
              <w:t>43.3%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20.5/100 → Moyen</w:t>
      </w:r>
    </w:p>
    <w:p>
      <w:pPr>
        <w:spacing w:before="40" w:after="80"/>
      </w:pPr>
      <w:r>
        <w:rPr>
          <w:rFonts w:ascii="Courier New" w:hAnsi="Courier New"/>
          <w:color w:val="825A00"/>
          <w:sz w:val="18"/>
        </w:rPr>
        <w:t>████░░░░░░░░░░░░░░░░  20.5/100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13.51% (Moyenne) — μ=4,776 FCFA, σ=645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β=1.2659 (Agressif) — Cov=0.000096, Var(idx)=0.000076, ρ=0.402,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8,693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σ_j=2.73%/j (Stable) — Vol. annualisée≈43.3%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2026-10-19</w:t>
            </w:r>
          </w:p>
        </w:tc>
        <w:tc>
          <w:tcPr>
            <w:tcW w:type="dxa" w:w="1440"/>
            <w:shd w:fill="FAFAFA" w:val="clear"/>
          </w:tcPr>
          <w:p>
            <w:r>
              <w:rPr>
                <w:sz w:val="17"/>
              </w:rPr>
              <w:t>4,464</w:t>
            </w:r>
          </w:p>
        </w:tc>
        <w:tc>
          <w:tcPr>
            <w:tcW w:type="dxa" w:w="1440"/>
            <w:shd w:fill="FAFAFA" w:val="clear"/>
          </w:tcPr>
          <w:p>
            <w:r>
              <w:rPr>
                <w:b/>
                <w:sz w:val="17"/>
              </w:rPr>
              <w:t>4,742</w:t>
            </w:r>
          </w:p>
        </w:tc>
        <w:tc>
          <w:tcPr>
            <w:tcW w:type="dxa" w:w="1440"/>
            <w:shd w:fill="FAFAFA" w:val="clear"/>
          </w:tcPr>
          <w:p>
            <w:r>
              <w:rPr>
                <w:sz w:val="17"/>
              </w:rPr>
              <w:t>5,020</w:t>
            </w:r>
          </w:p>
        </w:tc>
        <w:tc>
          <w:tcPr>
            <w:tcW w:type="dxa" w:w="1440"/>
            <w:shd w:fill="FAFAFA" w:val="clear"/>
          </w:tcPr>
          <w:p>
            <w:r>
              <w:rPr>
                <w:b/>
                <w:color w:val="008000"/>
                <w:sz w:val="17"/>
              </w:rPr>
              <w:t>+0.9%</w:t>
            </w:r>
          </w:p>
        </w:tc>
      </w:tr>
      <w:tr>
        <w:tc>
          <w:tcPr>
            <w:tcW w:type="dxa" w:w="1440"/>
            <w:shd w:fill="FAFAFA" w:val="clear"/>
          </w:tcPr>
          <w:p>
            <w:r>
              <w:rPr>
                <w:sz w:val="17"/>
              </w:rPr>
              <w:t>J+2  ⭐</w:t>
            </w:r>
          </w:p>
        </w:tc>
        <w:tc>
          <w:tcPr>
            <w:tcW w:type="dxa" w:w="1440"/>
            <w:shd w:fill="FAFAFA" w:val="clear"/>
          </w:tcPr>
          <w:p>
            <w:r>
              <w:rPr>
                <w:sz w:val="17"/>
              </w:rPr>
              <w:t>2026-10-20</w:t>
            </w:r>
          </w:p>
        </w:tc>
        <w:tc>
          <w:tcPr>
            <w:tcW w:type="dxa" w:w="1440"/>
            <w:shd w:fill="FAFAFA" w:val="clear"/>
          </w:tcPr>
          <w:p>
            <w:r>
              <w:rPr>
                <w:sz w:val="17"/>
              </w:rPr>
              <w:t>4,366</w:t>
            </w:r>
          </w:p>
        </w:tc>
        <w:tc>
          <w:tcPr>
            <w:tcW w:type="dxa" w:w="1440"/>
            <w:shd w:fill="FAFAFA" w:val="clear"/>
          </w:tcPr>
          <w:p>
            <w:r>
              <w:rPr>
                <w:b/>
                <w:sz w:val="17"/>
              </w:rPr>
              <w:t>4,761</w:t>
            </w:r>
          </w:p>
        </w:tc>
        <w:tc>
          <w:tcPr>
            <w:tcW w:type="dxa" w:w="1440"/>
            <w:shd w:fill="FAFAFA" w:val="clear"/>
          </w:tcPr>
          <w:p>
            <w:r>
              <w:rPr>
                <w:sz w:val="17"/>
              </w:rPr>
              <w:t>5,156</w:t>
            </w:r>
          </w:p>
        </w:tc>
        <w:tc>
          <w:tcPr>
            <w:tcW w:type="dxa" w:w="1440"/>
            <w:shd w:fill="FAFAFA" w:val="clear"/>
          </w:tcPr>
          <w:p>
            <w:r>
              <w:rPr>
                <w:b/>
                <w:color w:val="008000"/>
                <w:sz w:val="17"/>
              </w:rPr>
              <w:t>+1.3%</w:t>
            </w:r>
          </w:p>
        </w:tc>
      </w:tr>
      <w:tr>
        <w:tc>
          <w:tcPr>
            <w:tcW w:type="dxa" w:w="1440"/>
            <w:shd w:fill="FAFAFA" w:val="clear"/>
          </w:tcPr>
          <w:p>
            <w:r>
              <w:rPr>
                <w:sz w:val="17"/>
              </w:rPr>
              <w:t>J+3  ⭐</w:t>
            </w:r>
          </w:p>
        </w:tc>
        <w:tc>
          <w:tcPr>
            <w:tcW w:type="dxa" w:w="1440"/>
            <w:shd w:fill="FAFAFA" w:val="clear"/>
          </w:tcPr>
          <w:p>
            <w:r>
              <w:rPr>
                <w:sz w:val="17"/>
              </w:rPr>
              <w:t>2026-10-21</w:t>
            </w:r>
          </w:p>
        </w:tc>
        <w:tc>
          <w:tcPr>
            <w:tcW w:type="dxa" w:w="1440"/>
            <w:shd w:fill="FAFAFA" w:val="clear"/>
          </w:tcPr>
          <w:p>
            <w:r>
              <w:rPr>
                <w:sz w:val="17"/>
              </w:rPr>
              <w:t>4,298</w:t>
            </w:r>
          </w:p>
        </w:tc>
        <w:tc>
          <w:tcPr>
            <w:tcW w:type="dxa" w:w="1440"/>
            <w:shd w:fill="FAFAFA" w:val="clear"/>
          </w:tcPr>
          <w:p>
            <w:r>
              <w:rPr>
                <w:b/>
                <w:sz w:val="17"/>
              </w:rPr>
              <w:t>4,784</w:t>
            </w:r>
          </w:p>
        </w:tc>
        <w:tc>
          <w:tcPr>
            <w:tcW w:type="dxa" w:w="1440"/>
            <w:shd w:fill="FAFAFA" w:val="clear"/>
          </w:tcPr>
          <w:p>
            <w:r>
              <w:rPr>
                <w:sz w:val="17"/>
              </w:rPr>
              <w:t>5,270</w:t>
            </w:r>
          </w:p>
        </w:tc>
        <w:tc>
          <w:tcPr>
            <w:tcW w:type="dxa" w:w="1440"/>
            <w:shd w:fill="FAFAFA" w:val="clear"/>
          </w:tcPr>
          <w:p>
            <w:r>
              <w:rPr>
                <w:b/>
                <w:color w:val="008000"/>
                <w:sz w:val="17"/>
              </w:rPr>
              <w:t>+1.8%</w:t>
            </w:r>
          </w:p>
        </w:tc>
      </w:tr>
      <w:tr>
        <w:tc>
          <w:tcPr>
            <w:tcW w:type="dxa" w:w="1440"/>
            <w:shd w:fill="C6EFCE" w:val="clear"/>
          </w:tcPr>
          <w:p>
            <w:r>
              <w:rPr>
                <w:sz w:val="17"/>
              </w:rPr>
              <w:t>J+4  ⭐</w:t>
            </w:r>
          </w:p>
        </w:tc>
        <w:tc>
          <w:tcPr>
            <w:tcW w:type="dxa" w:w="1440"/>
            <w:shd w:fill="C6EFCE" w:val="clear"/>
          </w:tcPr>
          <w:p>
            <w:r>
              <w:rPr>
                <w:sz w:val="17"/>
              </w:rPr>
              <w:t>2026-10-22</w:t>
            </w:r>
          </w:p>
        </w:tc>
        <w:tc>
          <w:tcPr>
            <w:tcW w:type="dxa" w:w="1440"/>
            <w:shd w:fill="C6EFCE" w:val="clear"/>
          </w:tcPr>
          <w:p>
            <w:r>
              <w:rPr>
                <w:sz w:val="17"/>
              </w:rPr>
              <w:t>4,244</w:t>
            </w:r>
          </w:p>
        </w:tc>
        <w:tc>
          <w:tcPr>
            <w:tcW w:type="dxa" w:w="1440"/>
            <w:shd w:fill="C6EFCE" w:val="clear"/>
          </w:tcPr>
          <w:p>
            <w:r>
              <w:rPr>
                <w:b/>
                <w:sz w:val="17"/>
              </w:rPr>
              <w:t>4,808</w:t>
            </w:r>
          </w:p>
        </w:tc>
        <w:tc>
          <w:tcPr>
            <w:tcW w:type="dxa" w:w="1440"/>
            <w:shd w:fill="C6EFCE" w:val="clear"/>
          </w:tcPr>
          <w:p>
            <w:r>
              <w:rPr>
                <w:sz w:val="17"/>
              </w:rPr>
              <w:t>5,372</w:t>
            </w:r>
          </w:p>
        </w:tc>
        <w:tc>
          <w:tcPr>
            <w:tcW w:type="dxa" w:w="1440"/>
            <w:shd w:fill="C6EFCE" w:val="clear"/>
          </w:tcPr>
          <w:p>
            <w:r>
              <w:rPr>
                <w:b/>
                <w:color w:val="008000"/>
                <w:sz w:val="17"/>
              </w:rPr>
              <w:t>+2.3%</w:t>
            </w:r>
          </w:p>
        </w:tc>
      </w:tr>
      <w:tr>
        <w:tc>
          <w:tcPr>
            <w:tcW w:type="dxa" w:w="1440"/>
            <w:shd w:fill="C6EFCE" w:val="clear"/>
          </w:tcPr>
          <w:p>
            <w:r>
              <w:rPr>
                <w:sz w:val="17"/>
              </w:rPr>
              <w:t>J+5  ⭐</w:t>
            </w:r>
          </w:p>
        </w:tc>
        <w:tc>
          <w:tcPr>
            <w:tcW w:type="dxa" w:w="1440"/>
            <w:shd w:fill="C6EFCE" w:val="clear"/>
          </w:tcPr>
          <w:p>
            <w:r>
              <w:rPr>
                <w:sz w:val="17"/>
              </w:rPr>
              <w:t>2026-10-23</w:t>
            </w:r>
          </w:p>
        </w:tc>
        <w:tc>
          <w:tcPr>
            <w:tcW w:type="dxa" w:w="1440"/>
            <w:shd w:fill="C6EFCE" w:val="clear"/>
          </w:tcPr>
          <w:p>
            <w:r>
              <w:rPr>
                <w:sz w:val="17"/>
              </w:rPr>
              <w:t>4,198</w:t>
            </w:r>
          </w:p>
        </w:tc>
        <w:tc>
          <w:tcPr>
            <w:tcW w:type="dxa" w:w="1440"/>
            <w:shd w:fill="C6EFCE" w:val="clear"/>
          </w:tcPr>
          <w:p>
            <w:r>
              <w:rPr>
                <w:b/>
                <w:sz w:val="17"/>
              </w:rPr>
              <w:t>4,831</w:t>
            </w:r>
          </w:p>
        </w:tc>
        <w:tc>
          <w:tcPr>
            <w:tcW w:type="dxa" w:w="1440"/>
            <w:shd w:fill="C6EFCE" w:val="clear"/>
          </w:tcPr>
          <w:p>
            <w:r>
              <w:rPr>
                <w:sz w:val="17"/>
              </w:rPr>
              <w:t>5,465</w:t>
            </w:r>
          </w:p>
        </w:tc>
        <w:tc>
          <w:tcPr>
            <w:tcW w:type="dxa" w:w="1440"/>
            <w:shd w:fill="C6EFCE" w:val="clear"/>
          </w:tcPr>
          <w:p>
            <w:r>
              <w:rPr>
                <w:b/>
                <w:color w:val="008000"/>
                <w:sz w:val="17"/>
              </w:rPr>
              <w:t>+2.8%</w:t>
            </w:r>
          </w:p>
        </w:tc>
      </w:tr>
      <w:tr>
        <w:tc>
          <w:tcPr>
            <w:tcW w:type="dxa" w:w="1440"/>
            <w:shd w:fill="C6EFCE" w:val="clear"/>
          </w:tcPr>
          <w:p>
            <w:r>
              <w:rPr>
                <w:sz w:val="17"/>
              </w:rPr>
              <w:t>J+6  ⭐</w:t>
            </w:r>
          </w:p>
        </w:tc>
        <w:tc>
          <w:tcPr>
            <w:tcW w:type="dxa" w:w="1440"/>
            <w:shd w:fill="C6EFCE" w:val="clear"/>
          </w:tcPr>
          <w:p>
            <w:r>
              <w:rPr>
                <w:sz w:val="17"/>
              </w:rPr>
              <w:t>2026-10-26</w:t>
            </w:r>
          </w:p>
        </w:tc>
        <w:tc>
          <w:tcPr>
            <w:tcW w:type="dxa" w:w="1440"/>
            <w:shd w:fill="C6EFCE" w:val="clear"/>
          </w:tcPr>
          <w:p>
            <w:r>
              <w:rPr>
                <w:sz w:val="17"/>
              </w:rPr>
              <w:t>4,157</w:t>
            </w:r>
          </w:p>
        </w:tc>
        <w:tc>
          <w:tcPr>
            <w:tcW w:type="dxa" w:w="1440"/>
            <w:shd w:fill="C6EFCE" w:val="clear"/>
          </w:tcPr>
          <w:p>
            <w:r>
              <w:rPr>
                <w:b/>
                <w:sz w:val="17"/>
              </w:rPr>
              <w:t>4,855</w:t>
            </w:r>
          </w:p>
        </w:tc>
        <w:tc>
          <w:tcPr>
            <w:tcW w:type="dxa" w:w="1440"/>
            <w:shd w:fill="C6EFCE" w:val="clear"/>
          </w:tcPr>
          <w:p>
            <w:r>
              <w:rPr>
                <w:sz w:val="17"/>
              </w:rPr>
              <w:t>5,553</w:t>
            </w:r>
          </w:p>
        </w:tc>
        <w:tc>
          <w:tcPr>
            <w:tcW w:type="dxa" w:w="1440"/>
            <w:shd w:fill="C6EFCE" w:val="clear"/>
          </w:tcPr>
          <w:p>
            <w:r>
              <w:rPr>
                <w:b/>
                <w:color w:val="008000"/>
                <w:sz w:val="17"/>
              </w:rPr>
              <w:t>+3.3%</w:t>
            </w:r>
          </w:p>
        </w:tc>
      </w:tr>
      <w:tr>
        <w:tc>
          <w:tcPr>
            <w:tcW w:type="dxa" w:w="1440"/>
            <w:shd w:fill="C6EFCE" w:val="clear"/>
          </w:tcPr>
          <w:p>
            <w:r>
              <w:rPr>
                <w:sz w:val="17"/>
              </w:rPr>
              <w:t>J+7  ⭐</w:t>
            </w:r>
          </w:p>
        </w:tc>
        <w:tc>
          <w:tcPr>
            <w:tcW w:type="dxa" w:w="1440"/>
            <w:shd w:fill="C6EFCE" w:val="clear"/>
          </w:tcPr>
          <w:p>
            <w:r>
              <w:rPr>
                <w:sz w:val="17"/>
              </w:rPr>
              <w:t>2026-10-27</w:t>
            </w:r>
          </w:p>
        </w:tc>
        <w:tc>
          <w:tcPr>
            <w:tcW w:type="dxa" w:w="1440"/>
            <w:shd w:fill="C6EFCE" w:val="clear"/>
          </w:tcPr>
          <w:p>
            <w:r>
              <w:rPr>
                <w:sz w:val="17"/>
              </w:rPr>
              <w:t>4,121</w:t>
            </w:r>
          </w:p>
        </w:tc>
        <w:tc>
          <w:tcPr>
            <w:tcW w:type="dxa" w:w="1440"/>
            <w:shd w:fill="C6EFCE" w:val="clear"/>
          </w:tcPr>
          <w:p>
            <w:r>
              <w:rPr>
                <w:b/>
                <w:sz w:val="17"/>
              </w:rPr>
              <w:t>4,878</w:t>
            </w:r>
          </w:p>
        </w:tc>
        <w:tc>
          <w:tcPr>
            <w:tcW w:type="dxa" w:w="1440"/>
            <w:shd w:fill="C6EFCE" w:val="clear"/>
          </w:tcPr>
          <w:p>
            <w:r>
              <w:rPr>
                <w:sz w:val="17"/>
              </w:rPr>
              <w:t>5,635</w:t>
            </w:r>
          </w:p>
        </w:tc>
        <w:tc>
          <w:tcPr>
            <w:tcW w:type="dxa" w:w="1440"/>
            <w:shd w:fill="C6EFCE" w:val="clear"/>
          </w:tcPr>
          <w:p>
            <w:r>
              <w:rPr>
                <w:b/>
                <w:color w:val="008000"/>
                <w:sz w:val="17"/>
              </w:rPr>
              <w:t>+3.8%</w:t>
            </w:r>
          </w:p>
        </w:tc>
      </w:tr>
      <w:tr>
        <w:tc>
          <w:tcPr>
            <w:tcW w:type="dxa" w:w="1440"/>
            <w:shd w:fill="C6EFCE" w:val="clear"/>
          </w:tcPr>
          <w:p>
            <w:r>
              <w:rPr>
                <w:sz w:val="17"/>
              </w:rPr>
              <w:t>J+8  ⭐</w:t>
            </w:r>
          </w:p>
        </w:tc>
        <w:tc>
          <w:tcPr>
            <w:tcW w:type="dxa" w:w="1440"/>
            <w:shd w:fill="C6EFCE" w:val="clear"/>
          </w:tcPr>
          <w:p>
            <w:r>
              <w:rPr>
                <w:sz w:val="17"/>
              </w:rPr>
              <w:t>2026-10-28</w:t>
            </w:r>
          </w:p>
        </w:tc>
        <w:tc>
          <w:tcPr>
            <w:tcW w:type="dxa" w:w="1440"/>
            <w:shd w:fill="C6EFCE" w:val="clear"/>
          </w:tcPr>
          <w:p>
            <w:r>
              <w:rPr>
                <w:sz w:val="17"/>
              </w:rPr>
              <w:t>4,088</w:t>
            </w:r>
          </w:p>
        </w:tc>
        <w:tc>
          <w:tcPr>
            <w:tcW w:type="dxa" w:w="1440"/>
            <w:shd w:fill="C6EFCE" w:val="clear"/>
          </w:tcPr>
          <w:p>
            <w:r>
              <w:rPr>
                <w:b/>
                <w:sz w:val="17"/>
              </w:rPr>
              <w:t>4,901</w:t>
            </w:r>
          </w:p>
        </w:tc>
        <w:tc>
          <w:tcPr>
            <w:tcW w:type="dxa" w:w="1440"/>
            <w:shd w:fill="C6EFCE" w:val="clear"/>
          </w:tcPr>
          <w:p>
            <w:r>
              <w:rPr>
                <w:sz w:val="17"/>
              </w:rPr>
              <w:t>5,715</w:t>
            </w:r>
          </w:p>
        </w:tc>
        <w:tc>
          <w:tcPr>
            <w:tcW w:type="dxa" w:w="1440"/>
            <w:shd w:fill="C6EFCE" w:val="clear"/>
          </w:tcPr>
          <w:p>
            <w:r>
              <w:rPr>
                <w:b/>
                <w:color w:val="008000"/>
                <w:sz w:val="17"/>
              </w:rPr>
              <w:t>+4.3%</w:t>
            </w:r>
          </w:p>
        </w:tc>
      </w:tr>
      <w:tr>
        <w:tc>
          <w:tcPr>
            <w:tcW w:type="dxa" w:w="1440"/>
            <w:shd w:fill="C6EFCE" w:val="clear"/>
          </w:tcPr>
          <w:p>
            <w:r>
              <w:rPr>
                <w:sz w:val="17"/>
              </w:rPr>
              <w:t>J+9  ⭐</w:t>
            </w:r>
          </w:p>
        </w:tc>
        <w:tc>
          <w:tcPr>
            <w:tcW w:type="dxa" w:w="1440"/>
            <w:shd w:fill="C6EFCE" w:val="clear"/>
          </w:tcPr>
          <w:p>
            <w:r>
              <w:rPr>
                <w:sz w:val="17"/>
              </w:rPr>
              <w:t>2026-10-29</w:t>
            </w:r>
          </w:p>
        </w:tc>
        <w:tc>
          <w:tcPr>
            <w:tcW w:type="dxa" w:w="1440"/>
            <w:shd w:fill="C6EFCE" w:val="clear"/>
          </w:tcPr>
          <w:p>
            <w:r>
              <w:rPr>
                <w:sz w:val="17"/>
              </w:rPr>
              <w:t>4,058</w:t>
            </w:r>
          </w:p>
        </w:tc>
        <w:tc>
          <w:tcPr>
            <w:tcW w:type="dxa" w:w="1440"/>
            <w:shd w:fill="C6EFCE" w:val="clear"/>
          </w:tcPr>
          <w:p>
            <w:r>
              <w:rPr>
                <w:b/>
                <w:sz w:val="17"/>
              </w:rPr>
              <w:t>4,924</w:t>
            </w:r>
          </w:p>
        </w:tc>
        <w:tc>
          <w:tcPr>
            <w:tcW w:type="dxa" w:w="1440"/>
            <w:shd w:fill="C6EFCE" w:val="clear"/>
          </w:tcPr>
          <w:p>
            <w:r>
              <w:rPr>
                <w:sz w:val="17"/>
              </w:rPr>
              <w:t>5,791</w:t>
            </w:r>
          </w:p>
        </w:tc>
        <w:tc>
          <w:tcPr>
            <w:tcW w:type="dxa" w:w="1440"/>
            <w:shd w:fill="C6EFCE" w:val="clear"/>
          </w:tcPr>
          <w:p>
            <w:r>
              <w:rPr>
                <w:b/>
                <w:color w:val="008000"/>
                <w:sz w:val="17"/>
              </w:rPr>
              <w:t>+4.8%</w:t>
            </w:r>
          </w:p>
        </w:tc>
      </w:tr>
      <w:tr>
        <w:tc>
          <w:tcPr>
            <w:tcW w:type="dxa" w:w="1440"/>
            <w:shd w:fill="C6EFCE" w:val="clear"/>
          </w:tcPr>
          <w:p>
            <w:r>
              <w:rPr>
                <w:sz w:val="17"/>
              </w:rPr>
              <w:t>J+10  ⭐</w:t>
            </w:r>
          </w:p>
        </w:tc>
        <w:tc>
          <w:tcPr>
            <w:tcW w:type="dxa" w:w="1440"/>
            <w:shd w:fill="C6EFCE" w:val="clear"/>
          </w:tcPr>
          <w:p>
            <w:r>
              <w:rPr>
                <w:sz w:val="17"/>
              </w:rPr>
              <w:t>2026-10-30</w:t>
            </w:r>
          </w:p>
        </w:tc>
        <w:tc>
          <w:tcPr>
            <w:tcW w:type="dxa" w:w="1440"/>
            <w:shd w:fill="C6EFCE" w:val="clear"/>
          </w:tcPr>
          <w:p>
            <w:r>
              <w:rPr>
                <w:sz w:val="17"/>
              </w:rPr>
              <w:t>4,029</w:t>
            </w:r>
          </w:p>
        </w:tc>
        <w:tc>
          <w:tcPr>
            <w:tcW w:type="dxa" w:w="1440"/>
            <w:shd w:fill="C6EFCE" w:val="clear"/>
          </w:tcPr>
          <w:p>
            <w:r>
              <w:rPr>
                <w:b/>
                <w:sz w:val="17"/>
              </w:rPr>
              <w:t>4,947</w:t>
            </w:r>
          </w:p>
        </w:tc>
        <w:tc>
          <w:tcPr>
            <w:tcW w:type="dxa" w:w="1440"/>
            <w:shd w:fill="C6EFCE" w:val="clear"/>
          </w:tcPr>
          <w:p>
            <w:r>
              <w:rPr>
                <w:sz w:val="17"/>
              </w:rPr>
              <w:t>5,865</w:t>
            </w:r>
          </w:p>
        </w:tc>
        <w:tc>
          <w:tcPr>
            <w:tcW w:type="dxa" w:w="1440"/>
            <w:shd w:fill="C6EFCE" w:val="clear"/>
          </w:tcPr>
          <w:p>
            <w:r>
              <w:rPr>
                <w:b/>
                <w:color w:val="008000"/>
                <w:sz w:val="17"/>
              </w:rPr>
              <w:t>+5.3%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**RAPPORT D'ANALYSE FINANCIÈRE — BOAN (Bank of Africa Niger)**</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97,76 milliards FCFA, BOAN se situe dans la moyenne des capitalisations du compartiment bancaire de la BRVM, sans toutefois rivaliser avec les poids lourds régionaux du secteur. Le BPA de 20 FCFA par action traduit un bénéfice net par titre extrêmement faible, conséquence directe de l'effondrement du résultat net 2025 à 409 millions FCFA. Le PER de 239,0x constitue un signal d'alarme majeur : les investisseurs paient l'équivalent de 239 années de bénéfices courants pour acquérir le titre, soit un multiple près de vingt fois supérieur à la moyenne BRVM (8-12x), ce qui traduit une anticipation massive d'un rebond des profits plutôt qu'une valorisation rationnelle sur les résultats actuels. Le P/B de 2,71x indique que le marché valorise l'action à près de trois fois sa valeur comptable (capitaux propres de 36,06 Mds FCFA), soit une prime de croissance significative accordée malgré la dégradation des fondamentaux. Enfin, l'EV/EBITDA de 38,0x, très supérieur au seuil de 15x généralement considéré comme exigeant, confirme que la valeur d'entreprise intègre une forte composante spéculative sur la capacité bénéficiaire future plutôt que sur la performance opérationnelle actuelle.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BOAN affiche une progression remarquable de +25,67%, avec une dernière séance en hausse de +0,53%, portant le cours à 4 700 FCFA. Le range de trading s'étend de 3 695 FCFA (plus bas) à 5 645 FCFA (plus haut), soit une amplitude de plus de 52%, révélant une forte volatilité intra-période malgré la tendance haussière globale. Les statistiques descriptives éclairent ce comportement : la moyenne (4 776 FCFA) est nettement inférieure à la médiane (5 088 FCFA) et au mode (5 200 FCFA), signe d'une distribution asymétrique où le cours a passé davantage de temps dans les hauts niveaux, mais où quelques séances de forte baisse ont tiré la moyenne vers le bas — cohérent avec le skewness négatif de -0,560 (plus de journées au-dessus de la moyenne). L'écart-type de 648 FCFA (CV de 13,6%) traduit une dispersion modérée autour de la moyenne, tandis que le kurtosis de -1,203 (distribution platykurtique) indique une faible concentration des rendements et un risque de pics extrêmes limité. La volatilité annualisée de 43,3% classe le titre dans la catégorie des valeurs à volatilité élevée (&gt;30%), ce qui est cohérent avec un profil de petite capitalisation bancaire exposée à un contexte macroéconomique instable.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(4 937,25 FCFA) et la MM50 (5 176,30 FCFA) se situent toutes deux au-dessus du cours actuel (4 700 FCFA), configurant une structure baissière de court et moyen terme. Le prix évoluant sous ses deux moyennes, la pression vendeuse domine, justifiant la décision technique de **Vente**.</w:t>
      </w:r>
    </w:p>
    <w:p>
      <w:pPr>
        <w:spacing w:after="120" w:line="276" w:lineRule="auto"/>
      </w:pPr>
      <w:r>
        <w:t>**Bandes de Bollinger** : Le cours (4 700 FCFA) se situe dans la moitié inférieure de la bande, entre la borne inférieure (4 360,57 FCFA) et la borne supérieure (5 513,93 FCFA), sans atteindre les extrêmes. Cette position centrale traduit une absence de signal directionnel fort, justifiant la décision **Neutre** avec une volatilité contenue dans le canal.</w:t>
      </w:r>
    </w:p>
    <w:p>
      <w:pPr>
        <w:spacing w:after="120" w:line="276" w:lineRule="auto"/>
      </w:pPr>
      <w:r>
        <w:t>**MACD** : La valeur du MACD (-157,49) est inférieure à sa ligne de signal (-129,08), avec un histogramme négatif qui s'accentue. Cette configuration baissière indique un momentum négatif persistant et une pression vendeuse toujours active, confirmant la décision de **Vente**.</w:t>
      </w:r>
    </w:p>
    <w:p>
      <w:pPr>
        <w:spacing w:after="120" w:line="276" w:lineRule="auto"/>
      </w:pPr>
      <w:r>
        <w:t>**RSI** : À 39,66, le RSI se situe dans la zone neutre basse (30-70), sans atteindre le seuil de survente (30). Le titre n'est ni suracheté ni survendu, mais la tendance pointe vers la faiblesse, justifiant une décision **Neutre** avec un biais prudent.</w:t>
      </w:r>
    </w:p>
    <w:p>
      <w:pPr>
        <w:spacing w:after="120" w:line="276" w:lineRule="auto"/>
      </w:pPr>
      <w:r>
        <w:t>**Stochastique** : Le %K (21,74) et le %D (23,99) évoluent tous deux en zone basse, sous le seuil de 20 approché, sans croisement haussier confirmé. Cette configuration suggère une proximité de la zone de survente mais sans signal d'achat validé, justifiant la décision **Neutre**.</w:t>
      </w:r>
    </w:p>
    <w:p>
      <w:pPr>
        <w:spacing w:after="120" w:line="276" w:lineRule="auto"/>
      </w:pPr>
      <w:r>
        <w:t>**Conclusion technique** : La convergence des signaux est majoritairement baissière — cours sous MM20/MM50, MACD négatif sous son signal — tandis que le RSI, le stochastique et les Bollinger restent neutres sans signal d'achat. Le titre se trouve dans une phase de consolidation baissière après le rebond des 100 jours, avec un potentiel de rebond technique non confirmé. La prudence technique domine, en cohérence avec la décision globale de Vente sur les moyennes mobiles et le MACD.</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états financiers officiels de l'exercice 2025 (rapport semestriel du 31/12/2025, analysé par MISTRAL le 26/03/2026 et CLAUDE-MANUAL le 05/09/2026) révèlent une situation profondément dégradée : le Produit Net Bancaire s'établit à 21 125 millions FCFA, en repli de -1,2% sur un an, tandis que le résultat net s'effondre à 409 millions FCFA contre 5 002 millions en 2024, soit une chute de -91,8%. Cette débâcle s'explique par un coût du risque plus que doublé (+121,5%, à 6 016 millions FCFA, incluant une provision exceptionnelle de 4,8 Mds FCFA liée au taux de sinistralité sectoriel de 24%) et par une hausse des charges générales (+6,5%). Les ratios de rentabilité sont catastrophiques : ROE de 1,13% (contre 11,39% en 2024) et ROA de 0,14% (contre 1,49%), très loin des standards d'excellence (&gt;15% pour le ROE). Le coefficient d'exploitation se dégrade à 74,37%, bien au-dessus du seuil de 60% d'efficacité, et le coût du risque rapporté aux charges financières atteint 67,30%, signalant un portefeuille de crédit très fragile. La structure financière reste néanmoins solide avec un ratio de solvabilité de 14,06% (conforme aux exigences UEMOA) et un coefficient de liquidité de 123,95%, tandis que les dépôts clientèle progressent de +4,0% à 189 867 millions FCFA malgré la contraction volontaire des crédits (-20,9% à 128 447 millions). Les rapports trimestriels les plus récents confirment toutefois un début de redressement : le T1 2026 (rapport du 31/03/2026, analysé par CLAUDE-MANUAL le 05/09/2026) affiche un PNB en hausse de +7,9% à 5 170 millions FCFA, un résultat net en progression de +28,9% à 1 467,3 millions FCFA, et un coefficient d'exploitation ramené à 56,2% contre 66,8% un an plus tôt. Sur cette base, on estime que l'exercice 2026 pourrait renouer avec une rentabilité nettement supérieure, le budget communiqué visant un résultat avant impôt de 7 280 millions FCFA (+515%) et une réduction du coût du risque de -65,7%. La recommandation fondamentale reste **CONSERVER sous surveillance rapprochée** : la solidité bilancielle et le soutien du groupe BOA constituent des amortisseurs, mais la confirmation du redressement sur plusieurs trimestres est indispensable avant toute réévaluation à la hausse.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dimensions révèle un profil d'investissement profondément contradictoire. La valorisation (Partie 0) est extrêmement tendue — PER de 239x, P/B de 2,71x et EV/EBITDA de 38x — traduisant une anticipation de rebond déjà largement intégrée dans les cours, ce qui limite le potentiel d'appréciation sur les résultats actuels. Le comportement du cours (Partie 1) affiche une tendance haussière de +25,67% sur 100 jours, mais avec une volatilité élevée (43,3%) et des statistiques (skewness négatif, kurtosis platykurtique) qui suggèrent une distribution irrégulière des rendements et un risque de correction. Les signaux techniques (Partie 2) sont majoritairement baissiers — cours sous MM20/MM50, MACD négatif — avec des indicateurs neutres (RSI, stochastique, Bollinger) qui n'offrent aucun signal d'achat confirmé. Les fondamentaux (Partie 3) demeurent très dégradés pour 2025 (ROE de 1,13%, résultat net en chute de -91,8%), mais les rapports T1 2026 laissent entrevoir un redressement crédible (+28,9% de résultat net, coefficient d'exploitation à 56,2%). Les prédictions IA (J+1 à J+10) projettent une trajectoire haussière modérée de 4 742 à 4 831 FCFA (+2,8% sur 5 séances), en légère contradiction avec les signaux techniques baissiers mais en cohérence avec le rebond fondamental naissant. Face à cette divergence entre technique baissière, valorisation exigeante et fondamental en convalescence, la recommandation finale est **CONSERVER**, avec un niveau de confiance **Moyen** et un niveau de risque global **Élevé**. L'horizon d'investissement optimal est le **moyen terme (3-12 mois)**, le temps de confirmer sur deux à trois trimestres supplémentaires la pérennité du redressement opérationnel avant d'envisager un renforcement de position.</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11.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293.40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11,606 titres</w:t>
            </w:r>
          </w:p>
        </w:tc>
        <w:tc>
          <w:tcPr>
            <w:tcW w:type="dxa" w:w="2268"/>
            <w:shd w:fill="FFF2CC" w:val="clear"/>
          </w:tcPr>
          <w:p>
            <w:r>
              <w:rPr>
                <w:b/>
                <w:color w:val="503200"/>
                <w:sz w:val="16"/>
              </w:rPr>
              <w:t xml:space="preserve">Cours actuel : </w:t>
            </w:r>
            <w:r>
              <w:rPr>
                <w:color w:val="000000"/>
                <w:sz w:val="17"/>
              </w:rPr>
              <w:t>8,150 FCFA</w:t>
            </w:r>
          </w:p>
          <w:p>
            <w:r>
              <w:rPr>
                <w:b/>
                <w:color w:val="503200"/>
                <w:sz w:val="16"/>
              </w:rPr>
              <w:t xml:space="preserve">Var. 100 jours : </w:t>
            </w:r>
            <w:r>
              <w:rPr>
                <w:b/>
                <w:color w:val="007800"/>
                <w:sz w:val="17"/>
              </w:rPr>
              <w:t>+5.23%</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7,250 FCFA</w:t>
            </w:r>
          </w:p>
          <w:p>
            <w:r>
              <w:rPr>
                <w:b/>
                <w:color w:val="503200"/>
                <w:sz w:val="16"/>
              </w:rPr>
              <w:t xml:space="preserve">Volatilité ann. : </w:t>
            </w:r>
            <w:r>
              <w:rPr>
                <w:color w:val="000000"/>
                <w:sz w:val="17"/>
              </w:rPr>
              <w:t>25.5%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9.3/100 → Faible</w:t>
      </w:r>
    </w:p>
    <w:p>
      <w:pPr>
        <w:spacing w:before="40" w:after="80"/>
      </w:pPr>
      <w:r>
        <w:rPr>
          <w:rFonts w:ascii="Courier New" w:hAnsi="Courier New"/>
          <w:color w:val="006400"/>
          <w:sz w:val="18"/>
        </w:rPr>
        <w:t>█░░░░░░░░░░░░░░░░░░░  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4.91% (Faible) — μ=7,776 FCFA, σ=382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β=0.5448 (Défensif) — Cov=0.000041, Var(idx)=0.000076, ρ=0.294,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11,606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σ_j=1.61%/j (Stable) — Vol. annualisée≈25.5%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2026-10-19</w:t>
            </w:r>
          </w:p>
        </w:tc>
        <w:tc>
          <w:tcPr>
            <w:tcW w:type="dxa" w:w="1440"/>
            <w:shd w:fill="FFDCE0" w:val="clear"/>
          </w:tcPr>
          <w:p>
            <w:r>
              <w:rPr>
                <w:sz w:val="17"/>
              </w:rPr>
              <w:t>7,792</w:t>
            </w:r>
          </w:p>
        </w:tc>
        <w:tc>
          <w:tcPr>
            <w:tcW w:type="dxa" w:w="1440"/>
            <w:shd w:fill="FFDCE0" w:val="clear"/>
          </w:tcPr>
          <w:p>
            <w:r>
              <w:rPr>
                <w:b/>
                <w:sz w:val="17"/>
              </w:rPr>
              <w:t>7,969</w:t>
            </w:r>
          </w:p>
        </w:tc>
        <w:tc>
          <w:tcPr>
            <w:tcW w:type="dxa" w:w="1440"/>
            <w:shd w:fill="FFDCE0" w:val="clear"/>
          </w:tcPr>
          <w:p>
            <w:r>
              <w:rPr>
                <w:sz w:val="17"/>
              </w:rPr>
              <w:t>8,146</w:t>
            </w:r>
          </w:p>
        </w:tc>
        <w:tc>
          <w:tcPr>
            <w:tcW w:type="dxa" w:w="1440"/>
            <w:shd w:fill="FFDCE0" w:val="clear"/>
          </w:tcPr>
          <w:p>
            <w:r>
              <w:rPr>
                <w:b/>
                <w:color w:val="C00000"/>
                <w:sz w:val="17"/>
              </w:rPr>
              <w:t>-2.2%</w:t>
            </w:r>
          </w:p>
        </w:tc>
      </w:tr>
      <w:tr>
        <w:tc>
          <w:tcPr>
            <w:tcW w:type="dxa" w:w="1440"/>
            <w:shd w:fill="FFDCE0" w:val="clear"/>
          </w:tcPr>
          <w:p>
            <w:r>
              <w:rPr>
                <w:sz w:val="17"/>
              </w:rPr>
              <w:t>J+2  ⭐⭐⭐</w:t>
            </w:r>
          </w:p>
        </w:tc>
        <w:tc>
          <w:tcPr>
            <w:tcW w:type="dxa" w:w="1440"/>
            <w:shd w:fill="FFDCE0" w:val="clear"/>
          </w:tcPr>
          <w:p>
            <w:r>
              <w:rPr>
                <w:sz w:val="17"/>
              </w:rPr>
              <w:t>2026-10-20</w:t>
            </w:r>
          </w:p>
        </w:tc>
        <w:tc>
          <w:tcPr>
            <w:tcW w:type="dxa" w:w="1440"/>
            <w:shd w:fill="FFDCE0" w:val="clear"/>
          </w:tcPr>
          <w:p>
            <w:r>
              <w:rPr>
                <w:sz w:val="17"/>
              </w:rPr>
              <w:t>7,604</w:t>
            </w:r>
          </w:p>
        </w:tc>
        <w:tc>
          <w:tcPr>
            <w:tcW w:type="dxa" w:w="1440"/>
            <w:shd w:fill="FFDCE0" w:val="clear"/>
          </w:tcPr>
          <w:p>
            <w:r>
              <w:rPr>
                <w:b/>
                <w:sz w:val="17"/>
              </w:rPr>
              <w:t>7,851</w:t>
            </w:r>
          </w:p>
        </w:tc>
        <w:tc>
          <w:tcPr>
            <w:tcW w:type="dxa" w:w="1440"/>
            <w:shd w:fill="FFDCE0" w:val="clear"/>
          </w:tcPr>
          <w:p>
            <w:r>
              <w:rPr>
                <w:sz w:val="17"/>
              </w:rPr>
              <w:t>8,098</w:t>
            </w:r>
          </w:p>
        </w:tc>
        <w:tc>
          <w:tcPr>
            <w:tcW w:type="dxa" w:w="1440"/>
            <w:shd w:fill="FFDCE0" w:val="clear"/>
          </w:tcPr>
          <w:p>
            <w:r>
              <w:rPr>
                <w:b/>
                <w:color w:val="C00000"/>
                <w:sz w:val="17"/>
              </w:rPr>
              <w:t>-3.7%</w:t>
            </w:r>
          </w:p>
        </w:tc>
      </w:tr>
      <w:tr>
        <w:tc>
          <w:tcPr>
            <w:tcW w:type="dxa" w:w="1440"/>
            <w:shd w:fill="FFDCE0" w:val="clear"/>
          </w:tcPr>
          <w:p>
            <w:r>
              <w:rPr>
                <w:sz w:val="17"/>
              </w:rPr>
              <w:t>J+3  ⭐⭐⭐</w:t>
            </w:r>
          </w:p>
        </w:tc>
        <w:tc>
          <w:tcPr>
            <w:tcW w:type="dxa" w:w="1440"/>
            <w:shd w:fill="FFDCE0" w:val="clear"/>
          </w:tcPr>
          <w:p>
            <w:r>
              <w:rPr>
                <w:sz w:val="17"/>
              </w:rPr>
              <w:t>2026-10-21</w:t>
            </w:r>
          </w:p>
        </w:tc>
        <w:tc>
          <w:tcPr>
            <w:tcW w:type="dxa" w:w="1440"/>
            <w:shd w:fill="FFDCE0" w:val="clear"/>
          </w:tcPr>
          <w:p>
            <w:r>
              <w:rPr>
                <w:sz w:val="17"/>
              </w:rPr>
              <w:t>7,439</w:t>
            </w:r>
          </w:p>
        </w:tc>
        <w:tc>
          <w:tcPr>
            <w:tcW w:type="dxa" w:w="1440"/>
            <w:shd w:fill="FFDCE0" w:val="clear"/>
          </w:tcPr>
          <w:p>
            <w:r>
              <w:rPr>
                <w:b/>
                <w:sz w:val="17"/>
              </w:rPr>
              <w:t>7,737</w:t>
            </w:r>
          </w:p>
        </w:tc>
        <w:tc>
          <w:tcPr>
            <w:tcW w:type="dxa" w:w="1440"/>
            <w:shd w:fill="FFDCE0" w:val="clear"/>
          </w:tcPr>
          <w:p>
            <w:r>
              <w:rPr>
                <w:sz w:val="17"/>
              </w:rPr>
              <w:t>8,035</w:t>
            </w:r>
          </w:p>
        </w:tc>
        <w:tc>
          <w:tcPr>
            <w:tcW w:type="dxa" w:w="1440"/>
            <w:shd w:fill="FFDCE0" w:val="clear"/>
          </w:tcPr>
          <w:p>
            <w:r>
              <w:rPr>
                <w:b/>
                <w:color w:val="C00000"/>
                <w:sz w:val="17"/>
              </w:rPr>
              <w:t>-5.1%</w:t>
            </w:r>
          </w:p>
        </w:tc>
      </w:tr>
      <w:tr>
        <w:tc>
          <w:tcPr>
            <w:tcW w:type="dxa" w:w="1440"/>
            <w:shd w:fill="FFDCE0" w:val="clear"/>
          </w:tcPr>
          <w:p>
            <w:r>
              <w:rPr>
                <w:sz w:val="17"/>
              </w:rPr>
              <w:t>J+4  Moyenne</w:t>
            </w:r>
          </w:p>
        </w:tc>
        <w:tc>
          <w:tcPr>
            <w:tcW w:type="dxa" w:w="1440"/>
            <w:shd w:fill="FFDCE0" w:val="clear"/>
          </w:tcPr>
          <w:p>
            <w:r>
              <w:rPr>
                <w:sz w:val="17"/>
              </w:rPr>
              <w:t>2026-10-22</w:t>
            </w:r>
          </w:p>
        </w:tc>
        <w:tc>
          <w:tcPr>
            <w:tcW w:type="dxa" w:w="1440"/>
            <w:shd w:fill="FFDCE0" w:val="clear"/>
          </w:tcPr>
          <w:p>
            <w:r>
              <w:rPr>
                <w:sz w:val="17"/>
              </w:rPr>
              <w:t>7,293</w:t>
            </w:r>
          </w:p>
        </w:tc>
        <w:tc>
          <w:tcPr>
            <w:tcW w:type="dxa" w:w="1440"/>
            <w:shd w:fill="FFDCE0" w:val="clear"/>
          </w:tcPr>
          <w:p>
            <w:r>
              <w:rPr>
                <w:b/>
                <w:sz w:val="17"/>
              </w:rPr>
              <w:t>7,633</w:t>
            </w:r>
          </w:p>
        </w:tc>
        <w:tc>
          <w:tcPr>
            <w:tcW w:type="dxa" w:w="1440"/>
            <w:shd w:fill="FFDCE0" w:val="clear"/>
          </w:tcPr>
          <w:p>
            <w:r>
              <w:rPr>
                <w:sz w:val="17"/>
              </w:rPr>
              <w:t>7,973</w:t>
            </w:r>
          </w:p>
        </w:tc>
        <w:tc>
          <w:tcPr>
            <w:tcW w:type="dxa" w:w="1440"/>
            <w:shd w:fill="FFDCE0" w:val="clear"/>
          </w:tcPr>
          <w:p>
            <w:r>
              <w:rPr>
                <w:b/>
                <w:color w:val="C00000"/>
                <w:sz w:val="17"/>
              </w:rPr>
              <w:t>-6.3%</w:t>
            </w:r>
          </w:p>
        </w:tc>
      </w:tr>
      <w:tr>
        <w:tc>
          <w:tcPr>
            <w:tcW w:type="dxa" w:w="1440"/>
            <w:shd w:fill="FFDCE0" w:val="clear"/>
          </w:tcPr>
          <w:p>
            <w:r>
              <w:rPr>
                <w:sz w:val="17"/>
              </w:rPr>
              <w:t>J+5  Moyenne</w:t>
            </w:r>
          </w:p>
        </w:tc>
        <w:tc>
          <w:tcPr>
            <w:tcW w:type="dxa" w:w="1440"/>
            <w:shd w:fill="FFDCE0" w:val="clear"/>
          </w:tcPr>
          <w:p>
            <w:r>
              <w:rPr>
                <w:sz w:val="17"/>
              </w:rPr>
              <w:t>2026-10-23</w:t>
            </w:r>
          </w:p>
        </w:tc>
        <w:tc>
          <w:tcPr>
            <w:tcW w:type="dxa" w:w="1440"/>
            <w:shd w:fill="FFDCE0" w:val="clear"/>
          </w:tcPr>
          <w:p>
            <w:r>
              <w:rPr>
                <w:sz w:val="17"/>
              </w:rPr>
              <w:t>7,160</w:t>
            </w:r>
          </w:p>
        </w:tc>
        <w:tc>
          <w:tcPr>
            <w:tcW w:type="dxa" w:w="1440"/>
            <w:shd w:fill="FFDCE0" w:val="clear"/>
          </w:tcPr>
          <w:p>
            <w:r>
              <w:rPr>
                <w:b/>
                <w:sz w:val="17"/>
              </w:rPr>
              <w:t>7,535</w:t>
            </w:r>
          </w:p>
        </w:tc>
        <w:tc>
          <w:tcPr>
            <w:tcW w:type="dxa" w:w="1440"/>
            <w:shd w:fill="FFDCE0" w:val="clear"/>
          </w:tcPr>
          <w:p>
            <w:r>
              <w:rPr>
                <w:sz w:val="17"/>
              </w:rPr>
              <w:t>7,910</w:t>
            </w:r>
          </w:p>
        </w:tc>
        <w:tc>
          <w:tcPr>
            <w:tcW w:type="dxa" w:w="1440"/>
            <w:shd w:fill="FFDCE0" w:val="clear"/>
          </w:tcPr>
          <w:p>
            <w:r>
              <w:rPr>
                <w:b/>
                <w:color w:val="C00000"/>
                <w:sz w:val="17"/>
              </w:rPr>
              <w:t>-7.5%</w:t>
            </w:r>
          </w:p>
        </w:tc>
      </w:tr>
      <w:tr>
        <w:tc>
          <w:tcPr>
            <w:tcW w:type="dxa" w:w="1440"/>
            <w:shd w:fill="FFDCE0" w:val="clear"/>
          </w:tcPr>
          <w:p>
            <w:r>
              <w:rPr>
                <w:sz w:val="17"/>
              </w:rPr>
              <w:t>J+6  Moyenne</w:t>
            </w:r>
          </w:p>
        </w:tc>
        <w:tc>
          <w:tcPr>
            <w:tcW w:type="dxa" w:w="1440"/>
            <w:shd w:fill="FFDCE0" w:val="clear"/>
          </w:tcPr>
          <w:p>
            <w:r>
              <w:rPr>
                <w:sz w:val="17"/>
              </w:rPr>
              <w:t>2026-10-26</w:t>
            </w:r>
          </w:p>
        </w:tc>
        <w:tc>
          <w:tcPr>
            <w:tcW w:type="dxa" w:w="1440"/>
            <w:shd w:fill="FFDCE0" w:val="clear"/>
          </w:tcPr>
          <w:p>
            <w:r>
              <w:rPr>
                <w:sz w:val="17"/>
              </w:rPr>
              <w:t>7,036</w:t>
            </w:r>
          </w:p>
        </w:tc>
        <w:tc>
          <w:tcPr>
            <w:tcW w:type="dxa" w:w="1440"/>
            <w:shd w:fill="FFDCE0" w:val="clear"/>
          </w:tcPr>
          <w:p>
            <w:r>
              <w:rPr>
                <w:b/>
                <w:sz w:val="17"/>
              </w:rPr>
              <w:t>7,442</w:t>
            </w:r>
          </w:p>
        </w:tc>
        <w:tc>
          <w:tcPr>
            <w:tcW w:type="dxa" w:w="1440"/>
            <w:shd w:fill="FFDCE0" w:val="clear"/>
          </w:tcPr>
          <w:p>
            <w:r>
              <w:rPr>
                <w:sz w:val="17"/>
              </w:rPr>
              <w:t>7,848</w:t>
            </w:r>
          </w:p>
        </w:tc>
        <w:tc>
          <w:tcPr>
            <w:tcW w:type="dxa" w:w="1440"/>
            <w:shd w:fill="FFDCE0" w:val="clear"/>
          </w:tcPr>
          <w:p>
            <w:r>
              <w:rPr>
                <w:b/>
                <w:color w:val="C00000"/>
                <w:sz w:val="17"/>
              </w:rPr>
              <w:t>-8.7%</w:t>
            </w:r>
          </w:p>
        </w:tc>
      </w:tr>
      <w:tr>
        <w:tc>
          <w:tcPr>
            <w:tcW w:type="dxa" w:w="1440"/>
            <w:shd w:fill="FFDCE0" w:val="clear"/>
          </w:tcPr>
          <w:p>
            <w:r>
              <w:rPr>
                <w:sz w:val="17"/>
              </w:rPr>
              <w:t>J+7  Moyenne</w:t>
            </w:r>
          </w:p>
        </w:tc>
        <w:tc>
          <w:tcPr>
            <w:tcW w:type="dxa" w:w="1440"/>
            <w:shd w:fill="FFDCE0" w:val="clear"/>
          </w:tcPr>
          <w:p>
            <w:r>
              <w:rPr>
                <w:sz w:val="17"/>
              </w:rPr>
              <w:t>2026-10-27</w:t>
            </w:r>
          </w:p>
        </w:tc>
        <w:tc>
          <w:tcPr>
            <w:tcW w:type="dxa" w:w="1440"/>
            <w:shd w:fill="FFDCE0" w:val="clear"/>
          </w:tcPr>
          <w:p>
            <w:r>
              <w:rPr>
                <w:sz w:val="17"/>
              </w:rPr>
              <w:t>6,920</w:t>
            </w:r>
          </w:p>
        </w:tc>
        <w:tc>
          <w:tcPr>
            <w:tcW w:type="dxa" w:w="1440"/>
            <w:shd w:fill="FFDCE0" w:val="clear"/>
          </w:tcPr>
          <w:p>
            <w:r>
              <w:rPr>
                <w:b/>
                <w:sz w:val="17"/>
              </w:rPr>
              <w:t>7,353</w:t>
            </w:r>
          </w:p>
        </w:tc>
        <w:tc>
          <w:tcPr>
            <w:tcW w:type="dxa" w:w="1440"/>
            <w:shd w:fill="FFDCE0" w:val="clear"/>
          </w:tcPr>
          <w:p>
            <w:r>
              <w:rPr>
                <w:sz w:val="17"/>
              </w:rPr>
              <w:t>7,786</w:t>
            </w:r>
          </w:p>
        </w:tc>
        <w:tc>
          <w:tcPr>
            <w:tcW w:type="dxa" w:w="1440"/>
            <w:shd w:fill="FFDCE0" w:val="clear"/>
          </w:tcPr>
          <w:p>
            <w:r>
              <w:rPr>
                <w:b/>
                <w:color w:val="C00000"/>
                <w:sz w:val="17"/>
              </w:rPr>
              <w:t>-9.8%</w:t>
            </w:r>
          </w:p>
        </w:tc>
      </w:tr>
      <w:tr>
        <w:tc>
          <w:tcPr>
            <w:tcW w:type="dxa" w:w="1440"/>
            <w:shd w:fill="FFDCE0" w:val="clear"/>
          </w:tcPr>
          <w:p>
            <w:r>
              <w:rPr>
                <w:sz w:val="17"/>
              </w:rPr>
              <w:t>J+8  Moyenne</w:t>
            </w:r>
          </w:p>
        </w:tc>
        <w:tc>
          <w:tcPr>
            <w:tcW w:type="dxa" w:w="1440"/>
            <w:shd w:fill="FFDCE0" w:val="clear"/>
          </w:tcPr>
          <w:p>
            <w:r>
              <w:rPr>
                <w:sz w:val="17"/>
              </w:rPr>
              <w:t>2026-10-28</w:t>
            </w:r>
          </w:p>
        </w:tc>
        <w:tc>
          <w:tcPr>
            <w:tcW w:type="dxa" w:w="1440"/>
            <w:shd w:fill="FFDCE0" w:val="clear"/>
          </w:tcPr>
          <w:p>
            <w:r>
              <w:rPr>
                <w:sz w:val="17"/>
              </w:rPr>
              <w:t>6,811</w:t>
            </w:r>
          </w:p>
        </w:tc>
        <w:tc>
          <w:tcPr>
            <w:tcW w:type="dxa" w:w="1440"/>
            <w:shd w:fill="FFDCE0" w:val="clear"/>
          </w:tcPr>
          <w:p>
            <w:r>
              <w:rPr>
                <w:b/>
                <w:sz w:val="17"/>
              </w:rPr>
              <w:t>7,269</w:t>
            </w:r>
          </w:p>
        </w:tc>
        <w:tc>
          <w:tcPr>
            <w:tcW w:type="dxa" w:w="1440"/>
            <w:shd w:fill="FFDCE0" w:val="clear"/>
          </w:tcPr>
          <w:p>
            <w:r>
              <w:rPr>
                <w:sz w:val="17"/>
              </w:rPr>
              <w:t>7,726</w:t>
            </w:r>
          </w:p>
        </w:tc>
        <w:tc>
          <w:tcPr>
            <w:tcW w:type="dxa" w:w="1440"/>
            <w:shd w:fill="FFDCE0" w:val="clear"/>
          </w:tcPr>
          <w:p>
            <w:r>
              <w:rPr>
                <w:b/>
                <w:color w:val="C00000"/>
                <w:sz w:val="17"/>
              </w:rPr>
              <w:t>-10.8%</w:t>
            </w:r>
          </w:p>
        </w:tc>
      </w:tr>
      <w:tr>
        <w:tc>
          <w:tcPr>
            <w:tcW w:type="dxa" w:w="1440"/>
            <w:shd w:fill="FFDCE0" w:val="clear"/>
          </w:tcPr>
          <w:p>
            <w:r>
              <w:rPr>
                <w:sz w:val="17"/>
              </w:rPr>
              <w:t>J+9  Moyenne</w:t>
            </w:r>
          </w:p>
        </w:tc>
        <w:tc>
          <w:tcPr>
            <w:tcW w:type="dxa" w:w="1440"/>
            <w:shd w:fill="FFDCE0" w:val="clear"/>
          </w:tcPr>
          <w:p>
            <w:r>
              <w:rPr>
                <w:sz w:val="17"/>
              </w:rPr>
              <w:t>2026-10-29</w:t>
            </w:r>
          </w:p>
        </w:tc>
        <w:tc>
          <w:tcPr>
            <w:tcW w:type="dxa" w:w="1440"/>
            <w:shd w:fill="FFDCE0" w:val="clear"/>
          </w:tcPr>
          <w:p>
            <w:r>
              <w:rPr>
                <w:sz w:val="17"/>
              </w:rPr>
              <w:t>6,708</w:t>
            </w:r>
          </w:p>
        </w:tc>
        <w:tc>
          <w:tcPr>
            <w:tcW w:type="dxa" w:w="1440"/>
            <w:shd w:fill="FFDCE0" w:val="clear"/>
          </w:tcPr>
          <w:p>
            <w:r>
              <w:rPr>
                <w:b/>
                <w:sz w:val="17"/>
              </w:rPr>
              <w:t>7,188</w:t>
            </w:r>
          </w:p>
        </w:tc>
        <w:tc>
          <w:tcPr>
            <w:tcW w:type="dxa" w:w="1440"/>
            <w:shd w:fill="FFDCE0" w:val="clear"/>
          </w:tcPr>
          <w:p>
            <w:r>
              <w:rPr>
                <w:sz w:val="17"/>
              </w:rPr>
              <w:t>7,668</w:t>
            </w:r>
          </w:p>
        </w:tc>
        <w:tc>
          <w:tcPr>
            <w:tcW w:type="dxa" w:w="1440"/>
            <w:shd w:fill="FFDCE0" w:val="clear"/>
          </w:tcPr>
          <w:p>
            <w:r>
              <w:rPr>
                <w:b/>
                <w:color w:val="C00000"/>
                <w:sz w:val="17"/>
              </w:rPr>
              <w:t>-11.8%</w:t>
            </w:r>
          </w:p>
        </w:tc>
      </w:tr>
      <w:tr>
        <w:tc>
          <w:tcPr>
            <w:tcW w:type="dxa" w:w="1440"/>
            <w:shd w:fill="FFDCE0" w:val="clear"/>
          </w:tcPr>
          <w:p>
            <w:r>
              <w:rPr>
                <w:sz w:val="17"/>
              </w:rPr>
              <w:t>J+10  Moyenne</w:t>
            </w:r>
          </w:p>
        </w:tc>
        <w:tc>
          <w:tcPr>
            <w:tcW w:type="dxa" w:w="1440"/>
            <w:shd w:fill="FFDCE0" w:val="clear"/>
          </w:tcPr>
          <w:p>
            <w:r>
              <w:rPr>
                <w:sz w:val="17"/>
              </w:rPr>
              <w:t>2026-10-30</w:t>
            </w:r>
          </w:p>
        </w:tc>
        <w:tc>
          <w:tcPr>
            <w:tcW w:type="dxa" w:w="1440"/>
            <w:shd w:fill="FFDCE0" w:val="clear"/>
          </w:tcPr>
          <w:p>
            <w:r>
              <w:rPr>
                <w:sz w:val="17"/>
              </w:rPr>
              <w:t>6,610</w:t>
            </w:r>
          </w:p>
        </w:tc>
        <w:tc>
          <w:tcPr>
            <w:tcW w:type="dxa" w:w="1440"/>
            <w:shd w:fill="FFDCE0" w:val="clear"/>
          </w:tcPr>
          <w:p>
            <w:r>
              <w:rPr>
                <w:b/>
                <w:sz w:val="17"/>
              </w:rPr>
              <w:t>7,110</w:t>
            </w:r>
          </w:p>
        </w:tc>
        <w:tc>
          <w:tcPr>
            <w:tcW w:type="dxa" w:w="1440"/>
            <w:shd w:fill="FFDCE0" w:val="clear"/>
          </w:tcPr>
          <w:p>
            <w:r>
              <w:rPr>
                <w:sz w:val="17"/>
              </w:rPr>
              <w:t>7,611</w:t>
            </w:r>
          </w:p>
        </w:tc>
        <w:tc>
          <w:tcPr>
            <w:tcW w:type="dxa" w:w="1440"/>
            <w:shd w:fill="FFDCE0" w:val="clear"/>
          </w:tcPr>
          <w:p>
            <w:r>
              <w:rPr>
                <w:b/>
                <w:color w:val="C00000"/>
                <w:sz w:val="17"/>
              </w:rPr>
              <w:t>-12.8%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**RAPPORT D'ANALYSE FINANCIÈRE — BOAS (BANK OF AFRICA SÉNÉGAL)**</w:t>
        <w:br/>
        <w:t>*Marché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293,40 Mds FCFA, BOAS s'affirme comme une valeur de premier plan de la cote BRVM, représentant une capitalisation substantielle à l'échelle régionale. Le BPA de 608 FCFA/action traduit un bénéfice net solide par titre, cohérent avec un résultat net annuel de 21,905 Mds FCFA pour l'exercice 2025. Le PER de 13,4x se situe légèrement au-dessus de la fourchette moyenne du marché BRVM (8-12x), signalant une valorisation raisonnable mais intégrant déjà une prime de qualité. Le P/B de 3,04x indique que le marché valorise la banque à plus de trois fois sa valeur comptable, traduisant une prime de croissance et de rentabilité (ROE de 22,7%) bien méritée. Enfin, l'EV/EBITDA de 8,7x, dans la fourchette raisonnable de 5-10x, confirme que la valeur d'entreprise reste proportionnée à la capacité opérationnelle de génération de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BOAS affiche une progression totale de +5,23%, avec une dernière séance quasi stable (+0,06%) à 8 150 FCFA. Le range de trading s'établit entre un plus bas de 7 250 FCFA et un plus haut de 8 500 FCFA, soit une amplitude de 17,2% reflétant une tendance générale haussière mais progressive. La moyenne (7 776 FCFA) et la médiane (7 705 FCFA) sont proches, confirmant une distribution équilibrée, tandis que le mode à 7 300 FCFA suggère que le cours a longtemps stagné avant son récent mouvement ascensionnel. L'écart-type de 384 FCFA avec un coefficient de variation de 4,9% indique une dispersion modérée du cours autour de sa moyenne, gage de relative stabilité. Le kurtosis négatif (-1,427, distribution platykurtique) signale une faible concentration des rendements et un risque de pics extrêmes limité, tandis que le skewness quasi nul (0,164) confirme une distribution symétrique sans biais directionnel marqué. La volatilité annualisée de 25,5% positionne le titre dans la catégorie modérée (15-30%), caractéristique d'une valeur bancaire mature et liquide sur le marché ouest-africain.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(8 096,5 FCFA) et la MM50 (8 091,4 FCFA) sont quasi confondues et positionnées sous le cours actuel (8 150 FCFA), configurant un alignement haussier classique où le prix surplombe ses moyennes de court et moyen terme. Cette configuration valide la décision d'**Achat**, le titre évoluant au-dessus de ses supports dynamiques avec un léger momentum positif.</w:t>
      </w:r>
    </w:p>
    <w:p>
      <w:pPr>
        <w:spacing w:after="120" w:line="276" w:lineRule="auto"/>
      </w:pPr>
      <w:r>
        <w:t>**Bandes de Bollinger** : Le cours (8 150 FCFA) se situe dans la partie haute de la bande (borne supérieure 8 401,7 FCFA, borne inférieure 7 791,3 FCFA), sans toutefois la toucher, ce qui traduit une pression acheteuse modérée sans excès. La largeur des bandes reflète une volatilité contenue, justifiant la décision **Neutre** : le titre n'est ni en zone de surchauffe ni en zone de rebond.</w:t>
      </w:r>
    </w:p>
    <w:p>
      <w:pPr>
        <w:spacing w:after="120" w:line="276" w:lineRule="auto"/>
      </w:pPr>
      <w:r>
        <w:t>**MACD** : La ligne MACD (25,435) est passée sous sa ligne de signal (28,843), générant un croisement baissier qui signale un essoufflement du momentum haussier récent. Cette divergence négative justifie la décision de **Vente** à court terme, bien que la valeur reste positive et éloignée de la zone neutre.</w:t>
      </w:r>
    </w:p>
    <w:p>
      <w:pPr>
        <w:spacing w:after="120" w:line="276" w:lineRule="auto"/>
      </w:pPr>
      <w:r>
        <w:t>**RSI** : À 57,353, l'indicateur se situe en zone neutre (30-70), sans surachat (&gt;70) ni survente (&lt;30), confirmant que le titre dispose encore d'un potentiel de progression sans tension excessive. La décision **Neutre** est cohérente avec cette position équilibrée.</w:t>
      </w:r>
    </w:p>
    <w:p>
      <w:pPr>
        <w:spacing w:after="120" w:line="276" w:lineRule="auto"/>
      </w:pPr>
      <w:r>
        <w:t>**Stochastique** : Le %K (33,333) est inférieur au %D (46,621), avec un croisement baissier en zone basse-moyenne, suggérant une pression vendeuse naissante mais non confirmée. La décision **Neutre** traduit l'absence de signal directionnel fort, le stochastique n'ayant pas atteint la zone de survente (&lt;20) qui déclencherait un signal d'achat.</w:t>
      </w:r>
    </w:p>
    <w:p>
      <w:pPr>
        <w:spacing w:after="120" w:line="276" w:lineRule="auto"/>
      </w:pPr>
      <w:r>
        <w:t>**Conclusion technique** : Les indicateurs présentent une configuration mitigée — les moyennes mobiles restent haussières (Achat) tandis que le MACD signale un essoufflement (Vente), et le RSI, le stochastique et les Bollinger demeurent neutres. Cette divergence suggère une phase de consolidation plutôt qu'un retournement, le titre évoluant dans un couloir 7 790-8 400 FCFA. La prudence technique recommande d'attendre une confirmation (croisement MACD haussier ou rebond sur la MM20) avant tout renforcement.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états financiers de l'exercice 2025 (données structurées officielles) révèlent une banque solide et rentable : un Produit Net Bancaire de 51,926 Mds FCFA, un résultat net de 21,905 Mds FCFA et un ROE remarquable de 22,69% (largement supérieur au seuil de 15% d'excellence), pour un ROA de 2,62%. Le coefficient d'exploitation de 44,02% classe BOAS parmi les banques les plus efficaces du secteur (&lt;50% = excellente efficacité), tandis que le coût du risque rapporté aux charges financières (23,31%) demeure un point de vigilance, bien que les rapports trimestriels récents montrent une amélioration (coût du risque à -0,8% du PNB au T1 2026). La structure bilancielle affiche des dépôts clientèle de 686,927 Mds FCFA face à des créances clientèle de 386,424 Mds FCFA, soit un ratio de transformation de 56,3% — la banque collecte plus qu'elle ne prête, disposant d'une marge de déploiement importante. Les rapports narratifs confirment la dynamique : le rapport du T1 2026 (publié en 2026, analysé le 23/09/2026) fait état d'un PNB de 12,580 Mds FCFA (+6,82%) et d'un résultat net de 5,741 Mds FCFA (+9,78%), avec un coefficient d'exploitation en amélioration à 42,1% et des ressources clientèle en forte hausse de +16,68%. Le rapport du S1 2026 (analysé le 23/09/2026) confirme un PNB semestriel de 27,206 Mds FCFA en hausse. Sur cette base, on estime que l'exercice 2026 devrait afficher un PNB annuel proche de 54-55 Mds FCFA et un résultat net de l'ordre de 23-24 Mds FCFA, prolongeant la trajectoire de croissance à deux chiffres du bénéfice. Les rapports antérieurs (T3 2025, S1 2025, T1 2025) confirment la régularité de cette performance : croissance du PNB de +6,7% sur 9 mois 2025 et résultat net en hausse de +10,0%, avec un coefficient d'exploitation en baisse continue (46,1% → 44,4%). La recommandation fondamentale est **positive** : solidité bilancielle, rentabilité élevée, efficacité opérationnelle confirmée et croissance régulière, avec pour principaux risques la concentration sur le marché sénégalais et l'exposition au risque de crédit dans un environnement économique incertain.</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dimensions révèle un profil d'investissement cohérent mais nuancé. La valorisation (Partie 0) apparaît raisonnable sans être bon marché : PER de 13,4x légèrement supérieur à la moyenne BRVM, P/B de 3,04x traduisant une prime de qualité justifiée par le ROE de 22,7%, et EV/EBITDA de 8,7x dans les normes. Le comportement du cours (Partie 1) est favorable — tendance haussière de +5,23% sur 100 jours, volatilité modérée de 25,5%, distribution symétrique et absence de risque de pics extrêmes (kurtosis négatif) — mais le momentum marque le pas. Les signaux techniques (Partie 2) sont divergents : les moyennes mobiles valident l'achat, mais le MACD baissier et les indicateurs neutres plaident pour une consolidation, ce qui tempère l'enthousiasme. Les fondamentaux (Partie 3) constituent le pilier le plus solide du dossier : ROE de 22,7%, coefficient d'exploitation de 44%, croissance du résultat net de +9,78% au T1 2026 et perspectives estimées à 23-24 Mds FCFA de bénéfice pour 2026. Les prédictions IA (J+1 à J+10) anticipent toutefois une correction vers 7 535 FCFA d'ici le 23/10/2026 (-7,5%), ce qui **contredit** le signal des moyennes mobiles et suggère une phase de repli de court terme cohérente avec le MACD baissier. Face à cette divergence entre fondamentaux solides et signaux techniques/predictifs baissiers à court terme, la recommandation finale est **CONSERVER**, avec un niveau de confiance **Moyen** et un risque global **Moyen**. L'horizon optimal est le **moyen terme (3-12 mois)** : la qualité fondamentale de BOAS justifie une exposition, mais la correction attendue à court terme offre potentiellement un meilleur point d'entrée vers 7 500-7 700 FCFA pour les investisseurs non encore positionnés.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12.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17.76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2,054 titres</w:t>
            </w:r>
          </w:p>
        </w:tc>
        <w:tc>
          <w:tcPr>
            <w:tcW w:type="dxa" w:w="2268"/>
            <w:shd w:fill="FFF2CC" w:val="clear"/>
          </w:tcPr>
          <w:p>
            <w:r>
              <w:rPr>
                <w:b/>
                <w:color w:val="503200"/>
                <w:sz w:val="16"/>
              </w:rPr>
              <w:t xml:space="preserve">Cours actuel : </w:t>
            </w:r>
            <w:r>
              <w:rPr>
                <w:color w:val="000000"/>
                <w:sz w:val="17"/>
              </w:rPr>
              <w:t>3,000 FCFA</w:t>
            </w:r>
          </w:p>
          <w:p>
            <w:r>
              <w:rPr>
                <w:b/>
                <w:color w:val="503200"/>
                <w:sz w:val="16"/>
              </w:rPr>
              <w:t xml:space="preserve">Var. 100 jours : </w:t>
            </w:r>
            <w:r>
              <w:rPr>
                <w:b/>
                <w:color w:val="B40000"/>
                <w:sz w:val="17"/>
              </w:rPr>
              <w:t>-18.92%</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3,000 FCFA</w:t>
            </w:r>
          </w:p>
          <w:p>
            <w:r>
              <w:rPr>
                <w:b/>
                <w:color w:val="503200"/>
                <w:sz w:val="16"/>
              </w:rPr>
              <w:t xml:space="preserve">Volatilité ann. : </w:t>
            </w:r>
            <w:r>
              <w:rPr>
                <w:color w:val="000000"/>
                <w:sz w:val="17"/>
              </w:rPr>
              <w:t>45.8%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8.89% (Moyenne) — μ=3,652 FCFA, σ=325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β=0.3557 (Défensif) — Cov=0.000027, Var(idx)=0.000076, ρ=0.107,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2,054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σ_j=2.88%/j (Stable) — Vol. annualisée≈45.8%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2,901</w:t>
            </w:r>
          </w:p>
        </w:tc>
        <w:tc>
          <w:tcPr>
            <w:tcW w:type="dxa" w:w="1440"/>
            <w:shd w:fill="FAFAFA" w:val="clear"/>
          </w:tcPr>
          <w:p>
            <w:r>
              <w:rPr>
                <w:b/>
                <w:sz w:val="17"/>
              </w:rPr>
              <w:t>3,014</w:t>
            </w:r>
          </w:p>
        </w:tc>
        <w:tc>
          <w:tcPr>
            <w:tcW w:type="dxa" w:w="1440"/>
            <w:shd w:fill="FAFAFA" w:val="clear"/>
          </w:tcPr>
          <w:p>
            <w:r>
              <w:rPr>
                <w:sz w:val="17"/>
              </w:rPr>
              <w:t>3,128</w:t>
            </w:r>
          </w:p>
        </w:tc>
        <w:tc>
          <w:tcPr>
            <w:tcW w:type="dxa" w:w="1440"/>
            <w:shd w:fill="FAFAFA" w:val="clear"/>
          </w:tcPr>
          <w:p>
            <w:r>
              <w:rPr>
                <w:b/>
                <w:color w:val="008000"/>
                <w:sz w:val="17"/>
              </w:rPr>
              <w:t>+0.5%</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2,858</w:t>
            </w:r>
          </w:p>
        </w:tc>
        <w:tc>
          <w:tcPr>
            <w:tcW w:type="dxa" w:w="1440"/>
            <w:shd w:fill="FAFAFA" w:val="clear"/>
          </w:tcPr>
          <w:p>
            <w:r>
              <w:rPr>
                <w:b/>
                <w:sz w:val="17"/>
              </w:rPr>
              <w:t>3,019</w:t>
            </w:r>
          </w:p>
        </w:tc>
        <w:tc>
          <w:tcPr>
            <w:tcW w:type="dxa" w:w="1440"/>
            <w:shd w:fill="FAFAFA" w:val="clear"/>
          </w:tcPr>
          <w:p>
            <w:r>
              <w:rPr>
                <w:sz w:val="17"/>
              </w:rPr>
              <w:t>3,180</w:t>
            </w:r>
          </w:p>
        </w:tc>
        <w:tc>
          <w:tcPr>
            <w:tcW w:type="dxa" w:w="1440"/>
            <w:shd w:fill="FAFAFA" w:val="clear"/>
          </w:tcPr>
          <w:p>
            <w:r>
              <w:rPr>
                <w:b/>
                <w:color w:val="008000"/>
                <w:sz w:val="17"/>
              </w:rPr>
              <w:t>+0.6%</w:t>
            </w:r>
          </w:p>
        </w:tc>
      </w:tr>
      <w:tr>
        <w:tc>
          <w:tcPr>
            <w:tcW w:type="dxa" w:w="1440"/>
            <w:shd w:fill="FAFAFA" w:val="clear"/>
          </w:tcPr>
          <w:p>
            <w:r>
              <w:rPr>
                <w:sz w:val="17"/>
              </w:rPr>
              <w:t>J+3  Moyenne</w:t>
            </w:r>
          </w:p>
        </w:tc>
        <w:tc>
          <w:tcPr>
            <w:tcW w:type="dxa" w:w="1440"/>
            <w:shd w:fill="FAFAFA" w:val="clear"/>
          </w:tcPr>
          <w:p>
            <w:r>
              <w:rPr>
                <w:sz w:val="17"/>
              </w:rPr>
              <w:t>2026-10-21</w:t>
            </w:r>
          </w:p>
        </w:tc>
        <w:tc>
          <w:tcPr>
            <w:tcW w:type="dxa" w:w="1440"/>
            <w:shd w:fill="FAFAFA" w:val="clear"/>
          </w:tcPr>
          <w:p>
            <w:r>
              <w:rPr>
                <w:sz w:val="17"/>
              </w:rPr>
              <w:t>2,829</w:t>
            </w:r>
          </w:p>
        </w:tc>
        <w:tc>
          <w:tcPr>
            <w:tcW w:type="dxa" w:w="1440"/>
            <w:shd w:fill="FAFAFA" w:val="clear"/>
          </w:tcPr>
          <w:p>
            <w:r>
              <w:rPr>
                <w:b/>
                <w:sz w:val="17"/>
              </w:rPr>
              <w:t>3,027</w:t>
            </w:r>
          </w:p>
        </w:tc>
        <w:tc>
          <w:tcPr>
            <w:tcW w:type="dxa" w:w="1440"/>
            <w:shd w:fill="FAFAFA" w:val="clear"/>
          </w:tcPr>
          <w:p>
            <w:r>
              <w:rPr>
                <w:sz w:val="17"/>
              </w:rPr>
              <w:t>3,224</w:t>
            </w:r>
          </w:p>
        </w:tc>
        <w:tc>
          <w:tcPr>
            <w:tcW w:type="dxa" w:w="1440"/>
            <w:shd w:fill="FAFAFA" w:val="clear"/>
          </w:tcPr>
          <w:p>
            <w:r>
              <w:rPr>
                <w:b/>
                <w:color w:val="008000"/>
                <w:sz w:val="17"/>
              </w:rPr>
              <w:t>+0.9%</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2,805</w:t>
            </w:r>
          </w:p>
        </w:tc>
        <w:tc>
          <w:tcPr>
            <w:tcW w:type="dxa" w:w="1440"/>
            <w:shd w:fill="FAFAFA" w:val="clear"/>
          </w:tcPr>
          <w:p>
            <w:r>
              <w:rPr>
                <w:b/>
                <w:sz w:val="17"/>
              </w:rPr>
              <w:t>3,033</w:t>
            </w:r>
          </w:p>
        </w:tc>
        <w:tc>
          <w:tcPr>
            <w:tcW w:type="dxa" w:w="1440"/>
            <w:shd w:fill="FAFAFA" w:val="clear"/>
          </w:tcPr>
          <w:p>
            <w:r>
              <w:rPr>
                <w:sz w:val="17"/>
              </w:rPr>
              <w:t>3,261</w:t>
            </w:r>
          </w:p>
        </w:tc>
        <w:tc>
          <w:tcPr>
            <w:tcW w:type="dxa" w:w="1440"/>
            <w:shd w:fill="FAFAFA" w:val="clear"/>
          </w:tcPr>
          <w:p>
            <w:r>
              <w:rPr>
                <w:b/>
                <w:color w:val="008000"/>
                <w:sz w:val="17"/>
              </w:rPr>
              <w:t>+1.1%</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2,781</w:t>
            </w:r>
          </w:p>
        </w:tc>
        <w:tc>
          <w:tcPr>
            <w:tcW w:type="dxa" w:w="1440"/>
            <w:shd w:fill="FAFAFA" w:val="clear"/>
          </w:tcPr>
          <w:p>
            <w:r>
              <w:rPr>
                <w:b/>
                <w:sz w:val="17"/>
              </w:rPr>
              <w:t>3,037</w:t>
            </w:r>
          </w:p>
        </w:tc>
        <w:tc>
          <w:tcPr>
            <w:tcW w:type="dxa" w:w="1440"/>
            <w:shd w:fill="FAFAFA" w:val="clear"/>
          </w:tcPr>
          <w:p>
            <w:r>
              <w:rPr>
                <w:sz w:val="17"/>
              </w:rPr>
              <w:t>3,292</w:t>
            </w:r>
          </w:p>
        </w:tc>
        <w:tc>
          <w:tcPr>
            <w:tcW w:type="dxa" w:w="1440"/>
            <w:shd w:fill="FAFAFA" w:val="clear"/>
          </w:tcPr>
          <w:p>
            <w:r>
              <w:rPr>
                <w:b/>
                <w:color w:val="008000"/>
                <w:sz w:val="17"/>
              </w:rPr>
              <w:t>+1.2%</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2,757</w:t>
            </w:r>
          </w:p>
        </w:tc>
        <w:tc>
          <w:tcPr>
            <w:tcW w:type="dxa" w:w="1440"/>
            <w:shd w:fill="FAFAFA" w:val="clear"/>
          </w:tcPr>
          <w:p>
            <w:r>
              <w:rPr>
                <w:b/>
                <w:sz w:val="17"/>
              </w:rPr>
              <w:t>3,037</w:t>
            </w:r>
          </w:p>
        </w:tc>
        <w:tc>
          <w:tcPr>
            <w:tcW w:type="dxa" w:w="1440"/>
            <w:shd w:fill="FAFAFA" w:val="clear"/>
          </w:tcPr>
          <w:p>
            <w:r>
              <w:rPr>
                <w:sz w:val="17"/>
              </w:rPr>
              <w:t>3,317</w:t>
            </w:r>
          </w:p>
        </w:tc>
        <w:tc>
          <w:tcPr>
            <w:tcW w:type="dxa" w:w="1440"/>
            <w:shd w:fill="FAFAFA" w:val="clear"/>
          </w:tcPr>
          <w:p>
            <w:r>
              <w:rPr>
                <w:b/>
                <w:color w:val="008000"/>
                <w:sz w:val="17"/>
              </w:rPr>
              <w:t>+1.2%</w:t>
            </w:r>
          </w:p>
        </w:tc>
      </w:tr>
      <w:tr>
        <w:tc>
          <w:tcPr>
            <w:tcW w:type="dxa" w:w="1440"/>
            <w:shd w:fill="FAFAFA" w:val="clear"/>
          </w:tcPr>
          <w:p>
            <w:r>
              <w:rPr>
                <w:sz w:val="17"/>
              </w:rPr>
              <w:t>J+7  ⭐</w:t>
            </w:r>
          </w:p>
        </w:tc>
        <w:tc>
          <w:tcPr>
            <w:tcW w:type="dxa" w:w="1440"/>
            <w:shd w:fill="FAFAFA" w:val="clear"/>
          </w:tcPr>
          <w:p>
            <w:r>
              <w:rPr>
                <w:sz w:val="17"/>
              </w:rPr>
              <w:t>2026-10-27</w:t>
            </w:r>
          </w:p>
        </w:tc>
        <w:tc>
          <w:tcPr>
            <w:tcW w:type="dxa" w:w="1440"/>
            <w:shd w:fill="FAFAFA" w:val="clear"/>
          </w:tcPr>
          <w:p>
            <w:r>
              <w:rPr>
                <w:sz w:val="17"/>
              </w:rPr>
              <w:t>2,733</w:t>
            </w:r>
          </w:p>
        </w:tc>
        <w:tc>
          <w:tcPr>
            <w:tcW w:type="dxa" w:w="1440"/>
            <w:shd w:fill="FAFAFA" w:val="clear"/>
          </w:tcPr>
          <w:p>
            <w:r>
              <w:rPr>
                <w:b/>
                <w:sz w:val="17"/>
              </w:rPr>
              <w:t>3,035</w:t>
            </w:r>
          </w:p>
        </w:tc>
        <w:tc>
          <w:tcPr>
            <w:tcW w:type="dxa" w:w="1440"/>
            <w:shd w:fill="FAFAFA" w:val="clear"/>
          </w:tcPr>
          <w:p>
            <w:r>
              <w:rPr>
                <w:sz w:val="17"/>
              </w:rPr>
              <w:t>3,338</w:t>
            </w:r>
          </w:p>
        </w:tc>
        <w:tc>
          <w:tcPr>
            <w:tcW w:type="dxa" w:w="1440"/>
            <w:shd w:fill="FAFAFA" w:val="clear"/>
          </w:tcPr>
          <w:p>
            <w:r>
              <w:rPr>
                <w:b/>
                <w:color w:val="008000"/>
                <w:sz w:val="17"/>
              </w:rPr>
              <w:t>+1.2%</w:t>
            </w:r>
          </w:p>
        </w:tc>
      </w:tr>
      <w:tr>
        <w:tc>
          <w:tcPr>
            <w:tcW w:type="dxa" w:w="1440"/>
            <w:shd w:fill="FAFAFA" w:val="clear"/>
          </w:tcPr>
          <w:p>
            <w:r>
              <w:rPr>
                <w:sz w:val="17"/>
              </w:rPr>
              <w:t>J+8  ⭐</w:t>
            </w:r>
          </w:p>
        </w:tc>
        <w:tc>
          <w:tcPr>
            <w:tcW w:type="dxa" w:w="1440"/>
            <w:shd w:fill="FAFAFA" w:val="clear"/>
          </w:tcPr>
          <w:p>
            <w:r>
              <w:rPr>
                <w:sz w:val="17"/>
              </w:rPr>
              <w:t>2026-10-28</w:t>
            </w:r>
          </w:p>
        </w:tc>
        <w:tc>
          <w:tcPr>
            <w:tcW w:type="dxa" w:w="1440"/>
            <w:shd w:fill="FAFAFA" w:val="clear"/>
          </w:tcPr>
          <w:p>
            <w:r>
              <w:rPr>
                <w:sz w:val="17"/>
              </w:rPr>
              <w:t>2,709</w:t>
            </w:r>
          </w:p>
        </w:tc>
        <w:tc>
          <w:tcPr>
            <w:tcW w:type="dxa" w:w="1440"/>
            <w:shd w:fill="FAFAFA" w:val="clear"/>
          </w:tcPr>
          <w:p>
            <w:r>
              <w:rPr>
                <w:b/>
                <w:sz w:val="17"/>
              </w:rPr>
              <w:t>3,031</w:t>
            </w:r>
          </w:p>
        </w:tc>
        <w:tc>
          <w:tcPr>
            <w:tcW w:type="dxa" w:w="1440"/>
            <w:shd w:fill="FAFAFA" w:val="clear"/>
          </w:tcPr>
          <w:p>
            <w:r>
              <w:rPr>
                <w:sz w:val="17"/>
              </w:rPr>
              <w:t>3,354</w:t>
            </w:r>
          </w:p>
        </w:tc>
        <w:tc>
          <w:tcPr>
            <w:tcW w:type="dxa" w:w="1440"/>
            <w:shd w:fill="FAFAFA" w:val="clear"/>
          </w:tcPr>
          <w:p>
            <w:r>
              <w:rPr>
                <w:b/>
                <w:color w:val="008000"/>
                <w:sz w:val="17"/>
              </w:rPr>
              <w:t>+1.0%</w:t>
            </w:r>
          </w:p>
        </w:tc>
      </w:tr>
      <w:tr>
        <w:tc>
          <w:tcPr>
            <w:tcW w:type="dxa" w:w="1440"/>
            <w:shd w:fill="FAFAFA" w:val="clear"/>
          </w:tcPr>
          <w:p>
            <w:r>
              <w:rPr>
                <w:sz w:val="17"/>
              </w:rPr>
              <w:t>J+9  ⭐</w:t>
            </w:r>
          </w:p>
        </w:tc>
        <w:tc>
          <w:tcPr>
            <w:tcW w:type="dxa" w:w="1440"/>
            <w:shd w:fill="FAFAFA" w:val="clear"/>
          </w:tcPr>
          <w:p>
            <w:r>
              <w:rPr>
                <w:sz w:val="17"/>
              </w:rPr>
              <w:t>2026-10-29</w:t>
            </w:r>
          </w:p>
        </w:tc>
        <w:tc>
          <w:tcPr>
            <w:tcW w:type="dxa" w:w="1440"/>
            <w:shd w:fill="FAFAFA" w:val="clear"/>
          </w:tcPr>
          <w:p>
            <w:r>
              <w:rPr>
                <w:sz w:val="17"/>
              </w:rPr>
              <w:t>2,684</w:t>
            </w:r>
          </w:p>
        </w:tc>
        <w:tc>
          <w:tcPr>
            <w:tcW w:type="dxa" w:w="1440"/>
            <w:shd w:fill="FAFAFA" w:val="clear"/>
          </w:tcPr>
          <w:p>
            <w:r>
              <w:rPr>
                <w:b/>
                <w:sz w:val="17"/>
              </w:rPr>
              <w:t>3,026</w:t>
            </w:r>
          </w:p>
        </w:tc>
        <w:tc>
          <w:tcPr>
            <w:tcW w:type="dxa" w:w="1440"/>
            <w:shd w:fill="FAFAFA" w:val="clear"/>
          </w:tcPr>
          <w:p>
            <w:r>
              <w:rPr>
                <w:sz w:val="17"/>
              </w:rPr>
              <w:t>3,367</w:t>
            </w:r>
          </w:p>
        </w:tc>
        <w:tc>
          <w:tcPr>
            <w:tcW w:type="dxa" w:w="1440"/>
            <w:shd w:fill="FAFAFA" w:val="clear"/>
          </w:tcPr>
          <w:p>
            <w:r>
              <w:rPr>
                <w:b/>
                <w:color w:val="008000"/>
                <w:sz w:val="17"/>
              </w:rPr>
              <w:t>+0.9%</w:t>
            </w:r>
          </w:p>
        </w:tc>
      </w:tr>
      <w:tr>
        <w:tc>
          <w:tcPr>
            <w:tcW w:type="dxa" w:w="1440"/>
            <w:shd w:fill="FAFAFA" w:val="clear"/>
          </w:tcPr>
          <w:p>
            <w:r>
              <w:rPr>
                <w:sz w:val="17"/>
              </w:rPr>
              <w:t>J+10  ⭐</w:t>
            </w:r>
          </w:p>
        </w:tc>
        <w:tc>
          <w:tcPr>
            <w:tcW w:type="dxa" w:w="1440"/>
            <w:shd w:fill="FAFAFA" w:val="clear"/>
          </w:tcPr>
          <w:p>
            <w:r>
              <w:rPr>
                <w:sz w:val="17"/>
              </w:rPr>
              <w:t>2026-10-30</w:t>
            </w:r>
          </w:p>
        </w:tc>
        <w:tc>
          <w:tcPr>
            <w:tcW w:type="dxa" w:w="1440"/>
            <w:shd w:fill="FAFAFA" w:val="clear"/>
          </w:tcPr>
          <w:p>
            <w:r>
              <w:rPr>
                <w:sz w:val="17"/>
              </w:rPr>
              <w:t>2,660</w:t>
            </w:r>
          </w:p>
        </w:tc>
        <w:tc>
          <w:tcPr>
            <w:tcW w:type="dxa" w:w="1440"/>
            <w:shd w:fill="FAFAFA" w:val="clear"/>
          </w:tcPr>
          <w:p>
            <w:r>
              <w:rPr>
                <w:b/>
                <w:sz w:val="17"/>
              </w:rPr>
              <w:t>3,020</w:t>
            </w:r>
          </w:p>
        </w:tc>
        <w:tc>
          <w:tcPr>
            <w:tcW w:type="dxa" w:w="1440"/>
            <w:shd w:fill="FAFAFA" w:val="clear"/>
          </w:tcPr>
          <w:p>
            <w:r>
              <w:rPr>
                <w:sz w:val="17"/>
              </w:rPr>
              <w:t>3,379</w:t>
            </w:r>
          </w:p>
        </w:tc>
        <w:tc>
          <w:tcPr>
            <w:tcW w:type="dxa" w:w="1440"/>
            <w:shd w:fill="FAFAFA" w:val="clear"/>
          </w:tcPr>
          <w:p>
            <w:r>
              <w:rPr>
                <w:b/>
                <w:color w:val="008000"/>
                <w:sz w:val="17"/>
              </w:rPr>
              <w:t>+0.7%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 RAPPORT D'ANALYSE FINANCIÈRE — CABC (SICABLE)</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CABC s'établit à 17,76 milliards FCFA, un niveau modeste à l'échelle de la BRVM qui positionne le titre parmi les petites capitalisations régionales. Le BPA de 243 FCFA par action signifie que chaque titre génère un bénéfice net de 243 FCFA, ce qui, rapporté au cours actuel de 3 000 FCFA, donne un PER de 12,3x — un niveau modéré mais légèrement supérieur à la moyenne BRVM (8-12x), suggérant que le marché intègre déjà une part de la croissance attendue. Le P/B de 1,90x indique que le marché valorise l'entreprise à près du double de sa valeur comptable, ce qui reste raisonnable pour une société industrielle avec des actifs tangibles (stocks, créances). Enfin, l'EV/EBITDA de 5,9x traduit une valorisation équilibrée de la valeur d'entreprise rapportée à la capacité opérationnelle de génération de cash, dans la fourchette basse du secteur (5-10x), ce qui pourrait signaler une sous-évaluation relative au regard du potentiel opérationnel.</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CABC a enregistré une variation totale de **-18,92%**, avec une dernière séance en repli de **-1,64%**, portant le cours à **3 000 FCFA** — soit exactement le plus bas de la période, tandis que le plus haut a atteint **4 500 FCFA**, matérialisant un range de trading très large de 1 500 FCFA (50% du cours bas). La tendance générale est clairement **baissière**, le titre ayant cédé près d'un cinquième de sa valeur en un peu plus de trois mois. Les statistiques descriptives révèlent une **moyenne de 3 652 FCFA** supérieure à la **médiane de 3 575 FCFA**, avec un **skewness positif de 0,541** confirmant une asymétrie à droite : le cours a passé davantage de séances sous sa moyenne, avec quelques pics haussiers isolés. L'**écart-type de 326 FCFA (CV=8,9%)** indique une dispersion modérée autour de la moyenne, tandis que le **kurtosis de 0,117 (mésokurtique)** suggère une distribution proche de la normale, sans risque excessif de pics extrêmes. La **volatilité annualisée de 45,8%** classe le titre dans la catégorie **élevée** (&gt;30%), ce qui est cohérent avec la correction brutale observée et appelle à la prudence pour les investisseurs averses au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(3 254 FCFA) et la MM50 (3 417,3 FCFA) se situent toutes deux **au-dessus du cours actuel** (3 000 FCFA), avec une MM20 inférieure à la MM50 — configuration baissière typique d'un marché en correction. Le cours évoluant sous ses deux moyennes, la pression vendeuse domine et la décision technique est **Vente**, confirmée par le croisement défavorable des moyennes.</w:t>
      </w:r>
    </w:p>
    <w:p>
      <w:pPr>
        <w:spacing w:after="120" w:line="276" w:lineRule="auto"/>
      </w:pPr>
      <w:r>
        <w:t>**Bandes de Bollinger** : Le cours (3 000 FCFA) se situe **juste au-dessus de la borne inférieure** (2 979,34 FCFA) et très en dessous de la borne supérieure (3 528,66 FCFA), signe que le titre évolue dans la partie basse de son canal de volatilité. Cette position proche de la borne basse suggère une possible zone de survente technique, mais la décision reste **Neutre** car le cours n'a pas encore cassé la borne inférieure — un rebond technique n'est pas exclu mais non confirmé.</w:t>
      </w:r>
    </w:p>
    <w:p>
      <w:pPr>
        <w:spacing w:after="120" w:line="276" w:lineRule="auto"/>
      </w:pPr>
      <w:r>
        <w:t>**MACD** : La valeur du MACD (**-107,749**) est inférieure à son signal (**-83,194**), avec un histogramme négatif qui s'accentue — configuration baissière où le momentum négatif se renforce. La décision est **Vente**, le MACD n'ayant pas encore amorcé de retournement à la hausse malgré le niveau bas du cours.</w:t>
      </w:r>
    </w:p>
    <w:p>
      <w:pPr>
        <w:spacing w:after="120" w:line="276" w:lineRule="auto"/>
      </w:pPr>
      <w:r>
        <w:t>**RSI** : À **18,254**, le RSI se situe **nettement en zone de survente** (&lt;30), un niveau extrême qui historiquement précède souvent un rebond technique. La décision est **Achat** — le titre est survendu et une correction haussière est statistiquement probable à court terme, bien que le contexte baissier global invite à la prudence.</w:t>
      </w:r>
    </w:p>
    <w:p>
      <w:pPr>
        <w:spacing w:after="120" w:line="276" w:lineRule="auto"/>
      </w:pPr>
      <w:r>
        <w:t>**Stochastique** : Le %K et le %D sont tous deux à **0,0**, niveau plancher absolu qui traduit une survente extrême et un épuisement total de la pression vendeuse. La décision est **Achat**, le stochastique signalant un point de retournement potentiel imminent.</w:t>
      </w:r>
    </w:p>
    <w:p>
      <w:pPr>
        <w:spacing w:after="120" w:line="276" w:lineRule="auto"/>
      </w:pPr>
      <w:r>
        <w:t>**Conclusion technique** : Les indicateurs présentent une **divergence marquée** : les moyennes mobiles et le MACD confirment la tendance baissière de fond, tandis que le RSI (18,25) et le stochastique (0,0) signalent une **survente extrême** propice à un rebond technique. Les Bandes de Bollinger en position neutre n'apportent pas de confirmation directionnelle. Cette configuration suggère un **rebond à court terme probable** mais fragile, dans un contexte de tendance baissière non encore inversée — un signal d'achat spéculatif plutôt qu'un retournement durable.</w:t>
      </w:r>
    </w:p>
    <w:p>
      <w:pPr>
        <w:spacing w:after="120" w:line="276" w:lineRule="auto"/>
      </w:pPr>
      <w:r>
        <w:t>---</w:t>
      </w:r>
    </w:p>
    <w:p>
      <w:pPr>
        <w:spacing w:after="120" w:line="276" w:lineRule="auto"/>
      </w:pPr>
      <w:r>
        <w:t>## PARTIE 3 : ANALYSE FONDAMENTALE</w:t>
      </w:r>
    </w:p>
    <w:p>
      <w:pPr>
        <w:spacing w:after="120" w:line="276" w:lineRule="auto"/>
      </w:pPr>
      <w:r>
        <w:t>Les données structurées de l'exercice **2025** (base officielle brvm_donnees_financieres) révèlent une société au **chiffre d'affaires de 21,263 milliards FCFA**, en croissance de **+11,18%**, avec un **résultat net de 1,439 milliard FCFA** — soit une marge nette de **6,77%**. Le **ROE de 15,40%** (excellent, &gt;15%) et le **ROA de 6,10%** témoignent d'une rentabilité des fonds propres solide, tandis que la marge opérationnelle de 9,82% et la marge brute de 16,50% traduisent une gestion opérationnelle correcte. En tant qu'entreprise industrielle, les points d'attention portent sur les **délais d'exploitation** : le délai client de **144,69 jours** et la durée de stockage de **152,12 jours** sont élevés, immobilisant le capital et exposant la trésorerie — un risque confirmé par le **flux opérationnel négatif de -819,66 M FCFA** et un **Free Cash Flow de -982,71 M FCFA** malgré une CAF positive de 1,593 Md FCFA. La structure financière reste saine avec une **autonomie financière de 39,58%** (&gt;30%), une **liquidité générale de 242,60%** et une **capacité de remboursement de 0,26 an** (dettes financières/CAF), très confortable. Les rapports narratifs confirment cette dynamique : le **rapport T3 2025 (30/09/2025)** affiche un CA cumulé de 16 630 M FCFA (+13,7%) et un résultat net de 1 329,5 M FCFA (+26,0%), avec une marge nette de 8,0% ; le **rapport S1 2025 (30/06/2025)** montrait un résultat net de 851,5 M FCFA (+55,3%). Cependant, le **rapport T1 2026** (le plus récent) révèle une **forte dégradation** : CA en baisse de **-26,5% à 3 794 M FCFA**, perte d'exploitation de **-237 M FCFA** et résultat net déficitaire de **-221,7 M FCFA**, attribuée à une maintenance planifiée et à l'inflation des cours des métaux (+23% en 3 mois). On estime, sur la base de ce T1 2026, que l'exercice 2026 pourrait être **nettement plus difficile** que 2025, avec un risque de contraction du résultat net si la normalisation annoncée par la direction ne se matérialise pas au T2. La recommandation fondamentale est **CONSERVER avec vigilance** : la solidité bilancielle (trésorerie de 5,139 Md FCFA, endettement faible) offre un coussin de sécurité, mais la dégradation récente du T1 2026 et les délais d'exploitation élevés appellent à une surveillance rapprochée.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**divergence significative** entre les signaux. La **valorisation (Partie 0)** est modérée (PER 12,3x, P/B 1,90x, EV/EBITDA 5,9x) sans signal flagrant de sous-évaluation, le marché intégrant déjà une prime de croissance. Le **comportement du cours (Partie 1)** est préoccupant : tendance baissière de -18,92%, volatilité élevée de 45,8%, skewness positif indiquant une pression vendeuse persistante, bien que le kurtosis mésokurtique limite le risque de pics extrêmes. Les **signaux techniques (Partie 2)** sont contradictoires : MM et MACD en Vente, mais RSI (18,25) et Stochastique (0,0) en survente extrême signalent un rebond technique probable — configuration de **divergence baissière de fond avec rebond spéculatif possible**. Les **fondamentaux (Partie 3)** sont mitigés : exercice 2025 solide (CA +11,18%, ROE 15,40%) mais **T1 2026 alarmant** (perte nette de -221,7 M FCFA, CA -26,5%), avec des délais d'exploitation élevés et un flux opérationnel négatif. Les **prédictions IA (J+1 à J+10)** anticipent une **légère reprise** de 3 014 à 3 037 FCFA (+1,2% sur 5 séances), cohérente avec le rebond technique attendu mais sans inversion de tendance majeure. **Recommandation finale : CONSERVER** — la convergence partielle entre survente technique (RSI/Stochastique), prédictions IA légèrement haussières et solidité bilancielle 2025 justifie le maintien, mais la dégradation du T1 2026, la tendance baissière de fond et la valorisation sans décote significative interdisent l'ACHAT. **Niveau de confiance : Moyen** (signaux contradictoires), **risque global : Élevé** (volatilité 45,8%, dégradation récente), **horizon optimal : moyen terme (3-12 mois)** — le temps que la normalisation annoncée par la direction au T2 2026 se confirme ou s'infirme, avec un point de vigilance majeur sur la publication des prochains résultats trimestriels.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13.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1008.00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1,546 titres</w:t>
            </w:r>
          </w:p>
        </w:tc>
        <w:tc>
          <w:tcPr>
            <w:tcW w:type="dxa" w:w="2268"/>
            <w:shd w:fill="FFF2CC" w:val="clear"/>
          </w:tcPr>
          <w:p>
            <w:r>
              <w:rPr>
                <w:b/>
                <w:color w:val="503200"/>
                <w:sz w:val="16"/>
              </w:rPr>
              <w:t xml:space="preserve">Cours actuel : </w:t>
            </w:r>
            <w:r>
              <w:rPr>
                <w:color w:val="000000"/>
                <w:sz w:val="17"/>
              </w:rPr>
              <w:t>31,500 FCFA</w:t>
            </w:r>
          </w:p>
          <w:p>
            <w:r>
              <w:rPr>
                <w:b/>
                <w:color w:val="503200"/>
                <w:sz w:val="16"/>
              </w:rPr>
              <w:t xml:space="preserve">Var. 100 jours : </w:t>
            </w:r>
            <w:r>
              <w:rPr>
                <w:b/>
                <w:color w:val="007800"/>
                <w:sz w:val="17"/>
              </w:rPr>
              <w:t>+46.75%</w:t>
            </w:r>
          </w:p>
          <w:p>
            <w:r>
              <w:rPr>
                <w:b/>
                <w:color w:val="503200"/>
                <w:sz w:val="16"/>
              </w:rPr>
              <w:t xml:space="preserve">Plus haut 100j : </w:t>
            </w:r>
            <w:r>
              <w:rPr>
                <w:color w:val="000000"/>
                <w:sz w:val="17"/>
              </w:rPr>
              <w:t>34,450 FCFA</w:t>
            </w:r>
          </w:p>
          <w:p>
            <w:r>
              <w:rPr>
                <w:b/>
                <w:color w:val="503200"/>
                <w:sz w:val="16"/>
              </w:rPr>
              <w:t xml:space="preserve">Plus bas 100j : </w:t>
            </w:r>
            <w:r>
              <w:rPr>
                <w:color w:val="000000"/>
                <w:sz w:val="17"/>
              </w:rPr>
              <w:t>20,900 FCFA</w:t>
            </w:r>
          </w:p>
          <w:p>
            <w:r>
              <w:rPr>
                <w:b/>
                <w:color w:val="503200"/>
                <w:sz w:val="16"/>
              </w:rPr>
              <w:t xml:space="preserve">Volatilité ann. : </w:t>
            </w:r>
            <w:r>
              <w:rPr>
                <w:color w:val="000000"/>
                <w:sz w:val="17"/>
              </w:rPr>
              <w:t>44.0%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14.68% (Moyenne) — μ=27,780 FCFA, σ=4,078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β=1.2951 (Agressif) — Cov=0.000098, Var(idx)=0.000076, ρ=0.406,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1,546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σ_j=2.77%/j (Stable) — Vol. annualisée≈44.0%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2026-10-19</w:t>
            </w:r>
          </w:p>
        </w:tc>
        <w:tc>
          <w:tcPr>
            <w:tcW w:type="dxa" w:w="1440"/>
            <w:shd w:fill="FFDCE0" w:val="clear"/>
          </w:tcPr>
          <w:p>
            <w:r>
              <w:rPr>
                <w:sz w:val="17"/>
              </w:rPr>
              <w:t>28,792</w:t>
            </w:r>
          </w:p>
        </w:tc>
        <w:tc>
          <w:tcPr>
            <w:tcW w:type="dxa" w:w="1440"/>
            <w:shd w:fill="FFDCE0" w:val="clear"/>
          </w:tcPr>
          <w:p>
            <w:r>
              <w:rPr>
                <w:b/>
                <w:sz w:val="17"/>
              </w:rPr>
              <w:t>30,301</w:t>
            </w:r>
          </w:p>
        </w:tc>
        <w:tc>
          <w:tcPr>
            <w:tcW w:type="dxa" w:w="1440"/>
            <w:shd w:fill="FFDCE0" w:val="clear"/>
          </w:tcPr>
          <w:p>
            <w:r>
              <w:rPr>
                <w:sz w:val="17"/>
              </w:rPr>
              <w:t>31,810</w:t>
            </w:r>
          </w:p>
        </w:tc>
        <w:tc>
          <w:tcPr>
            <w:tcW w:type="dxa" w:w="1440"/>
            <w:shd w:fill="FFDCE0" w:val="clear"/>
          </w:tcPr>
          <w:p>
            <w:r>
              <w:rPr>
                <w:b/>
                <w:color w:val="C00000"/>
                <w:sz w:val="17"/>
              </w:rPr>
              <w:t>-3.8%</w:t>
            </w:r>
          </w:p>
        </w:tc>
      </w:tr>
      <w:tr>
        <w:tc>
          <w:tcPr>
            <w:tcW w:type="dxa" w:w="1440"/>
            <w:shd w:fill="FFDCE0" w:val="clear"/>
          </w:tcPr>
          <w:p>
            <w:r>
              <w:rPr>
                <w:sz w:val="17"/>
              </w:rPr>
              <w:t>J+2  Moyenne</w:t>
            </w:r>
          </w:p>
        </w:tc>
        <w:tc>
          <w:tcPr>
            <w:tcW w:type="dxa" w:w="1440"/>
            <w:shd w:fill="FFDCE0" w:val="clear"/>
          </w:tcPr>
          <w:p>
            <w:r>
              <w:rPr>
                <w:sz w:val="17"/>
              </w:rPr>
              <w:t>2026-10-20</w:t>
            </w:r>
          </w:p>
        </w:tc>
        <w:tc>
          <w:tcPr>
            <w:tcW w:type="dxa" w:w="1440"/>
            <w:shd w:fill="FFDCE0" w:val="clear"/>
          </w:tcPr>
          <w:p>
            <w:r>
              <w:rPr>
                <w:sz w:val="17"/>
              </w:rPr>
              <w:t>27,654</w:t>
            </w:r>
          </w:p>
        </w:tc>
        <w:tc>
          <w:tcPr>
            <w:tcW w:type="dxa" w:w="1440"/>
            <w:shd w:fill="FFDCE0" w:val="clear"/>
          </w:tcPr>
          <w:p>
            <w:r>
              <w:rPr>
                <w:b/>
                <w:sz w:val="17"/>
              </w:rPr>
              <w:t>29,749</w:t>
            </w:r>
          </w:p>
        </w:tc>
        <w:tc>
          <w:tcPr>
            <w:tcW w:type="dxa" w:w="1440"/>
            <w:shd w:fill="FFDCE0" w:val="clear"/>
          </w:tcPr>
          <w:p>
            <w:r>
              <w:rPr>
                <w:sz w:val="17"/>
              </w:rPr>
              <w:t>31,845</w:t>
            </w:r>
          </w:p>
        </w:tc>
        <w:tc>
          <w:tcPr>
            <w:tcW w:type="dxa" w:w="1440"/>
            <w:shd w:fill="FFDCE0" w:val="clear"/>
          </w:tcPr>
          <w:p>
            <w:r>
              <w:rPr>
                <w:b/>
                <w:color w:val="C00000"/>
                <w:sz w:val="17"/>
              </w:rPr>
              <w:t>-5.6%</w:t>
            </w:r>
          </w:p>
        </w:tc>
      </w:tr>
      <w:tr>
        <w:tc>
          <w:tcPr>
            <w:tcW w:type="dxa" w:w="1440"/>
            <w:shd w:fill="FFDCE0" w:val="clear"/>
          </w:tcPr>
          <w:p>
            <w:r>
              <w:rPr>
                <w:sz w:val="17"/>
              </w:rPr>
              <w:t>J+3  Moyenne</w:t>
            </w:r>
          </w:p>
        </w:tc>
        <w:tc>
          <w:tcPr>
            <w:tcW w:type="dxa" w:w="1440"/>
            <w:shd w:fill="FFDCE0" w:val="clear"/>
          </w:tcPr>
          <w:p>
            <w:r>
              <w:rPr>
                <w:sz w:val="17"/>
              </w:rPr>
              <w:t>2026-10-21</w:t>
            </w:r>
          </w:p>
        </w:tc>
        <w:tc>
          <w:tcPr>
            <w:tcW w:type="dxa" w:w="1440"/>
            <w:shd w:fill="FFDCE0" w:val="clear"/>
          </w:tcPr>
          <w:p>
            <w:r>
              <w:rPr>
                <w:sz w:val="17"/>
              </w:rPr>
              <w:t>26,963</w:t>
            </w:r>
          </w:p>
        </w:tc>
        <w:tc>
          <w:tcPr>
            <w:tcW w:type="dxa" w:w="1440"/>
            <w:shd w:fill="FFDCE0" w:val="clear"/>
          </w:tcPr>
          <w:p>
            <w:r>
              <w:rPr>
                <w:b/>
                <w:sz w:val="17"/>
              </w:rPr>
              <w:t>29,509</w:t>
            </w:r>
          </w:p>
        </w:tc>
        <w:tc>
          <w:tcPr>
            <w:tcW w:type="dxa" w:w="1440"/>
            <w:shd w:fill="FFDCE0" w:val="clear"/>
          </w:tcPr>
          <w:p>
            <w:r>
              <w:rPr>
                <w:sz w:val="17"/>
              </w:rPr>
              <w:t>32,054</w:t>
            </w:r>
          </w:p>
        </w:tc>
        <w:tc>
          <w:tcPr>
            <w:tcW w:type="dxa" w:w="1440"/>
            <w:shd w:fill="FFDCE0" w:val="clear"/>
          </w:tcPr>
          <w:p>
            <w:r>
              <w:rPr>
                <w:b/>
                <w:color w:val="C00000"/>
                <w:sz w:val="17"/>
              </w:rPr>
              <w:t>-6.3%</w:t>
            </w:r>
          </w:p>
        </w:tc>
      </w:tr>
      <w:tr>
        <w:tc>
          <w:tcPr>
            <w:tcW w:type="dxa" w:w="1440"/>
            <w:shd w:fill="FFDCE0" w:val="clear"/>
          </w:tcPr>
          <w:p>
            <w:r>
              <w:rPr>
                <w:sz w:val="17"/>
              </w:rPr>
              <w:t>J+4  ⭐</w:t>
            </w:r>
          </w:p>
        </w:tc>
        <w:tc>
          <w:tcPr>
            <w:tcW w:type="dxa" w:w="1440"/>
            <w:shd w:fill="FFDCE0" w:val="clear"/>
          </w:tcPr>
          <w:p>
            <w:r>
              <w:rPr>
                <w:sz w:val="17"/>
              </w:rPr>
              <w:t>2026-10-22</w:t>
            </w:r>
          </w:p>
        </w:tc>
        <w:tc>
          <w:tcPr>
            <w:tcW w:type="dxa" w:w="1440"/>
            <w:shd w:fill="FFDCE0" w:val="clear"/>
          </w:tcPr>
          <w:p>
            <w:r>
              <w:rPr>
                <w:sz w:val="17"/>
              </w:rPr>
              <w:t>26,424</w:t>
            </w:r>
          </w:p>
        </w:tc>
        <w:tc>
          <w:tcPr>
            <w:tcW w:type="dxa" w:w="1440"/>
            <w:shd w:fill="FFDCE0" w:val="clear"/>
          </w:tcPr>
          <w:p>
            <w:r>
              <w:rPr>
                <w:b/>
                <w:sz w:val="17"/>
              </w:rPr>
              <w:t>29,347</w:t>
            </w:r>
          </w:p>
        </w:tc>
        <w:tc>
          <w:tcPr>
            <w:tcW w:type="dxa" w:w="1440"/>
            <w:shd w:fill="FFDCE0" w:val="clear"/>
          </w:tcPr>
          <w:p>
            <w:r>
              <w:rPr>
                <w:sz w:val="17"/>
              </w:rPr>
              <w:t>32,271</w:t>
            </w:r>
          </w:p>
        </w:tc>
        <w:tc>
          <w:tcPr>
            <w:tcW w:type="dxa" w:w="1440"/>
            <w:shd w:fill="FFDCE0" w:val="clear"/>
          </w:tcPr>
          <w:p>
            <w:r>
              <w:rPr>
                <w:b/>
                <w:color w:val="C00000"/>
                <w:sz w:val="17"/>
              </w:rPr>
              <w:t>-6.8%</w:t>
            </w:r>
          </w:p>
        </w:tc>
      </w:tr>
      <w:tr>
        <w:tc>
          <w:tcPr>
            <w:tcW w:type="dxa" w:w="1440"/>
            <w:shd w:fill="FFDCE0" w:val="clear"/>
          </w:tcPr>
          <w:p>
            <w:r>
              <w:rPr>
                <w:sz w:val="17"/>
              </w:rPr>
              <w:t>J+5  ⭐</w:t>
            </w:r>
          </w:p>
        </w:tc>
        <w:tc>
          <w:tcPr>
            <w:tcW w:type="dxa" w:w="1440"/>
            <w:shd w:fill="FFDCE0" w:val="clear"/>
          </w:tcPr>
          <w:p>
            <w:r>
              <w:rPr>
                <w:sz w:val="17"/>
              </w:rPr>
              <w:t>2026-10-23</w:t>
            </w:r>
          </w:p>
        </w:tc>
        <w:tc>
          <w:tcPr>
            <w:tcW w:type="dxa" w:w="1440"/>
            <w:shd w:fill="FFDCE0" w:val="clear"/>
          </w:tcPr>
          <w:p>
            <w:r>
              <w:rPr>
                <w:sz w:val="17"/>
              </w:rPr>
              <w:t>25,951</w:t>
            </w:r>
          </w:p>
        </w:tc>
        <w:tc>
          <w:tcPr>
            <w:tcW w:type="dxa" w:w="1440"/>
            <w:shd w:fill="FFDCE0" w:val="clear"/>
          </w:tcPr>
          <w:p>
            <w:r>
              <w:rPr>
                <w:b/>
                <w:sz w:val="17"/>
              </w:rPr>
              <w:t>29,204</w:t>
            </w:r>
          </w:p>
        </w:tc>
        <w:tc>
          <w:tcPr>
            <w:tcW w:type="dxa" w:w="1440"/>
            <w:shd w:fill="FFDCE0" w:val="clear"/>
          </w:tcPr>
          <w:p>
            <w:r>
              <w:rPr>
                <w:sz w:val="17"/>
              </w:rPr>
              <w:t>32,456</w:t>
            </w:r>
          </w:p>
        </w:tc>
        <w:tc>
          <w:tcPr>
            <w:tcW w:type="dxa" w:w="1440"/>
            <w:shd w:fill="FFDCE0" w:val="clear"/>
          </w:tcPr>
          <w:p>
            <w:r>
              <w:rPr>
                <w:b/>
                <w:color w:val="C00000"/>
                <w:sz w:val="17"/>
              </w:rPr>
              <w:t>-7.3%</w:t>
            </w:r>
          </w:p>
        </w:tc>
      </w:tr>
      <w:tr>
        <w:tc>
          <w:tcPr>
            <w:tcW w:type="dxa" w:w="1440"/>
            <w:shd w:fill="FFDCE0" w:val="clear"/>
          </w:tcPr>
          <w:p>
            <w:r>
              <w:rPr>
                <w:sz w:val="17"/>
              </w:rPr>
              <w:t>J+6  ⭐</w:t>
            </w:r>
          </w:p>
        </w:tc>
        <w:tc>
          <w:tcPr>
            <w:tcW w:type="dxa" w:w="1440"/>
            <w:shd w:fill="FFDCE0" w:val="clear"/>
          </w:tcPr>
          <w:p>
            <w:r>
              <w:rPr>
                <w:sz w:val="17"/>
              </w:rPr>
              <w:t>2026-10-26</w:t>
            </w:r>
          </w:p>
        </w:tc>
        <w:tc>
          <w:tcPr>
            <w:tcW w:type="dxa" w:w="1440"/>
            <w:shd w:fill="FFDCE0" w:val="clear"/>
          </w:tcPr>
          <w:p>
            <w:r>
              <w:rPr>
                <w:sz w:val="17"/>
              </w:rPr>
              <w:t>25,532</w:t>
            </w:r>
          </w:p>
        </w:tc>
        <w:tc>
          <w:tcPr>
            <w:tcW w:type="dxa" w:w="1440"/>
            <w:shd w:fill="FFDCE0" w:val="clear"/>
          </w:tcPr>
          <w:p>
            <w:r>
              <w:rPr>
                <w:b/>
                <w:sz w:val="17"/>
              </w:rPr>
              <w:t>29,080</w:t>
            </w:r>
          </w:p>
        </w:tc>
        <w:tc>
          <w:tcPr>
            <w:tcW w:type="dxa" w:w="1440"/>
            <w:shd w:fill="FFDCE0" w:val="clear"/>
          </w:tcPr>
          <w:p>
            <w:r>
              <w:rPr>
                <w:sz w:val="17"/>
              </w:rPr>
              <w:t>32,628</w:t>
            </w:r>
          </w:p>
        </w:tc>
        <w:tc>
          <w:tcPr>
            <w:tcW w:type="dxa" w:w="1440"/>
            <w:shd w:fill="FFDCE0" w:val="clear"/>
          </w:tcPr>
          <w:p>
            <w:r>
              <w:rPr>
                <w:b/>
                <w:color w:val="C00000"/>
                <w:sz w:val="17"/>
              </w:rPr>
              <w:t>-7.7%</w:t>
            </w:r>
          </w:p>
        </w:tc>
      </w:tr>
      <w:tr>
        <w:tc>
          <w:tcPr>
            <w:tcW w:type="dxa" w:w="1440"/>
            <w:shd w:fill="FFDCE0" w:val="clear"/>
          </w:tcPr>
          <w:p>
            <w:r>
              <w:rPr>
                <w:sz w:val="17"/>
              </w:rPr>
              <w:t>J+7  ⭐</w:t>
            </w:r>
          </w:p>
        </w:tc>
        <w:tc>
          <w:tcPr>
            <w:tcW w:type="dxa" w:w="1440"/>
            <w:shd w:fill="FFDCE0" w:val="clear"/>
          </w:tcPr>
          <w:p>
            <w:r>
              <w:rPr>
                <w:sz w:val="17"/>
              </w:rPr>
              <w:t>2026-10-27</w:t>
            </w:r>
          </w:p>
        </w:tc>
        <w:tc>
          <w:tcPr>
            <w:tcW w:type="dxa" w:w="1440"/>
            <w:shd w:fill="FFDCE0" w:val="clear"/>
          </w:tcPr>
          <w:p>
            <w:r>
              <w:rPr>
                <w:sz w:val="17"/>
              </w:rPr>
              <w:t>25,155</w:t>
            </w:r>
          </w:p>
        </w:tc>
        <w:tc>
          <w:tcPr>
            <w:tcW w:type="dxa" w:w="1440"/>
            <w:shd w:fill="FFDCE0" w:val="clear"/>
          </w:tcPr>
          <w:p>
            <w:r>
              <w:rPr>
                <w:b/>
                <w:sz w:val="17"/>
              </w:rPr>
              <w:t>28,973</w:t>
            </w:r>
          </w:p>
        </w:tc>
        <w:tc>
          <w:tcPr>
            <w:tcW w:type="dxa" w:w="1440"/>
            <w:shd w:fill="FFDCE0" w:val="clear"/>
          </w:tcPr>
          <w:p>
            <w:r>
              <w:rPr>
                <w:sz w:val="17"/>
              </w:rPr>
              <w:t>32,792</w:t>
            </w:r>
          </w:p>
        </w:tc>
        <w:tc>
          <w:tcPr>
            <w:tcW w:type="dxa" w:w="1440"/>
            <w:shd w:fill="FFDCE0" w:val="clear"/>
          </w:tcPr>
          <w:p>
            <w:r>
              <w:rPr>
                <w:b/>
                <w:color w:val="C00000"/>
                <w:sz w:val="17"/>
              </w:rPr>
              <w:t>-8.0%</w:t>
            </w:r>
          </w:p>
        </w:tc>
      </w:tr>
      <w:tr>
        <w:tc>
          <w:tcPr>
            <w:tcW w:type="dxa" w:w="1440"/>
            <w:shd w:fill="FFDCE0" w:val="clear"/>
          </w:tcPr>
          <w:p>
            <w:r>
              <w:rPr>
                <w:sz w:val="17"/>
              </w:rPr>
              <w:t>J+8  ⭐</w:t>
            </w:r>
          </w:p>
        </w:tc>
        <w:tc>
          <w:tcPr>
            <w:tcW w:type="dxa" w:w="1440"/>
            <w:shd w:fill="FFDCE0" w:val="clear"/>
          </w:tcPr>
          <w:p>
            <w:r>
              <w:rPr>
                <w:sz w:val="17"/>
              </w:rPr>
              <w:t>2026-10-28</w:t>
            </w:r>
          </w:p>
        </w:tc>
        <w:tc>
          <w:tcPr>
            <w:tcW w:type="dxa" w:w="1440"/>
            <w:shd w:fill="FFDCE0" w:val="clear"/>
          </w:tcPr>
          <w:p>
            <w:r>
              <w:rPr>
                <w:sz w:val="17"/>
              </w:rPr>
              <w:t>24,811</w:t>
            </w:r>
          </w:p>
        </w:tc>
        <w:tc>
          <w:tcPr>
            <w:tcW w:type="dxa" w:w="1440"/>
            <w:shd w:fill="FFDCE0" w:val="clear"/>
          </w:tcPr>
          <w:p>
            <w:r>
              <w:rPr>
                <w:b/>
                <w:sz w:val="17"/>
              </w:rPr>
              <w:t>28,880</w:t>
            </w:r>
          </w:p>
        </w:tc>
        <w:tc>
          <w:tcPr>
            <w:tcW w:type="dxa" w:w="1440"/>
            <w:shd w:fill="FFDCE0" w:val="clear"/>
          </w:tcPr>
          <w:p>
            <w:r>
              <w:rPr>
                <w:sz w:val="17"/>
              </w:rPr>
              <w:t>32,948</w:t>
            </w:r>
          </w:p>
        </w:tc>
        <w:tc>
          <w:tcPr>
            <w:tcW w:type="dxa" w:w="1440"/>
            <w:shd w:fill="FFDCE0" w:val="clear"/>
          </w:tcPr>
          <w:p>
            <w:r>
              <w:rPr>
                <w:b/>
                <w:color w:val="C00000"/>
                <w:sz w:val="17"/>
              </w:rPr>
              <w:t>-8.3%</w:t>
            </w:r>
          </w:p>
        </w:tc>
      </w:tr>
      <w:tr>
        <w:tc>
          <w:tcPr>
            <w:tcW w:type="dxa" w:w="1440"/>
            <w:shd w:fill="FFDCE0" w:val="clear"/>
          </w:tcPr>
          <w:p>
            <w:r>
              <w:rPr>
                <w:sz w:val="17"/>
              </w:rPr>
              <w:t>J+9  ⭐</w:t>
            </w:r>
          </w:p>
        </w:tc>
        <w:tc>
          <w:tcPr>
            <w:tcW w:type="dxa" w:w="1440"/>
            <w:shd w:fill="FFDCE0" w:val="clear"/>
          </w:tcPr>
          <w:p>
            <w:r>
              <w:rPr>
                <w:sz w:val="17"/>
              </w:rPr>
              <w:t>2026-10-29</w:t>
            </w:r>
          </w:p>
        </w:tc>
        <w:tc>
          <w:tcPr>
            <w:tcW w:type="dxa" w:w="1440"/>
            <w:shd w:fill="FFDCE0" w:val="clear"/>
          </w:tcPr>
          <w:p>
            <w:r>
              <w:rPr>
                <w:sz w:val="17"/>
              </w:rPr>
              <w:t>24,492</w:t>
            </w:r>
          </w:p>
        </w:tc>
        <w:tc>
          <w:tcPr>
            <w:tcW w:type="dxa" w:w="1440"/>
            <w:shd w:fill="FFDCE0" w:val="clear"/>
          </w:tcPr>
          <w:p>
            <w:r>
              <w:rPr>
                <w:b/>
                <w:sz w:val="17"/>
              </w:rPr>
              <w:t>28,795</w:t>
            </w:r>
          </w:p>
        </w:tc>
        <w:tc>
          <w:tcPr>
            <w:tcW w:type="dxa" w:w="1440"/>
            <w:shd w:fill="FFDCE0" w:val="clear"/>
          </w:tcPr>
          <w:p>
            <w:r>
              <w:rPr>
                <w:sz w:val="17"/>
              </w:rPr>
              <w:t>33,097</w:t>
            </w:r>
          </w:p>
        </w:tc>
        <w:tc>
          <w:tcPr>
            <w:tcW w:type="dxa" w:w="1440"/>
            <w:shd w:fill="FFDCE0" w:val="clear"/>
          </w:tcPr>
          <w:p>
            <w:r>
              <w:rPr>
                <w:b/>
                <w:color w:val="C00000"/>
                <w:sz w:val="17"/>
              </w:rPr>
              <w:t>-8.6%</w:t>
            </w:r>
          </w:p>
        </w:tc>
      </w:tr>
      <w:tr>
        <w:tc>
          <w:tcPr>
            <w:tcW w:type="dxa" w:w="1440"/>
            <w:shd w:fill="FFDCE0" w:val="clear"/>
          </w:tcPr>
          <w:p>
            <w:r>
              <w:rPr>
                <w:sz w:val="17"/>
              </w:rPr>
              <w:t>J+10  ⭐</w:t>
            </w:r>
          </w:p>
        </w:tc>
        <w:tc>
          <w:tcPr>
            <w:tcW w:type="dxa" w:w="1440"/>
            <w:shd w:fill="FFDCE0" w:val="clear"/>
          </w:tcPr>
          <w:p>
            <w:r>
              <w:rPr>
                <w:sz w:val="17"/>
              </w:rPr>
              <w:t>2026-10-30</w:t>
            </w:r>
          </w:p>
        </w:tc>
        <w:tc>
          <w:tcPr>
            <w:tcW w:type="dxa" w:w="1440"/>
            <w:shd w:fill="FFDCE0" w:val="clear"/>
          </w:tcPr>
          <w:p>
            <w:r>
              <w:rPr>
                <w:sz w:val="17"/>
              </w:rPr>
              <w:t>24,196</w:t>
            </w:r>
          </w:p>
        </w:tc>
        <w:tc>
          <w:tcPr>
            <w:tcW w:type="dxa" w:w="1440"/>
            <w:shd w:fill="FFDCE0" w:val="clear"/>
          </w:tcPr>
          <w:p>
            <w:r>
              <w:rPr>
                <w:b/>
                <w:sz w:val="17"/>
              </w:rPr>
              <w:t>28,719</w:t>
            </w:r>
          </w:p>
        </w:tc>
        <w:tc>
          <w:tcPr>
            <w:tcW w:type="dxa" w:w="1440"/>
            <w:shd w:fill="FFDCE0" w:val="clear"/>
          </w:tcPr>
          <w:p>
            <w:r>
              <w:rPr>
                <w:sz w:val="17"/>
              </w:rPr>
              <w:t>33,243</w:t>
            </w:r>
          </w:p>
        </w:tc>
        <w:tc>
          <w:tcPr>
            <w:tcW w:type="dxa" w:w="1440"/>
            <w:shd w:fill="FFDCE0" w:val="clear"/>
          </w:tcPr>
          <w:p>
            <w:r>
              <w:rPr>
                <w:b/>
                <w:color w:val="C00000"/>
                <w:sz w:val="17"/>
              </w:rPr>
              <w:t>-8.8%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 RAPPORT D'ANALYSE FINANCIÈRE — CORIS BANK INTERNATIONAL (CBIBF)</w:t>
        <w:br/>
        <w:t>### 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1 008 milliards FCFA, CBIBF s'impose comme l'une des plus grandes capitalisations de la BRVM, témoignant de son statut de valeur phare du compartiment bancaire régional. Le BPA de 2 047 FCFA/action signifie que chaque titre génère près de 2 047 FCFA de bénéfice net, un niveau de rentabilité par action particulièrement élevé. Le PER de 15,4x se situe au-dessus de la moyenne BRVM (8-12x), traduisant une prime de valorisation que le marché consent à payer pour la qualité de la croissance et de la gouvernance de la banque — le ratio reste toutefois « modéré » selon le référentiel fourni. L'EV/EBITDA de 11,4x, dans la fourchette 10-15x qualifiée d'élevée, confirme que la valeur d'entreprise intègre déjà une bonne part des performances opérationnelles attendues. Le P/B n'étant pas fourni dans les données, on ne peut l'analyser, mais l'ensemble des ratios disponibles dessine une valorisation exigeante mais justifiée par les fondamentaux.</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CBIBF affiche une progression spectaculaire de **+46,75%**, avec une dernière séance encore positive de **+1,61%**, portant le cours à **31 500 FCFA**. Le range de trading est très large, du plus bas à **20 900 FCFA** au plus haut à **34 450 FCFA**, soit un écart de plus de 13 500 FCFA qui illustre une tendance nettement haussière ponctuée de phases de correction. La moyenne de **27 780 FCFA** est légèrement inférieure à la médiane de **28 582 FCFA**, signe d'une distribution légèrement asymétrique tirée vers le bas par quelques séances de faiblesse, tandis que le mode à **22 000 FCFA** rappelle que le titre a longtemps évolué dans une zone basse avant son envolée. L'écart-type de **4 099 FCFA** avec un coefficient de variation de **14,8%** indique une dispersion modérée autour de la moyenne, cohérente avec la trajectoire ascendante. Le kurtosis de **-1,124** (distribution platykurtique, aplatie) suggère une faible concentration des rendements et un risque de pics extrêmes limité, tandis que le skewness de **-0,290** confirme une distribution quasi symétrique avec une très légère queue gauche. La volatilité annualisée de **44,0%** classe le titre dans la catégorie des valeurs **très volatiles** (&gt;30%), ce qui est cohérent avec la forte amplitude du mouvement haussier récent et appelle à la prudence sur les points d'entrée.</w:t>
      </w:r>
    </w:p>
    <w:p>
      <w:pPr>
        <w:spacing w:after="120" w:line="276" w:lineRule="auto"/>
      </w:pPr>
      <w:r>
        <w:t>---</w:t>
      </w:r>
    </w:p>
    <w:p>
      <w:pPr>
        <w:spacing w:after="120" w:line="276" w:lineRule="auto"/>
      </w:pPr>
      <w:r>
        <w:t>## PARTIE 2 : ANALYSE TECHNIQUE DÉTAILLÉE</w:t>
      </w:r>
    </w:p>
    <w:p>
      <w:pPr>
        <w:spacing w:after="120" w:line="276" w:lineRule="auto"/>
      </w:pPr>
      <w:r>
        <w:t>**Moyennes Mobiles** : La MM20 (31 118,25 FCFA) et la MM50 (30 947,70 FCFA) se situent toutes deux sous le cours actuel de 31 500 FCFA, avec une MM20 légèrement au-dessus de la MM50 — configuration haussière classique. Le cours évoluant au-dessus de ses deux moyennes, la décision technique est **Achat**, confirmant la dynamique positive de moyen terme.</w:t>
      </w:r>
    </w:p>
    <w:p>
      <w:pPr>
        <w:spacing w:after="120" w:line="276" w:lineRule="auto"/>
      </w:pPr>
      <w:r>
        <w:t>**Bandes de Bollinger** : Le cours (31 500 FCFA) se situe dans la partie haute de la bande, entre la borne inférieure (28 692,87 FCFA) et la borne supérieure (33 543,63 FCFA), sans en atteindre l'extrémité. Cette position centrale-haute traduit une volatilité contenue et l'absence de signal de surachat extrême ; la décision est **Neutre**, le titre naviguant dans sa zone de confort statistique.</w:t>
      </w:r>
    </w:p>
    <w:p>
      <w:pPr>
        <w:spacing w:after="120" w:line="276" w:lineRule="auto"/>
      </w:pPr>
      <w:r>
        <w:t>**MACD** : La valeur du MACD (-196,905) est inférieure à sa ligne de signal (-137,196), configuration baissière qui traduit un momentum négatif de court terme malgré la tendance haussière de fond. La décision **Vente** signale une divergence baissière à surveiller, potentiellement annonciatrice d'une consolidation après la forte hausse.</w:t>
      </w:r>
    </w:p>
    <w:p>
      <w:pPr>
        <w:spacing w:after="120" w:line="276" w:lineRule="auto"/>
      </w:pPr>
      <w:r>
        <w:t>**RSI** : À **50,0**, le RSI se situe exactement au point d'équilibre, ni en zone de surachat (&gt;70) ni de survente (&lt;30). Cette neutralité parfaite indique un marché sans excès directionnel, justifiant la décision **Neutre** et suggérant une phase de respiration possible.</w:t>
      </w:r>
    </w:p>
    <w:p>
      <w:pPr>
        <w:spacing w:after="120" w:line="276" w:lineRule="auto"/>
      </w:pPr>
      <w:r>
        <w:t>**Stochastique** : Le %K (60,241) est supérieur au %D (40,161), avec un croisement haussier en cours dans la zone médiane. Le signal n'est toutefois pas encore confirmé en zone de surachat, d'où la décision **Neutre** ; ce positionnement laisse présager un potentiel de rebond à court terme.</w:t>
      </w:r>
    </w:p>
    <w:p>
      <w:pPr>
        <w:spacing w:after="120" w:line="276" w:lineRule="auto"/>
      </w:pPr>
      <w:r>
        <w:t>**Conclusion technique** : Les indicateurs présentent une configuration **mitigée** — les moyennes mobiles valident la tendance haussière de fond (Achat), mais le MACD signale un essoufflement du momentum (Vente), tandis que Bollinger, RSI et Stochastique restent neutres. Cette divergence entre tendance de fond et momentum court terme suggère une probable phase de consolidation latérale avant une nouvelle impulsion ; le titre n'est ni en zone d'achat agressive ni en zone de vente, et une approche attentiste sur les points de repli vers la MM20 (31 118 FCFA) paraît la plus prudente.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Coris Bank International affiche un **Produit Net Bancaire (PNB) de 138,986 milliards FCFA**, en croissance de **+6,11%**, et un **résultat net de 65,495 milliards FCFA**, en progression remarquable de **+36,6%** par rapport aux 47,937 milliards de 2024 (rapport annuel 2025, analysé le 02/10/2026). La **marge nette atteint 47,12%** et la **marge opérationnelle 51,77%**, tandis que le **ROA s'établit à 2,18%** sur un total actif de 2 997,779 milliards FCFA. Le **coefficient d'exploitation de 36,39%** — très en dessous du seuil de 60% — confirme une **excellente efficacité opérationnelle**. Le bilan montre des **dépôts clientèle de 2 015,284 milliards FCFA** face à des **créances clientèle de 1 326,977 milliards FCFA**, soit un ratio de transformation (crédits/dépôts) de 65,8%, traduisant une collecte abondante et une politique de crédit sélective. Le **coût du risque de 16,5 milliards FCFA** s'est amélioré de -59,3% selon le rapport annuel 2025, signe d'un assainissement réussi du portefeuille après l'exercice 2024 difficile (coût du risque +72,5%, résultat net -25,4%).</w:t>
      </w:r>
    </w:p>
    <w:p>
      <w:pPr>
        <w:spacing w:after="120" w:line="276" w:lineRule="auto"/>
      </w:pPr>
      <w:r>
        <w:t>**Évolution et estimations** : L'historique montre une nette amélioration : après la chute du résultat net en 2024 (47,9 Mds FCFA), l'exercice 2025 marque un **rebond spectaculaire (+36,6%)**. Les rapports trimestriels confirment cette dynamique : le **T1 2025** affichait un PNB de 28,7 Mds (+2,80%) et un résultat net de 17,6 Mds (+5,89%) ; le **S1 2025** un PNB de 65,1 Mds (+8,75%) et un résultat net de 33,8 Mds (+0,66%, plombé par le coût du risque) ; le **T3 2025** un PNB de 101,3 Mds (+9,65%) et un résultat net de 52,9 Mds (+6,25%). Surtout, le **rapport T1 2026 (publié en 2026)** révèle une **accélération majeure** : PNB de 36,8 Mds FCFA (**+28,5%**), résultat net de 21,5 Mds FCFA (**+22,2%**), dépôts en hausse de **+37,9%** à 2 365,1 Mds FCFA et marge nette de 58,4%. **Sur cette base, on estime que l'exercice 2026 devrait enregistrer une nouvelle année de forte croissance**, avec un résultat net potentiellement supérieur à 80 Mds FCFA si la dynamique du T1 se maintient. La notation financière **AA/AI avec perspective stable** (Bloomfield) et le renforcement de la gouvernance (administrateurs indépendants) constituent des facteurs de crédibilité supplémentaires.</w:t>
      </w:r>
    </w:p>
    <w:p>
      <w:pPr>
        <w:spacing w:after="120" w:line="276" w:lineRule="auto"/>
      </w:pPr>
      <w:r>
        <w:t>**Recommandation fondamentale** : La solidité financière est **excellente** (efficacité opérationnelle, rentabilité élevée, assainissement du risque achevé, collecte de dépôts dynamique), les perspectives 2026 sont **très favorables** (T1 2026 en forte accélération), mais les risques persistent : environnement sécuritaire et géopolitique régional, croissance modérée des crédits (+3,8% au T1 2026) face à l'afflux de dépôts, et concentration géographique sur le Burkina Faso. La recommandation fondamentale est **ACHAT**, portée par la qualité du modèle d'affaires et la trajectoire bénéficiaire.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d'analyse dessine un tableau **globalement favorable mais nuancé**. Sur le plan de la **valorisation (Partie 0)**, le PER de 15,4x et l'EV/EBITDA de 11,4x indiquent une valeur **correctement valorisée à légèrement chère**, la prime étant justifiée par la qualité des fondamentaux mais limitant le potentiel de revalorisation à court terme. Le **comportement du cours (Partie 1)** est très haussier (+46,75% sur 100 jours) mais s'accompagne d'une volatilité élevée (44%) et d'une distribution platykurtique (kurtosis -1,124) qui, bien que limitant les pics extrêmes, appelle à la prudence sur les points d'entrée. Les **signaux techniques (Partie 2)** sont **divergents** : les moyennes mobiles valident l'achat, mais le MACD est baissier et les autres oscillateurs neutres, plaidant pour une consolidation. Les **fondamentaux (Partie 3)** sont le point fort du dossier : résultat net 2025 en hausse de +36,6%, coefficient d'exploitation de 36,4%, et surtout un **T1 2026 en accélération spectaculaire** (PNB +28,5%, résultat net +22,2%) qui valide la thèse d'une croissance durable. Les **prédictions IA (J+1 à J+10)** anticipent toutefois une **correction progressive** de 31 500 FCFA vers 29 204 FCFA (-7,3% sur 10 jours), ce qui **contredit** la tendance haussière récente mais **converge** avec le signal baissier du MACD et la nécessité d'une consolidation technique après le rallye.</w:t>
      </w:r>
    </w:p>
    <w:p>
      <w:pPr>
        <w:spacing w:after="120" w:line="276" w:lineRule="auto"/>
      </w:pPr>
      <w:r>
        <w:t>**Recommandation finale : ACHAT** — avec un **niveau de confiance Moyen** et un **risque global Moyen à Élevé** (volatilité 44%, contexte régional incertain). La convergence entre fondamentaux solides (T1 2026 excellent), valorisation raisonnable et prédiction de consolidation à court terme suggère une **stratégie d'entrée progressive sur repli** vers la zone 29 000-30 000 FCFA (proche de la MM20 et de la borne basse des prédictions IA), plutôt qu'un achat au prix actuel. L'**horizon optimal est le moyen à long terme (6-18 mois)**, le temps que la croissance 2026 se matérialise dans les résultats et que le marché revalorise le titre sur ses bénéfices futurs ; les investisseurs court terme devront composer avec la correction attendue et la volatilité élevée du titre.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14.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262.99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3,602 titres</w:t>
            </w:r>
          </w:p>
        </w:tc>
        <w:tc>
          <w:tcPr>
            <w:tcW w:type="dxa" w:w="2268"/>
            <w:shd w:fill="FFF2CC" w:val="clear"/>
          </w:tcPr>
          <w:p>
            <w:r>
              <w:rPr>
                <w:b/>
                <w:color w:val="503200"/>
                <w:sz w:val="16"/>
              </w:rPr>
              <w:t xml:space="preserve">Cours actuel : </w:t>
            </w:r>
            <w:r>
              <w:rPr>
                <w:color w:val="000000"/>
                <w:sz w:val="17"/>
              </w:rPr>
              <w:t>1,450 FCFA</w:t>
            </w:r>
          </w:p>
          <w:p>
            <w:r>
              <w:rPr>
                <w:b/>
                <w:color w:val="503200"/>
                <w:sz w:val="16"/>
              </w:rPr>
              <w:t xml:space="preserve">Var. 100 jours : </w:t>
            </w:r>
            <w:r>
              <w:rPr>
                <w:b/>
                <w:color w:val="B40000"/>
                <w:sz w:val="17"/>
              </w:rPr>
              <w:t>-2.36%</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47.8%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19.0/100 → Faible</w:t>
      </w:r>
    </w:p>
    <w:p>
      <w:pPr>
        <w:spacing w:before="40" w:after="80"/>
      </w:pPr>
      <w:r>
        <w:rPr>
          <w:rFonts w:ascii="Courier New" w:hAnsi="Courier New"/>
          <w:color w:val="006400"/>
          <w:sz w:val="18"/>
        </w:rPr>
        <w:t>███░░░░░░░░░░░░░░░░░  19.0/100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5.91% (Moyenne) — μ=1,633 FCFA, σ=97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β=1.1988 (Neutre (suit le marché)) — Cov=0.000091, Var(idx)=0.000076, ρ=0.356,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3,602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σ_j=3.01%/j (Modérée) — Vol. annualisée≈47.8%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1,360</w:t>
            </w:r>
          </w:p>
        </w:tc>
        <w:tc>
          <w:tcPr>
            <w:tcW w:type="dxa" w:w="1440"/>
            <w:shd w:fill="FAFAFA" w:val="clear"/>
          </w:tcPr>
          <w:p>
            <w:r>
              <w:rPr>
                <w:b/>
                <w:sz w:val="17"/>
              </w:rPr>
              <w:t>1,429</w:t>
            </w:r>
          </w:p>
        </w:tc>
        <w:tc>
          <w:tcPr>
            <w:tcW w:type="dxa" w:w="1440"/>
            <w:shd w:fill="FAFAFA" w:val="clear"/>
          </w:tcPr>
          <w:p>
            <w:r>
              <w:rPr>
                <w:sz w:val="17"/>
              </w:rPr>
              <w:t>1,498</w:t>
            </w:r>
          </w:p>
        </w:tc>
        <w:tc>
          <w:tcPr>
            <w:tcW w:type="dxa" w:w="1440"/>
            <w:shd w:fill="FAFAFA" w:val="clear"/>
          </w:tcPr>
          <w:p>
            <w:r>
              <w:rPr>
                <w:b/>
                <w:color w:val="C00000"/>
                <w:sz w:val="17"/>
              </w:rPr>
              <w:t>-1.4%</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1,342</w:t>
            </w:r>
          </w:p>
        </w:tc>
        <w:tc>
          <w:tcPr>
            <w:tcW w:type="dxa" w:w="1440"/>
            <w:shd w:fill="FAFAFA" w:val="clear"/>
          </w:tcPr>
          <w:p>
            <w:r>
              <w:rPr>
                <w:b/>
                <w:sz w:val="17"/>
              </w:rPr>
              <w:t>1,440</w:t>
            </w:r>
          </w:p>
        </w:tc>
        <w:tc>
          <w:tcPr>
            <w:tcW w:type="dxa" w:w="1440"/>
            <w:shd w:fill="FAFAFA" w:val="clear"/>
          </w:tcPr>
          <w:p>
            <w:r>
              <w:rPr>
                <w:sz w:val="17"/>
              </w:rPr>
              <w:t>1,539</w:t>
            </w:r>
          </w:p>
        </w:tc>
        <w:tc>
          <w:tcPr>
            <w:tcW w:type="dxa" w:w="1440"/>
            <w:shd w:fill="FAFAFA" w:val="clear"/>
          </w:tcPr>
          <w:p>
            <w:r>
              <w:rPr>
                <w:b/>
                <w:color w:val="C00000"/>
                <w:sz w:val="17"/>
              </w:rPr>
              <w:t>-0.7%</w:t>
            </w:r>
          </w:p>
        </w:tc>
      </w:tr>
      <w:tr>
        <w:tc>
          <w:tcPr>
            <w:tcW w:type="dxa" w:w="1440"/>
            <w:shd w:fill="FAFAFA" w:val="clear"/>
          </w:tcPr>
          <w:p>
            <w:r>
              <w:rPr>
                <w:sz w:val="17"/>
              </w:rPr>
              <w:t>J+3  Moyenne</w:t>
            </w:r>
          </w:p>
        </w:tc>
        <w:tc>
          <w:tcPr>
            <w:tcW w:type="dxa" w:w="1440"/>
            <w:shd w:fill="FAFAFA" w:val="clear"/>
          </w:tcPr>
          <w:p>
            <w:r>
              <w:rPr>
                <w:sz w:val="17"/>
              </w:rPr>
              <w:t>2026-10-21</w:t>
            </w:r>
          </w:p>
        </w:tc>
        <w:tc>
          <w:tcPr>
            <w:tcW w:type="dxa" w:w="1440"/>
            <w:shd w:fill="FAFAFA" w:val="clear"/>
          </w:tcPr>
          <w:p>
            <w:r>
              <w:rPr>
                <w:sz w:val="17"/>
              </w:rPr>
              <w:t>1,328</w:t>
            </w:r>
          </w:p>
        </w:tc>
        <w:tc>
          <w:tcPr>
            <w:tcW w:type="dxa" w:w="1440"/>
            <w:shd w:fill="FAFAFA" w:val="clear"/>
          </w:tcPr>
          <w:p>
            <w:r>
              <w:rPr>
                <w:b/>
                <w:sz w:val="17"/>
              </w:rPr>
              <w:t>1,449</w:t>
            </w:r>
          </w:p>
        </w:tc>
        <w:tc>
          <w:tcPr>
            <w:tcW w:type="dxa" w:w="1440"/>
            <w:shd w:fill="FAFAFA" w:val="clear"/>
          </w:tcPr>
          <w:p>
            <w:r>
              <w:rPr>
                <w:sz w:val="17"/>
              </w:rPr>
              <w:t>1,571</w:t>
            </w:r>
          </w:p>
        </w:tc>
        <w:tc>
          <w:tcPr>
            <w:tcW w:type="dxa" w:w="1440"/>
            <w:shd w:fill="FAFAFA" w:val="clear"/>
          </w:tcPr>
          <w:p>
            <w:r>
              <w:rPr>
                <w:b/>
                <w:color w:val="C00000"/>
                <w:sz w:val="17"/>
              </w:rPr>
              <w:t>-0.1%</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1,317</w:t>
            </w:r>
          </w:p>
        </w:tc>
        <w:tc>
          <w:tcPr>
            <w:tcW w:type="dxa" w:w="1440"/>
            <w:shd w:fill="FAFAFA" w:val="clear"/>
          </w:tcPr>
          <w:p>
            <w:r>
              <w:rPr>
                <w:b/>
                <w:sz w:val="17"/>
              </w:rPr>
              <w:t>1,458</w:t>
            </w:r>
          </w:p>
        </w:tc>
        <w:tc>
          <w:tcPr>
            <w:tcW w:type="dxa" w:w="1440"/>
            <w:shd w:fill="FAFAFA" w:val="clear"/>
          </w:tcPr>
          <w:p>
            <w:r>
              <w:rPr>
                <w:sz w:val="17"/>
              </w:rPr>
              <w:t>1,599</w:t>
            </w:r>
          </w:p>
        </w:tc>
        <w:tc>
          <w:tcPr>
            <w:tcW w:type="dxa" w:w="1440"/>
            <w:shd w:fill="FAFAFA" w:val="clear"/>
          </w:tcPr>
          <w:p>
            <w:r>
              <w:rPr>
                <w:b/>
                <w:color w:val="008000"/>
                <w:sz w:val="17"/>
              </w:rPr>
              <w:t>+0.5%</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1,307</w:t>
            </w:r>
          </w:p>
        </w:tc>
        <w:tc>
          <w:tcPr>
            <w:tcW w:type="dxa" w:w="1440"/>
            <w:shd w:fill="FAFAFA" w:val="clear"/>
          </w:tcPr>
          <w:p>
            <w:r>
              <w:rPr>
                <w:b/>
                <w:sz w:val="17"/>
              </w:rPr>
              <w:t>1,466</w:t>
            </w:r>
          </w:p>
        </w:tc>
        <w:tc>
          <w:tcPr>
            <w:tcW w:type="dxa" w:w="1440"/>
            <w:shd w:fill="FAFAFA" w:val="clear"/>
          </w:tcPr>
          <w:p>
            <w:r>
              <w:rPr>
                <w:sz w:val="17"/>
              </w:rPr>
              <w:t>1,625</w:t>
            </w:r>
          </w:p>
        </w:tc>
        <w:tc>
          <w:tcPr>
            <w:tcW w:type="dxa" w:w="1440"/>
            <w:shd w:fill="FAFAFA" w:val="clear"/>
          </w:tcPr>
          <w:p>
            <w:r>
              <w:rPr>
                <w:b/>
                <w:color w:val="008000"/>
                <w:sz w:val="17"/>
              </w:rPr>
              <w:t>+1.1%</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1,299</w:t>
            </w:r>
          </w:p>
        </w:tc>
        <w:tc>
          <w:tcPr>
            <w:tcW w:type="dxa" w:w="1440"/>
            <w:shd w:fill="FAFAFA" w:val="clear"/>
          </w:tcPr>
          <w:p>
            <w:r>
              <w:rPr>
                <w:b/>
                <w:sz w:val="17"/>
              </w:rPr>
              <w:t>1,474</w:t>
            </w:r>
          </w:p>
        </w:tc>
        <w:tc>
          <w:tcPr>
            <w:tcW w:type="dxa" w:w="1440"/>
            <w:shd w:fill="FAFAFA" w:val="clear"/>
          </w:tcPr>
          <w:p>
            <w:r>
              <w:rPr>
                <w:sz w:val="17"/>
              </w:rPr>
              <w:t>1,649</w:t>
            </w:r>
          </w:p>
        </w:tc>
        <w:tc>
          <w:tcPr>
            <w:tcW w:type="dxa" w:w="1440"/>
            <w:shd w:fill="FAFAFA" w:val="clear"/>
          </w:tcPr>
          <w:p>
            <w:r>
              <w:rPr>
                <w:b/>
                <w:color w:val="008000"/>
                <w:sz w:val="17"/>
              </w:rPr>
              <w:t>+1.7%</w:t>
            </w:r>
          </w:p>
        </w:tc>
      </w:tr>
      <w:tr>
        <w:tc>
          <w:tcPr>
            <w:tcW w:type="dxa" w:w="1440"/>
            <w:shd w:fill="C6EFCE" w:val="clear"/>
          </w:tcPr>
          <w:p>
            <w:r>
              <w:rPr>
                <w:sz w:val="17"/>
              </w:rPr>
              <w:t>J+7  ⭐</w:t>
            </w:r>
          </w:p>
        </w:tc>
        <w:tc>
          <w:tcPr>
            <w:tcW w:type="dxa" w:w="1440"/>
            <w:shd w:fill="C6EFCE" w:val="clear"/>
          </w:tcPr>
          <w:p>
            <w:r>
              <w:rPr>
                <w:sz w:val="17"/>
              </w:rPr>
              <w:t>2026-10-27</w:t>
            </w:r>
          </w:p>
        </w:tc>
        <w:tc>
          <w:tcPr>
            <w:tcW w:type="dxa" w:w="1440"/>
            <w:shd w:fill="C6EFCE" w:val="clear"/>
          </w:tcPr>
          <w:p>
            <w:r>
              <w:rPr>
                <w:sz w:val="17"/>
              </w:rPr>
              <w:t>1,292</w:t>
            </w:r>
          </w:p>
        </w:tc>
        <w:tc>
          <w:tcPr>
            <w:tcW w:type="dxa" w:w="1440"/>
            <w:shd w:fill="C6EFCE" w:val="clear"/>
          </w:tcPr>
          <w:p>
            <w:r>
              <w:rPr>
                <w:b/>
                <w:sz w:val="17"/>
              </w:rPr>
              <w:t>1,482</w:t>
            </w:r>
          </w:p>
        </w:tc>
        <w:tc>
          <w:tcPr>
            <w:tcW w:type="dxa" w:w="1440"/>
            <w:shd w:fill="C6EFCE" w:val="clear"/>
          </w:tcPr>
          <w:p>
            <w:r>
              <w:rPr>
                <w:sz w:val="17"/>
              </w:rPr>
              <w:t>1,672</w:t>
            </w:r>
          </w:p>
        </w:tc>
        <w:tc>
          <w:tcPr>
            <w:tcW w:type="dxa" w:w="1440"/>
            <w:shd w:fill="C6EFCE" w:val="clear"/>
          </w:tcPr>
          <w:p>
            <w:r>
              <w:rPr>
                <w:b/>
                <w:color w:val="008000"/>
                <w:sz w:val="17"/>
              </w:rPr>
              <w:t>+2.2%</w:t>
            </w:r>
          </w:p>
        </w:tc>
      </w:tr>
      <w:tr>
        <w:tc>
          <w:tcPr>
            <w:tcW w:type="dxa" w:w="1440"/>
            <w:shd w:fill="C6EFCE" w:val="clear"/>
          </w:tcPr>
          <w:p>
            <w:r>
              <w:rPr>
                <w:sz w:val="17"/>
              </w:rPr>
              <w:t>J+8  ⭐</w:t>
            </w:r>
          </w:p>
        </w:tc>
        <w:tc>
          <w:tcPr>
            <w:tcW w:type="dxa" w:w="1440"/>
            <w:shd w:fill="C6EFCE" w:val="clear"/>
          </w:tcPr>
          <w:p>
            <w:r>
              <w:rPr>
                <w:sz w:val="17"/>
              </w:rPr>
              <w:t>2026-10-28</w:t>
            </w:r>
          </w:p>
        </w:tc>
        <w:tc>
          <w:tcPr>
            <w:tcW w:type="dxa" w:w="1440"/>
            <w:shd w:fill="C6EFCE" w:val="clear"/>
          </w:tcPr>
          <w:p>
            <w:r>
              <w:rPr>
                <w:sz w:val="17"/>
              </w:rPr>
              <w:t>1,286</w:t>
            </w:r>
          </w:p>
        </w:tc>
        <w:tc>
          <w:tcPr>
            <w:tcW w:type="dxa" w:w="1440"/>
            <w:shd w:fill="C6EFCE" w:val="clear"/>
          </w:tcPr>
          <w:p>
            <w:r>
              <w:rPr>
                <w:b/>
                <w:sz w:val="17"/>
              </w:rPr>
              <w:t>1,489</w:t>
            </w:r>
          </w:p>
        </w:tc>
        <w:tc>
          <w:tcPr>
            <w:tcW w:type="dxa" w:w="1440"/>
            <w:shd w:fill="C6EFCE" w:val="clear"/>
          </w:tcPr>
          <w:p>
            <w:r>
              <w:rPr>
                <w:sz w:val="17"/>
              </w:rPr>
              <w:t>1,693</w:t>
            </w:r>
          </w:p>
        </w:tc>
        <w:tc>
          <w:tcPr>
            <w:tcW w:type="dxa" w:w="1440"/>
            <w:shd w:fill="C6EFCE" w:val="clear"/>
          </w:tcPr>
          <w:p>
            <w:r>
              <w:rPr>
                <w:b/>
                <w:color w:val="008000"/>
                <w:sz w:val="17"/>
              </w:rPr>
              <w:t>+2.7%</w:t>
            </w:r>
          </w:p>
        </w:tc>
      </w:tr>
      <w:tr>
        <w:tc>
          <w:tcPr>
            <w:tcW w:type="dxa" w:w="1440"/>
            <w:shd w:fill="C6EFCE" w:val="clear"/>
          </w:tcPr>
          <w:p>
            <w:r>
              <w:rPr>
                <w:sz w:val="17"/>
              </w:rPr>
              <w:t>J+9  ⭐</w:t>
            </w:r>
          </w:p>
        </w:tc>
        <w:tc>
          <w:tcPr>
            <w:tcW w:type="dxa" w:w="1440"/>
            <w:shd w:fill="C6EFCE" w:val="clear"/>
          </w:tcPr>
          <w:p>
            <w:r>
              <w:rPr>
                <w:sz w:val="17"/>
              </w:rPr>
              <w:t>2026-10-29</w:t>
            </w:r>
          </w:p>
        </w:tc>
        <w:tc>
          <w:tcPr>
            <w:tcW w:type="dxa" w:w="1440"/>
            <w:shd w:fill="C6EFCE" w:val="clear"/>
          </w:tcPr>
          <w:p>
            <w:r>
              <w:rPr>
                <w:sz w:val="17"/>
              </w:rPr>
              <w:t>1,279</w:t>
            </w:r>
          </w:p>
        </w:tc>
        <w:tc>
          <w:tcPr>
            <w:tcW w:type="dxa" w:w="1440"/>
            <w:shd w:fill="C6EFCE" w:val="clear"/>
          </w:tcPr>
          <w:p>
            <w:r>
              <w:rPr>
                <w:b/>
                <w:sz w:val="17"/>
              </w:rPr>
              <w:t>1,497</w:t>
            </w:r>
          </w:p>
        </w:tc>
        <w:tc>
          <w:tcPr>
            <w:tcW w:type="dxa" w:w="1440"/>
            <w:shd w:fill="C6EFCE" w:val="clear"/>
          </w:tcPr>
          <w:p>
            <w:r>
              <w:rPr>
                <w:sz w:val="17"/>
              </w:rPr>
              <w:t>1,714</w:t>
            </w:r>
          </w:p>
        </w:tc>
        <w:tc>
          <w:tcPr>
            <w:tcW w:type="dxa" w:w="1440"/>
            <w:shd w:fill="C6EFCE" w:val="clear"/>
          </w:tcPr>
          <w:p>
            <w:r>
              <w:rPr>
                <w:b/>
                <w:color w:val="008000"/>
                <w:sz w:val="17"/>
              </w:rPr>
              <w:t>+3.2%</w:t>
            </w:r>
          </w:p>
        </w:tc>
      </w:tr>
      <w:tr>
        <w:tc>
          <w:tcPr>
            <w:tcW w:type="dxa" w:w="1440"/>
            <w:shd w:fill="C6EFCE" w:val="clear"/>
          </w:tcPr>
          <w:p>
            <w:r>
              <w:rPr>
                <w:sz w:val="17"/>
              </w:rPr>
              <w:t>J+10  ⭐</w:t>
            </w:r>
          </w:p>
        </w:tc>
        <w:tc>
          <w:tcPr>
            <w:tcW w:type="dxa" w:w="1440"/>
            <w:shd w:fill="C6EFCE" w:val="clear"/>
          </w:tcPr>
          <w:p>
            <w:r>
              <w:rPr>
                <w:sz w:val="17"/>
              </w:rPr>
              <w:t>2026-10-30</w:t>
            </w:r>
          </w:p>
        </w:tc>
        <w:tc>
          <w:tcPr>
            <w:tcW w:type="dxa" w:w="1440"/>
            <w:shd w:fill="C6EFCE" w:val="clear"/>
          </w:tcPr>
          <w:p>
            <w:r>
              <w:rPr>
                <w:sz w:val="17"/>
              </w:rPr>
              <w:t>1,274</w:t>
            </w:r>
          </w:p>
        </w:tc>
        <w:tc>
          <w:tcPr>
            <w:tcW w:type="dxa" w:w="1440"/>
            <w:shd w:fill="C6EFCE" w:val="clear"/>
          </w:tcPr>
          <w:p>
            <w:r>
              <w:rPr>
                <w:b/>
                <w:sz w:val="17"/>
              </w:rPr>
              <w:t>1,504</w:t>
            </w:r>
          </w:p>
        </w:tc>
        <w:tc>
          <w:tcPr>
            <w:tcW w:type="dxa" w:w="1440"/>
            <w:shd w:fill="C6EFCE" w:val="clear"/>
          </w:tcPr>
          <w:p>
            <w:r>
              <w:rPr>
                <w:sz w:val="17"/>
              </w:rPr>
              <w:t>1,734</w:t>
            </w:r>
          </w:p>
        </w:tc>
        <w:tc>
          <w:tcPr>
            <w:tcW w:type="dxa" w:w="1440"/>
            <w:shd w:fill="C6EFCE" w:val="clear"/>
          </w:tcPr>
          <w:p>
            <w:r>
              <w:rPr>
                <w:b/>
                <w:color w:val="008000"/>
                <w:sz w:val="17"/>
              </w:rPr>
              <w:t>+3.7%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 RAPPORT D'ANALYSE FINANCIÈRE — CFAC (CFAO Motors Côte d'Ivoire)</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262,99 milliards FCFA, CFAC s'impose comme l'une des valeurs les plus importantes de la cote BRVM, ce qui témoigne de la stature de leader national du distributeur automobile. Le BPA de 26 FCFA par action indique le bénéfice net généré pour chaque titre détenu, mais c'est surtout le PER de 56,0x qui interpelle : les investisseurs paient plus de 56 fois les bénéfices, soit un multiple très supérieur à la moyenne BRVM (8-12x), signalant une valorisation très exigeante voire spéculative. Le ratio P/B de 13,52x confirme cette prime considérable — le marché valorise la société à plus de 13 fois sa valeur comptable, bien au-delà du seuil de 4x généralement considéré comme déjà tendu. Enfin, l'EV/EBITDA de 28,6x, très supérieur au seuil de 15x, traduit une valorisation de la capacité opérationnelle elle aussi extrêmement généreuse. L'ensemble de ces ratios dessine une action dont le prix intègre déjà des anticipations de croissance très optimistes, laissant peu de marge de sécurité à l'investisseur.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CFAC a reculé de -2,36%, mais la dernière séance affiche un rebond spectaculaire de +7,41%, portant le titre à 1 450 FCFA. Le range de trading s'étend de 1 350 FCFA (plus bas) à 1 825 FCFA (plus haut), soit une amplitude de 475 FCFA qui traduit une phase de correction après un sommet marqué. La tendance générale sur la période est donc baissière, le cours actuel (1 450 FCFA) se situant nettement sous la moyenne (1 633 FCFA) et la médiane (1 642 FCFA) — l'écart entre moyenne et médiane étant toutefois minime, ce qui indique une distribution globalement équilibrée. L'écart-type de 97 FCFA avec un coefficient de variation de 5,9% révèle une dispersion modérée du cours autour de sa moyenne, tandis que le kurtosis de -0,429 (mésokurtique) suggère un comportement proche d'une distribution normale, sans risque excessif de pics extrêmes. Le skewness de -0,402, qualifié de distribution symétrique, confirme l'absence de biais directionnel marqué malgré la correction récente. Enfin, la volatilité annualisée de 47,8% place clairement CFAC dans la catégorie des titres à volatilité élevée (&gt;30%), ce qui implique un risque de fluctuation important et justifie une approche prudente.</w:t>
      </w:r>
    </w:p>
    <w:p>
      <w:pPr>
        <w:spacing w:after="120" w:line="276" w:lineRule="auto"/>
      </w:pPr>
      <w:r>
        <w:t>---</w:t>
      </w:r>
    </w:p>
    <w:p>
      <w:pPr>
        <w:spacing w:after="120" w:line="276" w:lineRule="auto"/>
      </w:pPr>
      <w:r>
        <w:t>## PARTIE 2 : ANALYSE TECHNIQUE DÉTAILLÉE</w:t>
      </w:r>
    </w:p>
    <w:p>
      <w:pPr>
        <w:spacing w:after="120" w:line="276" w:lineRule="auto"/>
      </w:pPr>
      <w:r>
        <w:t>**Moyennes Mobiles** : La MM20 (1 517,5 FCFA) et la MM50 (1 627,5 FCFA) se situent toutes deux au-dessus du cours actuel (1 450 FCFA), avec une MM20 inférieure à la MM50 — configuration baissière typique. Le cours évoluant sous ses deux moyennes mobiles, la pression vendeuse domine et justifie la décision technique de **Vente**.</w:t>
      </w:r>
    </w:p>
    <w:p>
      <w:pPr>
        <w:spacing w:after="120" w:line="276" w:lineRule="auto"/>
      </w:pPr>
      <w:r>
        <w:t>**Bandes de Bollinger** : Le cours (1 450 FCFA) se situe dans la moitié inférieure de la bande, entre la borne inférieure (1 371,23 FCFA) et la borne supérieure (1 663,77 FCFA), sans atteindre les extrêmes. Cette position centrale-basse traduit une volatilité contenue et une absence de signal directionnel fort, justifiant la décision **Neutre**.</w:t>
      </w:r>
    </w:p>
    <w:p>
      <w:pPr>
        <w:spacing w:after="120" w:line="276" w:lineRule="auto"/>
      </w:pPr>
      <w:r>
        <w:t>**MACD** : La valeur du MACD (-61,599) est inférieure à sa ligne de signal (-51,979), et les deux restent en territoire négatif. Cette configuration confirme un momentum baissier persistant, bien que l'écart entre les deux lignes ne se creuse pas dramatiquement, justifiant la décision **Vente**.</w:t>
      </w:r>
    </w:p>
    <w:p>
      <w:pPr>
        <w:spacing w:after="120" w:line="276" w:lineRule="auto"/>
      </w:pPr>
      <w:r>
        <w:t>**RSI** : À 41,176, le RSI se situe dans la zone neutre (30-70), sans atteindre la zone de survente (&lt;30) ni de surachat (&gt;70). Le titre n'est donc ni épuisé à la baisse ni en excès haussier, ce qui justifie la décision **Neutre** — un potentiel de rebond technique reste possible mais non confirmé.</w:t>
      </w:r>
    </w:p>
    <w:p>
      <w:pPr>
        <w:spacing w:after="120" w:line="276" w:lineRule="auto"/>
      </w:pPr>
      <w:r>
        <w:t>**Stochastique** : Le %K (37,736) est supérieur au %D (12,579), avec un croisement récent qui pourrait signaler une amorce de retournement haussier de court terme. Toutefois, les deux valeurs restent en zone basse, et la décision retenue est **Neutre**, le signal de croisement demandant confirmation.</w:t>
      </w:r>
    </w:p>
    <w:p>
      <w:pPr>
        <w:spacing w:after="120" w:line="276" w:lineRule="auto"/>
      </w:pPr>
      <w:r>
        <w:t>**Conclusion technique** : L'ensemble des indicateurs penche majoritairement vers une configuration baissière (MM en tête, MACD négatif), tempérée par des oscillateurs (RSI, Stochastique, Bollinger) en zone neutre qui n'excluent pas un rebond technique — d'autant que la séance du jour affiche +7,41%. La convergence n'est donc pas totale : les indicateurs de tendance restent défavorables tandis que les oscillateurs suggèrent une possible stabilisation. Le signal global est **baissier à neutre**, avec une prudence de mise tant que le cours n'aura pas reconquis la MM20 (1 517,5 FCFA).</w:t>
      </w:r>
    </w:p>
    <w:p>
      <w:pPr>
        <w:spacing w:after="120" w:line="276" w:lineRule="auto"/>
      </w:pPr>
      <w:r>
        <w:t>---</w:t>
      </w:r>
    </w:p>
    <w:p>
      <w:pPr>
        <w:spacing w:after="120" w:line="276" w:lineRule="auto"/>
      </w:pPr>
      <w:r>
        <w:t>## PARTIE 3 : ANALYSE FONDAMENTALE</w:t>
      </w:r>
    </w:p>
    <w:p>
      <w:pPr>
        <w:spacing w:after="120" w:line="276" w:lineRule="auto"/>
      </w:pPr>
      <w:r>
        <w:t>Les états financiers officiels de l'exercice 2024 (rapport « ETATS FINANCIERS 2024 » daté du 31/12/2024) établissent un chiffre d'affaires de 158,313 milliards FCFA, en recul de -12,1% par rapport aux 180,162 milliards de 2023, et un résultat net de 4,693 milliards FCFA (-26,7%). Malgré cette contraction, la rentabilité des fonds propres reste excellente avec un ROE de 24,13% (bien supérieur au seuil de 15%), tandis que le ROA s'établit à 5,52% et la rotation des actifs à 186,2%, témoignant d'une forte intensité d'exploitation. L'analyse sectorielle (entreprise non bancaire) révèle un BFR négatif de -3,482 milliards FCFA — élément favorable — mais une trésorerie nette négative de -624,2 millions FCFA et un Free Cash Flow de -1,650 milliard, conséquence d'investissements lourds (-8,741 milliards) supérieurs à la CAF (6,224 milliards). Les délais d'exploitation sont contrastés : délai clients de 36,64 jours (risque trésorerie modéré), délai fournisseurs de 81,75 jours (favorable à la trésorerie) et durée de stockage élevée de 88,35 jours (immobilisation de capital importante). La structure financière demeure solide avec une autonomie financière de 22,88%, une couverture des intérêts de 1 064% et une capacité de remboursement de 0,72 an, malgré un ratio d'endettement de 23,07%. Les rapports trimestriels plus récents confirment un **net redressement en 2025** : le rapport T1 2025 (31/03/2025) affiche un CA de 46,161 milliards (+14,5%) et un résultat net de 3,836 milliards (+279,7%) ; le rapport S1 2025 (30/06/2025) confirme avec un CA de 91,182 milliards (+18,4%) et un résultat net de 5,420 milliards (+152,7%) ; enfin le rapport T3 2025 (30/09/2025) enregistre un CA de 43,580 milliards (+18,3%) et un résultat net de 1,489 milliard (+38,1%), avec une part de marché consolidée à 41,7%. Sur cette base, on peut **estimer** que l'exercice 2025 devrait renouer avec une croissance à deux chiffres du CA (probablement autour de 175-180 milliards FCFA) et un résultat net en forte progression (potentiellement 8-10 milliards FCFA), ce qui ramènerait le PER vers des niveaux plus raisonnables. La recommandation fondamentale est donc **positive à moyen terme** : la solidité du leader (ROE &gt;24%, parts de marché &gt;41%), le redressement opérationnel de 2025 et la maîtrise des charges compensent la contraction de 2024, mais la valorisation actuelle et la trésorerie tendue imposent une vigilance.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d'investissement contrasté. **Sur la valorisation (Partie 0)**, les ratios PER (56x), P/B (13,52x) et EV/EBITDA (28,6x) traduisent une surévaluation manifeste au regard des standards BRVM, laissant peu de marge de sécurité. **Le comportement du cours (Partie 1)** est baissier sur 100 jours (-2,36%) malgré un rebond de +7,41% en dernière séance, avec une volatilité élevée (47,8%) et des statistiques (kurtosis -0,429, skewness -0,402) qui indiquent un comportement normal sans biais extrême — ni alarmant ni particulièrement favorable. **Les signaux techniques (Partie 2)** sont majoritairement baissiers (cours sous MM20/MM50, MACD négatif) mais tempérés par des oscillateurs neutres (RSI 41,2, Stochastique en zone basse), suggérant une possible stabilisation plutôt qu'un effondrement. **Les fondamentaux (Partie 3)** offrent le tableau le plus rassurant : ROE de 24,13%, leader avec 41,7% de part de marché, et surtout un redressement spectaculaire en 2025 (résultat net +152,7% au S1, +38,1% au T3) qui devrait faire chuter mécaniquement le PER à terme. **Les prédictions IA (J+1 à J+10)** anticipent une trajectoire haussière modérée de 1 429 à 1 466 FCFA, cohérente avec le rebond récent et le redressement fondamental, mais contredisant la tendance technique de fond. Face à cette divergence — valorisation chère et technique baissière contre fondamentaux en nette amélioration et prédictions haussières — la recommandation finale est **CONSERVER**, avec un niveau de confiance **Moyen** et un niveau de risque **Élevé** (volatilité 47,8%, valorisation tendue, trésorerie négative). L'horizon optimal est le **moyen terme (3-12 mois)** : le temps que le redressement 2025 se matérialise dans les résultats annuels et normalise les multiples, tandis qu'un investisseur court-termiste devrait attendre la reconquête de la MM20 (1 517,5 FCFA) avant tout renforcement, et qu'un profil prudent privilégiera l'attente d'un point d'entrée sous 1 400 FCFA pour améliorer le rapport risque/rendement.</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15.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324.80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6,531 titres</w:t>
            </w:r>
          </w:p>
        </w:tc>
        <w:tc>
          <w:tcPr>
            <w:tcW w:type="dxa" w:w="2268"/>
            <w:shd w:fill="FFF2CC" w:val="clear"/>
          </w:tcPr>
          <w:p>
            <w:r>
              <w:rPr>
                <w:b/>
                <w:color w:val="503200"/>
                <w:sz w:val="16"/>
              </w:rPr>
              <w:t xml:space="preserve">Cours actuel : </w:t>
            </w:r>
            <w:r>
              <w:rPr>
                <w:color w:val="000000"/>
                <w:sz w:val="17"/>
              </w:rPr>
              <w:t>5,800 FCFA</w:t>
            </w:r>
          </w:p>
          <w:p>
            <w:r>
              <w:rPr>
                <w:b/>
                <w:color w:val="503200"/>
                <w:sz w:val="16"/>
              </w:rPr>
              <w:t xml:space="preserve">Var. 100 jours : </w:t>
            </w:r>
            <w:r>
              <w:rPr>
                <w:b/>
                <w:color w:val="007800"/>
                <w:sz w:val="17"/>
              </w:rPr>
              <w:t>+44.64%</w:t>
            </w:r>
          </w:p>
          <w:p>
            <w:r>
              <w:rPr>
                <w:b/>
                <w:color w:val="503200"/>
                <w:sz w:val="16"/>
              </w:rPr>
              <w:t xml:space="preserve">Plus haut 100j : </w:t>
            </w:r>
            <w:r>
              <w:rPr>
                <w:color w:val="000000"/>
                <w:sz w:val="17"/>
              </w:rPr>
              <w:t>7,400 FCFA</w:t>
            </w:r>
          </w:p>
          <w:p>
            <w:r>
              <w:rPr>
                <w:b/>
                <w:color w:val="503200"/>
                <w:sz w:val="16"/>
              </w:rPr>
              <w:t xml:space="preserve">Plus bas 100j : </w:t>
            </w:r>
            <w:r>
              <w:rPr>
                <w:color w:val="000000"/>
                <w:sz w:val="17"/>
              </w:rPr>
              <w:t>4,010 FCFA</w:t>
            </w:r>
          </w:p>
          <w:p>
            <w:r>
              <w:rPr>
                <w:b/>
                <w:color w:val="503200"/>
                <w:sz w:val="16"/>
              </w:rPr>
              <w:t xml:space="preserve">Volatilité ann. : </w:t>
            </w:r>
            <w:r>
              <w:rPr>
                <w:color w:val="000000"/>
                <w:sz w:val="17"/>
              </w:rPr>
              <w:t>48.2%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14.34% (Moyenne) — μ=5,720 FCFA, σ=820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β=0.7583 (Défensif) — Cov=0.000058, Var(idx)=0.000076, ρ=0.218,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6,531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Achat=3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σ_j=3.03%/j (Modérée) — Vol. annualisée≈48.2%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5,643</w:t>
            </w:r>
          </w:p>
        </w:tc>
        <w:tc>
          <w:tcPr>
            <w:tcW w:type="dxa" w:w="1440"/>
            <w:shd w:fill="FAFAFA" w:val="clear"/>
          </w:tcPr>
          <w:p>
            <w:r>
              <w:rPr>
                <w:b/>
                <w:sz w:val="17"/>
              </w:rPr>
              <w:t>5,905</w:t>
            </w:r>
          </w:p>
        </w:tc>
        <w:tc>
          <w:tcPr>
            <w:tcW w:type="dxa" w:w="1440"/>
            <w:shd w:fill="FAFAFA" w:val="clear"/>
          </w:tcPr>
          <w:p>
            <w:r>
              <w:rPr>
                <w:sz w:val="17"/>
              </w:rPr>
              <w:t>6,167</w:t>
            </w:r>
          </w:p>
        </w:tc>
        <w:tc>
          <w:tcPr>
            <w:tcW w:type="dxa" w:w="1440"/>
            <w:shd w:fill="FAFAFA" w:val="clear"/>
          </w:tcPr>
          <w:p>
            <w:r>
              <w:rPr>
                <w:b/>
                <w:color w:val="008000"/>
                <w:sz w:val="17"/>
              </w:rPr>
              <w:t>+1.8%</w:t>
            </w:r>
          </w:p>
        </w:tc>
      </w:tr>
      <w:tr>
        <w:tc>
          <w:tcPr>
            <w:tcW w:type="dxa" w:w="1440"/>
            <w:shd w:fill="C6EFCE" w:val="clear"/>
          </w:tcPr>
          <w:p>
            <w:r>
              <w:rPr>
                <w:sz w:val="17"/>
              </w:rPr>
              <w:t>J+2  Moyenne</w:t>
            </w:r>
          </w:p>
        </w:tc>
        <w:tc>
          <w:tcPr>
            <w:tcW w:type="dxa" w:w="1440"/>
            <w:shd w:fill="C6EFCE" w:val="clear"/>
          </w:tcPr>
          <w:p>
            <w:r>
              <w:rPr>
                <w:sz w:val="17"/>
              </w:rPr>
              <w:t>2026-10-20</w:t>
            </w:r>
          </w:p>
        </w:tc>
        <w:tc>
          <w:tcPr>
            <w:tcW w:type="dxa" w:w="1440"/>
            <w:shd w:fill="C6EFCE" w:val="clear"/>
          </w:tcPr>
          <w:p>
            <w:r>
              <w:rPr>
                <w:sz w:val="17"/>
              </w:rPr>
              <w:t>5,591</w:t>
            </w:r>
          </w:p>
        </w:tc>
        <w:tc>
          <w:tcPr>
            <w:tcW w:type="dxa" w:w="1440"/>
            <w:shd w:fill="C6EFCE" w:val="clear"/>
          </w:tcPr>
          <w:p>
            <w:r>
              <w:rPr>
                <w:b/>
                <w:sz w:val="17"/>
              </w:rPr>
              <w:t>5,965</w:t>
            </w:r>
          </w:p>
        </w:tc>
        <w:tc>
          <w:tcPr>
            <w:tcW w:type="dxa" w:w="1440"/>
            <w:shd w:fill="C6EFCE" w:val="clear"/>
          </w:tcPr>
          <w:p>
            <w:r>
              <w:rPr>
                <w:sz w:val="17"/>
              </w:rPr>
              <w:t>6,338</w:t>
            </w:r>
          </w:p>
        </w:tc>
        <w:tc>
          <w:tcPr>
            <w:tcW w:type="dxa" w:w="1440"/>
            <w:shd w:fill="C6EFCE" w:val="clear"/>
          </w:tcPr>
          <w:p>
            <w:r>
              <w:rPr>
                <w:b/>
                <w:color w:val="008000"/>
                <w:sz w:val="17"/>
              </w:rPr>
              <w:t>+2.8%</w:t>
            </w:r>
          </w:p>
        </w:tc>
      </w:tr>
      <w:tr>
        <w:tc>
          <w:tcPr>
            <w:tcW w:type="dxa" w:w="1440"/>
            <w:shd w:fill="C6EFCE" w:val="clear"/>
          </w:tcPr>
          <w:p>
            <w:r>
              <w:rPr>
                <w:sz w:val="17"/>
              </w:rPr>
              <w:t>J+3  Moyenne</w:t>
            </w:r>
          </w:p>
        </w:tc>
        <w:tc>
          <w:tcPr>
            <w:tcW w:type="dxa" w:w="1440"/>
            <w:shd w:fill="C6EFCE" w:val="clear"/>
          </w:tcPr>
          <w:p>
            <w:r>
              <w:rPr>
                <w:sz w:val="17"/>
              </w:rPr>
              <w:t>2026-10-21</w:t>
            </w:r>
          </w:p>
        </w:tc>
        <w:tc>
          <w:tcPr>
            <w:tcW w:type="dxa" w:w="1440"/>
            <w:shd w:fill="C6EFCE" w:val="clear"/>
          </w:tcPr>
          <w:p>
            <w:r>
              <w:rPr>
                <w:sz w:val="17"/>
              </w:rPr>
              <w:t>5,550</w:t>
            </w:r>
          </w:p>
        </w:tc>
        <w:tc>
          <w:tcPr>
            <w:tcW w:type="dxa" w:w="1440"/>
            <w:shd w:fill="C6EFCE" w:val="clear"/>
          </w:tcPr>
          <w:p>
            <w:r>
              <w:rPr>
                <w:b/>
                <w:sz w:val="17"/>
              </w:rPr>
              <w:t>6,012</w:t>
            </w:r>
          </w:p>
        </w:tc>
        <w:tc>
          <w:tcPr>
            <w:tcW w:type="dxa" w:w="1440"/>
            <w:shd w:fill="C6EFCE" w:val="clear"/>
          </w:tcPr>
          <w:p>
            <w:r>
              <w:rPr>
                <w:sz w:val="17"/>
              </w:rPr>
              <w:t>6,473</w:t>
            </w:r>
          </w:p>
        </w:tc>
        <w:tc>
          <w:tcPr>
            <w:tcW w:type="dxa" w:w="1440"/>
            <w:shd w:fill="C6EFCE" w:val="clear"/>
          </w:tcPr>
          <w:p>
            <w:r>
              <w:rPr>
                <w:b/>
                <w:color w:val="008000"/>
                <w:sz w:val="17"/>
              </w:rPr>
              <w:t>+3.6%</w:t>
            </w:r>
          </w:p>
        </w:tc>
      </w:tr>
      <w:tr>
        <w:tc>
          <w:tcPr>
            <w:tcW w:type="dxa" w:w="1440"/>
            <w:shd w:fill="C6EFCE" w:val="clear"/>
          </w:tcPr>
          <w:p>
            <w:r>
              <w:rPr>
                <w:sz w:val="17"/>
              </w:rPr>
              <w:t>J+4  ⭐</w:t>
            </w:r>
          </w:p>
        </w:tc>
        <w:tc>
          <w:tcPr>
            <w:tcW w:type="dxa" w:w="1440"/>
            <w:shd w:fill="C6EFCE" w:val="clear"/>
          </w:tcPr>
          <w:p>
            <w:r>
              <w:rPr>
                <w:sz w:val="17"/>
              </w:rPr>
              <w:t>2026-10-22</w:t>
            </w:r>
          </w:p>
        </w:tc>
        <w:tc>
          <w:tcPr>
            <w:tcW w:type="dxa" w:w="1440"/>
            <w:shd w:fill="C6EFCE" w:val="clear"/>
          </w:tcPr>
          <w:p>
            <w:r>
              <w:rPr>
                <w:sz w:val="17"/>
              </w:rPr>
              <w:t>5,498</w:t>
            </w:r>
          </w:p>
        </w:tc>
        <w:tc>
          <w:tcPr>
            <w:tcW w:type="dxa" w:w="1440"/>
            <w:shd w:fill="C6EFCE" w:val="clear"/>
          </w:tcPr>
          <w:p>
            <w:r>
              <w:rPr>
                <w:b/>
                <w:sz w:val="17"/>
              </w:rPr>
              <w:t>6,032</w:t>
            </w:r>
          </w:p>
        </w:tc>
        <w:tc>
          <w:tcPr>
            <w:tcW w:type="dxa" w:w="1440"/>
            <w:shd w:fill="C6EFCE" w:val="clear"/>
          </w:tcPr>
          <w:p>
            <w:r>
              <w:rPr>
                <w:sz w:val="17"/>
              </w:rPr>
              <w:t>6,567</w:t>
            </w:r>
          </w:p>
        </w:tc>
        <w:tc>
          <w:tcPr>
            <w:tcW w:type="dxa" w:w="1440"/>
            <w:shd w:fill="C6EFCE" w:val="clear"/>
          </w:tcPr>
          <w:p>
            <w:r>
              <w:rPr>
                <w:b/>
                <w:color w:val="008000"/>
                <w:sz w:val="17"/>
              </w:rPr>
              <w:t>+4.0%</w:t>
            </w:r>
          </w:p>
        </w:tc>
      </w:tr>
      <w:tr>
        <w:tc>
          <w:tcPr>
            <w:tcW w:type="dxa" w:w="1440"/>
            <w:shd w:fill="C6EFCE" w:val="clear"/>
          </w:tcPr>
          <w:p>
            <w:r>
              <w:rPr>
                <w:sz w:val="17"/>
              </w:rPr>
              <w:t>J+5  ⭐</w:t>
            </w:r>
          </w:p>
        </w:tc>
        <w:tc>
          <w:tcPr>
            <w:tcW w:type="dxa" w:w="1440"/>
            <w:shd w:fill="C6EFCE" w:val="clear"/>
          </w:tcPr>
          <w:p>
            <w:r>
              <w:rPr>
                <w:sz w:val="17"/>
              </w:rPr>
              <w:t>2026-10-23</w:t>
            </w:r>
          </w:p>
        </w:tc>
        <w:tc>
          <w:tcPr>
            <w:tcW w:type="dxa" w:w="1440"/>
            <w:shd w:fill="C6EFCE" w:val="clear"/>
          </w:tcPr>
          <w:p>
            <w:r>
              <w:rPr>
                <w:sz w:val="17"/>
              </w:rPr>
              <w:t>5,444</w:t>
            </w:r>
          </w:p>
        </w:tc>
        <w:tc>
          <w:tcPr>
            <w:tcW w:type="dxa" w:w="1440"/>
            <w:shd w:fill="C6EFCE" w:val="clear"/>
          </w:tcPr>
          <w:p>
            <w:r>
              <w:rPr>
                <w:b/>
                <w:sz w:val="17"/>
              </w:rPr>
              <w:t>6,043</w:t>
            </w:r>
          </w:p>
        </w:tc>
        <w:tc>
          <w:tcPr>
            <w:tcW w:type="dxa" w:w="1440"/>
            <w:shd w:fill="C6EFCE" w:val="clear"/>
          </w:tcPr>
          <w:p>
            <w:r>
              <w:rPr>
                <w:sz w:val="17"/>
              </w:rPr>
              <w:t>6,642</w:t>
            </w:r>
          </w:p>
        </w:tc>
        <w:tc>
          <w:tcPr>
            <w:tcW w:type="dxa" w:w="1440"/>
            <w:shd w:fill="C6EFCE" w:val="clear"/>
          </w:tcPr>
          <w:p>
            <w:r>
              <w:rPr>
                <w:b/>
                <w:color w:val="008000"/>
                <w:sz w:val="17"/>
              </w:rPr>
              <w:t>+4.2%</w:t>
            </w:r>
          </w:p>
        </w:tc>
      </w:tr>
      <w:tr>
        <w:tc>
          <w:tcPr>
            <w:tcW w:type="dxa" w:w="1440"/>
            <w:shd w:fill="C6EFCE" w:val="clear"/>
          </w:tcPr>
          <w:p>
            <w:r>
              <w:rPr>
                <w:sz w:val="17"/>
              </w:rPr>
              <w:t>J+6  ⭐</w:t>
            </w:r>
          </w:p>
        </w:tc>
        <w:tc>
          <w:tcPr>
            <w:tcW w:type="dxa" w:w="1440"/>
            <w:shd w:fill="C6EFCE" w:val="clear"/>
          </w:tcPr>
          <w:p>
            <w:r>
              <w:rPr>
                <w:sz w:val="17"/>
              </w:rPr>
              <w:t>2026-10-26</w:t>
            </w:r>
          </w:p>
        </w:tc>
        <w:tc>
          <w:tcPr>
            <w:tcW w:type="dxa" w:w="1440"/>
            <w:shd w:fill="C6EFCE" w:val="clear"/>
          </w:tcPr>
          <w:p>
            <w:r>
              <w:rPr>
                <w:sz w:val="17"/>
              </w:rPr>
              <w:t>5,394</w:t>
            </w:r>
          </w:p>
        </w:tc>
        <w:tc>
          <w:tcPr>
            <w:tcW w:type="dxa" w:w="1440"/>
            <w:shd w:fill="C6EFCE" w:val="clear"/>
          </w:tcPr>
          <w:p>
            <w:r>
              <w:rPr>
                <w:b/>
                <w:sz w:val="17"/>
              </w:rPr>
              <w:t>6,051</w:t>
            </w:r>
          </w:p>
        </w:tc>
        <w:tc>
          <w:tcPr>
            <w:tcW w:type="dxa" w:w="1440"/>
            <w:shd w:fill="C6EFCE" w:val="clear"/>
          </w:tcPr>
          <w:p>
            <w:r>
              <w:rPr>
                <w:sz w:val="17"/>
              </w:rPr>
              <w:t>6,708</w:t>
            </w:r>
          </w:p>
        </w:tc>
        <w:tc>
          <w:tcPr>
            <w:tcW w:type="dxa" w:w="1440"/>
            <w:shd w:fill="C6EFCE" w:val="clear"/>
          </w:tcPr>
          <w:p>
            <w:r>
              <w:rPr>
                <w:b/>
                <w:color w:val="008000"/>
                <w:sz w:val="17"/>
              </w:rPr>
              <w:t>+4.3%</w:t>
            </w:r>
          </w:p>
        </w:tc>
      </w:tr>
      <w:tr>
        <w:tc>
          <w:tcPr>
            <w:tcW w:type="dxa" w:w="1440"/>
            <w:shd w:fill="C6EFCE" w:val="clear"/>
          </w:tcPr>
          <w:p>
            <w:r>
              <w:rPr>
                <w:sz w:val="17"/>
              </w:rPr>
              <w:t>J+7  ⭐</w:t>
            </w:r>
          </w:p>
        </w:tc>
        <w:tc>
          <w:tcPr>
            <w:tcW w:type="dxa" w:w="1440"/>
            <w:shd w:fill="C6EFCE" w:val="clear"/>
          </w:tcPr>
          <w:p>
            <w:r>
              <w:rPr>
                <w:sz w:val="17"/>
              </w:rPr>
              <w:t>2026-10-27</w:t>
            </w:r>
          </w:p>
        </w:tc>
        <w:tc>
          <w:tcPr>
            <w:tcW w:type="dxa" w:w="1440"/>
            <w:shd w:fill="C6EFCE" w:val="clear"/>
          </w:tcPr>
          <w:p>
            <w:r>
              <w:rPr>
                <w:sz w:val="17"/>
              </w:rPr>
              <w:t>5,347</w:t>
            </w:r>
          </w:p>
        </w:tc>
        <w:tc>
          <w:tcPr>
            <w:tcW w:type="dxa" w:w="1440"/>
            <w:shd w:fill="C6EFCE" w:val="clear"/>
          </w:tcPr>
          <w:p>
            <w:r>
              <w:rPr>
                <w:b/>
                <w:sz w:val="17"/>
              </w:rPr>
              <w:t>6,057</w:t>
            </w:r>
          </w:p>
        </w:tc>
        <w:tc>
          <w:tcPr>
            <w:tcW w:type="dxa" w:w="1440"/>
            <w:shd w:fill="C6EFCE" w:val="clear"/>
          </w:tcPr>
          <w:p>
            <w:r>
              <w:rPr>
                <w:sz w:val="17"/>
              </w:rPr>
              <w:t>6,768</w:t>
            </w:r>
          </w:p>
        </w:tc>
        <w:tc>
          <w:tcPr>
            <w:tcW w:type="dxa" w:w="1440"/>
            <w:shd w:fill="C6EFCE" w:val="clear"/>
          </w:tcPr>
          <w:p>
            <w:r>
              <w:rPr>
                <w:b/>
                <w:color w:val="008000"/>
                <w:sz w:val="17"/>
              </w:rPr>
              <w:t>+4.4%</w:t>
            </w:r>
          </w:p>
        </w:tc>
      </w:tr>
      <w:tr>
        <w:tc>
          <w:tcPr>
            <w:tcW w:type="dxa" w:w="1440"/>
            <w:shd w:fill="C6EFCE" w:val="clear"/>
          </w:tcPr>
          <w:p>
            <w:r>
              <w:rPr>
                <w:sz w:val="17"/>
              </w:rPr>
              <w:t>J+8  ⭐</w:t>
            </w:r>
          </w:p>
        </w:tc>
        <w:tc>
          <w:tcPr>
            <w:tcW w:type="dxa" w:w="1440"/>
            <w:shd w:fill="C6EFCE" w:val="clear"/>
          </w:tcPr>
          <w:p>
            <w:r>
              <w:rPr>
                <w:sz w:val="17"/>
              </w:rPr>
              <w:t>2026-10-28</w:t>
            </w:r>
          </w:p>
        </w:tc>
        <w:tc>
          <w:tcPr>
            <w:tcW w:type="dxa" w:w="1440"/>
            <w:shd w:fill="C6EFCE" w:val="clear"/>
          </w:tcPr>
          <w:p>
            <w:r>
              <w:rPr>
                <w:sz w:val="17"/>
              </w:rPr>
              <w:t>5,303</w:t>
            </w:r>
          </w:p>
        </w:tc>
        <w:tc>
          <w:tcPr>
            <w:tcW w:type="dxa" w:w="1440"/>
            <w:shd w:fill="C6EFCE" w:val="clear"/>
          </w:tcPr>
          <w:p>
            <w:r>
              <w:rPr>
                <w:b/>
                <w:sz w:val="17"/>
              </w:rPr>
              <w:t>6,063</w:t>
            </w:r>
          </w:p>
        </w:tc>
        <w:tc>
          <w:tcPr>
            <w:tcW w:type="dxa" w:w="1440"/>
            <w:shd w:fill="C6EFCE" w:val="clear"/>
          </w:tcPr>
          <w:p>
            <w:r>
              <w:rPr>
                <w:sz w:val="17"/>
              </w:rPr>
              <w:t>6,823</w:t>
            </w:r>
          </w:p>
        </w:tc>
        <w:tc>
          <w:tcPr>
            <w:tcW w:type="dxa" w:w="1440"/>
            <w:shd w:fill="C6EFCE" w:val="clear"/>
          </w:tcPr>
          <w:p>
            <w:r>
              <w:rPr>
                <w:b/>
                <w:color w:val="008000"/>
                <w:sz w:val="17"/>
              </w:rPr>
              <w:t>+4.5%</w:t>
            </w:r>
          </w:p>
        </w:tc>
      </w:tr>
      <w:tr>
        <w:tc>
          <w:tcPr>
            <w:tcW w:type="dxa" w:w="1440"/>
            <w:shd w:fill="C6EFCE" w:val="clear"/>
          </w:tcPr>
          <w:p>
            <w:r>
              <w:rPr>
                <w:sz w:val="17"/>
              </w:rPr>
              <w:t>J+9  ⭐</w:t>
            </w:r>
          </w:p>
        </w:tc>
        <w:tc>
          <w:tcPr>
            <w:tcW w:type="dxa" w:w="1440"/>
            <w:shd w:fill="C6EFCE" w:val="clear"/>
          </w:tcPr>
          <w:p>
            <w:r>
              <w:rPr>
                <w:sz w:val="17"/>
              </w:rPr>
              <w:t>2026-10-29</w:t>
            </w:r>
          </w:p>
        </w:tc>
        <w:tc>
          <w:tcPr>
            <w:tcW w:type="dxa" w:w="1440"/>
            <w:shd w:fill="C6EFCE" w:val="clear"/>
          </w:tcPr>
          <w:p>
            <w:r>
              <w:rPr>
                <w:sz w:val="17"/>
              </w:rPr>
              <w:t>5,261</w:t>
            </w:r>
          </w:p>
        </w:tc>
        <w:tc>
          <w:tcPr>
            <w:tcW w:type="dxa" w:w="1440"/>
            <w:shd w:fill="C6EFCE" w:val="clear"/>
          </w:tcPr>
          <w:p>
            <w:r>
              <w:rPr>
                <w:b/>
                <w:sz w:val="17"/>
              </w:rPr>
              <w:t>6,067</w:t>
            </w:r>
          </w:p>
        </w:tc>
        <w:tc>
          <w:tcPr>
            <w:tcW w:type="dxa" w:w="1440"/>
            <w:shd w:fill="C6EFCE" w:val="clear"/>
          </w:tcPr>
          <w:p>
            <w:r>
              <w:rPr>
                <w:sz w:val="17"/>
              </w:rPr>
              <w:t>6,874</w:t>
            </w:r>
          </w:p>
        </w:tc>
        <w:tc>
          <w:tcPr>
            <w:tcW w:type="dxa" w:w="1440"/>
            <w:shd w:fill="C6EFCE" w:val="clear"/>
          </w:tcPr>
          <w:p>
            <w:r>
              <w:rPr>
                <w:b/>
                <w:color w:val="008000"/>
                <w:sz w:val="17"/>
              </w:rPr>
              <w:t>+4.6%</w:t>
            </w:r>
          </w:p>
        </w:tc>
      </w:tr>
      <w:tr>
        <w:tc>
          <w:tcPr>
            <w:tcW w:type="dxa" w:w="1440"/>
            <w:shd w:fill="C6EFCE" w:val="clear"/>
          </w:tcPr>
          <w:p>
            <w:r>
              <w:rPr>
                <w:sz w:val="17"/>
              </w:rPr>
              <w:t>J+10  ⭐</w:t>
            </w:r>
          </w:p>
        </w:tc>
        <w:tc>
          <w:tcPr>
            <w:tcW w:type="dxa" w:w="1440"/>
            <w:shd w:fill="C6EFCE" w:val="clear"/>
          </w:tcPr>
          <w:p>
            <w:r>
              <w:rPr>
                <w:sz w:val="17"/>
              </w:rPr>
              <w:t>2026-10-30</w:t>
            </w:r>
          </w:p>
        </w:tc>
        <w:tc>
          <w:tcPr>
            <w:tcW w:type="dxa" w:w="1440"/>
            <w:shd w:fill="C6EFCE" w:val="clear"/>
          </w:tcPr>
          <w:p>
            <w:r>
              <w:rPr>
                <w:sz w:val="17"/>
              </w:rPr>
              <w:t>5,221</w:t>
            </w:r>
          </w:p>
        </w:tc>
        <w:tc>
          <w:tcPr>
            <w:tcW w:type="dxa" w:w="1440"/>
            <w:shd w:fill="C6EFCE" w:val="clear"/>
          </w:tcPr>
          <w:p>
            <w:r>
              <w:rPr>
                <w:b/>
                <w:sz w:val="17"/>
              </w:rPr>
              <w:t>6,071</w:t>
            </w:r>
          </w:p>
        </w:tc>
        <w:tc>
          <w:tcPr>
            <w:tcW w:type="dxa" w:w="1440"/>
            <w:shd w:fill="C6EFCE" w:val="clear"/>
          </w:tcPr>
          <w:p>
            <w:r>
              <w:rPr>
                <w:sz w:val="17"/>
              </w:rPr>
              <w:t>6,922</w:t>
            </w:r>
          </w:p>
        </w:tc>
        <w:tc>
          <w:tcPr>
            <w:tcW w:type="dxa" w:w="1440"/>
            <w:shd w:fill="C6EFCE" w:val="clear"/>
          </w:tcPr>
          <w:p>
            <w:r>
              <w:rPr>
                <w:b/>
                <w:color w:val="008000"/>
                <w:sz w:val="17"/>
              </w:rPr>
              <w:t>+4.7%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 📊 RAPPORT D'ANALYSE FINANCIÈRE — CIEC (BRVM)</w:t>
      </w:r>
    </w:p>
    <w:p>
      <w:pPr>
        <w:spacing w:after="120" w:line="276" w:lineRule="auto"/>
      </w:pPr>
      <w:r>
        <w:t>**Compagnie Ivoirienne d'Électricité | Cours : 5 800 FCFA | Capitalisation : 324,80 Mds FCFA**</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324,80 milliards FCFA, la CIEC figure parmi les valeurs les plus capitalisées de la BRVM, ce qui témoigne de son statut de valeur de rendement incontournable dans le compartiment des services publics. Le BPA de 234 FCFA/action (correspondant au dividende proposé au titre de 2025) confère au titre un PER de 24,7x, soit un niveau très supérieur à la moyenne du marché BRVM (8-12x), traduisant soit une anticipation de croissance soutenue, soit une prime de rareté liée à la qualité de la signature. Le P/B de 9,03x, largement au-dessus du seuil de 4x, indique que le marché valorise l'entreprise à plus de neuf fois sa valeur comptable — une prime exigeante qui s'explique par la faiblesse structurelle des fonds propres (35,96 Mds FCFA) dans un modèle de concession où les actifs sont largement portés par l'Autorité concédante. Enfin, l'EV/EBITDA de 13,8x, dans la fourchette haute (10-15x), confirme que la valeur d'entreprise intègre une prime de qualité opérationnelle, mais laisse peu de marge de sécurité en cas de déception sur les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CIEC affiche une performance remarquable de **+44,64%**, portant le cours à 5 800 FCFA, malgré un repli de -2,52% lors de la dernière séance qui suggère une prise de bénéfices après le rallye. Le range de trading est particulièrement large, avec un plus haut à 7 400 FCFA et un plus bas à 4 010 FCFA, soit une amplitude de 84% qui traduit une forte volatilité directionnelle. La tendance générale est clairement haussière sur la période, mais le cours actuel (5 800 FCFA) se situe désormais sous sa moyenne (5 720 FCFA est proche, mais la médiane à 5 358 FCFA révèle que la distribution est tirée vers le haut par les pics récents) — l'écart entre moyenne et médiane (362 FCFA) confirme une asymétrie positive modérée, cohérente avec le skewness de 0,216 indiquant une distribution quasi-symétrique avec une légère queue droite. L'écart-type de 824 FCFA et le coefficient de variation de 14,4% traduisent une dispersion modérée du cours autour de sa moyenne, tandis que le kurtosis de -0,997 (mésokurtique) indique une distribution proche de la normale, sans risque excessif de pics extrêmes — un profil rassurant pour la gestion du risque. La volatilité annualisée de 48,2% classe le titre dans la catégorie des valeurs **très volatiles** (&gt;30%), ce qui est cohérent avec la nature de valeur de croissance à forte sensibilité réglementaire.</w:t>
      </w:r>
    </w:p>
    <w:p>
      <w:pPr>
        <w:spacing w:after="120" w:line="276" w:lineRule="auto"/>
      </w:pPr>
      <w:r>
        <w:t>---</w:t>
      </w:r>
    </w:p>
    <w:p>
      <w:pPr>
        <w:spacing w:after="120" w:line="276" w:lineRule="auto"/>
      </w:pPr>
      <w:r>
        <w:t>## PARTIE 2 : ANALYSE TECHNIQUE DÉTAILLÉE</w:t>
      </w:r>
    </w:p>
    <w:p>
      <w:pPr>
        <w:spacing w:after="120" w:line="276" w:lineRule="auto"/>
      </w:pPr>
      <w:r>
        <w:t>**Moyennes Mobiles** : La MM20 (6 303 FCFA) et la MM50 (6 391,5 FCFA) se situent toutes deux nettement au-dessus du cours actuel (5 800 FCFA), configurant une structure baissière de court terme où le prix évolue sous ses références mobiles. La MM20 étant légèrement sous la MM50, on observe un début de croisement baissier qui confirme la perte de momentum, justifiant la décision **Vente** de cet indicateur.</w:t>
      </w:r>
    </w:p>
    <w:p>
      <w:pPr>
        <w:spacing w:after="120" w:line="276" w:lineRule="auto"/>
      </w:pPr>
      <w:r>
        <w:t>**Bandes de Bollinger** : Le cours (5 800 FCFA) se situe sous la borne inférieure (5 865,09 FCFA), ce qui constitue un signal de survente technique extrême — le prix est sorti par le bas de l'enveloppe de volatilité. Cette configuration, bien que baissière à court terme, est historiquement propice à un rebond technique, justifiant la décision **Achat** de cet indicateur.</w:t>
      </w:r>
    </w:p>
    <w:p>
      <w:pPr>
        <w:spacing w:after="120" w:line="276" w:lineRule="auto"/>
      </w:pPr>
      <w:r>
        <w:t>**MACD** : La valeur du MACD (-129,775) est inférieure à sa ligne de signal (-58,624), avec un histogramme négatif qui s'accentue, traduisant un momentum baissier persistant. La divergence négative entre MACD et signal confirme la pression vendeuse en place, justifiant la décision **Vente**.</w:t>
      </w:r>
    </w:p>
    <w:p>
      <w:pPr>
        <w:spacing w:after="120" w:line="276" w:lineRule="auto"/>
      </w:pPr>
      <w:r>
        <w:t>**RSI** : À 26,47, le RSI se situe en zone de **survente** (&lt;30), un niveau qui signale un épuisement potentiel de la pression vendeuse et préfigure souvent un rebond. Cette lecture contrarienne justifie la décision **Achat** de l'indicateur.</w:t>
      </w:r>
    </w:p>
    <w:p>
      <w:pPr>
        <w:spacing w:after="120" w:line="276" w:lineRule="auto"/>
      </w:pPr>
      <w:r>
        <w:t>**Stochastique** : Le %K et le %D sont tous deux à 0,0, soit le plancher absolu de l'oscillateur — une configuration de survente extrême qui, bien que traduisant une faiblesse momentanée, est statistiquement propice à un retournement haussier. La décision **Achat** est cohérente avec ce signal de retournement potentiel.</w:t>
      </w:r>
    </w:p>
    <w:p>
      <w:pPr>
        <w:spacing w:after="120" w:line="276" w:lineRule="auto"/>
      </w:pPr>
      <w:r>
        <w:t>**Conclusion technique** : Les indicateurs présentent une **divergence marquée** : les moyennes mobiles et le MACD confirment une tendance baissière de court terme, tandis que le RSI, le stochastique et les bandes de Bollinger signalent une survente extrême propice à un rebond technique. Cette configuration suggère que le titre pourrait trouver un support autour de 5 800 FCFA et amorcer une reprise, mais la prudence reste de mise tant que le cours n'aura pas reconquis la MM20 (6 303 FCFA). Le signal global est **mitigé avec biais haussier contrarien**.</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La CIEC affiche un chiffre d'affaires de **302,32 milliards FCFA** en 2025, en croissance de **+14,82%** par rapport à 2024 (263,29 Mds FCFA), portée par la hausse des ventes d'énergie (+8,3% en volume national, +21,7% à l'export) et l'expansion de la base clientèle (+15,1% à 5,28 millions de clients). Le résultat net s'établit à **13,127 milliards FCFA**, en progression de **+24,4%**, avec une marge nette de 4,34% et une marge opérationnelle de 7,40% — des niveaux modestes mais typiques d'un modèle de concession régulée. Le ROE atteint **36,50%**, un niveau excellent (&gt;15%) qui s'explique par la faiblesse des capitaux propres (35,96 Mds FCFA) dans un modèle où les actifs sont largement financés par l'Autorité concédante, tandis que le ROA de 0,65% reflète la structure bilancielle atypique (total actif de 2 018,45 Mds FCFA). L'analyse du **BFR** révèle un montant négatif de -90,24 Mds FCFA, configuration favorable qui traduit un financement des opérations par les fournisseurs (délai fournisseurs de 970 jours, très élevé) — mais le délai clients de 164 jours et la durée de stockage de 175 jours signalent un risque de trésorerie réel, confirmé par des créances clients de 137,73 Mds FCFA. La structure financière est **fragile** : autonomie financière de seulement 1,78% (très en dessous du seuil de 30%), ratio d'endettement de 612,94% et dépendance financière de 98,22%, bien que la solvabilité générale (101,81%) reste juste au-dessus de 1 et que la couverture des intérêts (617,75%) soit confortable. La capacité de remboursement de 7,64 années et le free cash flow de 20,17 Mds FCFA témoignent d'une génération de cash solide (CAF de 28,87 Mds FCFA), mais la quasi-totalité du résultat est distribuée (dividende de 234 FCFA/action, soit ~99,8% du résultat net), limitant l'autofinancement. **Estimations basées sur les rapports semestriels** : le rapport S1 2025 (daté du 30/06/2025) fait état d'un CA de 134,92 Mds FCFA (+18,85%) et d'un résultat net de 5,096 Mds FCFA (+13,4%), ce qui, extrapolé, confirme la trajectoire annuelle de 302,3 Mds FCFA et 13,1 Mds FCFA — la dynamique du second semestre ayant été plus forte que celle du premier. Le rapport annuel 2025 (analysé par DeepSeek, daté du 31/12/2026) confirme ces chiffres et souligne la progression de l'EBE de +23,2% à 37,2 Mds FCFA. **Recommandation fondamentale** : la CIEC est une valeur de rendement solide, portée par une croissance organique robuste et un dividende attractif, mais sa structure financière très endettée, son risque de crédit client et sa dépendance au cadre réglementaire en font un placement à surveiller — **CONSERVER** avec un biais positif pour les investisseurs de long terme recherchant le rendement.</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**décalage significatif** entre la valorisation exigeante et les signaux techniques de court terme. Sur le plan de la **valorisation (Partie 0)**, le PER de 24,7x et le P/B de 9,03x traduisent une **surévaluation relative** par rapport aux standards BRVM, la prime de qualité étant déjà amplement intégrée dans le cours — le potentiel de revalorisation supplémentaire paraît limité à court terme. Le **comportement du cours (Partie 1)** est paradoxal : la performance de +44,64% sur 100 jours est remarquable, mais la volatilité annualisée de 48,2% et le repli de -2,52% en J-1 signalent un essoufflement, tandis que les statistiques (kurtosis -0,997, skewness 0,216) indiquent un comportement de marché relativement sain sans risque extrême. Les **signaux techniques (Partie 2)** sont divergents : la tendance de fond (MM, MACD) est baissière, mais la survente extrême (RSI 26,5, Stochastique 0,0, cours sous la borne inférieure de Bollinger) plaide pour un rebond contrarien à court terme. Les **fondamentaux (Partie 3)** demeurent solides — croissance du CA de +14,8%, résultat net en hausse de +24,4%, ROE de 36,5% — mais la structure financière (autonomie de 1,78%, endettement de 612,9%) et le risque de crédit client (164 jours de délai) constituent des vulnérabilités persistantes. Les **prédictions IA (J+1 à J+10)** anticipent une trajectoire haussière modérée de 5 905 à 6 043 FCFA (+4,2% sur 5 séances), ce qui **confirme le scénario de rebond technique** suggéré par le RSI et le stochastique, sans toutefois rejoindre la MM20 (6 303 FCFA) — la prédiction valide donc la thèse d'un rebond à court terme mais pas d'un retournement de tendance durable. **Recommandation finale : CONSERVER**, avec un biais d'achat tactique pour les investisseurs court terme profitant du rebond technique vers 6 000-6 100 FCFA, et un maintien en portefeuille pour les investisseurs de long terme séduits par le rendement du dividende (234 FCFA/action, soit un rendement de 4,03% au cours actuel). Le **niveau de confiance est Moyen** — la convergence entre signaux techniques de survente et prédictions IA haussières est rassurante, mais la divergence avec la tendance de fond (MM baissières) et la valorisation exigeante tempèrent l'optimisme. Le **niveau de risque global est Élevé**, en raison de la volatilité de 48,2%, de la structure financière très endettée et de la dépendance réglementaire. L'**horizon d'investissement optimal est le moyen terme (3-12 mois)**, le temps que le rebond technique se matérialise et que la société confirme la pérennité de sa croissance dans le cadre de la convention de concession.</w:t>
      </w:r>
    </w:p>
    <w:p>
      <w:pPr>
        <w:spacing w:after="120" w:line="276" w:lineRule="auto"/>
      </w:pPr>
      <w:r>
        <w:t>---</w:t>
      </w:r>
    </w:p>
    <w:p>
      <w:pPr>
        <w:spacing w:after="120" w:line="276" w:lineRule="auto"/>
      </w:pPr>
      <w:r>
        <w:t>*Rapport généré le 19 octobre 2026 — Sources : BRVM (données de marché), états financiers CIEC 2025 (SYSCOHADA/IFRS), rapports semestriels S1 2025 et annuels 2024-2025, analyses DeepSeek/Gemini-Vision.*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16.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875.30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4,213 titres</w:t>
            </w:r>
          </w:p>
        </w:tc>
        <w:tc>
          <w:tcPr>
            <w:tcW w:type="dxa" w:w="2268"/>
            <w:shd w:fill="FFF2CC" w:val="clear"/>
          </w:tcPr>
          <w:p>
            <w:r>
              <w:rPr>
                <w:b/>
                <w:color w:val="503200"/>
                <w:sz w:val="16"/>
              </w:rPr>
              <w:t xml:space="preserve">Cours actuel : </w:t>
            </w:r>
            <w:r>
              <w:rPr>
                <w:color w:val="000000"/>
                <w:sz w:val="17"/>
              </w:rPr>
              <w:t>15,900 FCFA</w:t>
            </w:r>
          </w:p>
          <w:p>
            <w:r>
              <w:rPr>
                <w:b/>
                <w:color w:val="503200"/>
                <w:sz w:val="16"/>
              </w:rPr>
              <w:t xml:space="preserve">Var. 100 jours : </w:t>
            </w:r>
            <w:r>
              <w:rPr>
                <w:b/>
                <w:color w:val="B40000"/>
                <w:sz w:val="17"/>
              </w:rPr>
              <w:t>-2.45%</w:t>
            </w:r>
          </w:p>
          <w:p>
            <w:r>
              <w:rPr>
                <w:b/>
                <w:color w:val="503200"/>
                <w:sz w:val="16"/>
              </w:rPr>
              <w:t xml:space="preserve">Plus haut 100j : </w:t>
            </w:r>
            <w:r>
              <w:rPr>
                <w:color w:val="000000"/>
                <w:sz w:val="17"/>
              </w:rPr>
              <w:t>17,725 FCFA</w:t>
            </w:r>
          </w:p>
          <w:p>
            <w:r>
              <w:rPr>
                <w:b/>
                <w:color w:val="503200"/>
                <w:sz w:val="16"/>
              </w:rPr>
              <w:t xml:space="preserve">Plus bas 100j : </w:t>
            </w:r>
            <w:r>
              <w:rPr>
                <w:color w:val="000000"/>
                <w:sz w:val="17"/>
              </w:rPr>
              <w:t>15,715 FCFA</w:t>
            </w:r>
          </w:p>
          <w:p>
            <w:r>
              <w:rPr>
                <w:b/>
                <w:color w:val="503200"/>
                <w:sz w:val="16"/>
              </w:rPr>
              <w:t xml:space="preserve">Volatilité ann. : </w:t>
            </w:r>
            <w:r>
              <w:rPr>
                <w:color w:val="000000"/>
                <w:sz w:val="17"/>
              </w:rPr>
              <w:t>25.3%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13.1/100 → Faible</w:t>
      </w:r>
    </w:p>
    <w:p>
      <w:pPr>
        <w:spacing w:before="40" w:after="80"/>
      </w:pPr>
      <w:r>
        <w:rPr>
          <w:rFonts w:ascii="Courier New" w:hAnsi="Courier New"/>
          <w:color w:val="006400"/>
          <w:sz w:val="18"/>
        </w:rPr>
        <w:t>██░░░░░░░░░░░░░░░░░░  13.1/100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2.70% (Faible) — μ=16,588 FCFA, σ=448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β=0.3840 (Défensif) — Cov=0.000029, Var(idx)=0.000076, ρ=0.209,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4,213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Achat=3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σ_j=1.60%/j (Stable) — Vol. annualisée≈25.3%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79/100  (Excellent)</w:t>
      </w:r>
    </w:p>
    <w:p/>
    <w:p>
      <w:pPr>
        <w:jc w:val="center"/>
      </w:pPr>
      <w:r>
        <w:drawing>
          <wp:inline xmlns:a="http://schemas.openxmlformats.org/drawingml/2006/main" xmlns:pic="http://schemas.openxmlformats.org/drawingml/2006/picture">
            <wp:extent cx="5669280" cy="260319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2026-10-19</w:t>
            </w:r>
          </w:p>
        </w:tc>
        <w:tc>
          <w:tcPr>
            <w:tcW w:type="dxa" w:w="1440"/>
            <w:shd w:fill="FAFAFA" w:val="clear"/>
          </w:tcPr>
          <w:p>
            <w:r>
              <w:rPr>
                <w:sz w:val="17"/>
              </w:rPr>
              <w:t>15,763</w:t>
            </w:r>
          </w:p>
        </w:tc>
        <w:tc>
          <w:tcPr>
            <w:tcW w:type="dxa" w:w="1440"/>
            <w:shd w:fill="FAFAFA" w:val="clear"/>
          </w:tcPr>
          <w:p>
            <w:r>
              <w:rPr>
                <w:b/>
                <w:sz w:val="17"/>
              </w:rPr>
              <w:t>16,139</w:t>
            </w:r>
          </w:p>
        </w:tc>
        <w:tc>
          <w:tcPr>
            <w:tcW w:type="dxa" w:w="1440"/>
            <w:shd w:fill="FAFAFA" w:val="clear"/>
          </w:tcPr>
          <w:p>
            <w:r>
              <w:rPr>
                <w:sz w:val="17"/>
              </w:rPr>
              <w:t>16,516</w:t>
            </w:r>
          </w:p>
        </w:tc>
        <w:tc>
          <w:tcPr>
            <w:tcW w:type="dxa" w:w="1440"/>
            <w:shd w:fill="FAFAFA" w:val="clear"/>
          </w:tcPr>
          <w:p>
            <w:r>
              <w:rPr>
                <w:b/>
                <w:color w:val="008000"/>
                <w:sz w:val="17"/>
              </w:rPr>
              <w:t>+1.5%</w:t>
            </w:r>
          </w:p>
        </w:tc>
      </w:tr>
      <w:tr>
        <w:tc>
          <w:tcPr>
            <w:tcW w:type="dxa" w:w="1440"/>
            <w:shd w:fill="FAFAFA" w:val="clear"/>
          </w:tcPr>
          <w:p>
            <w:r>
              <w:rPr>
                <w:sz w:val="17"/>
              </w:rPr>
              <w:t>J+2  ⭐⭐⭐</w:t>
            </w:r>
          </w:p>
        </w:tc>
        <w:tc>
          <w:tcPr>
            <w:tcW w:type="dxa" w:w="1440"/>
            <w:shd w:fill="FAFAFA" w:val="clear"/>
          </w:tcPr>
          <w:p>
            <w:r>
              <w:rPr>
                <w:sz w:val="17"/>
              </w:rPr>
              <w:t>2026-10-20</w:t>
            </w:r>
          </w:p>
        </w:tc>
        <w:tc>
          <w:tcPr>
            <w:tcW w:type="dxa" w:w="1440"/>
            <w:shd w:fill="FAFAFA" w:val="clear"/>
          </w:tcPr>
          <w:p>
            <w:r>
              <w:rPr>
                <w:sz w:val="17"/>
              </w:rPr>
              <w:t>15,629</w:t>
            </w:r>
          </w:p>
        </w:tc>
        <w:tc>
          <w:tcPr>
            <w:tcW w:type="dxa" w:w="1440"/>
            <w:shd w:fill="FAFAFA" w:val="clear"/>
          </w:tcPr>
          <w:p>
            <w:r>
              <w:rPr>
                <w:b/>
                <w:sz w:val="17"/>
              </w:rPr>
              <w:t>16,162</w:t>
            </w:r>
          </w:p>
        </w:tc>
        <w:tc>
          <w:tcPr>
            <w:tcW w:type="dxa" w:w="1440"/>
            <w:shd w:fill="FAFAFA" w:val="clear"/>
          </w:tcPr>
          <w:p>
            <w:r>
              <w:rPr>
                <w:sz w:val="17"/>
              </w:rPr>
              <w:t>16,696</w:t>
            </w:r>
          </w:p>
        </w:tc>
        <w:tc>
          <w:tcPr>
            <w:tcW w:type="dxa" w:w="1440"/>
            <w:shd w:fill="FAFAFA" w:val="clear"/>
          </w:tcPr>
          <w:p>
            <w:r>
              <w:rPr>
                <w:b/>
                <w:color w:val="008000"/>
                <w:sz w:val="17"/>
              </w:rPr>
              <w:t>+1.6%</w:t>
            </w:r>
          </w:p>
        </w:tc>
      </w:tr>
      <w:tr>
        <w:tc>
          <w:tcPr>
            <w:tcW w:type="dxa" w:w="1440"/>
            <w:shd w:fill="FAFAFA" w:val="clear"/>
          </w:tcPr>
          <w:p>
            <w:r>
              <w:rPr>
                <w:sz w:val="17"/>
              </w:rPr>
              <w:t>J+3  ⭐⭐⭐</w:t>
            </w:r>
          </w:p>
        </w:tc>
        <w:tc>
          <w:tcPr>
            <w:tcW w:type="dxa" w:w="1440"/>
            <w:shd w:fill="FAFAFA" w:val="clear"/>
          </w:tcPr>
          <w:p>
            <w:r>
              <w:rPr>
                <w:sz w:val="17"/>
              </w:rPr>
              <w:t>2026-10-21</w:t>
            </w:r>
          </w:p>
        </w:tc>
        <w:tc>
          <w:tcPr>
            <w:tcW w:type="dxa" w:w="1440"/>
            <w:shd w:fill="FAFAFA" w:val="clear"/>
          </w:tcPr>
          <w:p>
            <w:r>
              <w:rPr>
                <w:sz w:val="17"/>
              </w:rPr>
              <w:t>15,541</w:t>
            </w:r>
          </w:p>
        </w:tc>
        <w:tc>
          <w:tcPr>
            <w:tcW w:type="dxa" w:w="1440"/>
            <w:shd w:fill="FAFAFA" w:val="clear"/>
          </w:tcPr>
          <w:p>
            <w:r>
              <w:rPr>
                <w:b/>
                <w:sz w:val="17"/>
              </w:rPr>
              <w:t>16,195</w:t>
            </w:r>
          </w:p>
        </w:tc>
        <w:tc>
          <w:tcPr>
            <w:tcW w:type="dxa" w:w="1440"/>
            <w:shd w:fill="FAFAFA" w:val="clear"/>
          </w:tcPr>
          <w:p>
            <w:r>
              <w:rPr>
                <w:sz w:val="17"/>
              </w:rPr>
              <w:t>16,850</w:t>
            </w:r>
          </w:p>
        </w:tc>
        <w:tc>
          <w:tcPr>
            <w:tcW w:type="dxa" w:w="1440"/>
            <w:shd w:fill="FAFAFA" w:val="clear"/>
          </w:tcPr>
          <w:p>
            <w:r>
              <w:rPr>
                <w:b/>
                <w:color w:val="008000"/>
                <w:sz w:val="17"/>
              </w:rPr>
              <w:t>+1.9%</w:t>
            </w:r>
          </w:p>
        </w:tc>
      </w:tr>
      <w:tr>
        <w:tc>
          <w:tcPr>
            <w:tcW w:type="dxa" w:w="1440"/>
            <w:shd w:fill="C6EFCE" w:val="clear"/>
          </w:tcPr>
          <w:p>
            <w:r>
              <w:rPr>
                <w:sz w:val="17"/>
              </w:rPr>
              <w:t>J+4  Moyenne</w:t>
            </w:r>
          </w:p>
        </w:tc>
        <w:tc>
          <w:tcPr>
            <w:tcW w:type="dxa" w:w="1440"/>
            <w:shd w:fill="C6EFCE" w:val="clear"/>
          </w:tcPr>
          <w:p>
            <w:r>
              <w:rPr>
                <w:sz w:val="17"/>
              </w:rPr>
              <w:t>2026-10-22</w:t>
            </w:r>
          </w:p>
        </w:tc>
        <w:tc>
          <w:tcPr>
            <w:tcW w:type="dxa" w:w="1440"/>
            <w:shd w:fill="C6EFCE" w:val="clear"/>
          </w:tcPr>
          <w:p>
            <w:r>
              <w:rPr>
                <w:sz w:val="17"/>
              </w:rPr>
              <w:t>15,466</w:t>
            </w:r>
          </w:p>
        </w:tc>
        <w:tc>
          <w:tcPr>
            <w:tcW w:type="dxa" w:w="1440"/>
            <w:shd w:fill="C6EFCE" w:val="clear"/>
          </w:tcPr>
          <w:p>
            <w:r>
              <w:rPr>
                <w:b/>
                <w:sz w:val="17"/>
              </w:rPr>
              <w:t>16,223</w:t>
            </w:r>
          </w:p>
        </w:tc>
        <w:tc>
          <w:tcPr>
            <w:tcW w:type="dxa" w:w="1440"/>
            <w:shd w:fill="C6EFCE" w:val="clear"/>
          </w:tcPr>
          <w:p>
            <w:r>
              <w:rPr>
                <w:sz w:val="17"/>
              </w:rPr>
              <w:t>16,980</w:t>
            </w:r>
          </w:p>
        </w:tc>
        <w:tc>
          <w:tcPr>
            <w:tcW w:type="dxa" w:w="1440"/>
            <w:shd w:fill="C6EFCE" w:val="clear"/>
          </w:tcPr>
          <w:p>
            <w:r>
              <w:rPr>
                <w:b/>
                <w:color w:val="008000"/>
                <w:sz w:val="17"/>
              </w:rPr>
              <w:t>+2.0%</w:t>
            </w:r>
          </w:p>
        </w:tc>
      </w:tr>
      <w:tr>
        <w:tc>
          <w:tcPr>
            <w:tcW w:type="dxa" w:w="1440"/>
            <w:shd w:fill="C6EFCE" w:val="clear"/>
          </w:tcPr>
          <w:p>
            <w:r>
              <w:rPr>
                <w:sz w:val="17"/>
              </w:rPr>
              <w:t>J+5  Moyenne</w:t>
            </w:r>
          </w:p>
        </w:tc>
        <w:tc>
          <w:tcPr>
            <w:tcW w:type="dxa" w:w="1440"/>
            <w:shd w:fill="C6EFCE" w:val="clear"/>
          </w:tcPr>
          <w:p>
            <w:r>
              <w:rPr>
                <w:sz w:val="17"/>
              </w:rPr>
              <w:t>2026-10-23</w:t>
            </w:r>
          </w:p>
        </w:tc>
        <w:tc>
          <w:tcPr>
            <w:tcW w:type="dxa" w:w="1440"/>
            <w:shd w:fill="C6EFCE" w:val="clear"/>
          </w:tcPr>
          <w:p>
            <w:r>
              <w:rPr>
                <w:sz w:val="17"/>
              </w:rPr>
              <w:t>15,399</w:t>
            </w:r>
          </w:p>
        </w:tc>
        <w:tc>
          <w:tcPr>
            <w:tcW w:type="dxa" w:w="1440"/>
            <w:shd w:fill="C6EFCE" w:val="clear"/>
          </w:tcPr>
          <w:p>
            <w:r>
              <w:rPr>
                <w:b/>
                <w:sz w:val="17"/>
              </w:rPr>
              <w:t>16,247</w:t>
            </w:r>
          </w:p>
        </w:tc>
        <w:tc>
          <w:tcPr>
            <w:tcW w:type="dxa" w:w="1440"/>
            <w:shd w:fill="C6EFCE" w:val="clear"/>
          </w:tcPr>
          <w:p>
            <w:r>
              <w:rPr>
                <w:sz w:val="17"/>
              </w:rPr>
              <w:t>17,095</w:t>
            </w:r>
          </w:p>
        </w:tc>
        <w:tc>
          <w:tcPr>
            <w:tcW w:type="dxa" w:w="1440"/>
            <w:shd w:fill="C6EFCE" w:val="clear"/>
          </w:tcPr>
          <w:p>
            <w:r>
              <w:rPr>
                <w:b/>
                <w:color w:val="008000"/>
                <w:sz w:val="17"/>
              </w:rPr>
              <w:t>+2.2%</w:t>
            </w:r>
          </w:p>
        </w:tc>
      </w:tr>
      <w:tr>
        <w:tc>
          <w:tcPr>
            <w:tcW w:type="dxa" w:w="1440"/>
            <w:shd w:fill="C6EFCE" w:val="clear"/>
          </w:tcPr>
          <w:p>
            <w:r>
              <w:rPr>
                <w:sz w:val="17"/>
              </w:rPr>
              <w:t>J+6  Moyenne</w:t>
            </w:r>
          </w:p>
        </w:tc>
        <w:tc>
          <w:tcPr>
            <w:tcW w:type="dxa" w:w="1440"/>
            <w:shd w:fill="C6EFCE" w:val="clear"/>
          </w:tcPr>
          <w:p>
            <w:r>
              <w:rPr>
                <w:sz w:val="17"/>
              </w:rPr>
              <w:t>2026-10-26</w:t>
            </w:r>
          </w:p>
        </w:tc>
        <w:tc>
          <w:tcPr>
            <w:tcW w:type="dxa" w:w="1440"/>
            <w:shd w:fill="C6EFCE" w:val="clear"/>
          </w:tcPr>
          <w:p>
            <w:r>
              <w:rPr>
                <w:sz w:val="17"/>
              </w:rPr>
              <w:t>15,340</w:t>
            </w:r>
          </w:p>
        </w:tc>
        <w:tc>
          <w:tcPr>
            <w:tcW w:type="dxa" w:w="1440"/>
            <w:shd w:fill="C6EFCE" w:val="clear"/>
          </w:tcPr>
          <w:p>
            <w:r>
              <w:rPr>
                <w:b/>
                <w:sz w:val="17"/>
              </w:rPr>
              <w:t>16,270</w:t>
            </w:r>
          </w:p>
        </w:tc>
        <w:tc>
          <w:tcPr>
            <w:tcW w:type="dxa" w:w="1440"/>
            <w:shd w:fill="C6EFCE" w:val="clear"/>
          </w:tcPr>
          <w:p>
            <w:r>
              <w:rPr>
                <w:sz w:val="17"/>
              </w:rPr>
              <w:t>17,200</w:t>
            </w:r>
          </w:p>
        </w:tc>
        <w:tc>
          <w:tcPr>
            <w:tcW w:type="dxa" w:w="1440"/>
            <w:shd w:fill="C6EFCE" w:val="clear"/>
          </w:tcPr>
          <w:p>
            <w:r>
              <w:rPr>
                <w:b/>
                <w:color w:val="008000"/>
                <w:sz w:val="17"/>
              </w:rPr>
              <w:t>+2.3%</w:t>
            </w:r>
          </w:p>
        </w:tc>
      </w:tr>
      <w:tr>
        <w:tc>
          <w:tcPr>
            <w:tcW w:type="dxa" w:w="1440"/>
            <w:shd w:fill="C6EFCE" w:val="clear"/>
          </w:tcPr>
          <w:p>
            <w:r>
              <w:rPr>
                <w:sz w:val="17"/>
              </w:rPr>
              <w:t>J+7  Moyenne</w:t>
            </w:r>
          </w:p>
        </w:tc>
        <w:tc>
          <w:tcPr>
            <w:tcW w:type="dxa" w:w="1440"/>
            <w:shd w:fill="C6EFCE" w:val="clear"/>
          </w:tcPr>
          <w:p>
            <w:r>
              <w:rPr>
                <w:sz w:val="17"/>
              </w:rPr>
              <w:t>2026-10-27</w:t>
            </w:r>
          </w:p>
        </w:tc>
        <w:tc>
          <w:tcPr>
            <w:tcW w:type="dxa" w:w="1440"/>
            <w:shd w:fill="C6EFCE" w:val="clear"/>
          </w:tcPr>
          <w:p>
            <w:r>
              <w:rPr>
                <w:sz w:val="17"/>
              </w:rPr>
              <w:t>15,287</w:t>
            </w:r>
          </w:p>
        </w:tc>
        <w:tc>
          <w:tcPr>
            <w:tcW w:type="dxa" w:w="1440"/>
            <w:shd w:fill="C6EFCE" w:val="clear"/>
          </w:tcPr>
          <w:p>
            <w:r>
              <w:rPr>
                <w:b/>
                <w:sz w:val="17"/>
              </w:rPr>
              <w:t>16,293</w:t>
            </w:r>
          </w:p>
        </w:tc>
        <w:tc>
          <w:tcPr>
            <w:tcW w:type="dxa" w:w="1440"/>
            <w:shd w:fill="C6EFCE" w:val="clear"/>
          </w:tcPr>
          <w:p>
            <w:r>
              <w:rPr>
                <w:sz w:val="17"/>
              </w:rPr>
              <w:t>17,299</w:t>
            </w:r>
          </w:p>
        </w:tc>
        <w:tc>
          <w:tcPr>
            <w:tcW w:type="dxa" w:w="1440"/>
            <w:shd w:fill="C6EFCE" w:val="clear"/>
          </w:tcPr>
          <w:p>
            <w:r>
              <w:rPr>
                <w:b/>
                <w:color w:val="008000"/>
                <w:sz w:val="17"/>
              </w:rPr>
              <w:t>+2.5%</w:t>
            </w:r>
          </w:p>
        </w:tc>
      </w:tr>
      <w:tr>
        <w:tc>
          <w:tcPr>
            <w:tcW w:type="dxa" w:w="1440"/>
            <w:shd w:fill="C6EFCE" w:val="clear"/>
          </w:tcPr>
          <w:p>
            <w:r>
              <w:rPr>
                <w:sz w:val="17"/>
              </w:rPr>
              <w:t>J+8  Moyenne</w:t>
            </w:r>
          </w:p>
        </w:tc>
        <w:tc>
          <w:tcPr>
            <w:tcW w:type="dxa" w:w="1440"/>
            <w:shd w:fill="C6EFCE" w:val="clear"/>
          </w:tcPr>
          <w:p>
            <w:r>
              <w:rPr>
                <w:sz w:val="17"/>
              </w:rPr>
              <w:t>2026-10-28</w:t>
            </w:r>
          </w:p>
        </w:tc>
        <w:tc>
          <w:tcPr>
            <w:tcW w:type="dxa" w:w="1440"/>
            <w:shd w:fill="C6EFCE" w:val="clear"/>
          </w:tcPr>
          <w:p>
            <w:r>
              <w:rPr>
                <w:sz w:val="17"/>
              </w:rPr>
              <w:t>15,239</w:t>
            </w:r>
          </w:p>
        </w:tc>
        <w:tc>
          <w:tcPr>
            <w:tcW w:type="dxa" w:w="1440"/>
            <w:shd w:fill="C6EFCE" w:val="clear"/>
          </w:tcPr>
          <w:p>
            <w:r>
              <w:rPr>
                <w:b/>
                <w:sz w:val="17"/>
              </w:rPr>
              <w:t>16,316</w:t>
            </w:r>
          </w:p>
        </w:tc>
        <w:tc>
          <w:tcPr>
            <w:tcW w:type="dxa" w:w="1440"/>
            <w:shd w:fill="C6EFCE" w:val="clear"/>
          </w:tcPr>
          <w:p>
            <w:r>
              <w:rPr>
                <w:sz w:val="17"/>
              </w:rPr>
              <w:t>17,393</w:t>
            </w:r>
          </w:p>
        </w:tc>
        <w:tc>
          <w:tcPr>
            <w:tcW w:type="dxa" w:w="1440"/>
            <w:shd w:fill="C6EFCE" w:val="clear"/>
          </w:tcPr>
          <w:p>
            <w:r>
              <w:rPr>
                <w:b/>
                <w:color w:val="008000"/>
                <w:sz w:val="17"/>
              </w:rPr>
              <w:t>+2.6%</w:t>
            </w:r>
          </w:p>
        </w:tc>
      </w:tr>
      <w:tr>
        <w:tc>
          <w:tcPr>
            <w:tcW w:type="dxa" w:w="1440"/>
            <w:shd w:fill="C6EFCE" w:val="clear"/>
          </w:tcPr>
          <w:p>
            <w:r>
              <w:rPr>
                <w:sz w:val="17"/>
              </w:rPr>
              <w:t>J+9  Moyenne</w:t>
            </w:r>
          </w:p>
        </w:tc>
        <w:tc>
          <w:tcPr>
            <w:tcW w:type="dxa" w:w="1440"/>
            <w:shd w:fill="C6EFCE" w:val="clear"/>
          </w:tcPr>
          <w:p>
            <w:r>
              <w:rPr>
                <w:sz w:val="17"/>
              </w:rPr>
              <w:t>2026-10-29</w:t>
            </w:r>
          </w:p>
        </w:tc>
        <w:tc>
          <w:tcPr>
            <w:tcW w:type="dxa" w:w="1440"/>
            <w:shd w:fill="C6EFCE" w:val="clear"/>
          </w:tcPr>
          <w:p>
            <w:r>
              <w:rPr>
                <w:sz w:val="17"/>
              </w:rPr>
              <w:t>15,195</w:t>
            </w:r>
          </w:p>
        </w:tc>
        <w:tc>
          <w:tcPr>
            <w:tcW w:type="dxa" w:w="1440"/>
            <w:shd w:fill="C6EFCE" w:val="clear"/>
          </w:tcPr>
          <w:p>
            <w:r>
              <w:rPr>
                <w:b/>
                <w:sz w:val="17"/>
              </w:rPr>
              <w:t>16,338</w:t>
            </w:r>
          </w:p>
        </w:tc>
        <w:tc>
          <w:tcPr>
            <w:tcW w:type="dxa" w:w="1440"/>
            <w:shd w:fill="C6EFCE" w:val="clear"/>
          </w:tcPr>
          <w:p>
            <w:r>
              <w:rPr>
                <w:sz w:val="17"/>
              </w:rPr>
              <w:t>17,482</w:t>
            </w:r>
          </w:p>
        </w:tc>
        <w:tc>
          <w:tcPr>
            <w:tcW w:type="dxa" w:w="1440"/>
            <w:shd w:fill="C6EFCE" w:val="clear"/>
          </w:tcPr>
          <w:p>
            <w:r>
              <w:rPr>
                <w:b/>
                <w:color w:val="008000"/>
                <w:sz w:val="17"/>
              </w:rPr>
              <w:t>+2.8%</w:t>
            </w:r>
          </w:p>
        </w:tc>
      </w:tr>
      <w:tr>
        <w:tc>
          <w:tcPr>
            <w:tcW w:type="dxa" w:w="1440"/>
            <w:shd w:fill="C6EFCE" w:val="clear"/>
          </w:tcPr>
          <w:p>
            <w:r>
              <w:rPr>
                <w:sz w:val="17"/>
              </w:rPr>
              <w:t>J+10  Moyenne</w:t>
            </w:r>
          </w:p>
        </w:tc>
        <w:tc>
          <w:tcPr>
            <w:tcW w:type="dxa" w:w="1440"/>
            <w:shd w:fill="C6EFCE" w:val="clear"/>
          </w:tcPr>
          <w:p>
            <w:r>
              <w:rPr>
                <w:sz w:val="17"/>
              </w:rPr>
              <w:t>2026-10-30</w:t>
            </w:r>
          </w:p>
        </w:tc>
        <w:tc>
          <w:tcPr>
            <w:tcW w:type="dxa" w:w="1440"/>
            <w:shd w:fill="C6EFCE" w:val="clear"/>
          </w:tcPr>
          <w:p>
            <w:r>
              <w:rPr>
                <w:sz w:val="17"/>
              </w:rPr>
              <w:t>15,153</w:t>
            </w:r>
          </w:p>
        </w:tc>
        <w:tc>
          <w:tcPr>
            <w:tcW w:type="dxa" w:w="1440"/>
            <w:shd w:fill="C6EFCE" w:val="clear"/>
          </w:tcPr>
          <w:p>
            <w:r>
              <w:rPr>
                <w:b/>
                <w:sz w:val="17"/>
              </w:rPr>
              <w:t>16,360</w:t>
            </w:r>
          </w:p>
        </w:tc>
        <w:tc>
          <w:tcPr>
            <w:tcW w:type="dxa" w:w="1440"/>
            <w:shd w:fill="C6EFCE" w:val="clear"/>
          </w:tcPr>
          <w:p>
            <w:r>
              <w:rPr>
                <w:sz w:val="17"/>
              </w:rPr>
              <w:t>17,567</w:t>
            </w:r>
          </w:p>
        </w:tc>
        <w:tc>
          <w:tcPr>
            <w:tcW w:type="dxa" w:w="1440"/>
            <w:shd w:fill="C6EFCE" w:val="clear"/>
          </w:tcPr>
          <w:p>
            <w:r>
              <w:rPr>
                <w:b/>
                <w:color w:val="008000"/>
                <w:sz w:val="17"/>
              </w:rPr>
              <w:t>+2.9%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 RAPPORT D'ANALYSE FINANCIÈRE — ECOC (Ecobank Côte d'Ivoire) — BRVM</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875,30 Mds FCFA, ECOC s'affirme comme l'une des plus grandes capitalisations de la BRVM, ce qui témoigne de son poids systémique dans le secteur bancaire régional. Le BPA de 1 153 FCFA/action signifie que chaque titre génère un bénéfice net de 1 153 FCFA, un niveau élevé qui traduit la forte rentabilité de la banque. Le PER de 13,8x se situe légèrement au-dessus de la moyenne BRVM (~8-12x), suggérant que les investisseurs paient une prime modérée pour la qualité des bénéfices, sans exagération manifeste. En revanche, le P/B de 4,00x indique que le marché valorise le titre à quatre fois sa valeur comptable — une prime exigeante qui reflète la confiance dans la rentabilité structurelle (ROE ~29%) mais qui limite la marge de sécurité. L'EV/EBITDA de 13,6x, dans la fourchette haute (10-15x), confirme une valorisation pleine mais cohérente avec le profil de croissance et de rentabilité de l'établissement.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ECOC affiche une variation totale de -2,45%, avec une dernière séance en repli de -0,62%, portant le cours à 15 900 FCFA. Le range de trading s'établit entre un plus haut de 17 725 FCFA et un plus bas de 15 715 FCFA, soit un écart d'environ 12,8% — le cours actuel évolue donc tout près de son plancher, signalant une pression baissière persistante. La tendance générale est baissière sur la période, le titre ayant cédé du terrain depuis ses sommets. Les statistiques descriptives révèlent une moyenne de 16 588 FCFA contre une médiane de 16 620 FCFA, un écart minime qui confirme une distribution quasi symétrique, cohérente avec le skewness de 0,187 (distribution symétrique). L'écart-type de 450 FCFA et le coefficient de variation de 2,7% indiquent une dispersion très faible du cours autour de sa moyenne — le titre a évolué dans un couloir étroit, sans à-coups violents. Le kurtosis de -0,375 (mésokurtique, proche d'une distribution normale) suggère une absence de pics extrêmes, donc un risque de queue modéré. La volatilité annualisée de 25,3% positionne le titre dans la catégorie modérée (15-30%), acceptable pour une valeur bancaire de premier rang.</w:t>
      </w:r>
    </w:p>
    <w:p>
      <w:pPr>
        <w:spacing w:after="120" w:line="276" w:lineRule="auto"/>
      </w:pPr>
      <w:r>
        <w:t>---</w:t>
      </w:r>
    </w:p>
    <w:p>
      <w:pPr>
        <w:spacing w:after="120" w:line="276" w:lineRule="auto"/>
      </w:pPr>
      <w:r>
        <w:t>## PARTIE 2 : ANALYSE TECHNIQUE DÉTAILLÉE</w:t>
      </w:r>
    </w:p>
    <w:p>
      <w:pPr>
        <w:spacing w:after="120" w:line="276" w:lineRule="auto"/>
      </w:pPr>
      <w:r>
        <w:t>**Moyennes Mobiles** : La MM20 (16 656,25 FCFA) et la MM50 (16 733,10 FCFA) se situent toutes deux nettement au-dessus du cours actuel (15 900 FCFA), configurant une structure baissière où le prix évolue sous ses moyennes de référence. La MM20 étant légèrement sous la MM50, on observe un début de croisement baissier qui confirme la décision de **Vente** émise par cet indicateur.</w:t>
      </w:r>
    </w:p>
    <w:p>
      <w:pPr>
        <w:spacing w:after="120" w:line="276" w:lineRule="auto"/>
      </w:pPr>
      <w:r>
        <w:t>**Bandes de Bollinger** : Le cours (15 900 FCFA) se situe juste au-dessus de la borne inférieure (15 919,46 FCFA), frôlant la zone de survente extrême, tandis que la borne supérieure s'établit à 17 393,04 FCFA. Cette position en bas de bande signale un potentiel de rebond technique, justifiant la décision d'**Achat** par retour à la moyenne, bien que la largeur des bandes traduise une volatilité encore présente.</w:t>
      </w:r>
    </w:p>
    <w:p>
      <w:pPr>
        <w:spacing w:after="120" w:line="276" w:lineRule="auto"/>
      </w:pPr>
      <w:r>
        <w:t>**MACD** : La valeur du MACD (-218,56) est inférieure à sa ligne de signal (-107,12), avec un histogramme négatif qui traduit un momentum baissier toujours actif. La divergence négative persistante confirme la décision de **Vente**, l'indicateur n'ayant pas encore amorcé de retournement.</w:t>
      </w:r>
    </w:p>
    <w:p>
      <w:pPr>
        <w:spacing w:after="120" w:line="276" w:lineRule="auto"/>
      </w:pPr>
      <w:r>
        <w:t>**RSI** : À 24,51, le RSI se situe largement sous le seuil de 30, en zone de **survente** caractérisée. Cette configuration extrême plaide pour un rebond technique imminent et justifie la décision d'**Achat** — le titre est statistiquement survendu.</w:t>
      </w:r>
    </w:p>
    <w:p>
      <w:pPr>
        <w:spacing w:after="120" w:line="276" w:lineRule="auto"/>
      </w:pPr>
      <w:r>
        <w:t>**Stochastique** : Le %K à 0,0 et le %D à 2,89 traduisent une position au plancher absolu de l'oscillateur, avec un croisement en zone extrême basse. Cette configuration de survente profonde confirme la décision d'**Achat** par anticipation d'un retournement.</w:t>
      </w:r>
    </w:p>
    <w:p>
      <w:pPr>
        <w:spacing w:after="120" w:line="276" w:lineRule="auto"/>
      </w:pPr>
      <w:r>
        <w:t>**Conclusion technique** : Les indicateurs présentent une divergence instructive — les moyennes mobiles et le MACD confirment la tendance baissière de fond (décisions de Vente), tandis que le RSI, le stochastique et les Bandes de Bollinger signalent une survente extrême propice à un rebond technique (décisions d'Achat). Cette configuration typique de fin de correction suggère un point d'entrée tactique pour les investisseurs contrariants, mais la prudence reste de mise tant que le cours n'aura pas reconquis la MM20 (16 656 FCFA) pour valider un retournement durable.</w:t>
      </w:r>
    </w:p>
    <w:p>
      <w:pPr>
        <w:spacing w:after="120" w:line="276" w:lineRule="auto"/>
      </w:pPr>
      <w:r>
        <w:t>---</w:t>
      </w:r>
    </w:p>
    <w:p>
      <w:pPr>
        <w:spacing w:after="120" w:line="276" w:lineRule="auto"/>
      </w:pPr>
      <w:r>
        <w:t>## PARTIE 3 : ANALYSE FONDAMENTALE</w:t>
      </w:r>
    </w:p>
    <w:p>
      <w:pPr>
        <w:spacing w:after="120" w:line="276" w:lineRule="auto"/>
      </w:pPr>
      <w:r>
        <w:t>Les états financiers annuels 2025 d'ECOC (données structurées officielles) révèlent une banque de très haute qualité : un Produit Net Bancaire de 132,725 Mds FCFA, un résultat net de 63,482 Mds FCFA, un ROE exceptionnel de 29,04% et un ROA de 3,09%. Le coefficient d'exploitation de 42,89% témoigne d'une efficacité opérationnelle remarquable (largement sous le seuil de 60%), tandis que le coût du risque rapporté aux charges financières (1,36%) reste modéré. La structure bilancielle est solide avec 1 626,223 Mds FCFA de dépôts clientèle contre 1 050,803 Mds FCFA de créances clientèle, soit un ratio de transformation de 64,6% — la banque dispose d'une importante capacité de déploiement du crédit. La marge nette de 47,83% et la marge opérationnelle de 55,75% confirment une profitabilité structurelle élevée. Toutefois, l'autonomie financière de 10,64% (capitaux propres/bilan) est faible, typique du modèle bancaire, mais le ratio d'endettement de 69,63% et la solvabilité générale de 111,9% restent maîtrisés. Les rapports narratifs confirment cette dynamique : le rapport annuel 2024 (publié le 31/12/2024) affichait un PNB de 122,3 Mds FCFA (+11,0%) et un résultat net de 57,5 Mds FCFA (+19,6%), avec un dividende de 804 FCFA/action ; le rapport S1 2026 (analysé le 25/09/2026) montre un PNB de 64,078 Mds FCFA (+2,0%) mais un résultat net en repli de -8,6% à 26,408 Mds FCFA, pénalisé par un coût du risque multiplié par 7,4 (5,197 Mds FCFA) — provisionnement volontairement prudent avec un taux de couverture maintenu à 90%. Le rapport T1 2026 confirme cette tendance avec un PNB de 30,8 Mds FCFA (+3,7%) et un résultat net de 13,0 Mds FCFA (-1,6%), tandis que le dividende 2025 proposé à l'AG du 28/04/2026 s'élève à 888 FCFA brut/action (781 FCFA net), en hausse de 10,4% sur un an. **On estime** que l'exercice 2026 devrait clôturer avec un résultat net légèrement inférieur à 2025 (autour de 55-58 Mds FCFA) si le coût du risque se normalise au second semestre, la solidité fondamentale (ROE &gt;25%, coefficient d'exploitation &lt;46%) restant intacte. La recommandation fondamentale est de **CONSERVER** : dossier de qualité, mais visibilité limitée à court terme sur la normalisation du coût du risque.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contrasté. **Valorisation** : le PER de 13,8x et le P/B de 4,00x indiquent une valorisation pleine, sans marge de sécurité évidente, bien que cohérente avec la rentabilité exceptionnelle (ROE 29%). **Comportement du cours** : la tendance baissière (-2,45% sur 100 jours, cours près du plancher) et la faible dispersion (CV 2,7%, kurtosis normal) traduisent une correction ordonnée sans panique, la volatilité modérée (25,3%) restant gérable. **Signaux techniques** : divergence nette entre les indicateurs de tendance (MM, MACD → Vente) et les oscillateurs de survente (RSI 24,5, Stochastique 0,0, Bollinger → Achat), configuration classique de rebond technique potentiel. **Fondamentaux** : solidité confirmée (PNB 132,7 Mds, RN 63,5 Mds en 2025, ROE 29%), mais alerte sur le coût du risque S1 2026 (×7,4) et le repli du résultat net (-8,6%) — la qualité du dossier n'est pas remise en cause, mais la prudence s'impose. **Prédictions IA** : la trajectoire projetée (16 139 → 16 247 FCFA sur J+1 à J+10, soit +2,2%) confirme le scénario de rebond technique esquissé par les oscillateurs, en cohérence avec la survente extrême. **Recommandation finale : CONSERVER**, avec un biais tactique d'achat pour les investisseurs contrariants — la convergence entre survente technique, prédictions haussières et fondamentaux solides soutient un rebond, mais la valorisation exigeante et l'incertitude sur le coût du risque empêchent de passer à l'ACHAT franc. **Niveau de confiance : Moyen** (divergence technique/fondamental). **Niveau de risque : Moyen** (volatilité modérée, valorisation tendue, risque crédit sous surveillance). **Horizon optimal : moyen terme (3-12 mois)**, le temps que le coût du risque se normalise et que le cours reconquière ses moyennes mobiles pour valider un retournement durable.</w:t>
      </w:r>
    </w:p>
    <w:p/>
    <w:p/>
    <w:p>
      <w:pPr>
        <w:pStyle w:val="Heading3"/>
      </w:pPr>
      <w:r>
        <w:rPr>
          <w:color w:val="00467F"/>
        </w:rPr>
        <w:t>📎 DOCUMENTS &amp; COMMUNICATIONS OFFICIELS BRVM</w:t>
      </w:r>
    </w:p>
    <w:p>
      <w:r>
        <w:rPr>
          <w:i/>
          <w:color w:val="646464"/>
          <w:sz w:val="18"/>
        </w:rPr>
        <w:t>11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une rentabilit\u00e9 toujours \u00e9lev\u00e9e (ROE 26,9 %), un bilan solide et une forte collecte de d\u00e9p\u00f4ts, mais la baisse du r\u00e9sultat net et la mont\u00e9e du co\u00fbt du risque incitent \u00e0 la prudence. Le titre reste un dossier de qualit\u00e9 \u00e0 d\u00e9tenir dans l'attente de la normalisation du co\u00fbt du risque."}</w:t>
      </w:r>
    </w:p>
    <w:p>
      <w:pPr>
        <w:spacing w:before="40"/>
        <w:ind w:left="400"/>
      </w:pPr>
      <w:r>
        <w:rPr>
          <w:sz w:val="18"/>
        </w:rPr>
        <w:t>Au premier semestre 2026, Ecobank Côte d'Ivoire consolide la qualité de ses revenus et renforce sa résilience dans un contexte économique et réglementaire exigeant. Le Produit Net Bancaire progresse de 2,0 % à 64 078 millions de FCFA, porté par une hausse de 14,5 % de la marge nette d'intérêts qui compense la contraction de 25,9 % des produits hors intérêts. Le Résultat Net recule de 8,6 % à 26 408 millions de FCFA, sous l'effet d'un coût du risque multiplié par plus de sept, à 5 197 millions de FCFA, dans le cadre d'une politique volontairement prudente de provisionnement. Le bilan demeure solide et en croissance de 9,3 %, à 2 077 936 millions de FCFA, avec des dépôts clients en hausse de 1</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 'roe': '26,9 %', 'cout_du_risque': '5 197 millions de FCFA (+642,4 %)', 'depots_clientele': '1 754 701 millions de FCFA (+15,1 %)', 'prets_sur_depots': '56,3 %', 'charges_exploitation': '28 991 millions de FCFA (+2,9 %)', 'marge_nette_interets': '49 661 millions de FCFA (+14,5 %)', 'resultat_avant_impot': '29 890 millions de FCFA (-12,0 %)', 'produit_hors_interets': '14 417 millions de FCFA (-25,9 %)', 'creances_en_souffrance': '45 300 millions de FCFA (+21,5 %), taux de couverture de 90 %', 'credits_nets_clientele': '946 818 millions de FCFA (+2,4 %)', 'coefficient_exploitation': '45,2 %'}</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41,2 %</w:t>
            </w:r>
          </w:p>
        </w:tc>
        <w:tc>
          <w:tcPr>
            <w:tcW w:type="dxa" w:w="2160"/>
          </w:tcPr>
          <w:p>
            <w:pPr>
              <w:ind w:left="100"/>
            </w:pPr>
            <w:r/>
            <w:r>
              <w:rPr>
                <w:b/>
                <w:sz w:val="16"/>
              </w:rPr>
              <w:t>total_actif</w:t>
              <w:br/>
            </w:r>
            <w:r>
              <w:rPr>
                <w:sz w:val="18"/>
              </w:rPr>
              <w:t>2 077 936 millions de FCFA</w:t>
            </w:r>
          </w:p>
        </w:tc>
      </w:tr>
      <w:tr>
        <w:tc>
          <w:tcPr>
            <w:tcW w:type="dxa" w:w="2160"/>
          </w:tcPr>
          <w:p>
            <w:r/>
            <w:r>
              <w:rPr>
                <w:b/>
                <w:sz w:val="16"/>
              </w:rPr>
              <w:t>resultat_net</w:t>
              <w:br/>
            </w:r>
            <w:r>
              <w:rPr>
                <w:sz w:val="18"/>
              </w:rPr>
              <w:t>26 408 millions de FCFA</w:t>
            </w:r>
          </w:p>
        </w:tc>
        <w:tc>
          <w:tcPr>
            <w:tcW w:type="dxa" w:w="2160"/>
          </w:tcPr>
          <w:p>
            <w:r/>
            <w:r>
              <w:rPr>
                <w:b/>
                <w:sz w:val="16"/>
              </w:rPr>
              <w:t>capitaux_propres</w:t>
              <w:br/>
            </w:r>
            <w:r>
              <w:rPr>
                <w:sz w:val="18"/>
              </w:rPr>
              <w:t>196 096 millions de FCFA</w:t>
            </w:r>
          </w:p>
        </w:tc>
        <w:tc>
          <w:tcPr>
            <w:tcW w:type="dxa" w:w="2160"/>
          </w:tcPr>
          <w:p>
            <w:r/>
            <w:r>
              <w:rPr>
                <w:b/>
                <w:sz w:val="16"/>
              </w:rPr>
              <w:t>chiffre_affaires</w:t>
              <w:br/>
            </w:r>
            <w:r>
              <w:rPr>
                <w:sz w:val="18"/>
              </w:rPr>
              <w:t>64 078 millions de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64 078 millions de FCFA (+2,0 %), croissance modérée mais de meilleure qualité</w:t>
      </w:r>
    </w:p>
    <w:p>
      <w:pPr>
        <w:pStyle w:val="ListBullet"/>
        <w:spacing w:before="20" w:after="20"/>
        <w:ind w:left="700"/>
      </w:pPr>
      <w:r>
        <w:rPr>
          <w:sz w:val="18"/>
        </w:rPr>
        <w:t>Marge nette d'intérêts en forte hausse de 14,5 % à 49 661 millions de FCFA, compensant la baisse de 25,9 % des produits hors intérêts</w:t>
      </w:r>
    </w:p>
    <w:p>
      <w:pPr>
        <w:pStyle w:val="ListBullet"/>
        <w:spacing w:before="20" w:after="20"/>
        <w:ind w:left="700"/>
      </w:pPr>
      <w:r>
        <w:rPr>
          <w:sz w:val="18"/>
        </w:rPr>
        <w:t>Résultat Net en repli de 8,6 % à 26 408 millions de FCFA, pénalisé par le coût du risque</w:t>
      </w:r>
    </w:p>
    <w:p>
      <w:pPr>
        <w:pStyle w:val="ListBullet"/>
        <w:spacing w:before="20" w:after="20"/>
        <w:ind w:left="700"/>
      </w:pPr>
      <w:r>
        <w:rPr>
          <w:sz w:val="18"/>
        </w:rPr>
        <w:t>Coût du risque multiplié par plus de sept à 5 197 millions de FCFA (+642,4 %) sous l'effet d'une approche prudente de provisionnement</w:t>
      </w:r>
    </w:p>
    <w:p>
      <w:pPr>
        <w:pStyle w:val="ListBullet"/>
        <w:spacing w:before="20" w:after="20"/>
        <w:ind w:left="700"/>
      </w:pPr>
      <w:r>
        <w:rPr>
          <w:sz w:val="18"/>
        </w:rPr>
        <w:t>Total bilan en progression de 9,3 % à 2 077 936 millions de FCFA, avec des dépôts clients en hausse de 15,1 % à 1 754 701 millions de FCFA</w:t>
      </w:r>
    </w:p>
    <w:p>
      <w:pPr>
        <w:pStyle w:val="ListBullet"/>
        <w:spacing w:before="20" w:after="20"/>
        <w:ind w:left="700"/>
      </w:pPr>
      <w:r>
        <w:rPr>
          <w:sz w:val="18"/>
        </w:rPr>
        <w:t>Crédits nets à la clientèle en croissance maîtrisée de 2,4 % à 946 818 millions de FCFA, ratio prêts/dépôts en baisse à 56,3 %</w:t>
      </w:r>
    </w:p>
    <w:p>
      <w:pPr>
        <w:spacing w:before="40"/>
        <w:ind w:left="400"/>
      </w:pPr>
      <w:r>
        <w:rPr>
          <w:b/>
          <w:color w:val="C05000"/>
          <w:sz w:val="18"/>
        </w:rPr>
        <w:t xml:space="preserve">⚠️ Risques : </w:t>
      </w:r>
      <w:r>
        <w:rPr>
          <w:sz w:val="18"/>
        </w:rPr>
        <w:t>["D\u00e9gradation de la qualit\u00e9 du portefeuille de cr\u00e9dits : cr\u00e9ances en souffrance en hausse de 21,5 % \u00e0 45 300 millions de FCFA et co\u00fbt du risque multipli\u00e9 par plus de sept", "Contraction de 25,9 % des produits hors int\u00e9r\u00eats (commissions, portefeuille de n\</w:t>
      </w:r>
    </w:p>
    <w:p>
      <w:pPr>
        <w:spacing w:before="40"/>
        <w:ind w:left="400"/>
      </w:pPr>
      <w:r>
        <w:rPr>
          <w:b/>
          <w:color w:val="0064A0"/>
          <w:sz w:val="18"/>
        </w:rPr>
        <w:t xml:space="preserve">🔮 Perspectives : </w:t>
      </w:r>
      <w:r>
        <w:rPr>
          <w:sz w:val="18"/>
        </w:rPr>
        <w:t>Ecobank Côte d'Ivoire confirme sa résilience et la pertinence de ses choix stratégiques dans un contexte macroéconomique incertain. La Banque poursuit l'exécution de sa feuille de route « Croissance, Transformation et Rentabilité », axée sur l'innovation, la digitalisation, l'amélioration de l'expér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
      <w:r>
        <w:t>════════════════════════════════════════════════════════════════════════════════</w:t>
      </w:r>
    </w:p>
    <w:p>
      <w:r>
        <w:br w:type="page"/>
      </w:r>
    </w:p>
    <w:p>
      <w:pPr>
        <w:pStyle w:val="Heading2"/>
        <w:spacing w:before="360"/>
      </w:pPr>
      <w:r>
        <w:rPr>
          <w:color w:val="0066CC"/>
        </w:rPr>
        <w:t>17.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1175.47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1,699,683 titres</w:t>
            </w:r>
          </w:p>
        </w:tc>
        <w:tc>
          <w:tcPr>
            <w:tcW w:type="dxa" w:w="2268"/>
            <w:shd w:fill="FFF2CC" w:val="clear"/>
          </w:tcPr>
          <w:p>
            <w:r>
              <w:rPr>
                <w:b/>
                <w:color w:val="503200"/>
                <w:sz w:val="16"/>
              </w:rPr>
              <w:t xml:space="preserve">Cours actuel : </w:t>
            </w:r>
            <w:r>
              <w:rPr>
                <w:color w:val="000000"/>
                <w:sz w:val="17"/>
              </w:rPr>
              <w:t>65 FCFA</w:t>
            </w:r>
          </w:p>
          <w:p>
            <w:r>
              <w:rPr>
                <w:b/>
                <w:color w:val="503200"/>
                <w:sz w:val="16"/>
              </w:rPr>
              <w:t xml:space="preserve">Var. 100 jours : </w:t>
            </w:r>
            <w:r>
              <w:rPr>
                <w:b/>
                <w:color w:val="007800"/>
                <w:sz w:val="17"/>
              </w:rPr>
              <w:t>+124.14%</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29 FCFA</w:t>
            </w:r>
          </w:p>
          <w:p>
            <w:r>
              <w:rPr>
                <w:b/>
                <w:color w:val="503200"/>
                <w:sz w:val="16"/>
              </w:rPr>
              <w:t xml:space="preserve">Volatilité ann. : </w:t>
            </w:r>
            <w:r>
              <w:rPr>
                <w:color w:val="000000"/>
                <w:sz w:val="17"/>
              </w:rPr>
              <w:t>61.4%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26.43% (Élevée) — μ=58 FCFA, σ=15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β=2.0228 (Très agressif) — Cov=0.000153, Var(idx)=0.000076, ρ=0.453,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1,699,683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σ_j=3.87%/j (Modérée) — Vol. annualisée≈61.4%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69353"/>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569353"/>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2026-10-19</w:t>
            </w:r>
          </w:p>
        </w:tc>
        <w:tc>
          <w:tcPr>
            <w:tcW w:type="dxa" w:w="1440"/>
            <w:shd w:fill="FAFAFA" w:val="clear"/>
          </w:tcPr>
          <w:p>
            <w:r>
              <w:rPr>
                <w:sz w:val="17"/>
              </w:rPr>
              <w:t>63</w:t>
            </w:r>
          </w:p>
        </w:tc>
        <w:tc>
          <w:tcPr>
            <w:tcW w:type="dxa" w:w="1440"/>
            <w:shd w:fill="FAFAFA" w:val="clear"/>
          </w:tcPr>
          <w:p>
            <w:r>
              <w:rPr>
                <w:b/>
                <w:sz w:val="17"/>
              </w:rPr>
              <w:t>65</w:t>
            </w:r>
          </w:p>
        </w:tc>
        <w:tc>
          <w:tcPr>
            <w:tcW w:type="dxa" w:w="1440"/>
            <w:shd w:fill="FAFAFA" w:val="clear"/>
          </w:tcPr>
          <w:p>
            <w:r>
              <w:rPr>
                <w:sz w:val="17"/>
              </w:rPr>
              <w:t>67</w:t>
            </w:r>
          </w:p>
        </w:tc>
        <w:tc>
          <w:tcPr>
            <w:tcW w:type="dxa" w:w="1440"/>
            <w:shd w:fill="FAFAFA" w:val="clear"/>
          </w:tcPr>
          <w:p>
            <w:r>
              <w:rPr>
                <w:b/>
                <w:color w:val="008000"/>
                <w:sz w:val="17"/>
              </w:rPr>
              <w:t>+0.1%</w:t>
            </w:r>
          </w:p>
        </w:tc>
      </w:tr>
      <w:tr>
        <w:tc>
          <w:tcPr>
            <w:tcW w:type="dxa" w:w="1440"/>
            <w:shd w:fill="FAFAFA" w:val="clear"/>
          </w:tcPr>
          <w:p>
            <w:r>
              <w:rPr>
                <w:sz w:val="17"/>
              </w:rPr>
              <w:t>J+2  ⭐</w:t>
            </w:r>
          </w:p>
        </w:tc>
        <w:tc>
          <w:tcPr>
            <w:tcW w:type="dxa" w:w="1440"/>
            <w:shd w:fill="FAFAFA" w:val="clear"/>
          </w:tcPr>
          <w:p>
            <w:r>
              <w:rPr>
                <w:sz w:val="17"/>
              </w:rPr>
              <w:t>2026-10-20</w:t>
            </w:r>
          </w:p>
        </w:tc>
        <w:tc>
          <w:tcPr>
            <w:tcW w:type="dxa" w:w="1440"/>
            <w:shd w:fill="FAFAFA" w:val="clear"/>
          </w:tcPr>
          <w:p>
            <w:r>
              <w:rPr>
                <w:sz w:val="17"/>
              </w:rPr>
              <w:t>62</w:t>
            </w:r>
          </w:p>
        </w:tc>
        <w:tc>
          <w:tcPr>
            <w:tcW w:type="dxa" w:w="1440"/>
            <w:shd w:fill="FAFAFA" w:val="clear"/>
          </w:tcPr>
          <w:p>
            <w:r>
              <w:rPr>
                <w:b/>
                <w:sz w:val="17"/>
              </w:rPr>
              <w:t>65</w:t>
            </w:r>
          </w:p>
        </w:tc>
        <w:tc>
          <w:tcPr>
            <w:tcW w:type="dxa" w:w="1440"/>
            <w:shd w:fill="FAFAFA" w:val="clear"/>
          </w:tcPr>
          <w:p>
            <w:r>
              <w:rPr>
                <w:sz w:val="17"/>
              </w:rPr>
              <w:t>68</w:t>
            </w:r>
          </w:p>
        </w:tc>
        <w:tc>
          <w:tcPr>
            <w:tcW w:type="dxa" w:w="1440"/>
            <w:shd w:fill="FAFAFA" w:val="clear"/>
          </w:tcPr>
          <w:p>
            <w:r>
              <w:rPr>
                <w:b/>
                <w:color w:val="008000"/>
                <w:sz w:val="17"/>
              </w:rPr>
              <w:t>+0.1%</w:t>
            </w:r>
          </w:p>
        </w:tc>
      </w:tr>
      <w:tr>
        <w:tc>
          <w:tcPr>
            <w:tcW w:type="dxa" w:w="1440"/>
            <w:shd w:fill="FAFAFA" w:val="clear"/>
          </w:tcPr>
          <w:p>
            <w:r>
              <w:rPr>
                <w:sz w:val="17"/>
              </w:rPr>
              <w:t>J+3  ⭐</w:t>
            </w:r>
          </w:p>
        </w:tc>
        <w:tc>
          <w:tcPr>
            <w:tcW w:type="dxa" w:w="1440"/>
            <w:shd w:fill="FAFAFA" w:val="clear"/>
          </w:tcPr>
          <w:p>
            <w:r>
              <w:rPr>
                <w:sz w:val="17"/>
              </w:rPr>
              <w:t>2026-10-21</w:t>
            </w:r>
          </w:p>
        </w:tc>
        <w:tc>
          <w:tcPr>
            <w:tcW w:type="dxa" w:w="1440"/>
            <w:shd w:fill="FAFAFA" w:val="clear"/>
          </w:tcPr>
          <w:p>
            <w:r>
              <w:rPr>
                <w:sz w:val="17"/>
              </w:rPr>
              <w:t>61</w:t>
            </w:r>
          </w:p>
        </w:tc>
        <w:tc>
          <w:tcPr>
            <w:tcW w:type="dxa" w:w="1440"/>
            <w:shd w:fill="FAFAFA" w:val="clear"/>
          </w:tcPr>
          <w:p>
            <w:r>
              <w:rPr>
                <w:b/>
                <w:sz w:val="17"/>
              </w:rPr>
              <w:t>65</w:t>
            </w:r>
          </w:p>
        </w:tc>
        <w:tc>
          <w:tcPr>
            <w:tcW w:type="dxa" w:w="1440"/>
            <w:shd w:fill="FAFAFA" w:val="clear"/>
          </w:tcPr>
          <w:p>
            <w:r>
              <w:rPr>
                <w:sz w:val="17"/>
              </w:rPr>
              <w:t>69</w:t>
            </w:r>
          </w:p>
        </w:tc>
        <w:tc>
          <w:tcPr>
            <w:tcW w:type="dxa" w:w="1440"/>
            <w:shd w:fill="FAFAFA" w:val="clear"/>
          </w:tcPr>
          <w:p>
            <w:r>
              <w:rPr>
                <w:b/>
                <w:color w:val="008000"/>
                <w:sz w:val="17"/>
              </w:rPr>
              <w:t>+0.2%</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60</w:t>
            </w:r>
          </w:p>
        </w:tc>
        <w:tc>
          <w:tcPr>
            <w:tcW w:type="dxa" w:w="1440"/>
            <w:shd w:fill="FAFAFA" w:val="clear"/>
          </w:tcPr>
          <w:p>
            <w:r>
              <w:rPr>
                <w:b/>
                <w:sz w:val="17"/>
              </w:rPr>
              <w:t>65</w:t>
            </w:r>
          </w:p>
        </w:tc>
        <w:tc>
          <w:tcPr>
            <w:tcW w:type="dxa" w:w="1440"/>
            <w:shd w:fill="FAFAFA" w:val="clear"/>
          </w:tcPr>
          <w:p>
            <w:r>
              <w:rPr>
                <w:sz w:val="17"/>
              </w:rPr>
              <w:t>70</w:t>
            </w:r>
          </w:p>
        </w:tc>
        <w:tc>
          <w:tcPr>
            <w:tcW w:type="dxa" w:w="1440"/>
            <w:shd w:fill="FAFAFA" w:val="clear"/>
          </w:tcPr>
          <w:p>
            <w:r>
              <w:rPr>
                <w:b/>
                <w:color w:val="008000"/>
                <w:sz w:val="17"/>
              </w:rPr>
              <w:t>+0.2%</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60</w:t>
            </w:r>
          </w:p>
        </w:tc>
        <w:tc>
          <w:tcPr>
            <w:tcW w:type="dxa" w:w="1440"/>
            <w:shd w:fill="FAFAFA" w:val="clear"/>
          </w:tcPr>
          <w:p>
            <w:r>
              <w:rPr>
                <w:b/>
                <w:sz w:val="17"/>
              </w:rPr>
              <w:t>65</w:t>
            </w:r>
          </w:p>
        </w:tc>
        <w:tc>
          <w:tcPr>
            <w:tcW w:type="dxa" w:w="1440"/>
            <w:shd w:fill="FAFAFA" w:val="clear"/>
          </w:tcPr>
          <w:p>
            <w:r>
              <w:rPr>
                <w:sz w:val="17"/>
              </w:rPr>
              <w:t>70</w:t>
            </w:r>
          </w:p>
        </w:tc>
        <w:tc>
          <w:tcPr>
            <w:tcW w:type="dxa" w:w="1440"/>
            <w:shd w:fill="FAFAFA" w:val="clear"/>
          </w:tcPr>
          <w:p>
            <w:r>
              <w:rPr>
                <w:b/>
                <w:color w:val="008000"/>
                <w:sz w:val="17"/>
              </w:rPr>
              <w:t>+0.2%</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59</w:t>
            </w:r>
          </w:p>
        </w:tc>
        <w:tc>
          <w:tcPr>
            <w:tcW w:type="dxa" w:w="1440"/>
            <w:shd w:fill="FAFAFA" w:val="clear"/>
          </w:tcPr>
          <w:p>
            <w:r>
              <w:rPr>
                <w:b/>
                <w:sz w:val="17"/>
              </w:rPr>
              <w:t>65</w:t>
            </w:r>
          </w:p>
        </w:tc>
        <w:tc>
          <w:tcPr>
            <w:tcW w:type="dxa" w:w="1440"/>
            <w:shd w:fill="FAFAFA" w:val="clear"/>
          </w:tcPr>
          <w:p>
            <w:r>
              <w:rPr>
                <w:sz w:val="17"/>
              </w:rPr>
              <w:t>71</w:t>
            </w:r>
          </w:p>
        </w:tc>
        <w:tc>
          <w:tcPr>
            <w:tcW w:type="dxa" w:w="1440"/>
            <w:shd w:fill="FAFAFA" w:val="clear"/>
          </w:tcPr>
          <w:p>
            <w:r>
              <w:rPr>
                <w:b/>
                <w:color w:val="008000"/>
                <w:sz w:val="17"/>
              </w:rPr>
              <w:t>+0.2%</w:t>
            </w:r>
          </w:p>
        </w:tc>
      </w:tr>
      <w:tr>
        <w:tc>
          <w:tcPr>
            <w:tcW w:type="dxa" w:w="1440"/>
            <w:shd w:fill="FAFAFA" w:val="clear"/>
          </w:tcPr>
          <w:p>
            <w:r>
              <w:rPr>
                <w:sz w:val="17"/>
              </w:rPr>
              <w:t>J+7  ⭐</w:t>
            </w:r>
          </w:p>
        </w:tc>
        <w:tc>
          <w:tcPr>
            <w:tcW w:type="dxa" w:w="1440"/>
            <w:shd w:fill="FAFAFA" w:val="clear"/>
          </w:tcPr>
          <w:p>
            <w:r>
              <w:rPr>
                <w:sz w:val="17"/>
              </w:rPr>
              <w:t>2026-10-27</w:t>
            </w:r>
          </w:p>
        </w:tc>
        <w:tc>
          <w:tcPr>
            <w:tcW w:type="dxa" w:w="1440"/>
            <w:shd w:fill="FAFAFA" w:val="clear"/>
          </w:tcPr>
          <w:p>
            <w:r>
              <w:rPr>
                <w:sz w:val="17"/>
              </w:rPr>
              <w:t>59</w:t>
            </w:r>
          </w:p>
        </w:tc>
        <w:tc>
          <w:tcPr>
            <w:tcW w:type="dxa" w:w="1440"/>
            <w:shd w:fill="FAFAFA" w:val="clear"/>
          </w:tcPr>
          <w:p>
            <w:r>
              <w:rPr>
                <w:b/>
                <w:sz w:val="17"/>
              </w:rPr>
              <w:t>65</w:t>
            </w:r>
          </w:p>
        </w:tc>
        <w:tc>
          <w:tcPr>
            <w:tcW w:type="dxa" w:w="1440"/>
            <w:shd w:fill="FAFAFA" w:val="clear"/>
          </w:tcPr>
          <w:p>
            <w:r>
              <w:rPr>
                <w:sz w:val="17"/>
              </w:rPr>
              <w:t>71</w:t>
            </w:r>
          </w:p>
        </w:tc>
        <w:tc>
          <w:tcPr>
            <w:tcW w:type="dxa" w:w="1440"/>
            <w:shd w:fill="FAFAFA" w:val="clear"/>
          </w:tcPr>
          <w:p>
            <w:r>
              <w:rPr>
                <w:b/>
                <w:color w:val="008000"/>
                <w:sz w:val="17"/>
              </w:rPr>
              <w:t>+0.2%</w:t>
            </w:r>
          </w:p>
        </w:tc>
      </w:tr>
      <w:tr>
        <w:tc>
          <w:tcPr>
            <w:tcW w:type="dxa" w:w="1440"/>
            <w:shd w:fill="FAFAFA" w:val="clear"/>
          </w:tcPr>
          <w:p>
            <w:r>
              <w:rPr>
                <w:sz w:val="17"/>
              </w:rPr>
              <w:t>J+8  ⭐</w:t>
            </w:r>
          </w:p>
        </w:tc>
        <w:tc>
          <w:tcPr>
            <w:tcW w:type="dxa" w:w="1440"/>
            <w:shd w:fill="FAFAFA" w:val="clear"/>
          </w:tcPr>
          <w:p>
            <w:r>
              <w:rPr>
                <w:sz w:val="17"/>
              </w:rPr>
              <w:t>2026-10-28</w:t>
            </w:r>
          </w:p>
        </w:tc>
        <w:tc>
          <w:tcPr>
            <w:tcW w:type="dxa" w:w="1440"/>
            <w:shd w:fill="FAFAFA" w:val="clear"/>
          </w:tcPr>
          <w:p>
            <w:r>
              <w:rPr>
                <w:sz w:val="17"/>
              </w:rPr>
              <w:t>58</w:t>
            </w:r>
          </w:p>
        </w:tc>
        <w:tc>
          <w:tcPr>
            <w:tcW w:type="dxa" w:w="1440"/>
            <w:shd w:fill="FAFAFA" w:val="clear"/>
          </w:tcPr>
          <w:p>
            <w:r>
              <w:rPr>
                <w:b/>
                <w:sz w:val="17"/>
              </w:rPr>
              <w:t>65</w:t>
            </w:r>
          </w:p>
        </w:tc>
        <w:tc>
          <w:tcPr>
            <w:tcW w:type="dxa" w:w="1440"/>
            <w:shd w:fill="FAFAFA" w:val="clear"/>
          </w:tcPr>
          <w:p>
            <w:r>
              <w:rPr>
                <w:sz w:val="17"/>
              </w:rPr>
              <w:t>72</w:t>
            </w:r>
          </w:p>
        </w:tc>
        <w:tc>
          <w:tcPr>
            <w:tcW w:type="dxa" w:w="1440"/>
            <w:shd w:fill="FAFAFA" w:val="clear"/>
          </w:tcPr>
          <w:p>
            <w:r>
              <w:rPr>
                <w:b/>
                <w:color w:val="008000"/>
                <w:sz w:val="17"/>
              </w:rPr>
              <w:t>+0.2%</w:t>
            </w:r>
          </w:p>
        </w:tc>
      </w:tr>
      <w:tr>
        <w:tc>
          <w:tcPr>
            <w:tcW w:type="dxa" w:w="1440"/>
            <w:shd w:fill="FAFAFA" w:val="clear"/>
          </w:tcPr>
          <w:p>
            <w:r>
              <w:rPr>
                <w:sz w:val="17"/>
              </w:rPr>
              <w:t>J+9  ⭐</w:t>
            </w:r>
          </w:p>
        </w:tc>
        <w:tc>
          <w:tcPr>
            <w:tcW w:type="dxa" w:w="1440"/>
            <w:shd w:fill="FAFAFA" w:val="clear"/>
          </w:tcPr>
          <w:p>
            <w:r>
              <w:rPr>
                <w:sz w:val="17"/>
              </w:rPr>
              <w:t>2026-10-29</w:t>
            </w:r>
          </w:p>
        </w:tc>
        <w:tc>
          <w:tcPr>
            <w:tcW w:type="dxa" w:w="1440"/>
            <w:shd w:fill="FAFAFA" w:val="clear"/>
          </w:tcPr>
          <w:p>
            <w:r>
              <w:rPr>
                <w:sz w:val="17"/>
              </w:rPr>
              <w:t>58</w:t>
            </w:r>
          </w:p>
        </w:tc>
        <w:tc>
          <w:tcPr>
            <w:tcW w:type="dxa" w:w="1440"/>
            <w:shd w:fill="FAFAFA" w:val="clear"/>
          </w:tcPr>
          <w:p>
            <w:r>
              <w:rPr>
                <w:b/>
                <w:sz w:val="17"/>
              </w:rPr>
              <w:t>65</w:t>
            </w:r>
          </w:p>
        </w:tc>
        <w:tc>
          <w:tcPr>
            <w:tcW w:type="dxa" w:w="1440"/>
            <w:shd w:fill="FAFAFA" w:val="clear"/>
          </w:tcPr>
          <w:p>
            <w:r>
              <w:rPr>
                <w:sz w:val="17"/>
              </w:rPr>
              <w:t>72</w:t>
            </w:r>
          </w:p>
        </w:tc>
        <w:tc>
          <w:tcPr>
            <w:tcW w:type="dxa" w:w="1440"/>
            <w:shd w:fill="FAFAFA" w:val="clear"/>
          </w:tcPr>
          <w:p>
            <w:r>
              <w:rPr>
                <w:b/>
                <w:color w:val="008000"/>
                <w:sz w:val="17"/>
              </w:rPr>
              <w:t>+0.2%</w:t>
            </w:r>
          </w:p>
        </w:tc>
      </w:tr>
      <w:tr>
        <w:tc>
          <w:tcPr>
            <w:tcW w:type="dxa" w:w="1440"/>
            <w:shd w:fill="FAFAFA" w:val="clear"/>
          </w:tcPr>
          <w:p>
            <w:r>
              <w:rPr>
                <w:sz w:val="17"/>
              </w:rPr>
              <w:t>J+10  ⭐</w:t>
            </w:r>
          </w:p>
        </w:tc>
        <w:tc>
          <w:tcPr>
            <w:tcW w:type="dxa" w:w="1440"/>
            <w:shd w:fill="FAFAFA" w:val="clear"/>
          </w:tcPr>
          <w:p>
            <w:r>
              <w:rPr>
                <w:sz w:val="17"/>
              </w:rPr>
              <w:t>2026-10-30</w:t>
            </w:r>
          </w:p>
        </w:tc>
        <w:tc>
          <w:tcPr>
            <w:tcW w:type="dxa" w:w="1440"/>
            <w:shd w:fill="FAFAFA" w:val="clear"/>
          </w:tcPr>
          <w:p>
            <w:r>
              <w:rPr>
                <w:sz w:val="17"/>
              </w:rPr>
              <w:t>58</w:t>
            </w:r>
          </w:p>
        </w:tc>
        <w:tc>
          <w:tcPr>
            <w:tcW w:type="dxa" w:w="1440"/>
            <w:shd w:fill="FAFAFA" w:val="clear"/>
          </w:tcPr>
          <w:p>
            <w:r>
              <w:rPr>
                <w:b/>
                <w:sz w:val="17"/>
              </w:rPr>
              <w:t>65</w:t>
            </w:r>
          </w:p>
        </w:tc>
        <w:tc>
          <w:tcPr>
            <w:tcW w:type="dxa" w:w="1440"/>
            <w:shd w:fill="FAFAFA" w:val="clear"/>
          </w:tcPr>
          <w:p>
            <w:r>
              <w:rPr>
                <w:sz w:val="17"/>
              </w:rPr>
              <w:t>73</w:t>
            </w:r>
          </w:p>
        </w:tc>
        <w:tc>
          <w:tcPr>
            <w:tcW w:type="dxa" w:w="1440"/>
            <w:shd w:fill="FAFAFA" w:val="clear"/>
          </w:tcPr>
          <w:p>
            <w:r>
              <w:rPr>
                <w:b/>
                <w:color w:val="008000"/>
                <w:sz w:val="17"/>
              </w:rPr>
              <w:t>+0.2%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 📊 RAPPORT D'ANALYSE FINANCIÈRE — ETIT (Ecobank Transnational Incorporated)</w:t>
        <w:br/>
        <w:t>### BRVM | Secteur Bancaire | Cours : 65 FCFA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**1 175,47 Mds FCFA**, ETIT figure parmi les poids lourds de la cote BRVM, ce qui en fait un titre incontournable pour les investisseurs institutionnels régionaux. Le **BPA de 19 FCFA/action** confère au titre un **PER de seulement 3,4x**, très en-dessous de la moyenne BRVM (8-12x), signalant une valorisation manifestement bon marché au regard des bénéfices générés. Le **P/B de 0,74x** — inférieur à 1 — indique que le marché valorise l'action à 74% de sa valeur comptable, une situation rare qui peut traduire soit une opportunité d'achat, soit une défiance persistante des investisseurs. Enfin, l'**EV/EBITDA de 4,9x** (&lt; 5x) confirme que la valeur d'entreprise reste modérée comparée à la capacité opérationnelle de la banque, renforçant le diagnostic de sous-évaluation globale du titre.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ETIT a enregistré une **variation totale spectaculaire de +124,14%**, passant d'un plus bas de **29 FCFA** à un plus haut de **78 FCFA**, soit un range de trading de 49 FCFA qui témoigne d'une dynamique haussière exceptionnelle. La dernière séance est restée stable (**+0,00%**, cours à 65 FCFA), suggérant une phase de consolidation après le rallye. Les statistiques descriptives révèlent une **moyenne de 58 FCFA** contre une **médiane de 66 FCFA** : cet écart significatif confirme une distribution asymétrique, avec davantage de séances de forte hausse tirant la médiane vers le haut. L'**écart-type de 15 FCFA (CV = 26,6%)** indique une dispersion modérée à élevée du cours autour de sa moyenne, cohérente avec un titre en forte tendance. Le **kurtosis de -0,934** (mésokurtique) suggère une distribution proche de la normale, sans pics extrêmes marqués, tandis que le **skewness de -0,893** (asymétrie négative) signale que les journées de hausse ont été plus fréquentes que les journées de baisse — un biais haussier structurel. La **volatilité annualisée de 61,4%** positionne clairement ETIT dans la catégorie des titres à **volatilité élevée** (&gt;30%), ce qui implique un risque de marché important mais aussi un potentiel de gain attractif pour les investisseurs tolérants au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(67,1 FCFA) et la MM50 (67,56 FCFA) se situent toutes deux **au-dessus du cours actuel** (65 FCFA), configurant une pression baissière de court terme. La MM20 étant légèrement en-dessous de la MM50, on observe un début de croisement baissier, ce qui justifie la **décision de Vente** émise par cet indicateur.</w:t>
      </w:r>
    </w:p>
    <w:p>
      <w:pPr>
        <w:spacing w:after="120" w:line="276" w:lineRule="auto"/>
      </w:pPr>
      <w:r>
        <w:t>**Bandes de Bollinger** : Le cours (65 FCFA) évolue dans la moitié inférieure de la bande, entre la borne inférieure (63,435 FCFA) et la borne supérieure (70,765 FCFA), sans franchissement des extrêmes. Cette position centrale, couplée à un resserrement relatif des bandes, traduit une volatilité en cours de normalisation et justifie la **décision Neutre**.</w:t>
      </w:r>
    </w:p>
    <w:p>
      <w:pPr>
        <w:spacing w:after="120" w:line="276" w:lineRule="auto"/>
      </w:pPr>
      <w:r>
        <w:t>**MACD** : La valeur du MACD (-0,783) est **inférieure à sa ligne de signal** (-0,555), confirmant un momentum baissier de court terme. L'histogramme négatif indique que la pression vendeuse persiste, ce qui valide la **décision de Vente** de cet indicateur.</w:t>
      </w:r>
    </w:p>
    <w:p>
      <w:pPr>
        <w:spacing w:after="120" w:line="276" w:lineRule="auto"/>
      </w:pPr>
      <w:r>
        <w:t>**RSI** : À **30,0 exactement**, le RSI se situe à la frontière de la zone de survente (&lt;30), signalant que le titre pourrait être techniquement survendu après son rallye. Cette position charnière justifie la **décision Neutre**, avec un potentiel de rebond technique à surveiller.</w:t>
      </w:r>
    </w:p>
    <w:p>
      <w:pPr>
        <w:spacing w:after="120" w:line="276" w:lineRule="auto"/>
      </w:pPr>
      <w:r>
        <w:t>**Stochastique** : Le %K à **0,0** et le %D à **8,333** placent l'indicateur en **zone de survente extrême**, avec un %K nettement sous le %D. Cette configuration est typique d'un signal d'achat contrarien, justifiant la **décision d'Achat** — le titre pourrait amorcer un rebond à court terme.</w:t>
      </w:r>
    </w:p>
    <w:p>
      <w:pPr>
        <w:spacing w:after="120" w:line="276" w:lineRule="auto"/>
      </w:pPr>
      <w:r>
        <w:t>**Conclusion technique** : Les indicateurs présentent une **divergence notable** : les moyennes mobiles et le MACD sont baissiers (Vente), tandis que le RSI et le stochastique signalent une survente propice à un rebond (Achat/Neutre). Cette configuration suggère une phase de consolidation baissière de court terme, mais avec un potentiel de rebond technique imminent. La prudence reste de mise tant que le cours n'aura pas reconquis la MM20 (67,1 FCFA).</w:t>
      </w:r>
    </w:p>
    <w:p>
      <w:pPr>
        <w:spacing w:after="120" w:line="276" w:lineRule="auto"/>
      </w:pPr>
      <w:r>
        <w:t>---</w:t>
      </w:r>
    </w:p>
    <w:p>
      <w:pPr>
        <w:spacing w:after="120" w:line="276" w:lineRule="auto"/>
      </w:pPr>
      <w:r>
        <w:t>## PARTIE 3 : ANALYSE FONDAMENTALE</w:t>
      </w:r>
    </w:p>
    <w:p>
      <w:pPr>
        <w:spacing w:after="120" w:line="276" w:lineRule="auto"/>
      </w:pPr>
      <w:r>
        <w:t>Les états financiers structurés de l'**exercice 2025** (données officielles brvm_donnees_financieres) révèlent une banque de très grande envergure : un **PNB de 1 424,261 Mds FCFA**, un **résultat net de 345,523 Mds FCFA** (marge nette de 24,26%), un **ROE exceptionnel de 21,62%** (&gt;15% = excellent) et un **ROA de 1,80%**. Le **coefficient d'exploitation de 27,35%** est remarquablement bas (&lt;60% = banque très efficace), témoignant d'une discipline opérationnelle hors norme. Le **coût du risque rapporté aux charges financières s'établit à 18,97%**, un niveau modéré qui traduit un portefeuille de crédit globalement maîtrisé malgré un risque de crédit significatif. La structure de bilan montre une forte capacité de transformation : **14 120,139 Mds FCFA de dépôts clientèle** contre **6 570,385 Mds FCFA de créances clientèle**, soit un ratio dépôts/crédits de 215%, indiquant une surliquidité confortable. Toutefois, l'**autonomie financière de 8,30%** reste faible (norme &gt;30%), reflet d'un modèle bancaire à fort levier (ratio d'endettement de 154%), typique du secteur mais à surveiller.</w:t>
      </w:r>
    </w:p>
    <w:p>
      <w:pPr>
        <w:spacing w:after="120" w:line="276" w:lineRule="auto"/>
      </w:pPr>
      <w:r>
        <w:t>Les rapports narratifs confirment cette dynamique : le **rapport semestriel S1 2026 (analysé le 30/07/2026)** affiche un **PNB de 1 281,330 M$EU (+15%)** et un **résultat net de 296,091 M$EU (+6%)**, avec un coefficient d'exploitation amélioré à **48,4%** et un ratio de prêts non performants en baisse à **7,6%**. Le **rapport T1 2026** montre même un PNB en hausse de **23%** à 636,2 M$EU, mais avec un **coût du risque bondissant de 73%** — signal d'alerte à surveiller. Sur la base de ces tendances, **on estime que l'exercice 2026 devrait afficher un PNB annuel d'environ 2,5-2,6 Mds $EU** (contre 2,45 Mds $EU en 2025), avec un résultat net autour de 600-620 M$EU si le coût du risque se stabilise au second semestre. La recommandation fondamentale est donc **positive mais prudente** : la banque est solide, très rentable et sous-évaluée, mais la montée du coût du risque et la faible autonomie financière constituent des points de vigilance.</w:t>
      </w:r>
    </w:p>
    <w:p>
      <w:pPr>
        <w:spacing w:after="120" w:line="276" w:lineRule="auto"/>
      </w:pPr>
      <w:r>
        <w:t>---</w:t>
      </w:r>
    </w:p>
    <w:p>
      <w:pPr>
        <w:spacing w:after="120" w:line="276" w:lineRule="auto"/>
      </w:pPr>
      <w:r>
        <w:t>## PARTIE 4 : CONCLUSION D'INVESTISSEMENT</w:t>
      </w:r>
    </w:p>
    <w:p>
      <w:pPr>
        <w:spacing w:after="120" w:line="276" w:lineRule="auto"/>
      </w:pPr>
      <w:r>
        <w:t>La synthèse globale des quatre parties dessine un profil d'investissement contrasté mais globalement favorable. **Sur le plan de la valorisation (Partie 0)**, les ratios PER (3,4x), P/B (0,74x) et EV/EBITDA (4,9x) convergent vers un diagnostic clair de **sous-évaluation manifeste** du titre par rapport à ses fondamentaux et à la moyenne du marché BRVM. **Le comportement du cours (Partie 1)** est exceptionnel (+124% sur 100 jours) mais entre en phase de consolidation, avec une volatilité élevée (61,4%) et un skewness négatif qui traduit un biais haussier structurel — des statistiques favorables mais exigeant une tolérance au risque. **Les signaux techniques (Partie 2)** sont divergents : baissiers sur les MM et le MACD, mais survendus sur le RSI et le stochastique, suggérant une consolidation de court terme avant un possible rebond. **Les fondamentaux (Partie 3)** sont solides : ROE de 21,62%, coefficient d'exploitation de 27,35%, PNB en croissance de +15% au S1 2026, malgré un coût du risque en hausse. **Les prédictions IA (J+1 à J+10)** anticipent une **stabilité totale du cours à 65 FCFA** sur les 10 prochains jours ouvrables, confirmant la thèse d'une phase de consolidation sans direction claire à court terme.</w:t>
      </w:r>
    </w:p>
    <w:p>
      <w:pPr>
        <w:spacing w:after="120" w:line="276" w:lineRule="auto"/>
      </w:pPr>
      <w:r>
        <w:t>**Recommandation finale : CONSERVER** (avec biais acheteur pour les investisseurs long terme). La convergence entre une valorisation très attractive, des fondamentaux solides et une prédiction de stabilité à court terme plaide pour la conservation de la position, en attendant un signal technique de reprise (franchissement de la MM20 à 67,1 FCFA) ou une confirmation de la maîtrise du coût du risque au S2 2026 pour passer à l'achat. **Niveau de confiance : Moyen** (les signaux techniques baissiers de court terme tempèrent l'enthousiasme fondamental). **Niveau de risque global : Élevé** (volatilité de 61,4%, faible autonomie financière, coût du risque en hausse). **Horizon d'investissement optimal : Moyen à long terme (6-18 mois)**, le temps que la consolidation technique s'achève et que les fondamentaux de croissance se confirment sur l'exercice 2026 complet.</w:t>
      </w:r>
    </w:p>
    <w:p>
      <w:pPr>
        <w:spacing w:after="120" w:line="276" w:lineRule="auto"/>
      </w:pPr>
      <w:r>
        <w:t>---</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18.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25.39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4,173 titres</w:t>
            </w:r>
          </w:p>
        </w:tc>
        <w:tc>
          <w:tcPr>
            <w:tcW w:type="dxa" w:w="2268"/>
            <w:shd w:fill="FFF2CC" w:val="clear"/>
          </w:tcPr>
          <w:p>
            <w:r>
              <w:rPr>
                <w:b/>
                <w:color w:val="503200"/>
                <w:sz w:val="16"/>
              </w:rPr>
              <w:t xml:space="preserve">Cours actuel : </w:t>
            </w:r>
            <w:r>
              <w:rPr>
                <w:color w:val="000000"/>
                <w:sz w:val="17"/>
              </w:rPr>
              <w:t>1,800 FCFA</w:t>
            </w:r>
          </w:p>
          <w:p>
            <w:r>
              <w:rPr>
                <w:b/>
                <w:color w:val="503200"/>
                <w:sz w:val="16"/>
              </w:rPr>
              <w:t xml:space="preserve">Var. 100 jours : </w:t>
            </w:r>
            <w:r>
              <w:rPr>
                <w:b/>
                <w:color w:val="B40000"/>
                <w:sz w:val="17"/>
              </w:rPr>
              <w:t>-21.74%</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1,800 FCFA</w:t>
            </w:r>
          </w:p>
          <w:p>
            <w:r>
              <w:rPr>
                <w:b/>
                <w:color w:val="503200"/>
                <w:sz w:val="16"/>
              </w:rPr>
              <w:t xml:space="preserve">Volatilité ann. : </w:t>
            </w:r>
            <w:r>
              <w:rPr>
                <w:color w:val="000000"/>
                <w:sz w:val="17"/>
              </w:rPr>
              <w:t>35.9%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6.61% (Moyenne) — μ=2,072 FCFA, σ=137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β=0.5176 (Défensif) — Cov=0.000039, Var(idx)=0.000076, ρ=0.198,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4,173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σ_j=2.26%/j (Stable) — Vol. annualisée≈35.9%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1,710</w:t>
            </w:r>
          </w:p>
        </w:tc>
        <w:tc>
          <w:tcPr>
            <w:tcW w:type="dxa" w:w="1440"/>
            <w:shd w:fill="FAFAFA" w:val="clear"/>
          </w:tcPr>
          <w:p>
            <w:r>
              <w:rPr>
                <w:b/>
                <w:sz w:val="17"/>
              </w:rPr>
              <w:t>1,787</w:t>
            </w:r>
          </w:p>
        </w:tc>
        <w:tc>
          <w:tcPr>
            <w:tcW w:type="dxa" w:w="1440"/>
            <w:shd w:fill="FAFAFA" w:val="clear"/>
          </w:tcPr>
          <w:p>
            <w:r>
              <w:rPr>
                <w:sz w:val="17"/>
              </w:rPr>
              <w:t>1,864</w:t>
            </w:r>
          </w:p>
        </w:tc>
        <w:tc>
          <w:tcPr>
            <w:tcW w:type="dxa" w:w="1440"/>
            <w:shd w:fill="FAFAFA" w:val="clear"/>
          </w:tcPr>
          <w:p>
            <w:r>
              <w:rPr>
                <w:b/>
                <w:color w:val="C00000"/>
                <w:sz w:val="17"/>
              </w:rPr>
              <w:t>-0.7%</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1,669</w:t>
            </w:r>
          </w:p>
        </w:tc>
        <w:tc>
          <w:tcPr>
            <w:tcW w:type="dxa" w:w="1440"/>
            <w:shd w:fill="FAFAFA" w:val="clear"/>
          </w:tcPr>
          <w:p>
            <w:r>
              <w:rPr>
                <w:b/>
                <w:sz w:val="17"/>
              </w:rPr>
              <w:t>1,776</w:t>
            </w:r>
          </w:p>
        </w:tc>
        <w:tc>
          <w:tcPr>
            <w:tcW w:type="dxa" w:w="1440"/>
            <w:shd w:fill="FAFAFA" w:val="clear"/>
          </w:tcPr>
          <w:p>
            <w:r>
              <w:rPr>
                <w:sz w:val="17"/>
              </w:rPr>
              <w:t>1,884</w:t>
            </w:r>
          </w:p>
        </w:tc>
        <w:tc>
          <w:tcPr>
            <w:tcW w:type="dxa" w:w="1440"/>
            <w:shd w:fill="FAFAFA" w:val="clear"/>
          </w:tcPr>
          <w:p>
            <w:r>
              <w:rPr>
                <w:b/>
                <w:color w:val="C00000"/>
                <w:sz w:val="17"/>
              </w:rPr>
              <w:t>-1.3%</w:t>
            </w:r>
          </w:p>
        </w:tc>
      </w:tr>
      <w:tr>
        <w:tc>
          <w:tcPr>
            <w:tcW w:type="dxa" w:w="1440"/>
            <w:shd w:fill="FAFAFA" w:val="clear"/>
          </w:tcPr>
          <w:p>
            <w:r>
              <w:rPr>
                <w:sz w:val="17"/>
              </w:rPr>
              <w:t>J+3  Moyenne</w:t>
            </w:r>
          </w:p>
        </w:tc>
        <w:tc>
          <w:tcPr>
            <w:tcW w:type="dxa" w:w="1440"/>
            <w:shd w:fill="FAFAFA" w:val="clear"/>
          </w:tcPr>
          <w:p>
            <w:r>
              <w:rPr>
                <w:sz w:val="17"/>
              </w:rPr>
              <w:t>2026-10-21</w:t>
            </w:r>
          </w:p>
        </w:tc>
        <w:tc>
          <w:tcPr>
            <w:tcW w:type="dxa" w:w="1440"/>
            <w:shd w:fill="FAFAFA" w:val="clear"/>
          </w:tcPr>
          <w:p>
            <w:r>
              <w:rPr>
                <w:sz w:val="17"/>
              </w:rPr>
              <w:t>1,634</w:t>
            </w:r>
          </w:p>
        </w:tc>
        <w:tc>
          <w:tcPr>
            <w:tcW w:type="dxa" w:w="1440"/>
            <w:shd w:fill="FAFAFA" w:val="clear"/>
          </w:tcPr>
          <w:p>
            <w:r>
              <w:rPr>
                <w:b/>
                <w:sz w:val="17"/>
              </w:rPr>
              <w:t>1,765</w:t>
            </w:r>
          </w:p>
        </w:tc>
        <w:tc>
          <w:tcPr>
            <w:tcW w:type="dxa" w:w="1440"/>
            <w:shd w:fill="FAFAFA" w:val="clear"/>
          </w:tcPr>
          <w:p>
            <w:r>
              <w:rPr>
                <w:sz w:val="17"/>
              </w:rPr>
              <w:t>1,896</w:t>
            </w:r>
          </w:p>
        </w:tc>
        <w:tc>
          <w:tcPr>
            <w:tcW w:type="dxa" w:w="1440"/>
            <w:shd w:fill="FAFAFA" w:val="clear"/>
          </w:tcPr>
          <w:p>
            <w:r>
              <w:rPr>
                <w:b/>
                <w:color w:val="C00000"/>
                <w:sz w:val="17"/>
              </w:rPr>
              <w:t>-1.9%</w:t>
            </w:r>
          </w:p>
        </w:tc>
      </w:tr>
      <w:tr>
        <w:tc>
          <w:tcPr>
            <w:tcW w:type="dxa" w:w="1440"/>
            <w:shd w:fill="FFDCE0" w:val="clear"/>
          </w:tcPr>
          <w:p>
            <w:r>
              <w:rPr>
                <w:sz w:val="17"/>
              </w:rPr>
              <w:t>J+4  ⭐</w:t>
            </w:r>
          </w:p>
        </w:tc>
        <w:tc>
          <w:tcPr>
            <w:tcW w:type="dxa" w:w="1440"/>
            <w:shd w:fill="FFDCE0" w:val="clear"/>
          </w:tcPr>
          <w:p>
            <w:r>
              <w:rPr>
                <w:sz w:val="17"/>
              </w:rPr>
              <w:t>2026-10-22</w:t>
            </w:r>
          </w:p>
        </w:tc>
        <w:tc>
          <w:tcPr>
            <w:tcW w:type="dxa" w:w="1440"/>
            <w:shd w:fill="FFDCE0" w:val="clear"/>
          </w:tcPr>
          <w:p>
            <w:r>
              <w:rPr>
                <w:sz w:val="17"/>
              </w:rPr>
              <w:t>1,604</w:t>
            </w:r>
          </w:p>
        </w:tc>
        <w:tc>
          <w:tcPr>
            <w:tcW w:type="dxa" w:w="1440"/>
            <w:shd w:fill="FFDCE0" w:val="clear"/>
          </w:tcPr>
          <w:p>
            <w:r>
              <w:rPr>
                <w:b/>
                <w:sz w:val="17"/>
              </w:rPr>
              <w:t>1,754</w:t>
            </w:r>
          </w:p>
        </w:tc>
        <w:tc>
          <w:tcPr>
            <w:tcW w:type="dxa" w:w="1440"/>
            <w:shd w:fill="FFDCE0" w:val="clear"/>
          </w:tcPr>
          <w:p>
            <w:r>
              <w:rPr>
                <w:sz w:val="17"/>
              </w:rPr>
              <w:t>1,905</w:t>
            </w:r>
          </w:p>
        </w:tc>
        <w:tc>
          <w:tcPr>
            <w:tcW w:type="dxa" w:w="1440"/>
            <w:shd w:fill="FFDCE0" w:val="clear"/>
          </w:tcPr>
          <w:p>
            <w:r>
              <w:rPr>
                <w:b/>
                <w:color w:val="C00000"/>
                <w:sz w:val="17"/>
              </w:rPr>
              <w:t>-2.5%</w:t>
            </w:r>
          </w:p>
        </w:tc>
      </w:tr>
      <w:tr>
        <w:tc>
          <w:tcPr>
            <w:tcW w:type="dxa" w:w="1440"/>
            <w:shd w:fill="FFDCE0" w:val="clear"/>
          </w:tcPr>
          <w:p>
            <w:r>
              <w:rPr>
                <w:sz w:val="17"/>
              </w:rPr>
              <w:t>J+5  ⭐</w:t>
            </w:r>
          </w:p>
        </w:tc>
        <w:tc>
          <w:tcPr>
            <w:tcW w:type="dxa" w:w="1440"/>
            <w:shd w:fill="FFDCE0" w:val="clear"/>
          </w:tcPr>
          <w:p>
            <w:r>
              <w:rPr>
                <w:sz w:val="17"/>
              </w:rPr>
              <w:t>2026-10-23</w:t>
            </w:r>
          </w:p>
        </w:tc>
        <w:tc>
          <w:tcPr>
            <w:tcW w:type="dxa" w:w="1440"/>
            <w:shd w:fill="FFDCE0" w:val="clear"/>
          </w:tcPr>
          <w:p>
            <w:r>
              <w:rPr>
                <w:sz w:val="17"/>
              </w:rPr>
              <w:t>1,576</w:t>
            </w:r>
          </w:p>
        </w:tc>
        <w:tc>
          <w:tcPr>
            <w:tcW w:type="dxa" w:w="1440"/>
            <w:shd w:fill="FFDCE0" w:val="clear"/>
          </w:tcPr>
          <w:p>
            <w:r>
              <w:rPr>
                <w:b/>
                <w:sz w:val="17"/>
              </w:rPr>
              <w:t>1,743</w:t>
            </w:r>
          </w:p>
        </w:tc>
        <w:tc>
          <w:tcPr>
            <w:tcW w:type="dxa" w:w="1440"/>
            <w:shd w:fill="FFDCE0" w:val="clear"/>
          </w:tcPr>
          <w:p>
            <w:r>
              <w:rPr>
                <w:sz w:val="17"/>
              </w:rPr>
              <w:t>1,910</w:t>
            </w:r>
          </w:p>
        </w:tc>
        <w:tc>
          <w:tcPr>
            <w:tcW w:type="dxa" w:w="1440"/>
            <w:shd w:fill="FFDCE0" w:val="clear"/>
          </w:tcPr>
          <w:p>
            <w:r>
              <w:rPr>
                <w:b/>
                <w:color w:val="C00000"/>
                <w:sz w:val="17"/>
              </w:rPr>
              <w:t>-3.2%</w:t>
            </w:r>
          </w:p>
        </w:tc>
      </w:tr>
      <w:tr>
        <w:tc>
          <w:tcPr>
            <w:tcW w:type="dxa" w:w="1440"/>
            <w:shd w:fill="FFDCE0" w:val="clear"/>
          </w:tcPr>
          <w:p>
            <w:r>
              <w:rPr>
                <w:sz w:val="17"/>
              </w:rPr>
              <w:t>J+6  ⭐</w:t>
            </w:r>
          </w:p>
        </w:tc>
        <w:tc>
          <w:tcPr>
            <w:tcW w:type="dxa" w:w="1440"/>
            <w:shd w:fill="FFDCE0" w:val="clear"/>
          </w:tcPr>
          <w:p>
            <w:r>
              <w:rPr>
                <w:sz w:val="17"/>
              </w:rPr>
              <w:t>2026-10-26</w:t>
            </w:r>
          </w:p>
        </w:tc>
        <w:tc>
          <w:tcPr>
            <w:tcW w:type="dxa" w:w="1440"/>
            <w:shd w:fill="FFDCE0" w:val="clear"/>
          </w:tcPr>
          <w:p>
            <w:r>
              <w:rPr>
                <w:sz w:val="17"/>
              </w:rPr>
              <w:t>1,550</w:t>
            </w:r>
          </w:p>
        </w:tc>
        <w:tc>
          <w:tcPr>
            <w:tcW w:type="dxa" w:w="1440"/>
            <w:shd w:fill="FFDCE0" w:val="clear"/>
          </w:tcPr>
          <w:p>
            <w:r>
              <w:rPr>
                <w:b/>
                <w:sz w:val="17"/>
              </w:rPr>
              <w:t>1,732</w:t>
            </w:r>
          </w:p>
        </w:tc>
        <w:tc>
          <w:tcPr>
            <w:tcW w:type="dxa" w:w="1440"/>
            <w:shd w:fill="FFDCE0" w:val="clear"/>
          </w:tcPr>
          <w:p>
            <w:r>
              <w:rPr>
                <w:sz w:val="17"/>
              </w:rPr>
              <w:t>1,914</w:t>
            </w:r>
          </w:p>
        </w:tc>
        <w:tc>
          <w:tcPr>
            <w:tcW w:type="dxa" w:w="1440"/>
            <w:shd w:fill="FFDCE0" w:val="clear"/>
          </w:tcPr>
          <w:p>
            <w:r>
              <w:rPr>
                <w:b/>
                <w:color w:val="C00000"/>
                <w:sz w:val="17"/>
              </w:rPr>
              <w:t>-3.8%</w:t>
            </w:r>
          </w:p>
        </w:tc>
      </w:tr>
      <w:tr>
        <w:tc>
          <w:tcPr>
            <w:tcW w:type="dxa" w:w="1440"/>
            <w:shd w:fill="FFDCE0" w:val="clear"/>
          </w:tcPr>
          <w:p>
            <w:r>
              <w:rPr>
                <w:sz w:val="17"/>
              </w:rPr>
              <w:t>J+7  ⭐</w:t>
            </w:r>
          </w:p>
        </w:tc>
        <w:tc>
          <w:tcPr>
            <w:tcW w:type="dxa" w:w="1440"/>
            <w:shd w:fill="FFDCE0" w:val="clear"/>
          </w:tcPr>
          <w:p>
            <w:r>
              <w:rPr>
                <w:sz w:val="17"/>
              </w:rPr>
              <w:t>2026-10-27</w:t>
            </w:r>
          </w:p>
        </w:tc>
        <w:tc>
          <w:tcPr>
            <w:tcW w:type="dxa" w:w="1440"/>
            <w:shd w:fill="FFDCE0" w:val="clear"/>
          </w:tcPr>
          <w:p>
            <w:r>
              <w:rPr>
                <w:sz w:val="17"/>
              </w:rPr>
              <w:t>1,526</w:t>
            </w:r>
          </w:p>
        </w:tc>
        <w:tc>
          <w:tcPr>
            <w:tcW w:type="dxa" w:w="1440"/>
            <w:shd w:fill="FFDCE0" w:val="clear"/>
          </w:tcPr>
          <w:p>
            <w:r>
              <w:rPr>
                <w:b/>
                <w:sz w:val="17"/>
              </w:rPr>
              <w:t>1,721</w:t>
            </w:r>
          </w:p>
        </w:tc>
        <w:tc>
          <w:tcPr>
            <w:tcW w:type="dxa" w:w="1440"/>
            <w:shd w:fill="FFDCE0" w:val="clear"/>
          </w:tcPr>
          <w:p>
            <w:r>
              <w:rPr>
                <w:sz w:val="17"/>
              </w:rPr>
              <w:t>1,917</w:t>
            </w:r>
          </w:p>
        </w:tc>
        <w:tc>
          <w:tcPr>
            <w:tcW w:type="dxa" w:w="1440"/>
            <w:shd w:fill="FFDCE0" w:val="clear"/>
          </w:tcPr>
          <w:p>
            <w:r>
              <w:rPr>
                <w:b/>
                <w:color w:val="C00000"/>
                <w:sz w:val="17"/>
              </w:rPr>
              <w:t>-4.4%</w:t>
            </w:r>
          </w:p>
        </w:tc>
      </w:tr>
      <w:tr>
        <w:tc>
          <w:tcPr>
            <w:tcW w:type="dxa" w:w="1440"/>
            <w:shd w:fill="FFDCE0" w:val="clear"/>
          </w:tcPr>
          <w:p>
            <w:r>
              <w:rPr>
                <w:sz w:val="17"/>
              </w:rPr>
              <w:t>J+8  ⭐</w:t>
            </w:r>
          </w:p>
        </w:tc>
        <w:tc>
          <w:tcPr>
            <w:tcW w:type="dxa" w:w="1440"/>
            <w:shd w:fill="FFDCE0" w:val="clear"/>
          </w:tcPr>
          <w:p>
            <w:r>
              <w:rPr>
                <w:sz w:val="17"/>
              </w:rPr>
              <w:t>2026-10-28</w:t>
            </w:r>
          </w:p>
        </w:tc>
        <w:tc>
          <w:tcPr>
            <w:tcW w:type="dxa" w:w="1440"/>
            <w:shd w:fill="FFDCE0" w:val="clear"/>
          </w:tcPr>
          <w:p>
            <w:r>
              <w:rPr>
                <w:sz w:val="17"/>
              </w:rPr>
              <w:t>1,503</w:t>
            </w:r>
          </w:p>
        </w:tc>
        <w:tc>
          <w:tcPr>
            <w:tcW w:type="dxa" w:w="1440"/>
            <w:shd w:fill="FFDCE0" w:val="clear"/>
          </w:tcPr>
          <w:p>
            <w:r>
              <w:rPr>
                <w:b/>
                <w:sz w:val="17"/>
              </w:rPr>
              <w:t>1,711</w:t>
            </w:r>
          </w:p>
        </w:tc>
        <w:tc>
          <w:tcPr>
            <w:tcW w:type="dxa" w:w="1440"/>
            <w:shd w:fill="FFDCE0" w:val="clear"/>
          </w:tcPr>
          <w:p>
            <w:r>
              <w:rPr>
                <w:sz w:val="17"/>
              </w:rPr>
              <w:t>1,918</w:t>
            </w:r>
          </w:p>
        </w:tc>
        <w:tc>
          <w:tcPr>
            <w:tcW w:type="dxa" w:w="1440"/>
            <w:shd w:fill="FFDCE0" w:val="clear"/>
          </w:tcPr>
          <w:p>
            <w:r>
              <w:rPr>
                <w:b/>
                <w:color w:val="C00000"/>
                <w:sz w:val="17"/>
              </w:rPr>
              <w:t>-5.0%</w:t>
            </w:r>
          </w:p>
        </w:tc>
      </w:tr>
      <w:tr>
        <w:tc>
          <w:tcPr>
            <w:tcW w:type="dxa" w:w="1440"/>
            <w:shd w:fill="FFDCE0" w:val="clear"/>
          </w:tcPr>
          <w:p>
            <w:r>
              <w:rPr>
                <w:sz w:val="17"/>
              </w:rPr>
              <w:t>J+9  ⭐</w:t>
            </w:r>
          </w:p>
        </w:tc>
        <w:tc>
          <w:tcPr>
            <w:tcW w:type="dxa" w:w="1440"/>
            <w:shd w:fill="FFDCE0" w:val="clear"/>
          </w:tcPr>
          <w:p>
            <w:r>
              <w:rPr>
                <w:sz w:val="17"/>
              </w:rPr>
              <w:t>2026-10-29</w:t>
            </w:r>
          </w:p>
        </w:tc>
        <w:tc>
          <w:tcPr>
            <w:tcW w:type="dxa" w:w="1440"/>
            <w:shd w:fill="FFDCE0" w:val="clear"/>
          </w:tcPr>
          <w:p>
            <w:r>
              <w:rPr>
                <w:sz w:val="17"/>
              </w:rPr>
              <w:t>1,481</w:t>
            </w:r>
          </w:p>
        </w:tc>
        <w:tc>
          <w:tcPr>
            <w:tcW w:type="dxa" w:w="1440"/>
            <w:shd w:fill="FFDCE0" w:val="clear"/>
          </w:tcPr>
          <w:p>
            <w:r>
              <w:rPr>
                <w:b/>
                <w:sz w:val="17"/>
              </w:rPr>
              <w:t>1,700</w:t>
            </w:r>
          </w:p>
        </w:tc>
        <w:tc>
          <w:tcPr>
            <w:tcW w:type="dxa" w:w="1440"/>
            <w:shd w:fill="FFDCE0" w:val="clear"/>
          </w:tcPr>
          <w:p>
            <w:r>
              <w:rPr>
                <w:sz w:val="17"/>
              </w:rPr>
              <w:t>1,919</w:t>
            </w:r>
          </w:p>
        </w:tc>
        <w:tc>
          <w:tcPr>
            <w:tcW w:type="dxa" w:w="1440"/>
            <w:shd w:fill="FFDCE0" w:val="clear"/>
          </w:tcPr>
          <w:p>
            <w:r>
              <w:rPr>
                <w:b/>
                <w:color w:val="C00000"/>
                <w:sz w:val="17"/>
              </w:rPr>
              <w:t>-5.6%</w:t>
            </w:r>
          </w:p>
        </w:tc>
      </w:tr>
      <w:tr>
        <w:tc>
          <w:tcPr>
            <w:tcW w:type="dxa" w:w="1440"/>
            <w:shd w:fill="FFDCE0" w:val="clear"/>
          </w:tcPr>
          <w:p>
            <w:r>
              <w:rPr>
                <w:sz w:val="17"/>
              </w:rPr>
              <w:t>J+10  ⭐</w:t>
            </w:r>
          </w:p>
        </w:tc>
        <w:tc>
          <w:tcPr>
            <w:tcW w:type="dxa" w:w="1440"/>
            <w:shd w:fill="FFDCE0" w:val="clear"/>
          </w:tcPr>
          <w:p>
            <w:r>
              <w:rPr>
                <w:sz w:val="17"/>
              </w:rPr>
              <w:t>2026-10-30</w:t>
            </w:r>
          </w:p>
        </w:tc>
        <w:tc>
          <w:tcPr>
            <w:tcW w:type="dxa" w:w="1440"/>
            <w:shd w:fill="FFDCE0" w:val="clear"/>
          </w:tcPr>
          <w:p>
            <w:r>
              <w:rPr>
                <w:sz w:val="17"/>
              </w:rPr>
              <w:t>1,460</w:t>
            </w:r>
          </w:p>
        </w:tc>
        <w:tc>
          <w:tcPr>
            <w:tcW w:type="dxa" w:w="1440"/>
            <w:shd w:fill="FFDCE0" w:val="clear"/>
          </w:tcPr>
          <w:p>
            <w:r>
              <w:rPr>
                <w:b/>
                <w:sz w:val="17"/>
              </w:rPr>
              <w:t>1,689</w:t>
            </w:r>
          </w:p>
        </w:tc>
        <w:tc>
          <w:tcPr>
            <w:tcW w:type="dxa" w:w="1440"/>
            <w:shd w:fill="FFDCE0" w:val="clear"/>
          </w:tcPr>
          <w:p>
            <w:r>
              <w:rPr>
                <w:sz w:val="17"/>
              </w:rPr>
              <w:t>1,918</w:t>
            </w:r>
          </w:p>
        </w:tc>
        <w:tc>
          <w:tcPr>
            <w:tcW w:type="dxa" w:w="1440"/>
            <w:shd w:fill="FFDCE0" w:val="clear"/>
          </w:tcPr>
          <w:p>
            <w:r>
              <w:rPr>
                <w:b/>
                <w:color w:val="C00000"/>
                <w:sz w:val="17"/>
              </w:rPr>
              <w:t>-6.1%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 RAPPORT D'ANALYSE FINANCIÈRE — FTSC (FILTISAC CI)</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25,39 Mds FCFA, FTSC se situe dans la catégorie des valeurs moyennes de la cote BRVM, loin des poids lourds bancaires et télécoms. Le BPA de 33 FCFA/action traduit un bénéfice net par titre très faible, cohérent avec l'effondrement du résultat net 2025 à 466 MFCFA. Le PER de 54,5x constitue un signal d'alerte majeur : les investisseurs paient plus de 54 fois les bénéfices actuels, soit un multiple très supérieur à la moyenne BRVM (~8-12x), ce qui traduit une valorisation très exigeante au regard de la rentabilité présente. Le P/B de 1,62x reste en revanche raisonnable, le marché valorisant légèrement au-dessus de la valeur comptable (capitaux propres de 15,7 Mds FCFA). Enfin, l'EV/EBITDA de 34,8x, très supérieur au seuil de 15x, confirme que la valeur d'entreprise intègre une forte prime spéculative par rapport à la capacité opérationnelle réelle, rendant le titre vulnérable à toute déception.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FTSC affiche une variation totale de **-21,74%**, avec une dernière séance stable (+0,00%) à **1 800 FCFA**, soit précisément le plus bas de la période — le titre clôture donc au plancher de son range. Le plus haut atteint 2 430 FCFA, matérialisant un range de trading de 630 FCFA (35% d'amplitude) et une tendance clairement **baissière** sur la période. Les statistiques descriptives révèlent une moyenne de 2 072 FCFA contre une médiane de 2 050 FCFA, un écart modéré signalant une légère asymétrie positive, confirmée par un skewness de 0,459 (distribution qualifiée de symétrique dans les données fournies). L'écart-type de 138 FCFA avec un coefficient de variation de 6,6% indique une dispersion contenue du cours autour de sa moyenne, tandis que le kurtosis de -0,151 (mésokurtique) suggère un comportement proche d'une distribution normale, sans risque marqué de pics extrêmes. La volatilité annualisée de **35,9%** positionne le titre dans la catégorie des valeurs **à volatilité élevée** (&gt;30%), ce qui est cohérent avec un titre en phase de correction baissière et de faible liquidité (volume moyen de 4 173 titres/jour).</w:t>
      </w:r>
    </w:p>
    <w:p>
      <w:pPr>
        <w:spacing w:after="120" w:line="276" w:lineRule="auto"/>
      </w:pPr>
      <w:r>
        <w:t>---</w:t>
      </w:r>
    </w:p>
    <w:p>
      <w:pPr>
        <w:spacing w:after="120" w:line="276" w:lineRule="auto"/>
      </w:pPr>
      <w:r>
        <w:t>## PARTIE 2 : ANALYSE TECHNIQUE DÉTAILLÉE</w:t>
      </w:r>
    </w:p>
    <w:p>
      <w:pPr>
        <w:spacing w:after="120" w:line="276" w:lineRule="auto"/>
      </w:pPr>
      <w:r>
        <w:t>**Moyennes Mobiles** : La MM20 (1 935,25 FCFA) et la MM50 (2 053,3 FCFA) se situent toutes deux au-dessus du cours actuel (1 800 FCFA), avec une MM20 inférieure à la MM50 — configuration baissière caractéristique. Le cours évoluant sous ses deux moyennes, la pression vendeuse domine et justifie la décision **Vente**.</w:t>
      </w:r>
    </w:p>
    <w:p>
      <w:pPr>
        <w:spacing w:after="120" w:line="276" w:lineRule="auto"/>
      </w:pPr>
      <w:r>
        <w:t>**Bandes de Bollinger** : Le cours (1 800 FCFA) se situe dans la partie basse du canal, proche de la borne inférieure (1 765,685 FCFA) et loin de la borne supérieure (2 104,815 FCFA), traduisant une pression baissière persistante mais sans franchissement du seuil de survente extrême. La décision est **Neutre**, le titre n'étant ni en rebond technique confirmé ni en cassure nette.</w:t>
      </w:r>
    </w:p>
    <w:p>
      <w:pPr>
        <w:spacing w:after="120" w:line="276" w:lineRule="auto"/>
      </w:pPr>
      <w:r>
        <w:t>**MACD** : Le MACD (-66,411) est inférieur à son signal (-53,673), avec un histogramme négatif qui confirme un momentum baissier toujours actif. La divergence négative MACD-Signal valide la décision **Vente**, aucun croisement haussier n'étant en formation.</w:t>
      </w:r>
    </w:p>
    <w:p>
      <w:pPr>
        <w:spacing w:after="120" w:line="276" w:lineRule="auto"/>
      </w:pPr>
      <w:r>
        <w:t>**RSI** : À 30,0 exactement, le RSI se situe à la frontière de la zone de survente (&lt;30), signalant un épuisement potentiel de la pression vendeuse mais sans rebond confirmé. La décision est **Neutre**, le seuil critique n'étant pas franchi à la baisse.</w:t>
      </w:r>
    </w:p>
    <w:p>
      <w:pPr>
        <w:spacing w:after="120" w:line="276" w:lineRule="auto"/>
      </w:pPr>
      <w:r>
        <w:t>**Stochastique** : Avec %K et %D tous deux à 0,0, l'indicateur est en zone de survente extrême, ce qui constitue classiquement un signal d'achat contrarien. La décision **Achat** traduit l'anticipation d'un rebond technique, bien que ce signal isolé doive être pondéré par la tendance baissière de fond.</w:t>
      </w:r>
    </w:p>
    <w:p>
      <w:pPr>
        <w:spacing w:after="120" w:line="276" w:lineRule="auto"/>
      </w:pPr>
      <w:r>
        <w:t>**Conclusion technique** : Les indicateurs convergent majoritairement vers une configuration baissière (MM, MACD), avec un cours collé au plancher du range et une volatilité élevée. Seul le stochastique en survente extrême suggère un possible rebond technique à court terme, mais le RSI à 30 et la position sous les moyennes mobiles maintiennent un biais défavorable. La configuration globale reste **baissière à neutre**, sans signal d'achat confirmé.</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FTSC réalise un chiffre d'affaires de **32,109 Mds FCFA** (+4,6% selon le taux de croissance fourni), mais son résultat net s'effondre à **465,98 MFCFA**, soit une marge nette de seulement **1,45%** (contre 60,6% en 2024, année artificiellement gonflée par des produits exceptionnels). Le ROE chute à **2,97%** (très loin du seuil de 15% d'excellence) et le ROA à **1,19%**, traduisant une rentabilité des actifs quasi nulle. Sur le plan de la structure, l'autonomie financière reste saine à **40,11%** (capitaux propres de 15,703 Mds FCFA), mais le ratio d'endettement atteint **97,6%** et la trésorerie nette est fortement négative à **-11,528 Mds FCFA**. Les délais d'exploitation sont préoccupants : **213,72 jours** de délai clients et **214,65 jours** de rotation des stocks, immobilisant massivement le capital et expliquant le BFR de 11,529 Mds FCFA. La capacité de remboursement de 11,49 années et la couverture des intérêts à seulement 40,58% signalent une tension financière réelle.</w:t>
      </w:r>
    </w:p>
    <w:p>
      <w:pPr>
        <w:spacing w:after="120" w:line="276" w:lineRule="auto"/>
      </w:pPr>
      <w:r>
        <w:t>**Estimations issues des rapports trimestriels** : Le rapport du **T1 2026 (daté du 31 mars 2026)** montre un chiffre d'affaires de 8 901 MFCFA en hausse spectaculaire de **+55%**, porté par la demande d'emballages cacao, avec un résultat d'exploitation redevenu positif (+75 MFCFA contre -78 MFCFA au T1 2025). Toutefois, le résultat net reste déficitaire à **-154 MFCFA**. On estime donc que l'exercice 2026 pourrait bénéficier d'un rebond opérationnel, mais la persistance des pertes nettes trimestrielles empêche d'anticiper un retour à la rentabilité annuelle positive. Le communiqué du **8 juillet 2026** rassure sur la continuité d'activité malgré l'arrêt de la filature (interdiction d'exportation de jute par le Bangladesh), avec une solution d'importation alternative, mais cette dépendance aux intrants et au fret reste un risque structurel.</w:t>
      </w:r>
    </w:p>
    <w:p>
      <w:pPr>
        <w:spacing w:after="120" w:line="276" w:lineRule="auto"/>
      </w:pPr>
      <w:r>
        <w:t>**Recommandation fondamentale** : La société présente une croissance commerciale réelle mais une rentabilité nette quasi inexistante, une trésorerie dégradée et une absence totale de dividende (contre 2 000,67 FCFA/action en 2024). Le profil est celui d'un **retournement opérationnel non confirmé**, avec des risques financiers élevés. Recommandation fondamentale : **CONSERVER** avec surveillance stricte de la rentabilité nette et de la trésorerie.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tableau contrasté. **Sur la valorisation (Partie 0)**, le PER de 54,5x et l'EV/EBITDA de 34,8x indiquent une nette **surévaluation** au regard des bénéfices actuels, seul le P/B de 1,62x offrant un ancrage raisonnable. **Sur le comportement du cours (Partie 1)**, la tendance est franchement baissière (-21,74%), le titre clôturant au plus bas de son range avec une volatilité élevée (35,9%), bien que les statistiques (kurtosis proche de la normale, skewness symétrique) n'indiquent pas de risque de pics extrêmes. **Sur le plan technique (Partie 2)**, les signaux sont majoritairement baissiers (MM, MACD) avec un cours sous ses moyennes, seul le stochastique en survente extrême suggérant un rebond technique fragile. **Sur les fondamentaux (Partie 3)**, la croissance du CA (+4,6% en 2025, +55% au T1 2026) et l'amélioration opérationnelle ne compensent pas l'effondrement du résultat net (ROE 2,97%) et la trésorerie négative de -11,5 Mds FCFA. **Les prédictions IA (J+1 à J+10)** confirment la trajectoire baissière, projetant une descente de 1 787 à 1 743 FCFA, soit une poursuite de la correction vers de nouveaux plus bas.</w:t>
      </w:r>
    </w:p>
    <w:p>
      <w:pPr>
        <w:spacing w:after="120" w:line="276" w:lineRule="auto"/>
      </w:pPr>
      <w:r>
        <w:t>**Recommandation finale : CONSERVER** (avec biais vendeur pour les investisseurs de court terme). La convergence est claire entre valorisation exigeante, technique baissière, fondamentaux fragiles et prédictions IA négatives — aucun signal d'achat ne se dégage. Le niveau de confiance est **Moyen** (les données fondamentales 2025 sont solides mais le rebond du T1 2026 introduit une incertitude), et le niveau de risque global est **Élevé** (trésorerie négative, absence de dividende, dépendance aux intrants et au cacao). L'horizon d'investissement optimal est le **moyen terme (3-12 mois)**, le temps de vérifier si le redressement opérationnel du T1 2026 se confirme par deux trimestres consécutifs de résultat net positif — condition nécessaire à tout passage à l'ACHAT.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19.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80.00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4,764 titres</w:t>
            </w:r>
          </w:p>
        </w:tc>
        <w:tc>
          <w:tcPr>
            <w:tcW w:type="dxa" w:w="2268"/>
            <w:shd w:fill="FFF2CC" w:val="clear"/>
          </w:tcPr>
          <w:p>
            <w:r>
              <w:rPr>
                <w:b/>
                <w:color w:val="503200"/>
                <w:sz w:val="16"/>
              </w:rPr>
              <w:t xml:space="preserve">Cours actuel : </w:t>
            </w:r>
            <w:r>
              <w:rPr>
                <w:color w:val="000000"/>
                <w:sz w:val="17"/>
              </w:rPr>
              <w:t>4,000 FCFA</w:t>
            </w:r>
          </w:p>
          <w:p>
            <w:r>
              <w:rPr>
                <w:b/>
                <w:color w:val="503200"/>
                <w:sz w:val="16"/>
              </w:rPr>
              <w:t xml:space="preserve">Var. 100 jours : </w:t>
            </w:r>
            <w:r>
              <w:rPr>
                <w:b/>
                <w:color w:val="007800"/>
                <w:sz w:val="17"/>
              </w:rPr>
              <w:t>+0.25%</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3,700 FCFA</w:t>
            </w:r>
          </w:p>
          <w:p>
            <w:r>
              <w:rPr>
                <w:b/>
                <w:color w:val="503200"/>
                <w:sz w:val="16"/>
              </w:rPr>
              <w:t xml:space="preserve">Volatilité ann. : </w:t>
            </w:r>
            <w:r>
              <w:rPr>
                <w:color w:val="000000"/>
                <w:sz w:val="17"/>
              </w:rPr>
              <w:t>41.1%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4.63% (Faible) — μ=4,079 FCFA, σ=189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β=0.5899 (Défensif) — Cov=0.000045, Var(idx)=0.000076, ρ=0.198,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4,764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σ_j=2.59%/j (Stable) — Vol. annualisée≈41.1%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3,822</w:t>
            </w:r>
          </w:p>
        </w:tc>
        <w:tc>
          <w:tcPr>
            <w:tcW w:type="dxa" w:w="1440"/>
            <w:shd w:fill="FAFAFA" w:val="clear"/>
          </w:tcPr>
          <w:p>
            <w:r>
              <w:rPr>
                <w:b/>
                <w:sz w:val="17"/>
              </w:rPr>
              <w:t>3,997</w:t>
            </w:r>
          </w:p>
        </w:tc>
        <w:tc>
          <w:tcPr>
            <w:tcW w:type="dxa" w:w="1440"/>
            <w:shd w:fill="FAFAFA" w:val="clear"/>
          </w:tcPr>
          <w:p>
            <w:r>
              <w:rPr>
                <w:sz w:val="17"/>
              </w:rPr>
              <w:t>4,173</w:t>
            </w:r>
          </w:p>
        </w:tc>
        <w:tc>
          <w:tcPr>
            <w:tcW w:type="dxa" w:w="1440"/>
            <w:shd w:fill="FAFAFA" w:val="clear"/>
          </w:tcPr>
          <w:p>
            <w:r>
              <w:rPr>
                <w:b/>
                <w:color w:val="C00000"/>
                <w:sz w:val="17"/>
              </w:rPr>
              <w:t>-0.1%</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3,756</w:t>
            </w:r>
          </w:p>
        </w:tc>
        <w:tc>
          <w:tcPr>
            <w:tcW w:type="dxa" w:w="1440"/>
            <w:shd w:fill="FAFAFA" w:val="clear"/>
          </w:tcPr>
          <w:p>
            <w:r>
              <w:rPr>
                <w:b/>
                <w:sz w:val="17"/>
              </w:rPr>
              <w:t>4,004</w:t>
            </w:r>
          </w:p>
        </w:tc>
        <w:tc>
          <w:tcPr>
            <w:tcW w:type="dxa" w:w="1440"/>
            <w:shd w:fill="FAFAFA" w:val="clear"/>
          </w:tcPr>
          <w:p>
            <w:r>
              <w:rPr>
                <w:sz w:val="17"/>
              </w:rPr>
              <w:t>4,253</w:t>
            </w:r>
          </w:p>
        </w:tc>
        <w:tc>
          <w:tcPr>
            <w:tcW w:type="dxa" w:w="1440"/>
            <w:shd w:fill="FAFAFA" w:val="clear"/>
          </w:tcPr>
          <w:p>
            <w:r>
              <w:rPr>
                <w:b/>
                <w:color w:val="008000"/>
                <w:sz w:val="17"/>
              </w:rPr>
              <w:t>+0.1%</w:t>
            </w:r>
          </w:p>
        </w:tc>
      </w:tr>
      <w:tr>
        <w:tc>
          <w:tcPr>
            <w:tcW w:type="dxa" w:w="1440"/>
            <w:shd w:fill="FAFAFA" w:val="clear"/>
          </w:tcPr>
          <w:p>
            <w:r>
              <w:rPr>
                <w:sz w:val="17"/>
              </w:rPr>
              <w:t>J+3  Moyenne</w:t>
            </w:r>
          </w:p>
        </w:tc>
        <w:tc>
          <w:tcPr>
            <w:tcW w:type="dxa" w:w="1440"/>
            <w:shd w:fill="FAFAFA" w:val="clear"/>
          </w:tcPr>
          <w:p>
            <w:r>
              <w:rPr>
                <w:sz w:val="17"/>
              </w:rPr>
              <w:t>2026-10-21</w:t>
            </w:r>
          </w:p>
        </w:tc>
        <w:tc>
          <w:tcPr>
            <w:tcW w:type="dxa" w:w="1440"/>
            <w:shd w:fill="FAFAFA" w:val="clear"/>
          </w:tcPr>
          <w:p>
            <w:r>
              <w:rPr>
                <w:sz w:val="17"/>
              </w:rPr>
              <w:t>3,705</w:t>
            </w:r>
          </w:p>
        </w:tc>
        <w:tc>
          <w:tcPr>
            <w:tcW w:type="dxa" w:w="1440"/>
            <w:shd w:fill="FAFAFA" w:val="clear"/>
          </w:tcPr>
          <w:p>
            <w:r>
              <w:rPr>
                <w:b/>
                <w:sz w:val="17"/>
              </w:rPr>
              <w:t>4,009</w:t>
            </w:r>
          </w:p>
        </w:tc>
        <w:tc>
          <w:tcPr>
            <w:tcW w:type="dxa" w:w="1440"/>
            <w:shd w:fill="FAFAFA" w:val="clear"/>
          </w:tcPr>
          <w:p>
            <w:r>
              <w:rPr>
                <w:sz w:val="17"/>
              </w:rPr>
              <w:t>4,314</w:t>
            </w:r>
          </w:p>
        </w:tc>
        <w:tc>
          <w:tcPr>
            <w:tcW w:type="dxa" w:w="1440"/>
            <w:shd w:fill="FAFAFA" w:val="clear"/>
          </w:tcPr>
          <w:p>
            <w:r>
              <w:rPr>
                <w:b/>
                <w:color w:val="008000"/>
                <w:sz w:val="17"/>
              </w:rPr>
              <w:t>+0.2%</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3,662</w:t>
            </w:r>
          </w:p>
        </w:tc>
        <w:tc>
          <w:tcPr>
            <w:tcW w:type="dxa" w:w="1440"/>
            <w:shd w:fill="FAFAFA" w:val="clear"/>
          </w:tcPr>
          <w:p>
            <w:r>
              <w:rPr>
                <w:b/>
                <w:sz w:val="17"/>
              </w:rPr>
              <w:t>4,013</w:t>
            </w:r>
          </w:p>
        </w:tc>
        <w:tc>
          <w:tcPr>
            <w:tcW w:type="dxa" w:w="1440"/>
            <w:shd w:fill="FAFAFA" w:val="clear"/>
          </w:tcPr>
          <w:p>
            <w:r>
              <w:rPr>
                <w:sz w:val="17"/>
              </w:rPr>
              <w:t>4,365</w:t>
            </w:r>
          </w:p>
        </w:tc>
        <w:tc>
          <w:tcPr>
            <w:tcW w:type="dxa" w:w="1440"/>
            <w:shd w:fill="FAFAFA" w:val="clear"/>
          </w:tcPr>
          <w:p>
            <w:r>
              <w:rPr>
                <w:b/>
                <w:color w:val="008000"/>
                <w:sz w:val="17"/>
              </w:rPr>
              <w:t>+0.3%</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3,625</w:t>
            </w:r>
          </w:p>
        </w:tc>
        <w:tc>
          <w:tcPr>
            <w:tcW w:type="dxa" w:w="1440"/>
            <w:shd w:fill="FAFAFA" w:val="clear"/>
          </w:tcPr>
          <w:p>
            <w:r>
              <w:rPr>
                <w:b/>
                <w:sz w:val="17"/>
              </w:rPr>
              <w:t>4,019</w:t>
            </w:r>
          </w:p>
        </w:tc>
        <w:tc>
          <w:tcPr>
            <w:tcW w:type="dxa" w:w="1440"/>
            <w:shd w:fill="FAFAFA" w:val="clear"/>
          </w:tcPr>
          <w:p>
            <w:r>
              <w:rPr>
                <w:sz w:val="17"/>
              </w:rPr>
              <w:t>4,413</w:t>
            </w:r>
          </w:p>
        </w:tc>
        <w:tc>
          <w:tcPr>
            <w:tcW w:type="dxa" w:w="1440"/>
            <w:shd w:fill="FAFAFA" w:val="clear"/>
          </w:tcPr>
          <w:p>
            <w:r>
              <w:rPr>
                <w:b/>
                <w:color w:val="008000"/>
                <w:sz w:val="17"/>
              </w:rPr>
              <w:t>+0.5%</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3,591</w:t>
            </w:r>
          </w:p>
        </w:tc>
        <w:tc>
          <w:tcPr>
            <w:tcW w:type="dxa" w:w="1440"/>
            <w:shd w:fill="FAFAFA" w:val="clear"/>
          </w:tcPr>
          <w:p>
            <w:r>
              <w:rPr>
                <w:b/>
                <w:sz w:val="17"/>
              </w:rPr>
              <w:t>4,024</w:t>
            </w:r>
          </w:p>
        </w:tc>
        <w:tc>
          <w:tcPr>
            <w:tcW w:type="dxa" w:w="1440"/>
            <w:shd w:fill="FAFAFA" w:val="clear"/>
          </w:tcPr>
          <w:p>
            <w:r>
              <w:rPr>
                <w:sz w:val="17"/>
              </w:rPr>
              <w:t>4,456</w:t>
            </w:r>
          </w:p>
        </w:tc>
        <w:tc>
          <w:tcPr>
            <w:tcW w:type="dxa" w:w="1440"/>
            <w:shd w:fill="FAFAFA" w:val="clear"/>
          </w:tcPr>
          <w:p>
            <w:r>
              <w:rPr>
                <w:b/>
                <w:color w:val="008000"/>
                <w:sz w:val="17"/>
              </w:rPr>
              <w:t>+0.6%</w:t>
            </w:r>
          </w:p>
        </w:tc>
      </w:tr>
      <w:tr>
        <w:tc>
          <w:tcPr>
            <w:tcW w:type="dxa" w:w="1440"/>
            <w:shd w:fill="FAFAFA" w:val="clear"/>
          </w:tcPr>
          <w:p>
            <w:r>
              <w:rPr>
                <w:sz w:val="17"/>
              </w:rPr>
              <w:t>J+7  ⭐</w:t>
            </w:r>
          </w:p>
        </w:tc>
        <w:tc>
          <w:tcPr>
            <w:tcW w:type="dxa" w:w="1440"/>
            <w:shd w:fill="FAFAFA" w:val="clear"/>
          </w:tcPr>
          <w:p>
            <w:r>
              <w:rPr>
                <w:sz w:val="17"/>
              </w:rPr>
              <w:t>2026-10-27</w:t>
            </w:r>
          </w:p>
        </w:tc>
        <w:tc>
          <w:tcPr>
            <w:tcW w:type="dxa" w:w="1440"/>
            <w:shd w:fill="FAFAFA" w:val="clear"/>
          </w:tcPr>
          <w:p>
            <w:r>
              <w:rPr>
                <w:sz w:val="17"/>
              </w:rPr>
              <w:t>3,562</w:t>
            </w:r>
          </w:p>
        </w:tc>
        <w:tc>
          <w:tcPr>
            <w:tcW w:type="dxa" w:w="1440"/>
            <w:shd w:fill="FAFAFA" w:val="clear"/>
          </w:tcPr>
          <w:p>
            <w:r>
              <w:rPr>
                <w:b/>
                <w:sz w:val="17"/>
              </w:rPr>
              <w:t>4,029</w:t>
            </w:r>
          </w:p>
        </w:tc>
        <w:tc>
          <w:tcPr>
            <w:tcW w:type="dxa" w:w="1440"/>
            <w:shd w:fill="FAFAFA" w:val="clear"/>
          </w:tcPr>
          <w:p>
            <w:r>
              <w:rPr>
                <w:sz w:val="17"/>
              </w:rPr>
              <w:t>4,496</w:t>
            </w:r>
          </w:p>
        </w:tc>
        <w:tc>
          <w:tcPr>
            <w:tcW w:type="dxa" w:w="1440"/>
            <w:shd w:fill="FAFAFA" w:val="clear"/>
          </w:tcPr>
          <w:p>
            <w:r>
              <w:rPr>
                <w:b/>
                <w:color w:val="008000"/>
                <w:sz w:val="17"/>
              </w:rPr>
              <w:t>+0.7%</w:t>
            </w:r>
          </w:p>
        </w:tc>
      </w:tr>
      <w:tr>
        <w:tc>
          <w:tcPr>
            <w:tcW w:type="dxa" w:w="1440"/>
            <w:shd w:fill="FAFAFA" w:val="clear"/>
          </w:tcPr>
          <w:p>
            <w:r>
              <w:rPr>
                <w:sz w:val="17"/>
              </w:rPr>
              <w:t>J+8  ⭐</w:t>
            </w:r>
          </w:p>
        </w:tc>
        <w:tc>
          <w:tcPr>
            <w:tcW w:type="dxa" w:w="1440"/>
            <w:shd w:fill="FAFAFA" w:val="clear"/>
          </w:tcPr>
          <w:p>
            <w:r>
              <w:rPr>
                <w:sz w:val="17"/>
              </w:rPr>
              <w:t>2026-10-28</w:t>
            </w:r>
          </w:p>
        </w:tc>
        <w:tc>
          <w:tcPr>
            <w:tcW w:type="dxa" w:w="1440"/>
            <w:shd w:fill="FAFAFA" w:val="clear"/>
          </w:tcPr>
          <w:p>
            <w:r>
              <w:rPr>
                <w:sz w:val="17"/>
              </w:rPr>
              <w:t>3,538</w:t>
            </w:r>
          </w:p>
        </w:tc>
        <w:tc>
          <w:tcPr>
            <w:tcW w:type="dxa" w:w="1440"/>
            <w:shd w:fill="FAFAFA" w:val="clear"/>
          </w:tcPr>
          <w:p>
            <w:r>
              <w:rPr>
                <w:b/>
                <w:sz w:val="17"/>
              </w:rPr>
              <w:t>4,038</w:t>
            </w:r>
          </w:p>
        </w:tc>
        <w:tc>
          <w:tcPr>
            <w:tcW w:type="dxa" w:w="1440"/>
            <w:shd w:fill="FAFAFA" w:val="clear"/>
          </w:tcPr>
          <w:p>
            <w:r>
              <w:rPr>
                <w:sz w:val="17"/>
              </w:rPr>
              <w:t>4,539</w:t>
            </w:r>
          </w:p>
        </w:tc>
        <w:tc>
          <w:tcPr>
            <w:tcW w:type="dxa" w:w="1440"/>
            <w:shd w:fill="FAFAFA" w:val="clear"/>
          </w:tcPr>
          <w:p>
            <w:r>
              <w:rPr>
                <w:b/>
                <w:color w:val="008000"/>
                <w:sz w:val="17"/>
              </w:rPr>
              <w:t>+1.0%</w:t>
            </w:r>
          </w:p>
        </w:tc>
      </w:tr>
      <w:tr>
        <w:tc>
          <w:tcPr>
            <w:tcW w:type="dxa" w:w="1440"/>
            <w:shd w:fill="FAFAFA" w:val="clear"/>
          </w:tcPr>
          <w:p>
            <w:r>
              <w:rPr>
                <w:sz w:val="17"/>
              </w:rPr>
              <w:t>J+9  ⭐</w:t>
            </w:r>
          </w:p>
        </w:tc>
        <w:tc>
          <w:tcPr>
            <w:tcW w:type="dxa" w:w="1440"/>
            <w:shd w:fill="FAFAFA" w:val="clear"/>
          </w:tcPr>
          <w:p>
            <w:r>
              <w:rPr>
                <w:sz w:val="17"/>
              </w:rPr>
              <w:t>2026-10-29</w:t>
            </w:r>
          </w:p>
        </w:tc>
        <w:tc>
          <w:tcPr>
            <w:tcW w:type="dxa" w:w="1440"/>
            <w:shd w:fill="FAFAFA" w:val="clear"/>
          </w:tcPr>
          <w:p>
            <w:r>
              <w:rPr>
                <w:sz w:val="17"/>
              </w:rPr>
              <w:t>3,512</w:t>
            </w:r>
          </w:p>
        </w:tc>
        <w:tc>
          <w:tcPr>
            <w:tcW w:type="dxa" w:w="1440"/>
            <w:shd w:fill="FAFAFA" w:val="clear"/>
          </w:tcPr>
          <w:p>
            <w:r>
              <w:rPr>
                <w:b/>
                <w:sz w:val="17"/>
              </w:rPr>
              <w:t>4,044</w:t>
            </w:r>
          </w:p>
        </w:tc>
        <w:tc>
          <w:tcPr>
            <w:tcW w:type="dxa" w:w="1440"/>
            <w:shd w:fill="FAFAFA" w:val="clear"/>
          </w:tcPr>
          <w:p>
            <w:r>
              <w:rPr>
                <w:sz w:val="17"/>
              </w:rPr>
              <w:t>4,576</w:t>
            </w:r>
          </w:p>
        </w:tc>
        <w:tc>
          <w:tcPr>
            <w:tcW w:type="dxa" w:w="1440"/>
            <w:shd w:fill="FAFAFA" w:val="clear"/>
          </w:tcPr>
          <w:p>
            <w:r>
              <w:rPr>
                <w:b/>
                <w:color w:val="008000"/>
                <w:sz w:val="17"/>
              </w:rPr>
              <w:t>+1.1%</w:t>
            </w:r>
          </w:p>
        </w:tc>
      </w:tr>
      <w:tr>
        <w:tc>
          <w:tcPr>
            <w:tcW w:type="dxa" w:w="1440"/>
            <w:shd w:fill="FAFAFA" w:val="clear"/>
          </w:tcPr>
          <w:p>
            <w:r>
              <w:rPr>
                <w:sz w:val="17"/>
              </w:rPr>
              <w:t>J+10  ⭐</w:t>
            </w:r>
          </w:p>
        </w:tc>
        <w:tc>
          <w:tcPr>
            <w:tcW w:type="dxa" w:w="1440"/>
            <w:shd w:fill="FAFAFA" w:val="clear"/>
          </w:tcPr>
          <w:p>
            <w:r>
              <w:rPr>
                <w:sz w:val="17"/>
              </w:rPr>
              <w:t>2026-10-30</w:t>
            </w:r>
          </w:p>
        </w:tc>
        <w:tc>
          <w:tcPr>
            <w:tcW w:type="dxa" w:w="1440"/>
            <w:shd w:fill="FAFAFA" w:val="clear"/>
          </w:tcPr>
          <w:p>
            <w:r>
              <w:rPr>
                <w:sz w:val="17"/>
              </w:rPr>
              <w:t>3,487</w:t>
            </w:r>
          </w:p>
        </w:tc>
        <w:tc>
          <w:tcPr>
            <w:tcW w:type="dxa" w:w="1440"/>
            <w:shd w:fill="FAFAFA" w:val="clear"/>
          </w:tcPr>
          <w:p>
            <w:r>
              <w:rPr>
                <w:b/>
                <w:sz w:val="17"/>
              </w:rPr>
              <w:t>4,048</w:t>
            </w:r>
          </w:p>
        </w:tc>
        <w:tc>
          <w:tcPr>
            <w:tcW w:type="dxa" w:w="1440"/>
            <w:shd w:fill="FAFAFA" w:val="clear"/>
          </w:tcPr>
          <w:p>
            <w:r>
              <w:rPr>
                <w:sz w:val="17"/>
              </w:rPr>
              <w:t>4,609</w:t>
            </w:r>
          </w:p>
        </w:tc>
        <w:tc>
          <w:tcPr>
            <w:tcW w:type="dxa" w:w="1440"/>
            <w:shd w:fill="FAFAFA" w:val="clear"/>
          </w:tcPr>
          <w:p>
            <w:r>
              <w:rPr>
                <w:b/>
                <w:color w:val="008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 RAPPORT D'ANALYSE FINANCIÈRE — LNBB (Loterie Nationale du Bénin SA)</w:t>
        <w:br/>
        <w:t>**Bourse Régionale des Valeurs Mobilières (BRVM) — Secteur : Entreprise non bancaire**</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LNBB s'établit à 80,00 Mds FCFA, un niveau significatif à l'échelle de la BRVM qui positionne la société parmi les valeurs de taille intermédiaire de la cote. Avec un BPA de 231 FCFA/action, chaque titre génère un bénéfice unitaire confortable, mais le PER de 17,3x traduit une valorisation nettement supérieure à la moyenne du marché BRVM (8-12x) : les investisseurs paient donc une prime certaine pour les bénéfices, ce qui intègre déjà une partie des anticipations de redressement. Le P/B de 3,64x confirme cette prime de croissance — le marché valorise la société à plus de 3,6 fois sa valeur comptable, dans le haut de la fourchette 2-4x. Enfin, l'EV/EBITDA de 10,1x, bien que dans la fourchette 10-15x qualifiée d'élevée, reste cohérent avec la capacité opérationnelle de la société (EBE de 7,16 Mds FCFA en 2025) ; l'ensemble dessine une valorisation raisonnable mais non bon marché, qui exige une confirmation des résultats pour être pleinement justifiée.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LNBB n'a progressé que de +0,25%, terminant à 4 000 FCFA, tandis que la dernière séance (J-1) a enregistré un repli de -1,96% — un signal de court terme négatif. Le titre a évolué dans un range relativement large de 860 FCFA, entre un plus bas de 3 700 FCFA et un plus haut de 4 560 FCFA, soit une amplitude de plus de 23% qui traduit une réelle nervosité malgré la stabilité de la performance globale. La tendance générale est donc stable à légèrement haussière, mais sans dynamique franche, le cours évoluant autour de son point de départ. Les statistiques descriptives confirment cette lecture : la moyenne (4 079 FCFA) est légèrement supérieure à la médiane (4 050 FCFA), et le mode à 4 000 FCFA coïncide avec le cours actuel, signe d'un point d'équilibre du marché ; l'écart-type de 190 FCFA et le coefficient de variation de 4,7% indiquent une dispersion modérée autour de la moyenne. Le kurtosis de -0,733 (mésokurtique) suggère une distribution proche de la normale, sans risque marqué de pics extrêmes, tandis que le skewness de 0,442, qualifié de symétrique, écarte l'hypothèse d'une asymétrie prononcée. La volatilité annualisée de 41,1% place toutefois le titre dans la catégorie des valeurs à volatilité élevée (&gt;30%), ce qui est cohérent avec la taille et la liquidité limitée du marché BRVM et appelle à la prudence sur les horizons courts.</w:t>
      </w:r>
    </w:p>
    <w:p>
      <w:pPr>
        <w:spacing w:after="120" w:line="276" w:lineRule="auto"/>
      </w:pPr>
      <w:r>
        <w:t>---</w:t>
      </w:r>
    </w:p>
    <w:p>
      <w:pPr>
        <w:spacing w:after="120" w:line="276" w:lineRule="auto"/>
      </w:pPr>
      <w:r>
        <w:t>## PARTIE 2 : ANALYSE TECHNIQUE DÉTAILLÉE</w:t>
      </w:r>
    </w:p>
    <w:p>
      <w:pPr>
        <w:spacing w:after="120" w:line="276" w:lineRule="auto"/>
      </w:pPr>
      <w:r>
        <w:t>**Moyennes Mobiles** : La MM20 (3 940,75 FCFA) est inférieure à la MM50 (4 024,50 FCFA), et le cours actuel (4 000 FCFA) se situe entre les deux, légèrement sous la MM50. Cette configuration de croisement baissier des moyennes (MM20 &lt; MM50) traduit une pression vendeuse de court terme et justifie la décision technique de **Vente** : le titre n'a pas encore récupéré sa moyenne à 50 jours, qui fait office de résistance immédiate.</w:t>
      </w:r>
    </w:p>
    <w:p>
      <w:pPr>
        <w:spacing w:after="120" w:line="276" w:lineRule="auto"/>
      </w:pPr>
      <w:r>
        <w:t>**Bandes de Bollinger** : Le cours (4 000 FCFA) évolue au centre de la bande, entre la borne inférieure (3 767,66 FCFA) et la borne supérieure (4 113,84 FCFA), sans contact avec les extrêmes. Cette position médiane, avec une largeur de bande modérée, indique une absence de signal directionnel fort et justifie la décision **Neutre** : le marché est en phase de consolidation, sans excès acheteur ni vendeur.</w:t>
      </w:r>
    </w:p>
    <w:p>
      <w:pPr>
        <w:spacing w:after="120" w:line="276" w:lineRule="auto"/>
      </w:pPr>
      <w:r>
        <w:t>**MACD** : La valeur du MACD (-8,066) est supérieure à son signal (-29,924), soit une divergence positive de plus de 21 points. Bien que les deux lignes restent en territoire négatif, ce croisement haussier du MACD au-dessus de son signal traduit un momentum en amélioration et justifie la décision **Achat** : la pression baissière s'essouffle et un retournement technique se profile.</w:t>
      </w:r>
    </w:p>
    <w:p>
      <w:pPr>
        <w:spacing w:after="120" w:line="276" w:lineRule="auto"/>
      </w:pPr>
      <w:r>
        <w:t>**RSI** : À 51,667, le RSI se situe exactement dans la zone neutre (30-70), à mi-chemin entre survente et surachat. Cette valeur équilibrée indique un marché sans excès et justifie la décision **Neutre** : aucune tension acheteuse ou vendeuse n'est à signaler, le titre évolue dans un régime de neutralité.</w:t>
      </w:r>
    </w:p>
    <w:p>
      <w:pPr>
        <w:spacing w:after="120" w:line="276" w:lineRule="auto"/>
      </w:pPr>
      <w:r>
        <w:t>**Stochastique** : Le %K (62,791) est nettement inférieur au %D (87,597), et ce dernier se situe en zone de surachat (&gt;80). Cette configuration de croisement baissier en zone haute signale un essoufflement de la dynamique haussière récente et un risque de repli de court terme, ce qui justifie la décision **Neutre** : le signal n'est pas encore franchement vendeur, mais la prudence est de mise.</w:t>
      </w:r>
    </w:p>
    <w:p>
      <w:pPr>
        <w:spacing w:after="120" w:line="276" w:lineRule="auto"/>
      </w:pPr>
      <w:r>
        <w:t>**Conclusion technique** : Les indicateurs sont globalement divergents — le MACD est haussier, les moyennes mobiles sont baissières, tandis que le RSI, les Bollinger et le stochastique restent neutres. Cette absence de convergence traduit un marché en phase de transition, coincé entre une pression vendeuse résiduelle (MM) et un momentum en amélioration (MACD). Le signal dominant est donc **neutre à légèrement positif**, avec une confirmation attendue du MACD pour valider un retournement durable ; en l'état, la prudence s'impose à court terme.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LNBB a réalisé un chiffre d'affaires de 98,598 Mds FCFA, en recul de -3,85% par rapport à 2024, et un résultat net de 4,622 Mds FCFA, soit une marge nette de 4,69%. La rentabilité des fonds propres (ROE) ressort à un excellent 21,05% et la rentabilité des actifs (ROA) à 14,17%, confirmant l'efficacité du modèle malgré la contraction de l'activité. La structure financière est remarquablement saine : autonomie financière de 67,32%, ratio d'endettement de seulement 2,57%, solvabilité générale de 306% et liquidité générale de 184,84%, tandis que la trésorerie nette atteint 7,979 Mds FCFA. **Adaptation au secteur entreprise** : le BFR est quasi nul (217,45 M FCFA) et les délais d'exploitation sont excellents — délai clients de 4,82 jours (risque de trésorerie très faible), délai fournisseurs de 20,41 jours (favorable à la trésorerie) et durée de stockage de 1,56 jour (rotation quasi instantanée). **Estimations issues des rapports trimestriels** : le rapport du T1 2026 (publié le 12/06/2026) montre un CA en hausse de +6% à 25,521 Mds FCFA mais un résultat net en chute de -46% à 848 M FCFA, victime du mix produit défavorable (pari sportif à 95% de taux de retour) ; toutefois, le rapport du S1 2026 (publié le 30/07/2026) révèle un net redressement avec un CA de 49,937 Mds FCFA (+4%) et un résultat net en progression de +60%, grâce à la maîtrise des charges et aux revenus de partenariats. On estime donc que l'exercice 2026 devrait afficher une amélioration de la rentabilité par rapport à 2025, portée par le second semestre et le déploiement de 1 500 nouveaux terminaux. **Conclusion fondamentale** : la solidité bilancielle est incontestable (ROE 21%, trésorerie 8 Mds, endettement quasi nul), les fondamentaux opérationnels s'améliorent (EBE +34% en 2025, résultat net +60% au S1 2026), mais la pression sur la marge brute des jeux (PBJ -9% au S1 2026) et la concurrence illégale demeurent des risques à surveiller ; le profil reste celui d'une valeur défensive de qualité, avec un potentiel de redressement crédible.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dessine un tableau nuancé mais globalement favorable. **Valorisation** : le PER de 17,3x et le P/B de 3,64x indiquent une légère surévaluation relative au marché BRVM, mais l'EV/EBITDA de 10,1x reste raisonnable et la prime se justifie par la qualité des fondamentaux. **Comportement du cours** : la stabilité (+0,25% sur 100 jours), la distribution mésokurtique et symétrique (kurtosis -0,733, skewness 0,442) sont rassurantes, mais la volatilité élevée (41,1%) et le repli de -1,96% en J-1 appellent à la prudence. **Signaux techniques** : ils sont divergents — MACD haussier contre MM baissières, RSI/Bollinger/Stochastique neutres — traduisant une phase de transition sans direction claire. **Fondamentaux** : la solidité financière (ROE 21%, autonomie 67%, trésorerie 8 Mds) et l'amélioration du S1 2026 (résultat net +60%) compensent la baisse du CA 2025 (-3,85%) et les risques de marge. **Prédictions IA** : la trajectoire projetée (3 997 → 4 019 FCFA sur J+1 à J+10) est légèrement haussière et confirme la thèse d'une stabilisation avec un biais positif, cohérente avec le MACD acheteur et le mode à 4 000 FCFA. **Recommandation finale : CONSERVER**, avec un biais positif. La convergence est partielle — valorisation correcte, technique neutre, fondamentaux solides, prédiction légèrement haussière — ce qui ne justifie pas un achat agressif mais conforte la détention du titre. Le niveau de confiance est **Moyen** (divergence technique et visibilité limitée sur les marges), le niveau de risque **Moyen** (volatilité 41%, concurrence illégale, dépendance au digital), et l'horizon optimal est le **moyen terme (3-12 mois)**, le temps que les résultats du S2 2026 confirment la pérennité du redressement de la rentabilité et la stabilisation du produit brut des jeux.</w:t>
      </w:r>
    </w:p>
    <w:p>
      <w:pPr>
        <w:spacing w:after="120" w:line="276" w:lineRule="auto"/>
      </w:pPr>
      <w:r>
        <w:t>---</w:t>
      </w:r>
    </w:p>
    <w:p>
      <w:pPr>
        <w:spacing w:after="120" w:line="276" w:lineRule="auto"/>
      </w:pPr>
      <w:r>
        <w:t>*Disclaimer : Ce rapport est fourni à titre informatif et ne constitue pas un conseil en investissement personnalisé. Les données trimestrielles ne sont pas auditées ; les estimations basées sur les rapports S1/T1 2026 doivent être confirmées par les comptes annuels.*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20.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26.87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2,326 titres</w:t>
            </w:r>
          </w:p>
        </w:tc>
        <w:tc>
          <w:tcPr>
            <w:tcW w:type="dxa" w:w="2268"/>
            <w:shd w:fill="FFF2CC" w:val="clear"/>
          </w:tcPr>
          <w:p>
            <w:r>
              <w:rPr>
                <w:b/>
                <w:color w:val="503200"/>
                <w:sz w:val="16"/>
              </w:rPr>
              <w:t xml:space="preserve">Cours actuel : </w:t>
            </w:r>
            <w:r>
              <w:rPr>
                <w:color w:val="000000"/>
                <w:sz w:val="17"/>
              </w:rPr>
              <w:t>2,105 FCFA</w:t>
            </w:r>
          </w:p>
          <w:p>
            <w:r>
              <w:rPr>
                <w:b/>
                <w:color w:val="503200"/>
                <w:sz w:val="16"/>
              </w:rPr>
              <w:t xml:space="preserve">Var. 100 jours : </w:t>
            </w:r>
            <w:r>
              <w:rPr>
                <w:b/>
                <w:color w:val="007800"/>
                <w:sz w:val="17"/>
              </w:rPr>
              <w:t>+10.79%</w:t>
            </w:r>
          </w:p>
          <w:p>
            <w:r>
              <w:rPr>
                <w:b/>
                <w:color w:val="503200"/>
                <w:sz w:val="16"/>
              </w:rPr>
              <w:t xml:space="preserve">Plus haut 100j : </w:t>
            </w:r>
            <w:r>
              <w:rPr>
                <w:color w:val="000000"/>
                <w:sz w:val="17"/>
              </w:rPr>
              <w:t>3,000 FCFA</w:t>
            </w:r>
          </w:p>
          <w:p>
            <w:r>
              <w:rPr>
                <w:b/>
                <w:color w:val="503200"/>
                <w:sz w:val="16"/>
              </w:rPr>
              <w:t xml:space="preserve">Plus bas 100j : </w:t>
            </w:r>
            <w:r>
              <w:rPr>
                <w:color w:val="000000"/>
                <w:sz w:val="17"/>
              </w:rPr>
              <w:t>1,900 FCFA</w:t>
            </w:r>
          </w:p>
          <w:p>
            <w:r>
              <w:rPr>
                <w:b/>
                <w:color w:val="503200"/>
                <w:sz w:val="16"/>
              </w:rPr>
              <w:t xml:space="preserve">Volatilité ann. : </w:t>
            </w:r>
            <w:r>
              <w:rPr>
                <w:color w:val="000000"/>
                <w:sz w:val="17"/>
              </w:rPr>
              <w:t>52.1%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11.76% (Moyenne) — μ=2,324 FCFA, σ=273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β=0.0091 (Défensif) — Cov=0.000001, Var(idx)=0.000076, ρ=0.002,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2,326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σ_j=3.28%/j (Modérée) — Vol. annualisée≈52.1%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1,993</w:t>
            </w:r>
          </w:p>
        </w:tc>
        <w:tc>
          <w:tcPr>
            <w:tcW w:type="dxa" w:w="1440"/>
            <w:shd w:fill="FAFAFA" w:val="clear"/>
          </w:tcPr>
          <w:p>
            <w:r>
              <w:rPr>
                <w:b/>
                <w:sz w:val="17"/>
              </w:rPr>
              <w:t>2,100</w:t>
            </w:r>
          </w:p>
        </w:tc>
        <w:tc>
          <w:tcPr>
            <w:tcW w:type="dxa" w:w="1440"/>
            <w:shd w:fill="FAFAFA" w:val="clear"/>
          </w:tcPr>
          <w:p>
            <w:r>
              <w:rPr>
                <w:sz w:val="17"/>
              </w:rPr>
              <w:t>2,206</w:t>
            </w:r>
          </w:p>
        </w:tc>
        <w:tc>
          <w:tcPr>
            <w:tcW w:type="dxa" w:w="1440"/>
            <w:shd w:fill="FAFAFA" w:val="clear"/>
          </w:tcPr>
          <w:p>
            <w:r>
              <w:rPr>
                <w:b/>
                <w:color w:val="C00000"/>
                <w:sz w:val="17"/>
              </w:rPr>
              <w:t>-0.2%</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1,938</w:t>
            </w:r>
          </w:p>
        </w:tc>
        <w:tc>
          <w:tcPr>
            <w:tcW w:type="dxa" w:w="1440"/>
            <w:shd w:fill="FAFAFA" w:val="clear"/>
          </w:tcPr>
          <w:p>
            <w:r>
              <w:rPr>
                <w:b/>
                <w:sz w:val="17"/>
              </w:rPr>
              <w:t>2,087</w:t>
            </w:r>
          </w:p>
        </w:tc>
        <w:tc>
          <w:tcPr>
            <w:tcW w:type="dxa" w:w="1440"/>
            <w:shd w:fill="FAFAFA" w:val="clear"/>
          </w:tcPr>
          <w:p>
            <w:r>
              <w:rPr>
                <w:sz w:val="17"/>
              </w:rPr>
              <w:t>2,236</w:t>
            </w:r>
          </w:p>
        </w:tc>
        <w:tc>
          <w:tcPr>
            <w:tcW w:type="dxa" w:w="1440"/>
            <w:shd w:fill="FAFAFA" w:val="clear"/>
          </w:tcPr>
          <w:p>
            <w:r>
              <w:rPr>
                <w:b/>
                <w:color w:val="C00000"/>
                <w:sz w:val="17"/>
              </w:rPr>
              <w:t>-0.9%</w:t>
            </w:r>
          </w:p>
        </w:tc>
      </w:tr>
      <w:tr>
        <w:tc>
          <w:tcPr>
            <w:tcW w:type="dxa" w:w="1440"/>
            <w:shd w:fill="FAFAFA" w:val="clear"/>
          </w:tcPr>
          <w:p>
            <w:r>
              <w:rPr>
                <w:sz w:val="17"/>
              </w:rPr>
              <w:t>J+3  Moyenne</w:t>
            </w:r>
          </w:p>
        </w:tc>
        <w:tc>
          <w:tcPr>
            <w:tcW w:type="dxa" w:w="1440"/>
            <w:shd w:fill="FAFAFA" w:val="clear"/>
          </w:tcPr>
          <w:p>
            <w:r>
              <w:rPr>
                <w:sz w:val="17"/>
              </w:rPr>
              <w:t>2026-10-21</w:t>
            </w:r>
          </w:p>
        </w:tc>
        <w:tc>
          <w:tcPr>
            <w:tcW w:type="dxa" w:w="1440"/>
            <w:shd w:fill="FAFAFA" w:val="clear"/>
          </w:tcPr>
          <w:p>
            <w:r>
              <w:rPr>
                <w:sz w:val="17"/>
              </w:rPr>
              <w:t>1,895</w:t>
            </w:r>
          </w:p>
        </w:tc>
        <w:tc>
          <w:tcPr>
            <w:tcW w:type="dxa" w:w="1440"/>
            <w:shd w:fill="FAFAFA" w:val="clear"/>
          </w:tcPr>
          <w:p>
            <w:r>
              <w:rPr>
                <w:b/>
                <w:sz w:val="17"/>
              </w:rPr>
              <w:t>2,078</w:t>
            </w:r>
          </w:p>
        </w:tc>
        <w:tc>
          <w:tcPr>
            <w:tcW w:type="dxa" w:w="1440"/>
            <w:shd w:fill="FAFAFA" w:val="clear"/>
          </w:tcPr>
          <w:p>
            <w:r>
              <w:rPr>
                <w:sz w:val="17"/>
              </w:rPr>
              <w:t>2,260</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1,859</w:t>
            </w:r>
          </w:p>
        </w:tc>
        <w:tc>
          <w:tcPr>
            <w:tcW w:type="dxa" w:w="1440"/>
            <w:shd w:fill="FAFAFA" w:val="clear"/>
          </w:tcPr>
          <w:p>
            <w:r>
              <w:rPr>
                <w:b/>
                <w:sz w:val="17"/>
              </w:rPr>
              <w:t>2,069</w:t>
            </w:r>
          </w:p>
        </w:tc>
        <w:tc>
          <w:tcPr>
            <w:tcW w:type="dxa" w:w="1440"/>
            <w:shd w:fill="FAFAFA" w:val="clear"/>
          </w:tcPr>
          <w:p>
            <w:r>
              <w:rPr>
                <w:sz w:val="17"/>
              </w:rPr>
              <w:t>2,278</w:t>
            </w:r>
          </w:p>
        </w:tc>
        <w:tc>
          <w:tcPr>
            <w:tcW w:type="dxa" w:w="1440"/>
            <w:shd w:fill="FAFAFA" w:val="clear"/>
          </w:tcPr>
          <w:p>
            <w:r>
              <w:rPr>
                <w:b/>
                <w:color w:val="C00000"/>
                <w:sz w:val="17"/>
              </w:rPr>
              <w:t>-1.7%</w:t>
            </w:r>
          </w:p>
        </w:tc>
      </w:tr>
      <w:tr>
        <w:tc>
          <w:tcPr>
            <w:tcW w:type="dxa" w:w="1440"/>
            <w:shd w:fill="FFDCE0" w:val="clear"/>
          </w:tcPr>
          <w:p>
            <w:r>
              <w:rPr>
                <w:sz w:val="17"/>
              </w:rPr>
              <w:t>J+5  ⭐</w:t>
            </w:r>
          </w:p>
        </w:tc>
        <w:tc>
          <w:tcPr>
            <w:tcW w:type="dxa" w:w="1440"/>
            <w:shd w:fill="FFDCE0" w:val="clear"/>
          </w:tcPr>
          <w:p>
            <w:r>
              <w:rPr>
                <w:sz w:val="17"/>
              </w:rPr>
              <w:t>2026-10-23</w:t>
            </w:r>
          </w:p>
        </w:tc>
        <w:tc>
          <w:tcPr>
            <w:tcW w:type="dxa" w:w="1440"/>
            <w:shd w:fill="FFDCE0" w:val="clear"/>
          </w:tcPr>
          <w:p>
            <w:r>
              <w:rPr>
                <w:sz w:val="17"/>
              </w:rPr>
              <w:t>1,827</w:t>
            </w:r>
          </w:p>
        </w:tc>
        <w:tc>
          <w:tcPr>
            <w:tcW w:type="dxa" w:w="1440"/>
            <w:shd w:fill="FFDCE0" w:val="clear"/>
          </w:tcPr>
          <w:p>
            <w:r>
              <w:rPr>
                <w:b/>
                <w:sz w:val="17"/>
              </w:rPr>
              <w:t>2,060</w:t>
            </w:r>
          </w:p>
        </w:tc>
        <w:tc>
          <w:tcPr>
            <w:tcW w:type="dxa" w:w="1440"/>
            <w:shd w:fill="FFDCE0" w:val="clear"/>
          </w:tcPr>
          <w:p>
            <w:r>
              <w:rPr>
                <w:sz w:val="17"/>
              </w:rPr>
              <w:t>2,294</w:t>
            </w:r>
          </w:p>
        </w:tc>
        <w:tc>
          <w:tcPr>
            <w:tcW w:type="dxa" w:w="1440"/>
            <w:shd w:fill="FFDCE0" w:val="clear"/>
          </w:tcPr>
          <w:p>
            <w:r>
              <w:rPr>
                <w:b/>
                <w:color w:val="C00000"/>
                <w:sz w:val="17"/>
              </w:rPr>
              <w:t>-2.1%</w:t>
            </w:r>
          </w:p>
        </w:tc>
      </w:tr>
      <w:tr>
        <w:tc>
          <w:tcPr>
            <w:tcW w:type="dxa" w:w="1440"/>
            <w:shd w:fill="FFDCE0" w:val="clear"/>
          </w:tcPr>
          <w:p>
            <w:r>
              <w:rPr>
                <w:sz w:val="17"/>
              </w:rPr>
              <w:t>J+6  ⭐</w:t>
            </w:r>
          </w:p>
        </w:tc>
        <w:tc>
          <w:tcPr>
            <w:tcW w:type="dxa" w:w="1440"/>
            <w:shd w:fill="FFDCE0" w:val="clear"/>
          </w:tcPr>
          <w:p>
            <w:r>
              <w:rPr>
                <w:sz w:val="17"/>
              </w:rPr>
              <w:t>2026-10-26</w:t>
            </w:r>
          </w:p>
        </w:tc>
        <w:tc>
          <w:tcPr>
            <w:tcW w:type="dxa" w:w="1440"/>
            <w:shd w:fill="FFDCE0" w:val="clear"/>
          </w:tcPr>
          <w:p>
            <w:r>
              <w:rPr>
                <w:sz w:val="17"/>
              </w:rPr>
              <w:t>1,798</w:t>
            </w:r>
          </w:p>
        </w:tc>
        <w:tc>
          <w:tcPr>
            <w:tcW w:type="dxa" w:w="1440"/>
            <w:shd w:fill="FFDCE0" w:val="clear"/>
          </w:tcPr>
          <w:p>
            <w:r>
              <w:rPr>
                <w:b/>
                <w:sz w:val="17"/>
              </w:rPr>
              <w:t>2,052</w:t>
            </w:r>
          </w:p>
        </w:tc>
        <w:tc>
          <w:tcPr>
            <w:tcW w:type="dxa" w:w="1440"/>
            <w:shd w:fill="FFDCE0" w:val="clear"/>
          </w:tcPr>
          <w:p>
            <w:r>
              <w:rPr>
                <w:sz w:val="17"/>
              </w:rPr>
              <w:t>2,307</w:t>
            </w:r>
          </w:p>
        </w:tc>
        <w:tc>
          <w:tcPr>
            <w:tcW w:type="dxa" w:w="1440"/>
            <w:shd w:fill="FFDCE0" w:val="clear"/>
          </w:tcPr>
          <w:p>
            <w:r>
              <w:rPr>
                <w:b/>
                <w:color w:val="C00000"/>
                <w:sz w:val="17"/>
              </w:rPr>
              <w:t>-2.5%</w:t>
            </w:r>
          </w:p>
        </w:tc>
      </w:tr>
      <w:tr>
        <w:tc>
          <w:tcPr>
            <w:tcW w:type="dxa" w:w="1440"/>
            <w:shd w:fill="FFDCE0" w:val="clear"/>
          </w:tcPr>
          <w:p>
            <w:r>
              <w:rPr>
                <w:sz w:val="17"/>
              </w:rPr>
              <w:t>J+7  ⭐</w:t>
            </w:r>
          </w:p>
        </w:tc>
        <w:tc>
          <w:tcPr>
            <w:tcW w:type="dxa" w:w="1440"/>
            <w:shd w:fill="FFDCE0" w:val="clear"/>
          </w:tcPr>
          <w:p>
            <w:r>
              <w:rPr>
                <w:sz w:val="17"/>
              </w:rPr>
              <w:t>2026-10-27</w:t>
            </w:r>
          </w:p>
        </w:tc>
        <w:tc>
          <w:tcPr>
            <w:tcW w:type="dxa" w:w="1440"/>
            <w:shd w:fill="FFDCE0" w:val="clear"/>
          </w:tcPr>
          <w:p>
            <w:r>
              <w:rPr>
                <w:sz w:val="17"/>
              </w:rPr>
              <w:t>1,770</w:t>
            </w:r>
          </w:p>
        </w:tc>
        <w:tc>
          <w:tcPr>
            <w:tcW w:type="dxa" w:w="1440"/>
            <w:shd w:fill="FFDCE0" w:val="clear"/>
          </w:tcPr>
          <w:p>
            <w:r>
              <w:rPr>
                <w:b/>
                <w:sz w:val="17"/>
              </w:rPr>
              <w:t>2,044</w:t>
            </w:r>
          </w:p>
        </w:tc>
        <w:tc>
          <w:tcPr>
            <w:tcW w:type="dxa" w:w="1440"/>
            <w:shd w:fill="FFDCE0" w:val="clear"/>
          </w:tcPr>
          <w:p>
            <w:r>
              <w:rPr>
                <w:sz w:val="17"/>
              </w:rPr>
              <w:t>2,318</w:t>
            </w:r>
          </w:p>
        </w:tc>
        <w:tc>
          <w:tcPr>
            <w:tcW w:type="dxa" w:w="1440"/>
            <w:shd w:fill="FFDCE0" w:val="clear"/>
          </w:tcPr>
          <w:p>
            <w:r>
              <w:rPr>
                <w:b/>
                <w:color w:val="C00000"/>
                <w:sz w:val="17"/>
              </w:rPr>
              <w:t>-2.9%</w:t>
            </w:r>
          </w:p>
        </w:tc>
      </w:tr>
      <w:tr>
        <w:tc>
          <w:tcPr>
            <w:tcW w:type="dxa" w:w="1440"/>
            <w:shd w:fill="FFDCE0" w:val="clear"/>
          </w:tcPr>
          <w:p>
            <w:r>
              <w:rPr>
                <w:sz w:val="17"/>
              </w:rPr>
              <w:t>J+8  ⭐</w:t>
            </w:r>
          </w:p>
        </w:tc>
        <w:tc>
          <w:tcPr>
            <w:tcW w:type="dxa" w:w="1440"/>
            <w:shd w:fill="FFDCE0" w:val="clear"/>
          </w:tcPr>
          <w:p>
            <w:r>
              <w:rPr>
                <w:sz w:val="17"/>
              </w:rPr>
              <w:t>2026-10-28</w:t>
            </w:r>
          </w:p>
        </w:tc>
        <w:tc>
          <w:tcPr>
            <w:tcW w:type="dxa" w:w="1440"/>
            <w:shd w:fill="FFDCE0" w:val="clear"/>
          </w:tcPr>
          <w:p>
            <w:r>
              <w:rPr>
                <w:sz w:val="17"/>
              </w:rPr>
              <w:t>1,745</w:t>
            </w:r>
          </w:p>
        </w:tc>
        <w:tc>
          <w:tcPr>
            <w:tcW w:type="dxa" w:w="1440"/>
            <w:shd w:fill="FFDCE0" w:val="clear"/>
          </w:tcPr>
          <w:p>
            <w:r>
              <w:rPr>
                <w:b/>
                <w:sz w:val="17"/>
              </w:rPr>
              <w:t>2,037</w:t>
            </w:r>
          </w:p>
        </w:tc>
        <w:tc>
          <w:tcPr>
            <w:tcW w:type="dxa" w:w="1440"/>
            <w:shd w:fill="FFDCE0" w:val="clear"/>
          </w:tcPr>
          <w:p>
            <w:r>
              <w:rPr>
                <w:sz w:val="17"/>
              </w:rPr>
              <w:t>2,328</w:t>
            </w:r>
          </w:p>
        </w:tc>
        <w:tc>
          <w:tcPr>
            <w:tcW w:type="dxa" w:w="1440"/>
            <w:shd w:fill="FFDCE0" w:val="clear"/>
          </w:tcPr>
          <w:p>
            <w:r>
              <w:rPr>
                <w:b/>
                <w:color w:val="C00000"/>
                <w:sz w:val="17"/>
              </w:rPr>
              <w:t>-3.2%</w:t>
            </w:r>
          </w:p>
        </w:tc>
      </w:tr>
      <w:tr>
        <w:tc>
          <w:tcPr>
            <w:tcW w:type="dxa" w:w="1440"/>
            <w:shd w:fill="FFDCE0" w:val="clear"/>
          </w:tcPr>
          <w:p>
            <w:r>
              <w:rPr>
                <w:sz w:val="17"/>
              </w:rPr>
              <w:t>J+9  ⭐</w:t>
            </w:r>
          </w:p>
        </w:tc>
        <w:tc>
          <w:tcPr>
            <w:tcW w:type="dxa" w:w="1440"/>
            <w:shd w:fill="FFDCE0" w:val="clear"/>
          </w:tcPr>
          <w:p>
            <w:r>
              <w:rPr>
                <w:sz w:val="17"/>
              </w:rPr>
              <w:t>2026-10-29</w:t>
            </w:r>
          </w:p>
        </w:tc>
        <w:tc>
          <w:tcPr>
            <w:tcW w:type="dxa" w:w="1440"/>
            <w:shd w:fill="FFDCE0" w:val="clear"/>
          </w:tcPr>
          <w:p>
            <w:r>
              <w:rPr>
                <w:sz w:val="17"/>
              </w:rPr>
              <w:t>1,721</w:t>
            </w:r>
          </w:p>
        </w:tc>
        <w:tc>
          <w:tcPr>
            <w:tcW w:type="dxa" w:w="1440"/>
            <w:shd w:fill="FFDCE0" w:val="clear"/>
          </w:tcPr>
          <w:p>
            <w:r>
              <w:rPr>
                <w:b/>
                <w:sz w:val="17"/>
              </w:rPr>
              <w:t>2,030</w:t>
            </w:r>
          </w:p>
        </w:tc>
        <w:tc>
          <w:tcPr>
            <w:tcW w:type="dxa" w:w="1440"/>
            <w:shd w:fill="FFDCE0" w:val="clear"/>
          </w:tcPr>
          <w:p>
            <w:r>
              <w:rPr>
                <w:sz w:val="17"/>
              </w:rPr>
              <w:t>2,338</w:t>
            </w:r>
          </w:p>
        </w:tc>
        <w:tc>
          <w:tcPr>
            <w:tcW w:type="dxa" w:w="1440"/>
            <w:shd w:fill="FFDCE0" w:val="clear"/>
          </w:tcPr>
          <w:p>
            <w:r>
              <w:rPr>
                <w:b/>
                <w:color w:val="C00000"/>
                <w:sz w:val="17"/>
              </w:rPr>
              <w:t>-3.6%</w:t>
            </w:r>
          </w:p>
        </w:tc>
      </w:tr>
      <w:tr>
        <w:tc>
          <w:tcPr>
            <w:tcW w:type="dxa" w:w="1440"/>
            <w:shd w:fill="FFDCE0" w:val="clear"/>
          </w:tcPr>
          <w:p>
            <w:r>
              <w:rPr>
                <w:sz w:val="17"/>
              </w:rPr>
              <w:t>J+10  ⭐</w:t>
            </w:r>
          </w:p>
        </w:tc>
        <w:tc>
          <w:tcPr>
            <w:tcW w:type="dxa" w:w="1440"/>
            <w:shd w:fill="FFDCE0" w:val="clear"/>
          </w:tcPr>
          <w:p>
            <w:r>
              <w:rPr>
                <w:sz w:val="17"/>
              </w:rPr>
              <w:t>2026-10-30</w:t>
            </w:r>
          </w:p>
        </w:tc>
        <w:tc>
          <w:tcPr>
            <w:tcW w:type="dxa" w:w="1440"/>
            <w:shd w:fill="FFDCE0" w:val="clear"/>
          </w:tcPr>
          <w:p>
            <w:r>
              <w:rPr>
                <w:sz w:val="17"/>
              </w:rPr>
              <w:t>1,699</w:t>
            </w:r>
          </w:p>
        </w:tc>
        <w:tc>
          <w:tcPr>
            <w:tcW w:type="dxa" w:w="1440"/>
            <w:shd w:fill="FFDCE0" w:val="clear"/>
          </w:tcPr>
          <w:p>
            <w:r>
              <w:rPr>
                <w:b/>
                <w:sz w:val="17"/>
              </w:rPr>
              <w:t>2,023</w:t>
            </w:r>
          </w:p>
        </w:tc>
        <w:tc>
          <w:tcPr>
            <w:tcW w:type="dxa" w:w="1440"/>
            <w:shd w:fill="FFDCE0" w:val="clear"/>
          </w:tcPr>
          <w:p>
            <w:r>
              <w:rPr>
                <w:sz w:val="17"/>
              </w:rPr>
              <w:t>2,347</w:t>
            </w:r>
          </w:p>
        </w:tc>
        <w:tc>
          <w:tcPr>
            <w:tcW w:type="dxa" w:w="1440"/>
            <w:shd w:fill="FFDCE0" w:val="clear"/>
          </w:tcPr>
          <w:p>
            <w:r>
              <w:rPr>
                <w:b/>
                <w:color w:val="C00000"/>
                <w:sz w:val="17"/>
              </w:rPr>
              <w:t>-3.9%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pPr>
      <w:r>
        <w:t># RAPPORT D'ANALYSE FINANCIÈRE — NEIC (NEI-CEDA CI)</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26,87 milliards FCFA, NEIC se situe dans la catégorie des valeurs moyennes de la cote BRVM, ce qui traduit une liquidité limitée mais un profil de capitalisation respectable pour le secteur de l'édition et de la diffusion en Afrique de l'Ouest. Le BPA de 160 FCFA/action indique que chaque titre génère 160 FCFA de bénéfice net, un niveau qui, rapporté au cours actuel de 2 105 FCFA, donne un PER de 13,2x — légèrement supérieur à la moyenne BRVM (8-12x), signalant une valorisation modérément exigeante mais non déraisonnable au regard de la dynamique bénéficiaire récente. Le P/B de 4,67x constitue en revanche un point d'attention majeur : le marché valorise l'action près de cinq fois sa valeur comptable, une prime forte qui exige une rentabilité des fonds propres soutenue pour être justifiée. Enfin, l'EV/EBITDA de 19,4x, très supérieur au seuil de 15x, confirme que la valeur d'entreprise intègre déjà une large part des anticipations de croissance opérationnelle, laissant peu de marge d'erreur à l'investisseur.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NEIC affiche une variation totale positive de +10,79%, mais la dernière séance (J-1) enregistre un repli de -1,64%, signalant une prise de bénéfices après la progression. Le cours actuel de 2 105 FCFA évolue dans un range large de 1 900 à 3 000 FCFA, soit un écart de plus de 57% entre le plancher et le plafond, ce qui traduit une forte amplitude de trading et une tendance générale haussière mais heurtée, avec un pic marqué suivi d'une correction. Les statistiques descriptives révèlent une distribution asymétrique : la moyenne (2 324 FCFA) dépasse la médiane (2 272 FCFA) et le mode (2 200 FCFA), tandis que le skewness positif de 1,103 confirme que davantage de séances se sont situées sous la moyenne, avec des pointes haussières ponctuelles tirant la moyenne vers le haut. L'écart-type de 275 FCFA (CV de 11,8%) indique une dispersion modérée du cours autour de sa tendance, et le kurtosis de 0,647 (mésokurtique) suggère un comportement proche d'une distribution normale, sans risque extrême de pics atypiques. La volatilité annualisée de 52,1% classe toutefois le titre dans la catégorie des valeurs à volatilité élevée (&gt;30%), ce qui implique un risque de marché significatif et justifie une approche prudente en termes de sizing de position.</w:t>
      </w:r>
    </w:p>
    <w:p>
      <w:pPr>
        <w:spacing w:after="120" w:line="276" w:lineRule="auto"/>
      </w:pPr>
      <w:r>
        <w:t>---</w:t>
      </w:r>
    </w:p>
    <w:p>
      <w:pPr>
        <w:spacing w:after="120" w:line="276" w:lineRule="auto"/>
      </w:pPr>
      <w:r>
        <w:t>## PARTIE 2 : ANALYSE TECHNIQUE DÉTAILLÉE</w:t>
      </w:r>
    </w:p>
    <w:p>
      <w:pPr>
        <w:spacing w:after="120" w:line="276" w:lineRule="auto"/>
      </w:pPr>
      <w:r>
        <w:t>**Moyennes Mobiles** : La MM20 (2 264,75 FCFA) et la MM50 (2 460,8 FCFA) se situent toutes deux au-dessus du cours actuel de 2 105 FCFA, avec une MM20 inférieure à la MM50 — configuration baissière caractéristique d'un croisement négatif. Le cours évoluant sous ses deux moyennes, la pression vendeuse domine et justifie la décision technique de **Vente**.</w:t>
      </w:r>
    </w:p>
    <w:p>
      <w:pPr>
        <w:spacing w:after="120" w:line="276" w:lineRule="auto"/>
      </w:pPr>
      <w:r>
        <w:t>**Bandes de Bollinger** : Le cours (2 105 FCFA) se situe dans la moitié basse du canal, entre la borne inférieure (2 023,69 FCFA) et la borne supérieure (2 505,81 FCFA), sans franchissement des extrêmes. Cette position médiane-basse, avec un cours proche de la borne inférieure sans la pénétrer, traduit une volatilité contenue et une absence de signal directionnel fort, d'où la décision **Neutre**.</w:t>
      </w:r>
    </w:p>
    <w:p>
      <w:pPr>
        <w:spacing w:after="120" w:line="276" w:lineRule="auto"/>
      </w:pPr>
      <w:r>
        <w:t>**MACD** : La ligne MACD (-116,655) est inférieure à sa ligne de signal (-104,845), avec un histogramme négatif qui confirme un momentum baissier persistant. L'écart entre les deux lignes reste modéré, sans divergence haussière visible, ce qui valide la décision de **Vente** émise par cet indicateur.</w:t>
      </w:r>
    </w:p>
    <w:p>
      <w:pPr>
        <w:spacing w:after="120" w:line="276" w:lineRule="auto"/>
      </w:pPr>
      <w:r>
        <w:t>**RSI** : À 16,471, le RSI se situe très en dessous du seuil de survente de 30, un niveau extrême qui signale une pression vendeuse excessive et un potentiel de rebond technique à court terme. Cette configuration de survente profonde justifie la décision d'**Achat** contra-cyclique, bien qu'elle doive être confirmée par un retournement effectif.</w:t>
      </w:r>
    </w:p>
    <w:p>
      <w:pPr>
        <w:spacing w:after="120" w:line="276" w:lineRule="auto"/>
      </w:pPr>
      <w:r>
        <w:t>**Stochastique** : Le %K (4,918) est très bas et inférieur au %D (14,093), les deux oscillateurs évoluant en zone de survente extrême. Cette configuration, proche d'un plancher, suggère un épuisement de la dynamique baissière et un possible croisement haussier imminent, d'où la décision d'**Achat**.</w:t>
      </w:r>
    </w:p>
    <w:p>
      <w:pPr>
        <w:spacing w:after="120" w:line="276" w:lineRule="auto"/>
      </w:pPr>
      <w:r>
        <w:t>**Conclusion technique** : Les indicateurs présentent une divergence notable : les moyennes mobiles et le MACD confirment une tendance baissière de fond, tandis que le RSI et le stochastique, en survente extrême, plaident pour un rebond technique à court terme. Les Bandes de Bollinger restent neutres, sans signal de rupture. Cette configuration mixte — tendance baissière mais oscillateurs survendus — suggère un potentiel de rebond tactique dans un contexte de fond encore fragile, nécessitant une confirmation par les volumes avant toute décision d'achat.</w:t>
      </w:r>
    </w:p>
    <w:p>
      <w:pPr>
        <w:spacing w:after="120" w:line="276" w:lineRule="auto"/>
      </w:pPr>
      <w:r>
        <w:t>---</w:t>
      </w:r>
    </w:p>
    <w:p>
      <w:pPr>
        <w:spacing w:after="120" w:line="276" w:lineRule="auto"/>
      </w:pPr>
      <w:r>
        <w:t>## PARTIE 3 : ANALYSE FONDAMENTALE</w:t>
      </w:r>
    </w:p>
    <w:p>
      <w:pPr>
        <w:spacing w:after="120" w:line="276" w:lineRule="auto"/>
      </w:pPr>
      <w:r>
        <w:t>Les états financiers structurés de l'exercice 2025 (données officielles brvm_donnees_financieres) dressent le portrait d'une entreprise à la rentabilité exceptionnelle mais dont la qualité des bénéfices interroge. En 2025, NEIC affiche un chiffre d'affaires de 5,139 milliards FCFA, un résultat net de 2,037 milliards FCFA (marge nette de 39,63%), un ROE remarquable de 35,39% et un ROA de 27,25% — des niveaux très supérieurs aux standards du marché. La structure financière est solide : autonomie financière de 77,01%, trésorerie de 4,196 milliards FCFA, liquidité générale de 448,86% et solvabilité générale de 435,02%. Toutefois, le taux de croissance du CA ressort à -23,80%, signalant une contraction commerciale préoccupante, et le BFR de 1,498 milliard FCFA (positif, donc défavorable) avec un délai client élevé de 154,72 jours traduit un risque de trésorerie sur les créances. Le rapport annuel 2025 (publié en 2025) confirme un résultat net de 2,04 milliards FCFA (+169% vs 758 millions en 2024) et un CA de 6,74 milliards FCFA (+29%), avec un dividende généreux de 2,04 milliards FCFA (100% du résultat net) — une politique de distribution qui limite l'autofinancement. Le rapport T3 2025 (daté du 30/09/2025) nuance toutefois cette performance : le CA trimestriel chute de 35% à 3 406 millions FCFA, et le bénéfice net de 1 596 millions FCFA (+125%) provient majoritairement d'une reprise de provision pour redressement fiscal, donc d'un élément non récurrent. Le rapport T1 2026 (le plus récent) montre une forte croissance du CA (+137% à 115,1 millions FCFA) mais une perte nette persistante de -168,9 millions FCFA, avec un résultat d'exploitation encore négatif (-271,5 millions FCFA) — la société reste donc en phase de redressement opérationnel. On estime, sur la base de ces rapports trimestriels, que l'exercice 2026 devrait confirmer la reprise commerciale mais rester fragile sur la rentabilité opérationnelle, la performance nette 2025 étant en partie non récurrente. La recommandation fondamentale est donc **prudente** : solidité bilancielle et rentabilité apparente exceptionnelle, mais qualité des bénéfices à surveiller, croissance du CA en recul en 2025 et pertes opérationnelles persistantes en 2026.</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d'investissement contrasté. Sur le plan de la **valorisation (Partie 0)**, le PER de 13,2x reste modéré mais le P/B de 4,67x et l'EV/EBITDA de 19,4x traduisent une valorisation exigeante qui intègre déjà une large part des anticipations positives, limitant le potentiel de réévaluation. Le **comportement du cours (Partie 1)** est haussier sur 100 jours (+10,79%) mais la correction récente (-1,64% en J-1), la volatilité élevée (52,1%) et le skewness positif (1,103) signalent une fragilité et un risque de repli, malgré un kurtosis normal rassurant. Les **signaux techniques (Partie 2)** sont divergents : tendance baissière confirmée par les MM et le MACD, mais survente extrême du RSI (16,47) et du stochastique (4,92) plaçant un rebond tactique possible — une convergence baissière de fond tempérée par un signal d'achat contra-cyclique. Les **fondamentaux (Partie 3)** demeurent solides (ROE 35,39%, trésorerie 4,2 milliards, autonomie financière 77%) mais entachés par la contraction du CA 2025 (-23,80%), la nature non récurrente du bénéfice T3 2025 et les pertes opérationnelles persistantes du T1 2026. Enfin, les **prédictions IA (J+1 à J+10)** anticipent une trajectoire baissière continue de 2 100 à 2 060 FCFA, confirmant la pression vendeuse de court terme et contredisant le rebond suggéré par les oscillateurs. Face à cette convergence majoritairement baissière (technique de fond, prédictions IA, valorisation exigeante) contrebalancée par des fondamentaux bilanciels solides et une survente technique, la recommandation finale est **CONSERVER**, avec un niveau de confiance **Moyen** et un niveau de risque **Élevé** (volatilité 52,1%, valorisation tendue, qualité des bénéfices incertaine). L'horizon d'investissement optimal est le **moyen terme (3-12 mois)**, le temps que la société confirme la durabilité de son redressement opérationnel (T1 2026) et que les indicateurs techniques purgent leur survente, un renforcement n'étant justifié qu'en cas de confirmation d'un retournement haussier avec volumes et de résultats semestriels 2026 rassurants.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21.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507.31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2,879 titres</w:t>
            </w:r>
          </w:p>
        </w:tc>
        <w:tc>
          <w:tcPr>
            <w:tcW w:type="dxa" w:w="2268"/>
            <w:shd w:fill="FFF2CC" w:val="clear"/>
          </w:tcPr>
          <w:p>
            <w:r>
              <w:rPr>
                <w:b/>
                <w:color w:val="503200"/>
                <w:sz w:val="16"/>
              </w:rPr>
              <w:t xml:space="preserve">Cours actuel : </w:t>
            </w:r>
            <w:r>
              <w:rPr>
                <w:color w:val="000000"/>
                <w:sz w:val="17"/>
              </w:rPr>
              <w:t>20,510 FCFA</w:t>
            </w:r>
          </w:p>
          <w:p>
            <w:r>
              <w:rPr>
                <w:b/>
                <w:color w:val="503200"/>
                <w:sz w:val="16"/>
              </w:rPr>
              <w:t xml:space="preserve">Var. 100 jours : </w:t>
            </w:r>
            <w:r>
              <w:rPr>
                <w:b/>
                <w:color w:val="007800"/>
                <w:sz w:val="17"/>
              </w:rPr>
              <w:t>+13.94%</w:t>
            </w:r>
          </w:p>
          <w:p>
            <w:r>
              <w:rPr>
                <w:b/>
                <w:color w:val="503200"/>
                <w:sz w:val="16"/>
              </w:rPr>
              <w:t xml:space="preserve">Plus haut 100j : </w:t>
            </w:r>
            <w:r>
              <w:rPr>
                <w:color w:val="000000"/>
                <w:sz w:val="17"/>
              </w:rPr>
              <w:t>24,885 FCFA</w:t>
            </w:r>
          </w:p>
          <w:p>
            <w:r>
              <w:rPr>
                <w:b/>
                <w:color w:val="503200"/>
                <w:sz w:val="16"/>
              </w:rPr>
              <w:t xml:space="preserve">Plus bas 100j : </w:t>
            </w:r>
            <w:r>
              <w:rPr>
                <w:color w:val="000000"/>
                <w:sz w:val="17"/>
              </w:rPr>
              <w:t>17,980 FCFA</w:t>
            </w:r>
          </w:p>
          <w:p>
            <w:r>
              <w:rPr>
                <w:b/>
                <w:color w:val="503200"/>
                <w:sz w:val="16"/>
              </w:rPr>
              <w:t xml:space="preserve">Volatilité ann. : </w:t>
            </w:r>
            <w:r>
              <w:rPr>
                <w:color w:val="000000"/>
                <w:sz w:val="17"/>
              </w:rPr>
              <w:t>36.5%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21.1/100 → Moyen</w:t>
      </w:r>
    </w:p>
    <w:p>
      <w:pPr>
        <w:spacing w:before="40" w:after="80"/>
      </w:pPr>
      <w:r>
        <w:rPr>
          <w:rFonts w:ascii="Courier New" w:hAnsi="Courier New"/>
          <w:color w:val="825A00"/>
          <w:sz w:val="18"/>
        </w:rPr>
        <w:t>████░░░░░░░░░░░░░░░░  21.1/100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8.84% (Moyenne) — μ=21,682 FCFA, σ=1,918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β=1.1265 (Neutre (suit le marché)) — Cov=0.000085, Var(idx)=0.000076, ρ=0.425,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2,879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σ_j=2.30%/j (Stable) — Vol. annualisée≈36.5%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19,296</w:t>
            </w:r>
          </w:p>
        </w:tc>
        <w:tc>
          <w:tcPr>
            <w:tcW w:type="dxa" w:w="1440"/>
            <w:shd w:fill="FAFAFA" w:val="clear"/>
          </w:tcPr>
          <w:p>
            <w:r>
              <w:rPr>
                <w:b/>
                <w:sz w:val="17"/>
              </w:rPr>
              <w:t>20,282</w:t>
            </w:r>
          </w:p>
        </w:tc>
        <w:tc>
          <w:tcPr>
            <w:tcW w:type="dxa" w:w="1440"/>
            <w:shd w:fill="FAFAFA" w:val="clear"/>
          </w:tcPr>
          <w:p>
            <w:r>
              <w:rPr>
                <w:sz w:val="17"/>
              </w:rPr>
              <w:t>21,268</w:t>
            </w:r>
          </w:p>
        </w:tc>
        <w:tc>
          <w:tcPr>
            <w:tcW w:type="dxa" w:w="1440"/>
            <w:shd w:fill="FAFAFA" w:val="clear"/>
          </w:tcPr>
          <w:p>
            <w:r>
              <w:rPr>
                <w:b/>
                <w:color w:val="C00000"/>
                <w:sz w:val="17"/>
              </w:rPr>
              <w:t>-1.1%</w:t>
            </w:r>
          </w:p>
        </w:tc>
      </w:tr>
      <w:tr>
        <w:tc>
          <w:tcPr>
            <w:tcW w:type="dxa" w:w="1440"/>
            <w:shd w:fill="FFDCE0" w:val="clear"/>
          </w:tcPr>
          <w:p>
            <w:r>
              <w:rPr>
                <w:sz w:val="17"/>
              </w:rPr>
              <w:t>J+2  Moyenne</w:t>
            </w:r>
          </w:p>
        </w:tc>
        <w:tc>
          <w:tcPr>
            <w:tcW w:type="dxa" w:w="1440"/>
            <w:shd w:fill="FFDCE0" w:val="clear"/>
          </w:tcPr>
          <w:p>
            <w:r>
              <w:rPr>
                <w:sz w:val="17"/>
              </w:rPr>
              <w:t>2026-10-20</w:t>
            </w:r>
          </w:p>
        </w:tc>
        <w:tc>
          <w:tcPr>
            <w:tcW w:type="dxa" w:w="1440"/>
            <w:shd w:fill="FFDCE0" w:val="clear"/>
          </w:tcPr>
          <w:p>
            <w:r>
              <w:rPr>
                <w:sz w:val="17"/>
              </w:rPr>
              <w:t>18,683</w:t>
            </w:r>
          </w:p>
        </w:tc>
        <w:tc>
          <w:tcPr>
            <w:tcW w:type="dxa" w:w="1440"/>
            <w:shd w:fill="FFDCE0" w:val="clear"/>
          </w:tcPr>
          <w:p>
            <w:r>
              <w:rPr>
                <w:b/>
                <w:sz w:val="17"/>
              </w:rPr>
              <w:t>20,062</w:t>
            </w:r>
          </w:p>
        </w:tc>
        <w:tc>
          <w:tcPr>
            <w:tcW w:type="dxa" w:w="1440"/>
            <w:shd w:fill="FFDCE0" w:val="clear"/>
          </w:tcPr>
          <w:p>
            <w:r>
              <w:rPr>
                <w:sz w:val="17"/>
              </w:rPr>
              <w:t>21,441</w:t>
            </w:r>
          </w:p>
        </w:tc>
        <w:tc>
          <w:tcPr>
            <w:tcW w:type="dxa" w:w="1440"/>
            <w:shd w:fill="FFDCE0" w:val="clear"/>
          </w:tcPr>
          <w:p>
            <w:r>
              <w:rPr>
                <w:b/>
                <w:color w:val="C00000"/>
                <w:sz w:val="17"/>
              </w:rPr>
              <w:t>-2.2%</w:t>
            </w:r>
          </w:p>
        </w:tc>
      </w:tr>
      <w:tr>
        <w:tc>
          <w:tcPr>
            <w:tcW w:type="dxa" w:w="1440"/>
            <w:shd w:fill="FFDCE0" w:val="clear"/>
          </w:tcPr>
          <w:p>
            <w:r>
              <w:rPr>
                <w:sz w:val="17"/>
              </w:rPr>
              <w:t>J+3  Moyenne</w:t>
            </w:r>
          </w:p>
        </w:tc>
        <w:tc>
          <w:tcPr>
            <w:tcW w:type="dxa" w:w="1440"/>
            <w:shd w:fill="FFDCE0" w:val="clear"/>
          </w:tcPr>
          <w:p>
            <w:r>
              <w:rPr>
                <w:sz w:val="17"/>
              </w:rPr>
              <w:t>2026-10-21</w:t>
            </w:r>
          </w:p>
        </w:tc>
        <w:tc>
          <w:tcPr>
            <w:tcW w:type="dxa" w:w="1440"/>
            <w:shd w:fill="FFDCE0" w:val="clear"/>
          </w:tcPr>
          <w:p>
            <w:r>
              <w:rPr>
                <w:sz w:val="17"/>
              </w:rPr>
              <w:t>18,178</w:t>
            </w:r>
          </w:p>
        </w:tc>
        <w:tc>
          <w:tcPr>
            <w:tcW w:type="dxa" w:w="1440"/>
            <w:shd w:fill="FFDCE0" w:val="clear"/>
          </w:tcPr>
          <w:p>
            <w:r>
              <w:rPr>
                <w:b/>
                <w:sz w:val="17"/>
              </w:rPr>
              <w:t>19,850</w:t>
            </w:r>
          </w:p>
        </w:tc>
        <w:tc>
          <w:tcPr>
            <w:tcW w:type="dxa" w:w="1440"/>
            <w:shd w:fill="FFDCE0" w:val="clear"/>
          </w:tcPr>
          <w:p>
            <w:r>
              <w:rPr>
                <w:sz w:val="17"/>
              </w:rPr>
              <w:t>21,521</w:t>
            </w:r>
          </w:p>
        </w:tc>
        <w:tc>
          <w:tcPr>
            <w:tcW w:type="dxa" w:w="1440"/>
            <w:shd w:fill="FFDCE0" w:val="clear"/>
          </w:tcPr>
          <w:p>
            <w:r>
              <w:rPr>
                <w:b/>
                <w:color w:val="C00000"/>
                <w:sz w:val="17"/>
              </w:rPr>
              <w:t>-3.2%</w:t>
            </w:r>
          </w:p>
        </w:tc>
      </w:tr>
      <w:tr>
        <w:tc>
          <w:tcPr>
            <w:tcW w:type="dxa" w:w="1440"/>
            <w:shd w:fill="FFDCE0" w:val="clear"/>
          </w:tcPr>
          <w:p>
            <w:r>
              <w:rPr>
                <w:sz w:val="17"/>
              </w:rPr>
              <w:t>J+4  ⭐</w:t>
            </w:r>
          </w:p>
        </w:tc>
        <w:tc>
          <w:tcPr>
            <w:tcW w:type="dxa" w:w="1440"/>
            <w:shd w:fill="FFDCE0" w:val="clear"/>
          </w:tcPr>
          <w:p>
            <w:r>
              <w:rPr>
                <w:sz w:val="17"/>
              </w:rPr>
              <w:t>2026-10-22</w:t>
            </w:r>
          </w:p>
        </w:tc>
        <w:tc>
          <w:tcPr>
            <w:tcW w:type="dxa" w:w="1440"/>
            <w:shd w:fill="FFDCE0" w:val="clear"/>
          </w:tcPr>
          <w:p>
            <w:r>
              <w:rPr>
                <w:sz w:val="17"/>
              </w:rPr>
              <w:t>17,732</w:t>
            </w:r>
          </w:p>
        </w:tc>
        <w:tc>
          <w:tcPr>
            <w:tcW w:type="dxa" w:w="1440"/>
            <w:shd w:fill="FFDCE0" w:val="clear"/>
          </w:tcPr>
          <w:p>
            <w:r>
              <w:rPr>
                <w:b/>
                <w:sz w:val="17"/>
              </w:rPr>
              <w:t>19,641</w:t>
            </w:r>
          </w:p>
        </w:tc>
        <w:tc>
          <w:tcPr>
            <w:tcW w:type="dxa" w:w="1440"/>
            <w:shd w:fill="FFDCE0" w:val="clear"/>
          </w:tcPr>
          <w:p>
            <w:r>
              <w:rPr>
                <w:sz w:val="17"/>
              </w:rPr>
              <w:t>21,551</w:t>
            </w:r>
          </w:p>
        </w:tc>
        <w:tc>
          <w:tcPr>
            <w:tcW w:type="dxa" w:w="1440"/>
            <w:shd w:fill="FFDCE0" w:val="clear"/>
          </w:tcPr>
          <w:p>
            <w:r>
              <w:rPr>
                <w:b/>
                <w:color w:val="C00000"/>
                <w:sz w:val="17"/>
              </w:rPr>
              <w:t>-4.2%</w:t>
            </w:r>
          </w:p>
        </w:tc>
      </w:tr>
      <w:tr>
        <w:tc>
          <w:tcPr>
            <w:tcW w:type="dxa" w:w="1440"/>
            <w:shd w:fill="FFDCE0" w:val="clear"/>
          </w:tcPr>
          <w:p>
            <w:r>
              <w:rPr>
                <w:sz w:val="17"/>
              </w:rPr>
              <w:t>J+5  ⭐</w:t>
            </w:r>
          </w:p>
        </w:tc>
        <w:tc>
          <w:tcPr>
            <w:tcW w:type="dxa" w:w="1440"/>
            <w:shd w:fill="FFDCE0" w:val="clear"/>
          </w:tcPr>
          <w:p>
            <w:r>
              <w:rPr>
                <w:sz w:val="17"/>
              </w:rPr>
              <w:t>2026-10-23</w:t>
            </w:r>
          </w:p>
        </w:tc>
        <w:tc>
          <w:tcPr>
            <w:tcW w:type="dxa" w:w="1440"/>
            <w:shd w:fill="FFDCE0" w:val="clear"/>
          </w:tcPr>
          <w:p>
            <w:r>
              <w:rPr>
                <w:sz w:val="17"/>
              </w:rPr>
              <w:t>17,324</w:t>
            </w:r>
          </w:p>
        </w:tc>
        <w:tc>
          <w:tcPr>
            <w:tcW w:type="dxa" w:w="1440"/>
            <w:shd w:fill="FFDCE0" w:val="clear"/>
          </w:tcPr>
          <w:p>
            <w:r>
              <w:rPr>
                <w:b/>
                <w:sz w:val="17"/>
              </w:rPr>
              <w:t>19,436</w:t>
            </w:r>
          </w:p>
        </w:tc>
        <w:tc>
          <w:tcPr>
            <w:tcW w:type="dxa" w:w="1440"/>
            <w:shd w:fill="FFDCE0" w:val="clear"/>
          </w:tcPr>
          <w:p>
            <w:r>
              <w:rPr>
                <w:sz w:val="17"/>
              </w:rPr>
              <w:t>21,549</w:t>
            </w:r>
          </w:p>
        </w:tc>
        <w:tc>
          <w:tcPr>
            <w:tcW w:type="dxa" w:w="1440"/>
            <w:shd w:fill="FFDCE0" w:val="clear"/>
          </w:tcPr>
          <w:p>
            <w:r>
              <w:rPr>
                <w:b/>
                <w:color w:val="C00000"/>
                <w:sz w:val="17"/>
              </w:rPr>
              <w:t>-5.2%</w:t>
            </w:r>
          </w:p>
        </w:tc>
      </w:tr>
      <w:tr>
        <w:tc>
          <w:tcPr>
            <w:tcW w:type="dxa" w:w="1440"/>
            <w:shd w:fill="FFDCE0" w:val="clear"/>
          </w:tcPr>
          <w:p>
            <w:r>
              <w:rPr>
                <w:sz w:val="17"/>
              </w:rPr>
              <w:t>J+6  ⭐</w:t>
            </w:r>
          </w:p>
        </w:tc>
        <w:tc>
          <w:tcPr>
            <w:tcW w:type="dxa" w:w="1440"/>
            <w:shd w:fill="FFDCE0" w:val="clear"/>
          </w:tcPr>
          <w:p>
            <w:r>
              <w:rPr>
                <w:sz w:val="17"/>
              </w:rPr>
              <w:t>2026-10-26</w:t>
            </w:r>
          </w:p>
        </w:tc>
        <w:tc>
          <w:tcPr>
            <w:tcW w:type="dxa" w:w="1440"/>
            <w:shd w:fill="FFDCE0" w:val="clear"/>
          </w:tcPr>
          <w:p>
            <w:r>
              <w:rPr>
                <w:sz w:val="17"/>
              </w:rPr>
              <w:t>16,944</w:t>
            </w:r>
          </w:p>
        </w:tc>
        <w:tc>
          <w:tcPr>
            <w:tcW w:type="dxa" w:w="1440"/>
            <w:shd w:fill="FFDCE0" w:val="clear"/>
          </w:tcPr>
          <w:p>
            <w:r>
              <w:rPr>
                <w:b/>
                <w:sz w:val="17"/>
              </w:rPr>
              <w:t>19,234</w:t>
            </w:r>
          </w:p>
        </w:tc>
        <w:tc>
          <w:tcPr>
            <w:tcW w:type="dxa" w:w="1440"/>
            <w:shd w:fill="FFDCE0" w:val="clear"/>
          </w:tcPr>
          <w:p>
            <w:r>
              <w:rPr>
                <w:sz w:val="17"/>
              </w:rPr>
              <w:t>21,525</w:t>
            </w:r>
          </w:p>
        </w:tc>
        <w:tc>
          <w:tcPr>
            <w:tcW w:type="dxa" w:w="1440"/>
            <w:shd w:fill="FFDCE0" w:val="clear"/>
          </w:tcPr>
          <w:p>
            <w:r>
              <w:rPr>
                <w:b/>
                <w:color w:val="C00000"/>
                <w:sz w:val="17"/>
              </w:rPr>
              <w:t>-6.2%</w:t>
            </w:r>
          </w:p>
        </w:tc>
      </w:tr>
      <w:tr>
        <w:tc>
          <w:tcPr>
            <w:tcW w:type="dxa" w:w="1440"/>
            <w:shd w:fill="FFDCE0" w:val="clear"/>
          </w:tcPr>
          <w:p>
            <w:r>
              <w:rPr>
                <w:sz w:val="17"/>
              </w:rPr>
              <w:t>J+7  ⭐</w:t>
            </w:r>
          </w:p>
        </w:tc>
        <w:tc>
          <w:tcPr>
            <w:tcW w:type="dxa" w:w="1440"/>
            <w:shd w:fill="FFDCE0" w:val="clear"/>
          </w:tcPr>
          <w:p>
            <w:r>
              <w:rPr>
                <w:sz w:val="17"/>
              </w:rPr>
              <w:t>2026-10-27</w:t>
            </w:r>
          </w:p>
        </w:tc>
        <w:tc>
          <w:tcPr>
            <w:tcW w:type="dxa" w:w="1440"/>
            <w:shd w:fill="FFDCE0" w:val="clear"/>
          </w:tcPr>
          <w:p>
            <w:r>
              <w:rPr>
                <w:sz w:val="17"/>
              </w:rPr>
              <w:t>16,587</w:t>
            </w:r>
          </w:p>
        </w:tc>
        <w:tc>
          <w:tcPr>
            <w:tcW w:type="dxa" w:w="1440"/>
            <w:shd w:fill="FFDCE0" w:val="clear"/>
          </w:tcPr>
          <w:p>
            <w:r>
              <w:rPr>
                <w:b/>
                <w:sz w:val="17"/>
              </w:rPr>
              <w:t>19,035</w:t>
            </w:r>
          </w:p>
        </w:tc>
        <w:tc>
          <w:tcPr>
            <w:tcW w:type="dxa" w:w="1440"/>
            <w:shd w:fill="FFDCE0" w:val="clear"/>
          </w:tcPr>
          <w:p>
            <w:r>
              <w:rPr>
                <w:sz w:val="17"/>
              </w:rPr>
              <w:t>21,483</w:t>
            </w:r>
          </w:p>
        </w:tc>
        <w:tc>
          <w:tcPr>
            <w:tcW w:type="dxa" w:w="1440"/>
            <w:shd w:fill="FFDCE0" w:val="clear"/>
          </w:tcPr>
          <w:p>
            <w:r>
              <w:rPr>
                <w:b/>
                <w:color w:val="C00000"/>
                <w:sz w:val="17"/>
              </w:rPr>
              <w:t>-7.2%</w:t>
            </w:r>
          </w:p>
        </w:tc>
      </w:tr>
      <w:tr>
        <w:tc>
          <w:tcPr>
            <w:tcW w:type="dxa" w:w="1440"/>
            <w:shd w:fill="FFDCE0" w:val="clear"/>
          </w:tcPr>
          <w:p>
            <w:r>
              <w:rPr>
                <w:sz w:val="17"/>
              </w:rPr>
              <w:t>J+8  ⭐</w:t>
            </w:r>
          </w:p>
        </w:tc>
        <w:tc>
          <w:tcPr>
            <w:tcW w:type="dxa" w:w="1440"/>
            <w:shd w:fill="FFDCE0" w:val="clear"/>
          </w:tcPr>
          <w:p>
            <w:r>
              <w:rPr>
                <w:sz w:val="17"/>
              </w:rPr>
              <w:t>2026-10-28</w:t>
            </w:r>
          </w:p>
        </w:tc>
        <w:tc>
          <w:tcPr>
            <w:tcW w:type="dxa" w:w="1440"/>
            <w:shd w:fill="FFDCE0" w:val="clear"/>
          </w:tcPr>
          <w:p>
            <w:r>
              <w:rPr>
                <w:sz w:val="17"/>
              </w:rPr>
              <w:t>16,248</w:t>
            </w:r>
          </w:p>
        </w:tc>
        <w:tc>
          <w:tcPr>
            <w:tcW w:type="dxa" w:w="1440"/>
            <w:shd w:fill="FFDCE0" w:val="clear"/>
          </w:tcPr>
          <w:p>
            <w:r>
              <w:rPr>
                <w:b/>
                <w:sz w:val="17"/>
              </w:rPr>
              <w:t>18,838</w:t>
            </w:r>
          </w:p>
        </w:tc>
        <w:tc>
          <w:tcPr>
            <w:tcW w:type="dxa" w:w="1440"/>
            <w:shd w:fill="FFDCE0" w:val="clear"/>
          </w:tcPr>
          <w:p>
            <w:r>
              <w:rPr>
                <w:sz w:val="17"/>
              </w:rPr>
              <w:t>21,428</w:t>
            </w:r>
          </w:p>
        </w:tc>
        <w:tc>
          <w:tcPr>
            <w:tcW w:type="dxa" w:w="1440"/>
            <w:shd w:fill="FFDCE0" w:val="clear"/>
          </w:tcPr>
          <w:p>
            <w:r>
              <w:rPr>
                <w:b/>
                <w:color w:val="C00000"/>
                <w:sz w:val="17"/>
              </w:rPr>
              <w:t>-8.2%</w:t>
            </w:r>
          </w:p>
        </w:tc>
      </w:tr>
      <w:tr>
        <w:tc>
          <w:tcPr>
            <w:tcW w:type="dxa" w:w="1440"/>
            <w:shd w:fill="FFDCE0" w:val="clear"/>
          </w:tcPr>
          <w:p>
            <w:r>
              <w:rPr>
                <w:sz w:val="17"/>
              </w:rPr>
              <w:t>J+9  ⭐</w:t>
            </w:r>
          </w:p>
        </w:tc>
        <w:tc>
          <w:tcPr>
            <w:tcW w:type="dxa" w:w="1440"/>
            <w:shd w:fill="FFDCE0" w:val="clear"/>
          </w:tcPr>
          <w:p>
            <w:r>
              <w:rPr>
                <w:sz w:val="17"/>
              </w:rPr>
              <w:t>2026-10-29</w:t>
            </w:r>
          </w:p>
        </w:tc>
        <w:tc>
          <w:tcPr>
            <w:tcW w:type="dxa" w:w="1440"/>
            <w:shd w:fill="FFDCE0" w:val="clear"/>
          </w:tcPr>
          <w:p>
            <w:r>
              <w:rPr>
                <w:sz w:val="17"/>
              </w:rPr>
              <w:t>15,924</w:t>
            </w:r>
          </w:p>
        </w:tc>
        <w:tc>
          <w:tcPr>
            <w:tcW w:type="dxa" w:w="1440"/>
            <w:shd w:fill="FFDCE0" w:val="clear"/>
          </w:tcPr>
          <w:p>
            <w:r>
              <w:rPr>
                <w:b/>
                <w:sz w:val="17"/>
              </w:rPr>
              <w:t>18,643</w:t>
            </w:r>
          </w:p>
        </w:tc>
        <w:tc>
          <w:tcPr>
            <w:tcW w:type="dxa" w:w="1440"/>
            <w:shd w:fill="FFDCE0" w:val="clear"/>
          </w:tcPr>
          <w:p>
            <w:r>
              <w:rPr>
                <w:sz w:val="17"/>
              </w:rPr>
              <w:t>21,361</w:t>
            </w:r>
          </w:p>
        </w:tc>
        <w:tc>
          <w:tcPr>
            <w:tcW w:type="dxa" w:w="1440"/>
            <w:shd w:fill="FFDCE0" w:val="clear"/>
          </w:tcPr>
          <w:p>
            <w:r>
              <w:rPr>
                <w:b/>
                <w:color w:val="C00000"/>
                <w:sz w:val="17"/>
              </w:rPr>
              <w:t>-9.1%</w:t>
            </w:r>
          </w:p>
        </w:tc>
      </w:tr>
      <w:tr>
        <w:tc>
          <w:tcPr>
            <w:tcW w:type="dxa" w:w="1440"/>
            <w:shd w:fill="FFDCE0" w:val="clear"/>
          </w:tcPr>
          <w:p>
            <w:r>
              <w:rPr>
                <w:sz w:val="17"/>
              </w:rPr>
              <w:t>J+10  ⭐</w:t>
            </w:r>
          </w:p>
        </w:tc>
        <w:tc>
          <w:tcPr>
            <w:tcW w:type="dxa" w:w="1440"/>
            <w:shd w:fill="FFDCE0" w:val="clear"/>
          </w:tcPr>
          <w:p>
            <w:r>
              <w:rPr>
                <w:sz w:val="17"/>
              </w:rPr>
              <w:t>2026-10-30</w:t>
            </w:r>
          </w:p>
        </w:tc>
        <w:tc>
          <w:tcPr>
            <w:tcW w:type="dxa" w:w="1440"/>
            <w:shd w:fill="FFDCE0" w:val="clear"/>
          </w:tcPr>
          <w:p>
            <w:r>
              <w:rPr>
                <w:sz w:val="17"/>
              </w:rPr>
              <w:t>15,614</w:t>
            </w:r>
          </w:p>
        </w:tc>
        <w:tc>
          <w:tcPr>
            <w:tcW w:type="dxa" w:w="1440"/>
            <w:shd w:fill="FFDCE0" w:val="clear"/>
          </w:tcPr>
          <w:p>
            <w:r>
              <w:rPr>
                <w:b/>
                <w:sz w:val="17"/>
              </w:rPr>
              <w:t>18,450</w:t>
            </w:r>
          </w:p>
        </w:tc>
        <w:tc>
          <w:tcPr>
            <w:tcW w:type="dxa" w:w="1440"/>
            <w:shd w:fill="FFDCE0" w:val="clear"/>
          </w:tcPr>
          <w:p>
            <w:r>
              <w:rPr>
                <w:sz w:val="17"/>
              </w:rPr>
              <w:t>21,286</w:t>
            </w:r>
          </w:p>
        </w:tc>
        <w:tc>
          <w:tcPr>
            <w:tcW w:type="dxa" w:w="1440"/>
            <w:shd w:fill="FFDCE0" w:val="clear"/>
          </w:tcPr>
          <w:p>
            <w:r>
              <w:rPr>
                <w:b/>
                <w:color w:val="C00000"/>
                <w:sz w:val="17"/>
              </w:rPr>
              <w:t>-10.0%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 RAPPORT D'ANALYSE FINANCIÈRE — NSBC (NSIA Banque Côte d'Ivoire)</w:t>
        <w:br/>
        <w:t>**Bourse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507,31 milliards FCFA, NSBC s'impose comme une valeur de premier plan de la cote BRVM, représentant l'une des plus fortes capitalisations du compartiment bancaire régional. Le BPA de 1 646 FCFA par action traduit la capacité bénéficiaire concrète de chaque titre détenu. Le PER de 12,5x se situe légèrement au-dessus de la moyenne BRVM (~8-12x), signalant une valorisation modérée mais légèrement premium, cohérente avec la qualité des fondamentaux de la banque. Le P/B de 2,17x indique que le marché valorise le titre à plus du double de sa valeur comptable, traduisant une prime de croissance accordée aux investisseurs. Enfin, l'EV/EBITDA de 20,3x apparaît très exigeant (&gt;15x), suggérant que la valeur d'entreprise intègre déjà une part importante des anticipations de croissance future, ce qui limite le potentiel d'appréciation à court terme.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NSBC affiche une variation totale positive de +13,94%, malgré un repli de -1,39% sur la dernière séance, portant le cours actuel à 20 510 FCFA. Le range de trading s'étend de 17 980 FCFA (plus bas) à 24 885 FCFA (plus haut), soit une amplitude de près de 38%, reflétant une dynamique haussière entrecoupée de phases de correction. La moyenne de 21 682 FCFA se situe au-dessus de la médiane de 22 000 FCFA, avec un mode à 21 000 FCFA, suggérant une légère asymétrie vers les niveaux bas malgré une tendance globale positive. L'écart-type de 1 927 FCFA (CV=8,9%) indique une dispersion modérée du cours autour de sa moyenne, tandis que le kurtosis de -1,100 (platykurtique) signale une distribution aplatie avec une faible concentration des rendements et un risque de pics limité. Le skewness de -0,309 confirme une distribution quasi-symétrique avec une légère queue vers la gauche. La volatilité annualisée de 36,5% positionne le titre dans la catégorie des valeurs à volatilité élevée (&gt;30%), ce qui est caractéristique des petites et moyennes capitalisations bancaires de la BRVM et implique une gestion du risque prudente.</w:t>
      </w:r>
    </w:p>
    <w:p>
      <w:pPr>
        <w:spacing w:after="120" w:line="276" w:lineRule="auto"/>
      </w:pPr>
      <w:r>
        <w:t>---</w:t>
      </w:r>
    </w:p>
    <w:p>
      <w:pPr>
        <w:spacing w:after="120" w:line="276" w:lineRule="auto"/>
      </w:pPr>
      <w:r>
        <w:t>## PARTIE 2 : ANALYSE TECHNIQUE DÉTAILLÉE</w:t>
      </w:r>
    </w:p>
    <w:p>
      <w:pPr>
        <w:spacing w:after="120" w:line="276" w:lineRule="auto"/>
      </w:pPr>
      <w:r>
        <w:t>**Moyennes Mobiles** : La MM20 (21 704,5 FCFA) et la MM50 (22 779,9 FCFA) se situent toutes deux au-dessus du cours actuel (20 510 FCFA), avec une MM20 inférieure à la MM50, configuration baissière typique. Le cours évoluant sous ses deux moyennes mobiles, la pression vendeuse domine, justifiant la décision **Vente**.</w:t>
      </w:r>
    </w:p>
    <w:p>
      <w:pPr>
        <w:spacing w:after="120" w:line="276" w:lineRule="auto"/>
      </w:pPr>
      <w:r>
        <w:t>**Bandes de Bollinger** : Le cours (20 510 FCFA) se situe dans la partie basse de la bande, entre la borne inférieure (19 685,96 FCFA) et la borne supérieure (23 723,04 FCFA), sans en atteindre les extrêmes. Cette position centrale-basse traduit une volatilité modérée et une absence de signal directionnel fort, justifiant la décision **Neutre**.</w:t>
      </w:r>
    </w:p>
    <w:p>
      <w:pPr>
        <w:spacing w:after="120" w:line="276" w:lineRule="auto"/>
      </w:pPr>
      <w:r>
        <w:t>**MACD** : La valeur du MACD (-641,876) est inférieure à sa ligne de signal (-559,844), avec un histogramme négatif. Cette configuration baissière indique un momentum négatif persistant, bien que l'écart entre les deux lignes reste contenu, justifiant la décision **Vente**.</w:t>
      </w:r>
    </w:p>
    <w:p>
      <w:pPr>
        <w:spacing w:after="120" w:line="276" w:lineRule="auto"/>
      </w:pPr>
      <w:r>
        <w:t>**RSI** : À 28,463, le RSI se situe en zone de survente (&lt;30), signalant que le titre a été excessivement vendu à court terme et qu'un rebond technique est probable. Cette configuration justifie la décision **Achat** à contre-tendance.</w:t>
      </w:r>
    </w:p>
    <w:p>
      <w:pPr>
        <w:spacing w:after="120" w:line="276" w:lineRule="auto"/>
      </w:pPr>
      <w:r>
        <w:t>**Stochastique** : Le %K et le %D sont tous deux à 0,0, en zone de survente extrême, indiquant un épuisement total de la pression vendeuse et une probabilité élevée de retournement haussier à court terme. La décision qui en découle est **Achat**.</w:t>
      </w:r>
    </w:p>
    <w:p>
      <w:pPr>
        <w:spacing w:after="120" w:line="276" w:lineRule="auto"/>
      </w:pPr>
      <w:r>
        <w:t>**Conclusion technique** : Les indicateurs présentent une divergence marquée : les moyennes mobiles et le MACD confirment une tendance baissière de fond, tandis que le RSI et le stochastique signalent une survente extrême propice à un rebond technique. Cette configuration suggère un titre en fin de correction, avec un potentiel de rebond à court terme mais une tendance de fond encore fragile. La prudence reste de mise tant que le cours n'aura pas reconquis la MM20 (21 704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NSIA Banque CI affiche un Produit Net Bancaire (PNB) de 112,928 milliards FCFA, en croissance de +15,45% par rapport à 2024, porté par une marge d'intérêts en hausse de 26% (rapport annuel 2025). Le résultat net s'établit à 40,712 milliards FCFA, avec une marge nette de 36,05%, un ROE de 17,45% (excellent, &gt;15%) et un ROA de 1,32%. Le coefficient d'exploitation de 54,59% (&lt;60%) confirme l'efficacité opérationnelle de la banque, tandis que le coût du risque de 7,54% (provisions/charges financières) signale un risque de crédit significatif mais maîtrisé. La structure bilancielle révèle un total actif de 3 073,06 milliards FCFA, des dépôts clientèle de 2 242,22 milliards FCFA contre des créances clientèle de 1 818,67 milliards FCFA (ratio de transformation de 81%), et des capitaux propres de 233,30 milliards FCFA. Le ratio d'endettement de 227,9% et l'autonomie financière de 7,59% sont caractéristiques du modèle bancaire, mais la solvabilité générale de 108,22% (&gt;1) confirme la solidité du bilan. **Estimations basées sur les rapports trimestriels** : le rapport du T1 2026 (publié le 31/03/2026) révèle un PNB de 28,615 milliards FCFA (+28% sur un an) et un résultat net de 10,912 milliards FCFA (+53%), tirés par l'activité titres et la maîtrise du coût du risque. Sur cette base, on estime que l'exercice 2026 devrait afficher une accélération de la croissance du PNB (potentiellement +20-25%) et du résultat net, sous réserve de la durabilité de la performance des titres. Le rapport annuel 2025 (publié le 31/12/2025) souligne toutefois une dégradation du coût du risque (-8,5 milliards FCFA contre +0,6 milliard en 2024), un point de vigilance majeur. **Recommandation fondamentale** : la banque présente une solidité financière robuste, une croissance soutenue et une rentabilité excellente, mais la dépendance à l'activité titres et la hausse des provisions justifient une posture prudente. La recommandation fondamentale est **CONSERVER**, avec un biais positif à moyen terme.</w:t>
      </w:r>
    </w:p>
    <w:p>
      <w:pPr>
        <w:spacing w:after="120" w:line="276" w:lineRule="auto"/>
      </w:pPr>
      <w:r>
        <w:t>---</w:t>
      </w:r>
    </w:p>
    <w:p>
      <w:pPr>
        <w:spacing w:after="120" w:line="276" w:lineRule="auto"/>
      </w:pPr>
      <w:r>
        <w:t>## PARTIE 4 : CONCLUSION D'INVESTISSEMENT</w:t>
      </w:r>
    </w:p>
    <w:p>
      <w:pPr>
        <w:spacing w:after="120" w:line="276" w:lineRule="auto"/>
      </w:pPr>
      <w:r>
        <w:t>La valorisation (Partie 0) apparaît modérée à légèrement premium : le PER de 12,5x et le P/B de 2,17x intègrent déjà une partie de la qualité des fondamentaux, tandis que l'EV/EBITDA de 20,3x limite le potentiel d'appréciation à court terme. Le comportement du cours (Partie 1) révèle une tendance haussière de fond (+13,94% sur 100 jours) mais une correction récente, avec une volatilité élevée (36,5%) et une distribution quasi-symétrique (skewness -0,309) sans risque de pics excessif (kurtosis -1,100). Les signaux techniques (Partie 2) sont divergents : la tendance de fond reste baissière (MM20/MM50, MACD), mais la survente extrême (RSI 28,5, stochastique 0,0) suggère un rebond imminent à court terme. Les fondamentaux (Partie 3) sont solides : PNB 2025 de 112,9 milliards FCFA (+15,45%), résultat net de 40,7 milliards FCFA, ROE de 17,45%, et un T1 2026 exceptionnel (+53% de résultat net), malgré un coût du risque en hausse. Les prédictions IA (J+1 à J+10) anticipent une poursuite de la correction baissière (de 20 282 à 19 436 FCFA), ce qui contredit le signal de rebond technique mais confirme la pression baissière de fond. **Recommandation finale : CONSERVER**, avec un niveau de confiance **Moyen** et un niveau de risque **Élevé**. La convergence entre valorisation premium, tendance technique baissière et prédictions IA baissières tempère l'enthousiasme des fondamentaux solides et du rebond technique attendu. L'horizon d'investissement optimal est le **moyen terme (3-12 mois)**, en attendant la confirmation de la tendance par les résultats semestriels 2026 et une reconquête du cours au-dessus de la MM20 (21 704 FCFA) avant tout renforcement.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22.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324.43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1,268 titres</w:t>
            </w:r>
          </w:p>
        </w:tc>
        <w:tc>
          <w:tcPr>
            <w:tcW w:type="dxa" w:w="2268"/>
            <w:shd w:fill="FFF2CC" w:val="clear"/>
          </w:tcPr>
          <w:p>
            <w:r>
              <w:rPr>
                <w:b/>
                <w:color w:val="503200"/>
                <w:sz w:val="16"/>
              </w:rPr>
              <w:t xml:space="preserve">Cours actuel : </w:t>
            </w:r>
            <w:r>
              <w:rPr>
                <w:color w:val="000000"/>
                <w:sz w:val="17"/>
              </w:rPr>
              <w:t>14,700 FCFA</w:t>
            </w:r>
          </w:p>
          <w:p>
            <w:r>
              <w:rPr>
                <w:b/>
                <w:color w:val="503200"/>
                <w:sz w:val="16"/>
              </w:rPr>
              <w:t xml:space="preserve">Var. 100 jours : </w:t>
            </w:r>
            <w:r>
              <w:rPr>
                <w:b/>
                <w:color w:val="007800"/>
                <w:sz w:val="17"/>
              </w:rPr>
              <w:t>+13.03%</w:t>
            </w:r>
          </w:p>
          <w:p>
            <w:r>
              <w:rPr>
                <w:b/>
                <w:color w:val="503200"/>
                <w:sz w:val="16"/>
              </w:rPr>
              <w:t xml:space="preserve">Plus haut 100j : </w:t>
            </w:r>
            <w:r>
              <w:rPr>
                <w:color w:val="000000"/>
                <w:sz w:val="17"/>
              </w:rPr>
              <w:t>18,000 FCFA</w:t>
            </w:r>
          </w:p>
          <w:p>
            <w:r>
              <w:rPr>
                <w:b/>
                <w:color w:val="503200"/>
                <w:sz w:val="16"/>
              </w:rPr>
              <w:t xml:space="preserve">Plus bas 100j : </w:t>
            </w:r>
            <w:r>
              <w:rPr>
                <w:color w:val="000000"/>
                <w:sz w:val="17"/>
              </w:rPr>
              <w:t>12,800 FCFA</w:t>
            </w:r>
          </w:p>
          <w:p>
            <w:r>
              <w:rPr>
                <w:b/>
                <w:color w:val="503200"/>
                <w:sz w:val="16"/>
              </w:rPr>
              <w:t xml:space="preserve">Volatilité ann. : </w:t>
            </w:r>
            <w:r>
              <w:rPr>
                <w:color w:val="000000"/>
                <w:sz w:val="17"/>
              </w:rPr>
              <w:t>36.2%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7.47% (Moyenne) — μ=15,754 FCFA, σ=1,177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β=0.4329 (Défensif) — Cov=0.000033, Var(idx)=0.000076, ρ=0.170,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1,268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σ_j=2.28%/j (Stable) — Vol. annualisée≈36.2%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03190"/>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2026-10-19</w:t>
            </w:r>
          </w:p>
        </w:tc>
        <w:tc>
          <w:tcPr>
            <w:tcW w:type="dxa" w:w="1440"/>
            <w:shd w:fill="C6EFCE" w:val="clear"/>
          </w:tcPr>
          <w:p>
            <w:r>
              <w:rPr>
                <w:sz w:val="17"/>
              </w:rPr>
              <w:t>14,501</w:t>
            </w:r>
          </w:p>
        </w:tc>
        <w:tc>
          <w:tcPr>
            <w:tcW w:type="dxa" w:w="1440"/>
            <w:shd w:fill="C6EFCE" w:val="clear"/>
          </w:tcPr>
          <w:p>
            <w:r>
              <w:rPr>
                <w:b/>
                <w:sz w:val="17"/>
              </w:rPr>
              <w:t>15,196</w:t>
            </w:r>
          </w:p>
        </w:tc>
        <w:tc>
          <w:tcPr>
            <w:tcW w:type="dxa" w:w="1440"/>
            <w:shd w:fill="C6EFCE" w:val="clear"/>
          </w:tcPr>
          <w:p>
            <w:r>
              <w:rPr>
                <w:sz w:val="17"/>
              </w:rPr>
              <w:t>15,891</w:t>
            </w:r>
          </w:p>
        </w:tc>
        <w:tc>
          <w:tcPr>
            <w:tcW w:type="dxa" w:w="1440"/>
            <w:shd w:fill="C6EFCE" w:val="clear"/>
          </w:tcPr>
          <w:p>
            <w:r>
              <w:rPr>
                <w:b/>
                <w:color w:val="008000"/>
                <w:sz w:val="17"/>
              </w:rPr>
              <w:t>+3.4%</w:t>
            </w:r>
          </w:p>
        </w:tc>
      </w:tr>
      <w:tr>
        <w:tc>
          <w:tcPr>
            <w:tcW w:type="dxa" w:w="1440"/>
            <w:shd w:fill="C6EFCE" w:val="clear"/>
          </w:tcPr>
          <w:p>
            <w:r>
              <w:rPr>
                <w:sz w:val="17"/>
              </w:rPr>
              <w:t>J+2  ⭐</w:t>
            </w:r>
          </w:p>
        </w:tc>
        <w:tc>
          <w:tcPr>
            <w:tcW w:type="dxa" w:w="1440"/>
            <w:shd w:fill="C6EFCE" w:val="clear"/>
          </w:tcPr>
          <w:p>
            <w:r>
              <w:rPr>
                <w:sz w:val="17"/>
              </w:rPr>
              <w:t>2026-10-20</w:t>
            </w:r>
          </w:p>
        </w:tc>
        <w:tc>
          <w:tcPr>
            <w:tcW w:type="dxa" w:w="1440"/>
            <w:shd w:fill="C6EFCE" w:val="clear"/>
          </w:tcPr>
          <w:p>
            <w:r>
              <w:rPr>
                <w:sz w:val="17"/>
              </w:rPr>
              <w:t>14,173</w:t>
            </w:r>
          </w:p>
        </w:tc>
        <w:tc>
          <w:tcPr>
            <w:tcW w:type="dxa" w:w="1440"/>
            <w:shd w:fill="C6EFCE" w:val="clear"/>
          </w:tcPr>
          <w:p>
            <w:r>
              <w:rPr>
                <w:b/>
                <w:sz w:val="17"/>
              </w:rPr>
              <w:t>15,153</w:t>
            </w:r>
          </w:p>
        </w:tc>
        <w:tc>
          <w:tcPr>
            <w:tcW w:type="dxa" w:w="1440"/>
            <w:shd w:fill="C6EFCE" w:val="clear"/>
          </w:tcPr>
          <w:p>
            <w:r>
              <w:rPr>
                <w:sz w:val="17"/>
              </w:rPr>
              <w:t>16,134</w:t>
            </w:r>
          </w:p>
        </w:tc>
        <w:tc>
          <w:tcPr>
            <w:tcW w:type="dxa" w:w="1440"/>
            <w:shd w:fill="C6EFCE" w:val="clear"/>
          </w:tcPr>
          <w:p>
            <w:r>
              <w:rPr>
                <w:b/>
                <w:color w:val="008000"/>
                <w:sz w:val="17"/>
              </w:rPr>
              <w:t>+3.1%</w:t>
            </w:r>
          </w:p>
        </w:tc>
      </w:tr>
      <w:tr>
        <w:tc>
          <w:tcPr>
            <w:tcW w:type="dxa" w:w="1440"/>
            <w:shd w:fill="C6EFCE" w:val="clear"/>
          </w:tcPr>
          <w:p>
            <w:r>
              <w:rPr>
                <w:sz w:val="17"/>
              </w:rPr>
              <w:t>J+3  ⭐</w:t>
            </w:r>
          </w:p>
        </w:tc>
        <w:tc>
          <w:tcPr>
            <w:tcW w:type="dxa" w:w="1440"/>
            <w:shd w:fill="C6EFCE" w:val="clear"/>
          </w:tcPr>
          <w:p>
            <w:r>
              <w:rPr>
                <w:sz w:val="17"/>
              </w:rPr>
              <w:t>2026-10-21</w:t>
            </w:r>
          </w:p>
        </w:tc>
        <w:tc>
          <w:tcPr>
            <w:tcW w:type="dxa" w:w="1440"/>
            <w:shd w:fill="C6EFCE" w:val="clear"/>
          </w:tcPr>
          <w:p>
            <w:r>
              <w:rPr>
                <w:sz w:val="17"/>
              </w:rPr>
              <w:t>13,940</w:t>
            </w:r>
          </w:p>
        </w:tc>
        <w:tc>
          <w:tcPr>
            <w:tcW w:type="dxa" w:w="1440"/>
            <w:shd w:fill="C6EFCE" w:val="clear"/>
          </w:tcPr>
          <w:p>
            <w:r>
              <w:rPr>
                <w:b/>
                <w:sz w:val="17"/>
              </w:rPr>
              <w:t>15,140</w:t>
            </w:r>
          </w:p>
        </w:tc>
        <w:tc>
          <w:tcPr>
            <w:tcW w:type="dxa" w:w="1440"/>
            <w:shd w:fill="C6EFCE" w:val="clear"/>
          </w:tcPr>
          <w:p>
            <w:r>
              <w:rPr>
                <w:sz w:val="17"/>
              </w:rPr>
              <w:t>16,339</w:t>
            </w:r>
          </w:p>
        </w:tc>
        <w:tc>
          <w:tcPr>
            <w:tcW w:type="dxa" w:w="1440"/>
            <w:shd w:fill="C6EFCE" w:val="clear"/>
          </w:tcPr>
          <w:p>
            <w:r>
              <w:rPr>
                <w:b/>
                <w:color w:val="008000"/>
                <w:sz w:val="17"/>
              </w:rPr>
              <w:t>+3.0%</w:t>
            </w:r>
          </w:p>
        </w:tc>
      </w:tr>
      <w:tr>
        <w:tc>
          <w:tcPr>
            <w:tcW w:type="dxa" w:w="1440"/>
            <w:shd w:fill="C6EFCE" w:val="clear"/>
          </w:tcPr>
          <w:p>
            <w:r>
              <w:rPr>
                <w:sz w:val="17"/>
              </w:rPr>
              <w:t>J+4  ⭐</w:t>
            </w:r>
          </w:p>
        </w:tc>
        <w:tc>
          <w:tcPr>
            <w:tcW w:type="dxa" w:w="1440"/>
            <w:shd w:fill="C6EFCE" w:val="clear"/>
          </w:tcPr>
          <w:p>
            <w:r>
              <w:rPr>
                <w:sz w:val="17"/>
              </w:rPr>
              <w:t>2026-10-22</w:t>
            </w:r>
          </w:p>
        </w:tc>
        <w:tc>
          <w:tcPr>
            <w:tcW w:type="dxa" w:w="1440"/>
            <w:shd w:fill="C6EFCE" w:val="clear"/>
          </w:tcPr>
          <w:p>
            <w:r>
              <w:rPr>
                <w:sz w:val="17"/>
              </w:rPr>
              <w:t>13,750</w:t>
            </w:r>
          </w:p>
        </w:tc>
        <w:tc>
          <w:tcPr>
            <w:tcW w:type="dxa" w:w="1440"/>
            <w:shd w:fill="C6EFCE" w:val="clear"/>
          </w:tcPr>
          <w:p>
            <w:r>
              <w:rPr>
                <w:b/>
                <w:sz w:val="17"/>
              </w:rPr>
              <w:t>15,135</w:t>
            </w:r>
          </w:p>
        </w:tc>
        <w:tc>
          <w:tcPr>
            <w:tcW w:type="dxa" w:w="1440"/>
            <w:shd w:fill="C6EFCE" w:val="clear"/>
          </w:tcPr>
          <w:p>
            <w:r>
              <w:rPr>
                <w:sz w:val="17"/>
              </w:rPr>
              <w:t>16,520</w:t>
            </w:r>
          </w:p>
        </w:tc>
        <w:tc>
          <w:tcPr>
            <w:tcW w:type="dxa" w:w="1440"/>
            <w:shd w:fill="C6EFCE" w:val="clear"/>
          </w:tcPr>
          <w:p>
            <w:r>
              <w:rPr>
                <w:b/>
                <w:color w:val="008000"/>
                <w:sz w:val="17"/>
              </w:rPr>
              <w:t>+3.0%</w:t>
            </w:r>
          </w:p>
        </w:tc>
      </w:tr>
      <w:tr>
        <w:tc>
          <w:tcPr>
            <w:tcW w:type="dxa" w:w="1440"/>
            <w:shd w:fill="C6EFCE" w:val="clear"/>
          </w:tcPr>
          <w:p>
            <w:r>
              <w:rPr>
                <w:sz w:val="17"/>
              </w:rPr>
              <w:t>J+5  ⭐</w:t>
            </w:r>
          </w:p>
        </w:tc>
        <w:tc>
          <w:tcPr>
            <w:tcW w:type="dxa" w:w="1440"/>
            <w:shd w:fill="C6EFCE" w:val="clear"/>
          </w:tcPr>
          <w:p>
            <w:r>
              <w:rPr>
                <w:sz w:val="17"/>
              </w:rPr>
              <w:t>2026-10-23</w:t>
            </w:r>
          </w:p>
        </w:tc>
        <w:tc>
          <w:tcPr>
            <w:tcW w:type="dxa" w:w="1440"/>
            <w:shd w:fill="C6EFCE" w:val="clear"/>
          </w:tcPr>
          <w:p>
            <w:r>
              <w:rPr>
                <w:sz w:val="17"/>
              </w:rPr>
              <w:t>13,585</w:t>
            </w:r>
          </w:p>
        </w:tc>
        <w:tc>
          <w:tcPr>
            <w:tcW w:type="dxa" w:w="1440"/>
            <w:shd w:fill="C6EFCE" w:val="clear"/>
          </w:tcPr>
          <w:p>
            <w:r>
              <w:rPr>
                <w:b/>
                <w:sz w:val="17"/>
              </w:rPr>
              <w:t>15,133</w:t>
            </w:r>
          </w:p>
        </w:tc>
        <w:tc>
          <w:tcPr>
            <w:tcW w:type="dxa" w:w="1440"/>
            <w:shd w:fill="C6EFCE" w:val="clear"/>
          </w:tcPr>
          <w:p>
            <w:r>
              <w:rPr>
                <w:sz w:val="17"/>
              </w:rPr>
              <w:t>16,681</w:t>
            </w:r>
          </w:p>
        </w:tc>
        <w:tc>
          <w:tcPr>
            <w:tcW w:type="dxa" w:w="1440"/>
            <w:shd w:fill="C6EFCE" w:val="clear"/>
          </w:tcPr>
          <w:p>
            <w:r>
              <w:rPr>
                <w:b/>
                <w:color w:val="008000"/>
                <w:sz w:val="17"/>
              </w:rPr>
              <w:t>+2.9%</w:t>
            </w:r>
          </w:p>
        </w:tc>
      </w:tr>
      <w:tr>
        <w:tc>
          <w:tcPr>
            <w:tcW w:type="dxa" w:w="1440"/>
            <w:shd w:fill="C6EFCE" w:val="clear"/>
          </w:tcPr>
          <w:p>
            <w:r>
              <w:rPr>
                <w:sz w:val="17"/>
              </w:rPr>
              <w:t>J+6  ⭐</w:t>
            </w:r>
          </w:p>
        </w:tc>
        <w:tc>
          <w:tcPr>
            <w:tcW w:type="dxa" w:w="1440"/>
            <w:shd w:fill="C6EFCE" w:val="clear"/>
          </w:tcPr>
          <w:p>
            <w:r>
              <w:rPr>
                <w:sz w:val="17"/>
              </w:rPr>
              <w:t>2026-10-26</w:t>
            </w:r>
          </w:p>
        </w:tc>
        <w:tc>
          <w:tcPr>
            <w:tcW w:type="dxa" w:w="1440"/>
            <w:shd w:fill="C6EFCE" w:val="clear"/>
          </w:tcPr>
          <w:p>
            <w:r>
              <w:rPr>
                <w:sz w:val="17"/>
              </w:rPr>
              <w:t>13,434</w:t>
            </w:r>
          </w:p>
        </w:tc>
        <w:tc>
          <w:tcPr>
            <w:tcW w:type="dxa" w:w="1440"/>
            <w:shd w:fill="C6EFCE" w:val="clear"/>
          </w:tcPr>
          <w:p>
            <w:r>
              <w:rPr>
                <w:b/>
                <w:sz w:val="17"/>
              </w:rPr>
              <w:t>15,130</w:t>
            </w:r>
          </w:p>
        </w:tc>
        <w:tc>
          <w:tcPr>
            <w:tcW w:type="dxa" w:w="1440"/>
            <w:shd w:fill="C6EFCE" w:val="clear"/>
          </w:tcPr>
          <w:p>
            <w:r>
              <w:rPr>
                <w:sz w:val="17"/>
              </w:rPr>
              <w:t>16,825</w:t>
            </w:r>
          </w:p>
        </w:tc>
        <w:tc>
          <w:tcPr>
            <w:tcW w:type="dxa" w:w="1440"/>
            <w:shd w:fill="C6EFCE" w:val="clear"/>
          </w:tcPr>
          <w:p>
            <w:r>
              <w:rPr>
                <w:b/>
                <w:color w:val="008000"/>
                <w:sz w:val="17"/>
              </w:rPr>
              <w:t>+2.9%</w:t>
            </w:r>
          </w:p>
        </w:tc>
      </w:tr>
      <w:tr>
        <w:tc>
          <w:tcPr>
            <w:tcW w:type="dxa" w:w="1440"/>
            <w:shd w:fill="C6EFCE" w:val="clear"/>
          </w:tcPr>
          <w:p>
            <w:r>
              <w:rPr>
                <w:sz w:val="17"/>
              </w:rPr>
              <w:t>J+7  ⭐</w:t>
            </w:r>
          </w:p>
        </w:tc>
        <w:tc>
          <w:tcPr>
            <w:tcW w:type="dxa" w:w="1440"/>
            <w:shd w:fill="C6EFCE" w:val="clear"/>
          </w:tcPr>
          <w:p>
            <w:r>
              <w:rPr>
                <w:sz w:val="17"/>
              </w:rPr>
              <w:t>2026-10-27</w:t>
            </w:r>
          </w:p>
        </w:tc>
        <w:tc>
          <w:tcPr>
            <w:tcW w:type="dxa" w:w="1440"/>
            <w:shd w:fill="C6EFCE" w:val="clear"/>
          </w:tcPr>
          <w:p>
            <w:r>
              <w:rPr>
                <w:sz w:val="17"/>
              </w:rPr>
              <w:t>13,296</w:t>
            </w:r>
          </w:p>
        </w:tc>
        <w:tc>
          <w:tcPr>
            <w:tcW w:type="dxa" w:w="1440"/>
            <w:shd w:fill="C6EFCE" w:val="clear"/>
          </w:tcPr>
          <w:p>
            <w:r>
              <w:rPr>
                <w:b/>
                <w:sz w:val="17"/>
              </w:rPr>
              <w:t>15,127</w:t>
            </w:r>
          </w:p>
        </w:tc>
        <w:tc>
          <w:tcPr>
            <w:tcW w:type="dxa" w:w="1440"/>
            <w:shd w:fill="C6EFCE" w:val="clear"/>
          </w:tcPr>
          <w:p>
            <w:r>
              <w:rPr>
                <w:sz w:val="17"/>
              </w:rPr>
              <w:t>16,958</w:t>
            </w:r>
          </w:p>
        </w:tc>
        <w:tc>
          <w:tcPr>
            <w:tcW w:type="dxa" w:w="1440"/>
            <w:shd w:fill="C6EFCE" w:val="clear"/>
          </w:tcPr>
          <w:p>
            <w:r>
              <w:rPr>
                <w:b/>
                <w:color w:val="008000"/>
                <w:sz w:val="17"/>
              </w:rPr>
              <w:t>+2.9%</w:t>
            </w:r>
          </w:p>
        </w:tc>
      </w:tr>
      <w:tr>
        <w:tc>
          <w:tcPr>
            <w:tcW w:type="dxa" w:w="1440"/>
            <w:shd w:fill="C6EFCE" w:val="clear"/>
          </w:tcPr>
          <w:p>
            <w:r>
              <w:rPr>
                <w:sz w:val="17"/>
              </w:rPr>
              <w:t>J+8  ⭐</w:t>
            </w:r>
          </w:p>
        </w:tc>
        <w:tc>
          <w:tcPr>
            <w:tcW w:type="dxa" w:w="1440"/>
            <w:shd w:fill="C6EFCE" w:val="clear"/>
          </w:tcPr>
          <w:p>
            <w:r>
              <w:rPr>
                <w:sz w:val="17"/>
              </w:rPr>
              <w:t>2026-10-28</w:t>
            </w:r>
          </w:p>
        </w:tc>
        <w:tc>
          <w:tcPr>
            <w:tcW w:type="dxa" w:w="1440"/>
            <w:shd w:fill="C6EFCE" w:val="clear"/>
          </w:tcPr>
          <w:p>
            <w:r>
              <w:rPr>
                <w:sz w:val="17"/>
              </w:rPr>
              <w:t>13,166</w:t>
            </w:r>
          </w:p>
        </w:tc>
        <w:tc>
          <w:tcPr>
            <w:tcW w:type="dxa" w:w="1440"/>
            <w:shd w:fill="C6EFCE" w:val="clear"/>
          </w:tcPr>
          <w:p>
            <w:r>
              <w:rPr>
                <w:b/>
                <w:sz w:val="17"/>
              </w:rPr>
              <w:t>15,123</w:t>
            </w:r>
          </w:p>
        </w:tc>
        <w:tc>
          <w:tcPr>
            <w:tcW w:type="dxa" w:w="1440"/>
            <w:shd w:fill="C6EFCE" w:val="clear"/>
          </w:tcPr>
          <w:p>
            <w:r>
              <w:rPr>
                <w:sz w:val="17"/>
              </w:rPr>
              <w:t>17,080</w:t>
            </w:r>
          </w:p>
        </w:tc>
        <w:tc>
          <w:tcPr>
            <w:tcW w:type="dxa" w:w="1440"/>
            <w:shd w:fill="C6EFCE" w:val="clear"/>
          </w:tcPr>
          <w:p>
            <w:r>
              <w:rPr>
                <w:b/>
                <w:color w:val="008000"/>
                <w:sz w:val="17"/>
              </w:rPr>
              <w:t>+2.9%</w:t>
            </w:r>
          </w:p>
        </w:tc>
      </w:tr>
      <w:tr>
        <w:tc>
          <w:tcPr>
            <w:tcW w:type="dxa" w:w="1440"/>
            <w:shd w:fill="C6EFCE" w:val="clear"/>
          </w:tcPr>
          <w:p>
            <w:r>
              <w:rPr>
                <w:sz w:val="17"/>
              </w:rPr>
              <w:t>J+9  ⭐</w:t>
            </w:r>
          </w:p>
        </w:tc>
        <w:tc>
          <w:tcPr>
            <w:tcW w:type="dxa" w:w="1440"/>
            <w:shd w:fill="C6EFCE" w:val="clear"/>
          </w:tcPr>
          <w:p>
            <w:r>
              <w:rPr>
                <w:sz w:val="17"/>
              </w:rPr>
              <w:t>2026-10-29</w:t>
            </w:r>
          </w:p>
        </w:tc>
        <w:tc>
          <w:tcPr>
            <w:tcW w:type="dxa" w:w="1440"/>
            <w:shd w:fill="C6EFCE" w:val="clear"/>
          </w:tcPr>
          <w:p>
            <w:r>
              <w:rPr>
                <w:sz w:val="17"/>
              </w:rPr>
              <w:t>13,044</w:t>
            </w:r>
          </w:p>
        </w:tc>
        <w:tc>
          <w:tcPr>
            <w:tcW w:type="dxa" w:w="1440"/>
            <w:shd w:fill="C6EFCE" w:val="clear"/>
          </w:tcPr>
          <w:p>
            <w:r>
              <w:rPr>
                <w:b/>
                <w:sz w:val="17"/>
              </w:rPr>
              <w:t>15,120</w:t>
            </w:r>
          </w:p>
        </w:tc>
        <w:tc>
          <w:tcPr>
            <w:tcW w:type="dxa" w:w="1440"/>
            <w:shd w:fill="C6EFCE" w:val="clear"/>
          </w:tcPr>
          <w:p>
            <w:r>
              <w:rPr>
                <w:sz w:val="17"/>
              </w:rPr>
              <w:t>17,195</w:t>
            </w:r>
          </w:p>
        </w:tc>
        <w:tc>
          <w:tcPr>
            <w:tcW w:type="dxa" w:w="1440"/>
            <w:shd w:fill="C6EFCE" w:val="clear"/>
          </w:tcPr>
          <w:p>
            <w:r>
              <w:rPr>
                <w:b/>
                <w:color w:val="008000"/>
                <w:sz w:val="17"/>
              </w:rPr>
              <w:t>+2.9%</w:t>
            </w:r>
          </w:p>
        </w:tc>
      </w:tr>
      <w:tr>
        <w:tc>
          <w:tcPr>
            <w:tcW w:type="dxa" w:w="1440"/>
            <w:shd w:fill="C6EFCE" w:val="clear"/>
          </w:tcPr>
          <w:p>
            <w:r>
              <w:rPr>
                <w:sz w:val="17"/>
              </w:rPr>
              <w:t>J+10  ⭐</w:t>
            </w:r>
          </w:p>
        </w:tc>
        <w:tc>
          <w:tcPr>
            <w:tcW w:type="dxa" w:w="1440"/>
            <w:shd w:fill="C6EFCE" w:val="clear"/>
          </w:tcPr>
          <w:p>
            <w:r>
              <w:rPr>
                <w:sz w:val="17"/>
              </w:rPr>
              <w:t>2026-10-30</w:t>
            </w:r>
          </w:p>
        </w:tc>
        <w:tc>
          <w:tcPr>
            <w:tcW w:type="dxa" w:w="1440"/>
            <w:shd w:fill="C6EFCE" w:val="clear"/>
          </w:tcPr>
          <w:p>
            <w:r>
              <w:rPr>
                <w:sz w:val="17"/>
              </w:rPr>
              <w:t>12,929</w:t>
            </w:r>
          </w:p>
        </w:tc>
        <w:tc>
          <w:tcPr>
            <w:tcW w:type="dxa" w:w="1440"/>
            <w:shd w:fill="C6EFCE" w:val="clear"/>
          </w:tcPr>
          <w:p>
            <w:r>
              <w:rPr>
                <w:b/>
                <w:sz w:val="17"/>
              </w:rPr>
              <w:t>15,116</w:t>
            </w:r>
          </w:p>
        </w:tc>
        <w:tc>
          <w:tcPr>
            <w:tcW w:type="dxa" w:w="1440"/>
            <w:shd w:fill="C6EFCE" w:val="clear"/>
          </w:tcPr>
          <w:p>
            <w:r>
              <w:rPr>
                <w:sz w:val="17"/>
              </w:rPr>
              <w:t>17,303</w:t>
            </w:r>
          </w:p>
        </w:tc>
        <w:tc>
          <w:tcPr>
            <w:tcW w:type="dxa" w:w="1440"/>
            <w:shd w:fill="C6EFCE" w:val="clear"/>
          </w:tcPr>
          <w:p>
            <w:r>
              <w:rPr>
                <w:b/>
                <w:color w:val="008000"/>
                <w:sz w:val="17"/>
              </w:rPr>
              <w:t>+2.8%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 RAPPORT D'ANALYSE FINANCIÈRE — NTLC (Nestlé Côte d'Ivoire S.A.)</w:t>
        <w:br/>
        <w:t>**Bourse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324,43 milliards FCFA, NTLC figure parmi les valeurs les plus importantes de la cote BRVM, ce qui témoigne de son statut de blue chip régionale. Le BPA de 835 FCFA/action signifie que chaque titre génère un bénéfice net de 835 FCFA, et le PER de 17,6x indique que les investisseurs paient environ 17,6 fois les bénéfices — un niveau modéré mais supérieur à la moyenne BRVM (~8-12x), traduisant une prime de qualité. Le P/B de 10,97x, très supérieur au seuil de 4x, révèle que le marché valorise l'entreprise à près de 11 fois sa valeur comptable, ce qui est exigeant et s'explique par la faiblesse des capitaux propres (29,59 Mds FCFA) face à la forte rentabilité (ROE de 62,3%). Enfin, l'EV/EBITDA de 8,9x, dans la fourchette raisonnable de 5-10x, suggère que la valeur totale de l'entreprise reste cohérente avec sa capacité opérationnelle, offrant un contrepoids rassurant à la prime comptable.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NTLC affiche une variation totale positive de +13,03%, mais la dernière séance (J-1) enregistre un net repli de -5,16%, signalant une correction récente après un parcours haussier. Le cours actuel de 14 700 FCFA se situe dans la moitié basse du range de trading, entre un plus bas de 12 800 FCFA et un plus haut de 18 000 FCFA, ce qui traduit une tendance globale haussière mais avec une pression vendeuse en fin de période. Les statistiques descriptives révèlent une moyenne de 15 754 FCFA supérieure à la médiane de 15 995 FCFA — en réalité la médiane dépasse légèrement la moyenne, confirmant une asymétrie négative (skewness de -0,848) avec davantage de journées au-dessus de la moyenne, typique d'une distribution tirée vers le bas par quelques séances de correction. L'écart-type de 1 183 FCFA et le coefficient de variation de 7,5% indiquent une dispersion modérée du cours autour de sa tendance. Le kurtosis de 0,307 (mésokurtique) suggère un comportement proche d'une distribution normale, sans risque excessif de pics extrêmes. Enfin, la volatilité annualisée de 36,2% positionne le titre dans la catégorie des valeurs à volatilité élevée (&gt;30%), ce qui est cohérent avec la correction récente de -5,16% et appelle à la prudence sur le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(15 240,25 FCFA) et la MM50 (16 219,9 FCFA) se situent toutes deux au-dessus du cours actuel (14 700 FCFA), avec une MM20 inférieure à la MM50 — configuration baissière de court terme. Le cours évoluant sous ses deux moyennes, la décision technique est **Vente**, confirmant la pression baissière récente.</w:t>
      </w:r>
    </w:p>
    <w:p>
      <w:pPr>
        <w:spacing w:after="120" w:line="276" w:lineRule="auto"/>
      </w:pPr>
      <w:r>
        <w:t>**Bandes de Bollinger** : Le cours (14 700 FCFA) se situe entre la borne inférieure (14 450,88 FCFA) et la borne supérieure (16 029,62 FCFA), mais plus proche de la borne basse, traduisant une volatilité contenue et une position fragile. La décision est **Neutre**, le titre n'étant ni en survente extrême ni en surachat, mais évoluant dans la zone basse du canal.</w:t>
      </w:r>
    </w:p>
    <w:p>
      <w:pPr>
        <w:spacing w:after="120" w:line="276" w:lineRule="auto"/>
      </w:pPr>
      <w:r>
        <w:t>**MACD** : La valeur du MACD (-289,56) est supérieure à son signal (-315,03), générant un croisement haussier malgré un territoire négatif. Le momentum baissier s'essouffle, ce qui justifie la décision **Achat** — signal de retournement potentiel à surveiller.</w:t>
      </w:r>
    </w:p>
    <w:p>
      <w:pPr>
        <w:spacing w:after="120" w:line="276" w:lineRule="auto"/>
      </w:pPr>
      <w:r>
        <w:t>**RSI** : À 40,45, le RSI se situe dans la zone neutre (30-70), sans signal de surachat ni de survente. La décision est **Neutre**, le titre conservant une marge de baisse avant d'atteindre la zone de survente (&lt;30), mais sans dynamique acheteuse affirmée.</w:t>
      </w:r>
    </w:p>
    <w:p>
      <w:pPr>
        <w:spacing w:after="120" w:line="276" w:lineRule="auto"/>
      </w:pPr>
      <w:r>
        <w:t>**Stochastique** : Le %K à 0,0 (extrême bas) contre un %D à 61,0 révèle un croisement baissier marqué, mais la position du %K en zone de survente extrême suggère un potentiel rebond imminent. La décision est **Achat**, anticipant un retournement à court terme.</w:t>
      </w:r>
    </w:p>
    <w:p>
      <w:pPr>
        <w:spacing w:after="120" w:line="276" w:lineRule="auto"/>
      </w:pPr>
      <w:r>
        <w:t>**Conclusion technique** : Les indicateurs sont divergents — les moyennes mobiles et les Bandes de Bollinger plaident pour la prudence (Vente/Neutre), tandis que le MACD et le Stochastique signalent un potentiel rebond (Achat). Le RSI neutre confirme l'absence de signal directionnel fort. Cette configuration mixte suggère une phase de consolidation avec un biais haussier naissant, mais la prédominance des signaux baissiers sur les moyennes mobiles invite à attendre une confirmation avant tout engagement.</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NTLC réalise un chiffre d'affaires de 233,26 milliards FCFA, en croissance de +5,97% par rapport à 2024 (220,11 Mds FCFA), avec un résultat net de 18,43 milliards FCFA (+1,53%). La rentabilité reste exceptionnelle avec un ROE de 62,28% (largement supérieur au seuil de 15%) et un ROA de 9,70%, tandis que la marge nette s'établit à 7,90% et la marge opérationnelle à 16,16%. En tant qu'entreprise agroalimentaire, les points d'attention sont notables : le BFR de 22,63 Mds FCFA (positif, donc défavorable), un fonds de roulement négatif de -24,21 Mds FCFA et une trésorerie nette de -46,83 Mds FCFA traduisent une tension sur le cycle d'exploitation. Le délai clients de 74,30 jours et la durée de stockage de 59,39 jours immobilisent du capital, tandis que l'autonomie financière de 15,58% (inférieure au seuil sain de 30%) et le ratio d'endettement de 135,85% révèlent une structure financière fragile, compensée par une solvabilité générale de 118,45% et une couverture des intérêts de 473,63%.</w:t>
      </w:r>
    </w:p>
    <w:p>
      <w:pPr>
        <w:spacing w:after="120" w:line="276" w:lineRule="auto"/>
      </w:pPr>
      <w:r>
        <w:t>**Évolution et rapports trimestriels** : Le rapport annuel 2024 (publié le 31/12/2024) confirmait déjà une croissance du CA de +8,1% à 220,11 Mds FCFA et un résultat net de 18,15 Mds FCFA (+9,6%), avec un ROE d'environ 51%. Le rapport du T3 2025 (30/09/2025) signalait un ralentissement avec un CA cumulé de 173,41 Mds FCFA (+1,36%) et un résultat net en baisse de -21,3% à 11,94 Mds FCFA, sous l'effet de la hausse des coûts des matières premières. Cependant, le rapport du T1 2026 (31/03/2026) marque un **retournement spectaculaire** : CA de 70,82 Mds FCFA (+31%) et résultat net de 7,53 Mds FCFA (+37%), avec une marge nette améliorée à 10,6%. **Estimation** : sur la base de ce T1 2026 dynamique, on peut estimer que l'exercice 2026 devrait renouer avec une croissance à deux chiffres du CA et une amélioration de la rentabilité, sous réserve de la persistance des pressions sur les coûts. La politique de dividende 2025 a été réduite à 9,27 Mds FCFA (payout de 50,3% contre 99,7% en 2024), traduisant une stratégie de réinvestissement prudente. **Recommandation fondamentale** : la solidité du modèle (marque leader, croissance retrouvée) et la rentabilité exceptionnelle compensent les risques structurels (endettement, tension de trésorerie, dépendance aux matières premières), justifiant une posture positive à moyen terme.</w:t>
      </w:r>
    </w:p>
    <w:p>
      <w:pPr>
        <w:spacing w:after="120" w:line="276" w:lineRule="auto"/>
      </w:pPr>
      <w:r>
        <w:t>---</w:t>
      </w:r>
    </w:p>
    <w:p>
      <w:pPr>
        <w:spacing w:after="120" w:line="276" w:lineRule="auto"/>
      </w:pPr>
      <w:r>
        <w:t>## PARTIE 4 : CONCLUSION D'INVESTISSEMENT</w:t>
      </w:r>
    </w:p>
    <w:p>
      <w:pPr>
        <w:spacing w:after="120" w:line="276" w:lineRule="auto"/>
      </w:pPr>
      <w:r>
        <w:t>La valorisation (Partie 0) présente un profil contrasté : le PER de 17,6x et le P/B de 10,97x traduisent une **surévaluation relative** par rapport aux standards BRVM, mais l'EV/EBITDA de 8,9x reste raisonnable et la prime se justifie par la qualité exceptionnelle des fondamentaux (ROE de 62,3%). Le comportement du cours (Partie 1) est préoccupant à court terme : la correction de -5,16% en J-1, la volatilité élevée de 36,2% et le skewness négatif de -0,848 signalent une pression vendeuse, bien que le kurtosis mésokurtique (0,307) limite le risque de pics extrêmes. Les signaux techniques (Partie 2) sont **divergents** : les moyennes mobiles (Vente) et les Bandes de Bollinger (Neutre) plaident pour la prudence, tandis que le MACD (Achat) et le Stochastique (Achat) anticipent un rebond — cette configuration mixte suggère une consolidation avant reprise. Les fondamentaux (Partie 3) offrent le contrepoids le plus solide : la croissance retrouvée au T1 2026 (+31% de CA, +37% de résultat net) et la rentabilité exceptionnelle (ROE 62,3%) compensent les tensions de trésorerie et l'endettement élevé. Les **prédictions IA** (J+1 à J+10) projettent une trajectoire légèrement haussière de 15 196 FCFA à 15 133 FCFA, soit une stabilisation autour de 15 100-15 200 FCFA — ce qui **contredit partiellement** les signaux baissiers de court terme et **confirme** le potentiel de rebond technique, tout en restant en dessous de la moyenne historique (15 754 FCFA).</w:t>
      </w:r>
    </w:p>
    <w:p>
      <w:pPr>
        <w:spacing w:after="120" w:line="276" w:lineRule="auto"/>
      </w:pPr>
      <w:r>
        <w:t>**Recommandation finale : CONSERVER** — La convergence est modérée : la valorisation exigeante et les signaux techniques baissiers de court terme tempèrent l'enthousiasme, mais les fondamentaux solides et les prédictions IA stabilisatrices plaident pour la patience. Le niveau de confiance est **Moyen** (divergence technique/fondamental), le risque global est **Moyen** (volatilité élevée mais qualité fondamentale), et l'horizon optimal est le **moyen terme (3-12 mois)**, le temps que la dynamique du T1 2026 se confirme et que la correction technique s'achève. Un passage à l'ACHAT serait justifié en cas de confirmation du rebond au-dessus de la MM20 (15 240 FCFA) ou de publication d'un T2 2026 confirmant la croissance à deux chiffres.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23.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203.66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6,393 titres</w:t>
            </w:r>
          </w:p>
        </w:tc>
        <w:tc>
          <w:tcPr>
            <w:tcW w:type="dxa" w:w="2268"/>
            <w:shd w:fill="FFF2CC" w:val="clear"/>
          </w:tcPr>
          <w:p>
            <w:r>
              <w:rPr>
                <w:b/>
                <w:color w:val="503200"/>
                <w:sz w:val="16"/>
              </w:rPr>
              <w:t xml:space="preserve">Cours actuel : </w:t>
            </w:r>
            <w:r>
              <w:rPr>
                <w:color w:val="000000"/>
                <w:sz w:val="17"/>
              </w:rPr>
              <w:t>2,995 FCFA</w:t>
            </w:r>
          </w:p>
          <w:p>
            <w:r>
              <w:rPr>
                <w:b/>
                <w:color w:val="503200"/>
                <w:sz w:val="16"/>
              </w:rPr>
              <w:t xml:space="preserve">Var. 100 jours : </w:t>
            </w:r>
            <w:r>
              <w:rPr>
                <w:b/>
                <w:color w:val="007800"/>
                <w:sz w:val="17"/>
              </w:rPr>
              <w:t>+4.90%</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2,675 FCFA</w:t>
            </w:r>
          </w:p>
          <w:p>
            <w:r>
              <w:rPr>
                <w:b/>
                <w:color w:val="503200"/>
                <w:sz w:val="16"/>
              </w:rPr>
              <w:t xml:space="preserve">Volatilité ann. : </w:t>
            </w:r>
            <w:r>
              <w:rPr>
                <w:color w:val="000000"/>
                <w:sz w:val="17"/>
              </w:rPr>
              <w:t>35.9%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2.96% (Faible) — μ=2,865 FCFA, σ=85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β=0.3390 (Défensif) — Cov=0.000026, Var(idx)=0.000076, ρ=0.131,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6,393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σ_j=2.26%/j (Stable) — Vol. annualisée≈35.9%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2,829</w:t>
            </w:r>
          </w:p>
        </w:tc>
        <w:tc>
          <w:tcPr>
            <w:tcW w:type="dxa" w:w="1440"/>
            <w:shd w:fill="FAFAFA" w:val="clear"/>
          </w:tcPr>
          <w:p>
            <w:r>
              <w:rPr>
                <w:b/>
                <w:sz w:val="17"/>
              </w:rPr>
              <w:t>2,959</w:t>
            </w:r>
          </w:p>
        </w:tc>
        <w:tc>
          <w:tcPr>
            <w:tcW w:type="dxa" w:w="1440"/>
            <w:shd w:fill="FAFAFA" w:val="clear"/>
          </w:tcPr>
          <w:p>
            <w:r>
              <w:rPr>
                <w:sz w:val="17"/>
              </w:rPr>
              <w:t>3,090</w:t>
            </w:r>
          </w:p>
        </w:tc>
        <w:tc>
          <w:tcPr>
            <w:tcW w:type="dxa" w:w="1440"/>
            <w:shd w:fill="FAFAFA" w:val="clear"/>
          </w:tcPr>
          <w:p>
            <w:r>
              <w:rPr>
                <w:b/>
                <w:color w:val="C00000"/>
                <w:sz w:val="17"/>
              </w:rPr>
              <w:t>-1.2%</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2,770</w:t>
            </w:r>
          </w:p>
        </w:tc>
        <w:tc>
          <w:tcPr>
            <w:tcW w:type="dxa" w:w="1440"/>
            <w:shd w:fill="FAFAFA" w:val="clear"/>
          </w:tcPr>
          <w:p>
            <w:r>
              <w:rPr>
                <w:b/>
                <w:sz w:val="17"/>
              </w:rPr>
              <w:t>2,954</w:t>
            </w:r>
          </w:p>
        </w:tc>
        <w:tc>
          <w:tcPr>
            <w:tcW w:type="dxa" w:w="1440"/>
            <w:shd w:fill="FAFAFA" w:val="clear"/>
          </w:tcPr>
          <w:p>
            <w:r>
              <w:rPr>
                <w:sz w:val="17"/>
              </w:rPr>
              <w:t>3,138</w:t>
            </w:r>
          </w:p>
        </w:tc>
        <w:tc>
          <w:tcPr>
            <w:tcW w:type="dxa" w:w="1440"/>
            <w:shd w:fill="FAFAFA" w:val="clear"/>
          </w:tcPr>
          <w:p>
            <w:r>
              <w:rPr>
                <w:b/>
                <w:color w:val="C00000"/>
                <w:sz w:val="17"/>
              </w:rPr>
              <w:t>-1.4%</w:t>
            </w:r>
          </w:p>
        </w:tc>
      </w:tr>
      <w:tr>
        <w:tc>
          <w:tcPr>
            <w:tcW w:type="dxa" w:w="1440"/>
            <w:shd w:fill="FAFAFA" w:val="clear"/>
          </w:tcPr>
          <w:p>
            <w:r>
              <w:rPr>
                <w:sz w:val="17"/>
              </w:rPr>
              <w:t>J+3  Moyenne</w:t>
            </w:r>
          </w:p>
        </w:tc>
        <w:tc>
          <w:tcPr>
            <w:tcW w:type="dxa" w:w="1440"/>
            <w:shd w:fill="FAFAFA" w:val="clear"/>
          </w:tcPr>
          <w:p>
            <w:r>
              <w:rPr>
                <w:sz w:val="17"/>
              </w:rPr>
              <w:t>2026-10-21</w:t>
            </w:r>
          </w:p>
        </w:tc>
        <w:tc>
          <w:tcPr>
            <w:tcW w:type="dxa" w:w="1440"/>
            <w:shd w:fill="FAFAFA" w:val="clear"/>
          </w:tcPr>
          <w:p>
            <w:r>
              <w:rPr>
                <w:sz w:val="17"/>
              </w:rPr>
              <w:t>2,721</w:t>
            </w:r>
          </w:p>
        </w:tc>
        <w:tc>
          <w:tcPr>
            <w:tcW w:type="dxa" w:w="1440"/>
            <w:shd w:fill="FAFAFA" w:val="clear"/>
          </w:tcPr>
          <w:p>
            <w:r>
              <w:rPr>
                <w:b/>
                <w:sz w:val="17"/>
              </w:rPr>
              <w:t>2,946</w:t>
            </w:r>
          </w:p>
        </w:tc>
        <w:tc>
          <w:tcPr>
            <w:tcW w:type="dxa" w:w="1440"/>
            <w:shd w:fill="FAFAFA" w:val="clear"/>
          </w:tcPr>
          <w:p>
            <w:r>
              <w:rPr>
                <w:sz w:val="17"/>
              </w:rPr>
              <w:t>3,171</w:t>
            </w:r>
          </w:p>
        </w:tc>
        <w:tc>
          <w:tcPr>
            <w:tcW w:type="dxa" w:w="1440"/>
            <w:shd w:fill="FAFAFA" w:val="clear"/>
          </w:tcPr>
          <w:p>
            <w:r>
              <w:rPr>
                <w:b/>
                <w:color w:val="C00000"/>
                <w:sz w:val="17"/>
              </w:rPr>
              <w:t>-1.6%</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2,680</w:t>
            </w:r>
          </w:p>
        </w:tc>
        <w:tc>
          <w:tcPr>
            <w:tcW w:type="dxa" w:w="1440"/>
            <w:shd w:fill="FAFAFA" w:val="clear"/>
          </w:tcPr>
          <w:p>
            <w:r>
              <w:rPr>
                <w:b/>
                <w:sz w:val="17"/>
              </w:rPr>
              <w:t>2,939</w:t>
            </w:r>
          </w:p>
        </w:tc>
        <w:tc>
          <w:tcPr>
            <w:tcW w:type="dxa" w:w="1440"/>
            <w:shd w:fill="FAFAFA" w:val="clear"/>
          </w:tcPr>
          <w:p>
            <w:r>
              <w:rPr>
                <w:sz w:val="17"/>
              </w:rPr>
              <w:t>3,198</w:t>
            </w:r>
          </w:p>
        </w:tc>
        <w:tc>
          <w:tcPr>
            <w:tcW w:type="dxa" w:w="1440"/>
            <w:shd w:fill="FAFAFA" w:val="clear"/>
          </w:tcPr>
          <w:p>
            <w:r>
              <w:rPr>
                <w:b/>
                <w:color w:val="C00000"/>
                <w:sz w:val="17"/>
              </w:rPr>
              <w:t>-1.9%</w:t>
            </w:r>
          </w:p>
        </w:tc>
      </w:tr>
      <w:tr>
        <w:tc>
          <w:tcPr>
            <w:tcW w:type="dxa" w:w="1440"/>
            <w:shd w:fill="FFDCE0" w:val="clear"/>
          </w:tcPr>
          <w:p>
            <w:r>
              <w:rPr>
                <w:sz w:val="17"/>
              </w:rPr>
              <w:t>J+5  ⭐</w:t>
            </w:r>
          </w:p>
        </w:tc>
        <w:tc>
          <w:tcPr>
            <w:tcW w:type="dxa" w:w="1440"/>
            <w:shd w:fill="FFDCE0" w:val="clear"/>
          </w:tcPr>
          <w:p>
            <w:r>
              <w:rPr>
                <w:sz w:val="17"/>
              </w:rPr>
              <w:t>2026-10-23</w:t>
            </w:r>
          </w:p>
        </w:tc>
        <w:tc>
          <w:tcPr>
            <w:tcW w:type="dxa" w:w="1440"/>
            <w:shd w:fill="FFDCE0" w:val="clear"/>
          </w:tcPr>
          <w:p>
            <w:r>
              <w:rPr>
                <w:sz w:val="17"/>
              </w:rPr>
              <w:t>2,643</w:t>
            </w:r>
          </w:p>
        </w:tc>
        <w:tc>
          <w:tcPr>
            <w:tcW w:type="dxa" w:w="1440"/>
            <w:shd w:fill="FFDCE0" w:val="clear"/>
          </w:tcPr>
          <w:p>
            <w:r>
              <w:rPr>
                <w:b/>
                <w:sz w:val="17"/>
              </w:rPr>
              <w:t>2,931</w:t>
            </w:r>
          </w:p>
        </w:tc>
        <w:tc>
          <w:tcPr>
            <w:tcW w:type="dxa" w:w="1440"/>
            <w:shd w:fill="FFDCE0" w:val="clear"/>
          </w:tcPr>
          <w:p>
            <w:r>
              <w:rPr>
                <w:sz w:val="17"/>
              </w:rPr>
              <w:t>3,220</w:t>
            </w:r>
          </w:p>
        </w:tc>
        <w:tc>
          <w:tcPr>
            <w:tcW w:type="dxa" w:w="1440"/>
            <w:shd w:fill="FFDCE0" w:val="clear"/>
          </w:tcPr>
          <w:p>
            <w:r>
              <w:rPr>
                <w:b/>
                <w:color w:val="C00000"/>
                <w:sz w:val="17"/>
              </w:rPr>
              <w:t>-2.1%</w:t>
            </w:r>
          </w:p>
        </w:tc>
      </w:tr>
      <w:tr>
        <w:tc>
          <w:tcPr>
            <w:tcW w:type="dxa" w:w="1440"/>
            <w:shd w:fill="FFDCE0" w:val="clear"/>
          </w:tcPr>
          <w:p>
            <w:r>
              <w:rPr>
                <w:sz w:val="17"/>
              </w:rPr>
              <w:t>J+6  ⭐</w:t>
            </w:r>
          </w:p>
        </w:tc>
        <w:tc>
          <w:tcPr>
            <w:tcW w:type="dxa" w:w="1440"/>
            <w:shd w:fill="FFDCE0" w:val="clear"/>
          </w:tcPr>
          <w:p>
            <w:r>
              <w:rPr>
                <w:sz w:val="17"/>
              </w:rPr>
              <w:t>2026-10-26</w:t>
            </w:r>
          </w:p>
        </w:tc>
        <w:tc>
          <w:tcPr>
            <w:tcW w:type="dxa" w:w="1440"/>
            <w:shd w:fill="FFDCE0" w:val="clear"/>
          </w:tcPr>
          <w:p>
            <w:r>
              <w:rPr>
                <w:sz w:val="17"/>
              </w:rPr>
              <w:t>2,608</w:t>
            </w:r>
          </w:p>
        </w:tc>
        <w:tc>
          <w:tcPr>
            <w:tcW w:type="dxa" w:w="1440"/>
            <w:shd w:fill="FFDCE0" w:val="clear"/>
          </w:tcPr>
          <w:p>
            <w:r>
              <w:rPr>
                <w:b/>
                <w:sz w:val="17"/>
              </w:rPr>
              <w:t>2,924</w:t>
            </w:r>
          </w:p>
        </w:tc>
        <w:tc>
          <w:tcPr>
            <w:tcW w:type="dxa" w:w="1440"/>
            <w:shd w:fill="FFDCE0" w:val="clear"/>
          </w:tcPr>
          <w:p>
            <w:r>
              <w:rPr>
                <w:sz w:val="17"/>
              </w:rPr>
              <w:t>3,240</w:t>
            </w:r>
          </w:p>
        </w:tc>
        <w:tc>
          <w:tcPr>
            <w:tcW w:type="dxa" w:w="1440"/>
            <w:shd w:fill="FFDCE0" w:val="clear"/>
          </w:tcPr>
          <w:p>
            <w:r>
              <w:rPr>
                <w:b/>
                <w:color w:val="C00000"/>
                <w:sz w:val="17"/>
              </w:rPr>
              <w:t>-2.4%</w:t>
            </w:r>
          </w:p>
        </w:tc>
      </w:tr>
      <w:tr>
        <w:tc>
          <w:tcPr>
            <w:tcW w:type="dxa" w:w="1440"/>
            <w:shd w:fill="FFDCE0" w:val="clear"/>
          </w:tcPr>
          <w:p>
            <w:r>
              <w:rPr>
                <w:sz w:val="17"/>
              </w:rPr>
              <w:t>J+7  ⭐</w:t>
            </w:r>
          </w:p>
        </w:tc>
        <w:tc>
          <w:tcPr>
            <w:tcW w:type="dxa" w:w="1440"/>
            <w:shd w:fill="FFDCE0" w:val="clear"/>
          </w:tcPr>
          <w:p>
            <w:r>
              <w:rPr>
                <w:sz w:val="17"/>
              </w:rPr>
              <w:t>2026-10-27</w:t>
            </w:r>
          </w:p>
        </w:tc>
        <w:tc>
          <w:tcPr>
            <w:tcW w:type="dxa" w:w="1440"/>
            <w:shd w:fill="FFDCE0" w:val="clear"/>
          </w:tcPr>
          <w:p>
            <w:r>
              <w:rPr>
                <w:sz w:val="17"/>
              </w:rPr>
              <w:t>2,577</w:t>
            </w:r>
          </w:p>
        </w:tc>
        <w:tc>
          <w:tcPr>
            <w:tcW w:type="dxa" w:w="1440"/>
            <w:shd w:fill="FFDCE0" w:val="clear"/>
          </w:tcPr>
          <w:p>
            <w:r>
              <w:rPr>
                <w:b/>
                <w:sz w:val="17"/>
              </w:rPr>
              <w:t>2,917</w:t>
            </w:r>
          </w:p>
        </w:tc>
        <w:tc>
          <w:tcPr>
            <w:tcW w:type="dxa" w:w="1440"/>
            <w:shd w:fill="FFDCE0" w:val="clear"/>
          </w:tcPr>
          <w:p>
            <w:r>
              <w:rPr>
                <w:sz w:val="17"/>
              </w:rPr>
              <w:t>3,257</w:t>
            </w:r>
          </w:p>
        </w:tc>
        <w:tc>
          <w:tcPr>
            <w:tcW w:type="dxa" w:w="1440"/>
            <w:shd w:fill="FFDCE0" w:val="clear"/>
          </w:tcPr>
          <w:p>
            <w:r>
              <w:rPr>
                <w:b/>
                <w:color w:val="C00000"/>
                <w:sz w:val="17"/>
              </w:rPr>
              <w:t>-2.6%</w:t>
            </w:r>
          </w:p>
        </w:tc>
      </w:tr>
      <w:tr>
        <w:tc>
          <w:tcPr>
            <w:tcW w:type="dxa" w:w="1440"/>
            <w:shd w:fill="FFDCE0" w:val="clear"/>
          </w:tcPr>
          <w:p>
            <w:r>
              <w:rPr>
                <w:sz w:val="17"/>
              </w:rPr>
              <w:t>J+8  ⭐</w:t>
            </w:r>
          </w:p>
        </w:tc>
        <w:tc>
          <w:tcPr>
            <w:tcW w:type="dxa" w:w="1440"/>
            <w:shd w:fill="FFDCE0" w:val="clear"/>
          </w:tcPr>
          <w:p>
            <w:r>
              <w:rPr>
                <w:sz w:val="17"/>
              </w:rPr>
              <w:t>2026-10-28</w:t>
            </w:r>
          </w:p>
        </w:tc>
        <w:tc>
          <w:tcPr>
            <w:tcW w:type="dxa" w:w="1440"/>
            <w:shd w:fill="FFDCE0" w:val="clear"/>
          </w:tcPr>
          <w:p>
            <w:r>
              <w:rPr>
                <w:sz w:val="17"/>
              </w:rPr>
              <w:t>2,547</w:t>
            </w:r>
          </w:p>
        </w:tc>
        <w:tc>
          <w:tcPr>
            <w:tcW w:type="dxa" w:w="1440"/>
            <w:shd w:fill="FFDCE0" w:val="clear"/>
          </w:tcPr>
          <w:p>
            <w:r>
              <w:rPr>
                <w:b/>
                <w:sz w:val="17"/>
              </w:rPr>
              <w:t>2,910</w:t>
            </w:r>
          </w:p>
        </w:tc>
        <w:tc>
          <w:tcPr>
            <w:tcW w:type="dxa" w:w="1440"/>
            <w:shd w:fill="FFDCE0" w:val="clear"/>
          </w:tcPr>
          <w:p>
            <w:r>
              <w:rPr>
                <w:sz w:val="17"/>
              </w:rPr>
              <w:t>3,273</w:t>
            </w:r>
          </w:p>
        </w:tc>
        <w:tc>
          <w:tcPr>
            <w:tcW w:type="dxa" w:w="1440"/>
            <w:shd w:fill="FFDCE0" w:val="clear"/>
          </w:tcPr>
          <w:p>
            <w:r>
              <w:rPr>
                <w:b/>
                <w:color w:val="C00000"/>
                <w:sz w:val="17"/>
              </w:rPr>
              <w:t>-2.8%</w:t>
            </w:r>
          </w:p>
        </w:tc>
      </w:tr>
      <w:tr>
        <w:tc>
          <w:tcPr>
            <w:tcW w:type="dxa" w:w="1440"/>
            <w:shd w:fill="FFDCE0" w:val="clear"/>
          </w:tcPr>
          <w:p>
            <w:r>
              <w:rPr>
                <w:sz w:val="17"/>
              </w:rPr>
              <w:t>J+9  ⭐</w:t>
            </w:r>
          </w:p>
        </w:tc>
        <w:tc>
          <w:tcPr>
            <w:tcW w:type="dxa" w:w="1440"/>
            <w:shd w:fill="FFDCE0" w:val="clear"/>
          </w:tcPr>
          <w:p>
            <w:r>
              <w:rPr>
                <w:sz w:val="17"/>
              </w:rPr>
              <w:t>2026-10-29</w:t>
            </w:r>
          </w:p>
        </w:tc>
        <w:tc>
          <w:tcPr>
            <w:tcW w:type="dxa" w:w="1440"/>
            <w:shd w:fill="FFDCE0" w:val="clear"/>
          </w:tcPr>
          <w:p>
            <w:r>
              <w:rPr>
                <w:sz w:val="17"/>
              </w:rPr>
              <w:t>2,519</w:t>
            </w:r>
          </w:p>
        </w:tc>
        <w:tc>
          <w:tcPr>
            <w:tcW w:type="dxa" w:w="1440"/>
            <w:shd w:fill="FFDCE0" w:val="clear"/>
          </w:tcPr>
          <w:p>
            <w:r>
              <w:rPr>
                <w:b/>
                <w:sz w:val="17"/>
              </w:rPr>
              <w:t>2,903</w:t>
            </w:r>
          </w:p>
        </w:tc>
        <w:tc>
          <w:tcPr>
            <w:tcW w:type="dxa" w:w="1440"/>
            <w:shd w:fill="FFDCE0" w:val="clear"/>
          </w:tcPr>
          <w:p>
            <w:r>
              <w:rPr>
                <w:sz w:val="17"/>
              </w:rPr>
              <w:t>3,287</w:t>
            </w:r>
          </w:p>
        </w:tc>
        <w:tc>
          <w:tcPr>
            <w:tcW w:type="dxa" w:w="1440"/>
            <w:shd w:fill="FFDCE0" w:val="clear"/>
          </w:tcPr>
          <w:p>
            <w:r>
              <w:rPr>
                <w:b/>
                <w:color w:val="C00000"/>
                <w:sz w:val="17"/>
              </w:rPr>
              <w:t>-3.1%</w:t>
            </w:r>
          </w:p>
        </w:tc>
      </w:tr>
      <w:tr>
        <w:tc>
          <w:tcPr>
            <w:tcW w:type="dxa" w:w="1440"/>
            <w:shd w:fill="FFDCE0" w:val="clear"/>
          </w:tcPr>
          <w:p>
            <w:r>
              <w:rPr>
                <w:sz w:val="17"/>
              </w:rPr>
              <w:t>J+10  ⭐</w:t>
            </w:r>
          </w:p>
        </w:tc>
        <w:tc>
          <w:tcPr>
            <w:tcW w:type="dxa" w:w="1440"/>
            <w:shd w:fill="FFDCE0" w:val="clear"/>
          </w:tcPr>
          <w:p>
            <w:r>
              <w:rPr>
                <w:sz w:val="17"/>
              </w:rPr>
              <w:t>2026-10-30</w:t>
            </w:r>
          </w:p>
        </w:tc>
        <w:tc>
          <w:tcPr>
            <w:tcW w:type="dxa" w:w="1440"/>
            <w:shd w:fill="FFDCE0" w:val="clear"/>
          </w:tcPr>
          <w:p>
            <w:r>
              <w:rPr>
                <w:sz w:val="17"/>
              </w:rPr>
              <w:t>2,493</w:t>
            </w:r>
          </w:p>
        </w:tc>
        <w:tc>
          <w:tcPr>
            <w:tcW w:type="dxa" w:w="1440"/>
            <w:shd w:fill="FFDCE0" w:val="clear"/>
          </w:tcPr>
          <w:p>
            <w:r>
              <w:rPr>
                <w:b/>
                <w:sz w:val="17"/>
              </w:rPr>
              <w:t>2,896</w:t>
            </w:r>
          </w:p>
        </w:tc>
        <w:tc>
          <w:tcPr>
            <w:tcW w:type="dxa" w:w="1440"/>
            <w:shd w:fill="FFDCE0" w:val="clear"/>
          </w:tcPr>
          <w:p>
            <w:r>
              <w:rPr>
                <w:sz w:val="17"/>
              </w:rPr>
              <w:t>3,300</w:t>
            </w:r>
          </w:p>
        </w:tc>
        <w:tc>
          <w:tcPr>
            <w:tcW w:type="dxa" w:w="1440"/>
            <w:shd w:fill="FFDCE0" w:val="clear"/>
          </w:tcPr>
          <w:p>
            <w:r>
              <w:rPr>
                <w:b/>
                <w:color w:val="C00000"/>
                <w:sz w:val="17"/>
              </w:rPr>
              <w:t>-3.3%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 📊 RAPPORT D'ANALYSE FINANCIÈRE — ONTBF (ONATEL-SA, Moov Africa Burkina Faso)</w:t>
        <w:br/>
        <w:t>**Bourse Régionale des Valeurs Mobilières (BRVM) — Secteur Télécommunications**</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203,66 milliards FCFA, ONTBF s'affirme comme l'une des valeurs télécoms majeures de la cote BRVM, portée par un BPA de 234 FCFA par action qui traduit la profitabilité unitaire encore solide de l'opérateur. Le PER de 12,8x situe le titre légèrement au-dessus de la moyenne BRVM (~8-12x), ce qui traduit une prime modérée mais non excessive, cohérente avec la qualité de l'émetteur et son rendement de dividende attractif. Le P/B de 3,54x — dans la fourchette 2-4x — indique que le marché valorise l'entreprise à plus de trois fois sa valeur comptable, accordant une prime de croissance justifiée par la rentabilité des fonds propres (ROE de 27,6% en 2025). Enfin, l'EV/EBITDA de 5,3x, dans la zone raisonnable de 5-10x, suggère que la valeur d'entreprise reste modérée au regard de la capacité opérationnelle de génération de résultats, laissant une marge de sécurité appréciable pour un investisseur de long terme.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ONTBF affiche une variation totale positive de +4,90%, avec une dernière séance particulièrement dynamique (+3,28% en J-1), portant le cours à 2 995 FCFA. Le range de trading s'établit entre un plus bas de 2 675 FCFA et un plus haut de 3 070 FCFA, soit une amplitude d'environ 14,8% — le cours actuel évolue donc dans le haut de cette fourchette, à proximité immédiate de son sommet. La tendance générale est haussière mais mesurée, le titre ayant consolidé avant de reprendre son ascension. Les statistiques descriptives révèlent une distribution remarquablement équilibrée : la moyenne (2 865 FCFA) et la médiane (2 870 FCFA) sont quasi confondues, confirmant une absence de biais directionnel, tandis que le mode à 2 900 FCFA indique un point d'équilibre naturel du marché. L'écart-type de 85 FCFA (CV de seulement 3,0%) traduit une dispersion très faible du cours autour de sa moyenne — signe d'une grande stabilité relative. Le kurtosis de -0,440 (mésokurtique, proche d'une loi normale) suggère une absence de risque de pics extrêmes, et le skewness de -0,085 (distribution symétrique) confirme l'équilibre entre hausses et baisses. La volatilité annualisée de 35,9% classe toutefois le titre dans la catégorie des valeurs à volatilité élevée (&gt;30%), ce qui contraste avec la stabilité récente et invite à la prudence sur les horizons courts.</w:t>
      </w:r>
    </w:p>
    <w:p>
      <w:pPr>
        <w:spacing w:after="120" w:line="276" w:lineRule="auto"/>
      </w:pPr>
      <w:r>
        <w:t>---</w:t>
      </w:r>
    </w:p>
    <w:p>
      <w:pPr>
        <w:spacing w:after="120" w:line="276" w:lineRule="auto"/>
      </w:pPr>
      <w:r>
        <w:t>## PARTIE 2 : ANALYSE TECHNIQUE DÉTAILLÉE</w:t>
      </w:r>
    </w:p>
    <w:p>
      <w:pPr>
        <w:spacing w:after="120" w:line="276" w:lineRule="auto"/>
      </w:pPr>
      <w:r>
        <w:t>**Moyennes Mobiles** : La MM20 (2 932,75 FCFA) et la MM50 (2 905,70 FCFA) se situent toutes deux sous le cours actuel (2 995 FCFA), et la MM20 est au-dessus de la MM50 — configuration classique de tendance haussière confirmée. Le cours évoluant au-dessus de ses deux moyennes, la dynamique positive est validée, justifiant la décision d'**Achat**.</w:t>
      </w:r>
    </w:p>
    <w:p>
      <w:pPr>
        <w:spacing w:after="120" w:line="276" w:lineRule="auto"/>
      </w:pPr>
      <w:r>
        <w:t>**Bandes de Bollinger** : Le cours (2 995 FCFA) se situe dans la partie haute de la bande, entre la borne inférieure (2 777,475 FCFA) et la borne supérieure (3 088,025 FCFA), sans toutefois la franchir. Cette position traduit une pression acheteuse modérée mais un risque de surachat à court terme, d'où la décision **Neutre** : le potentiel haussier existe mais se rapproche de la zone de résistance.</w:t>
      </w:r>
    </w:p>
    <w:p>
      <w:pPr>
        <w:spacing w:after="120" w:line="276" w:lineRule="auto"/>
      </w:pPr>
      <w:r>
        <w:t>**MACD** : La ligne MACD (26,536) est nettement supérieure à sa ligne de signal (21,799), avec un histogramme positif qui traduit un momentum haussier en cours de renforcement. Cette configuration confirme la reprise de la tendance, justifiant la décision d'**Achat**.</w:t>
      </w:r>
    </w:p>
    <w:p>
      <w:pPr>
        <w:spacing w:after="120" w:line="276" w:lineRule="auto"/>
      </w:pPr>
      <w:r>
        <w:t>**RSI** : À 52,349, l'indicateur se situe en zone parfaitement neutre (entre 30 et 70), à mi-chemin entre survente et surachat. Le titre dispose donc d'un potentiel de progression sans être techniquement épuisé, ce qui justifie la décision **Neutre** — ni signal d'achat agressif, ni signal de vente.</w:t>
      </w:r>
    </w:p>
    <w:p>
      <w:pPr>
        <w:spacing w:after="120" w:line="276" w:lineRule="auto"/>
      </w:pPr>
      <w:r>
        <w:t>**Stochastique** : Le %K (81,818) et le %D (76,364) évoluent tous deux en zone de surachat (&gt;80 pour le %K), avec un %K au-dessus du %D indiquant une dynamique haussière encore présente mais proche de l'essoufflement. Cette configuration justifie la décision **Vente** à court terme, signalant un risque de correction technique imminent.</w:t>
      </w:r>
    </w:p>
    <w:p>
      <w:pPr>
        <w:spacing w:after="120" w:line="276" w:lineRule="auto"/>
      </w:pPr>
      <w:r>
        <w:t>**Conclusion technique** : Les indicateurs présentent une configuration globalement haussière mais hétérogène — les moyennes mobiles et le MACD confirment la tendance de fond, tandis que le RSI neutre et le stochastique en surachat suggèrent une pause ou un repli à court terme. La convergence partielle plaide pour un scénario de consolidation avant poursuite de la hausse, avec un support clé à 2 932 FCFA (MM20) et une résistance à 3 088 FCFA (Bollinger supérieure). Le signal dominant reste **modérément positif**, mais l'entrée en zone de surachat du stochastique invite à la patience pour les nouveaux acheteurs.</w:t>
      </w:r>
    </w:p>
    <w:p>
      <w:pPr>
        <w:spacing w:after="120" w:line="276" w:lineRule="auto"/>
      </w:pPr>
      <w:r>
        <w:t>---</w:t>
      </w:r>
    </w:p>
    <w:p>
      <w:pPr>
        <w:spacing w:after="120" w:line="276" w:lineRule="auto"/>
      </w:pPr>
      <w:r>
        <w:t>## PARTIE 3 : ANALYSE FONDAMENTALE</w:t>
      </w:r>
    </w:p>
    <w:p>
      <w:pPr>
        <w:spacing w:after="120" w:line="276" w:lineRule="auto"/>
      </w:pPr>
      <w:r>
        <w:t>Les états financiers structurés de l'exercice 2025 (données officielles brvm_donnees_financieres) révèlent un profil contrasté : un chiffre d'affaires de 146,177 milliards FCFA en croissance de +3,06%, mais un résultat net de 15,887 milliards FCFA en chute de -26% par rapport aux 21,47 milliards de 2024. La rentabilité des fonds propres reste néanmoins excellente avec un ROE de 27,61% (capitaux propres de 57,542 milliards FCFA), et le ROA s'établit à 4,89% pour un total bilan de 324,902 milliards FCFA. La marge nette se comprime à 10,87% (contre 15,1% en 2024), et la marge opérationnelle à 17,56%, sous l'effet d'une hausse des charges opérationnelles (charges générales de 73,41 milliards, DAP de 32,505 milliards, provisions de 31,065 milliards). La génération de trésorerie demeure robuste avec une CAF de 46,952 milliards FCFA et un flux opérationnel de 68,487 milliards, mais le Free Cash Flow se réduit à 1,556 milliard sous l'effet d'un programme d'investissement lourd (-45,224 milliards). La structure financière appelle à la vigilance : l'autonomie financière n'est que de 17,71% (capitaux propres/total bilan), le ratio d'endettement atteint 186,99%, et la liquidité générale de 36,36% reste inférieure au seuil de 1 — des indicateurs typiques d'un opérateur télécoms capitalistique, mais qui limitent les marges de manœuvre. Le rapport annuel 2025 (communiqué du 09/04/2026) confirme que la base clients progresse de +3,9% à 12,6 millions d'abonnés, tirée par le FTTH (+33%), le Mobile Money (+14%) et l'internet mobile (+5%), tandis que la sanction ARCEP de 1,543 milliard FCFA et les charges exceptionnelles (indemnités de fin d'engagement) ont pesé sur les comptes. Les rapports trimestriels 2026 confirment la tendance : le T1 2026 (rapport du 30/04/2026) affiche un CA de 37,1 milliards FCFA (+2,7%) et un résultat net de 3,577 milliards (marge nette de 9,6%), avec un taux de marge EBITDA maintenu à 41,3% — on estime donc que l'exercice 2026 devrait rester sur une trajectoire de croissance modérée du CA (~+3%) avec une rentabilité encore sous pression, la reconquête du leadership annoncée pour 2026 constituant le principal catalyseur à surveiller. La politique de dividende reste généreuse (166,0816 FCFA brut par action, soit 145,32 FCFA net, pour un rendement d'environ 4,85% au cours actuel), mais son taux de distribution de 70% apparaît tendu au regard de la baisse des bénéfices. En synthèse, ONTBF demeure un émetteur solide et rentable, doté d'atouts stratégiques réels (fibre, mobile money, notation GCR A+(WU)), mais confronté à une érosion de ses marges, un endettement élevé et des risques réglementaires/sécuritaires persistants — d'où une recommandation fondamentale de **CONSERVER**, avec une surveillance active de la trajectoire des marges.</w:t>
      </w:r>
    </w:p>
    <w:p>
      <w:pPr>
        <w:spacing w:after="120" w:line="276" w:lineRule="auto"/>
      </w:pPr>
      <w:r>
        <w:t>---</w:t>
      </w:r>
    </w:p>
    <w:p>
      <w:pPr>
        <w:spacing w:after="120" w:line="276" w:lineRule="auto"/>
      </w:pPr>
      <w:r>
        <w:t>## PARTIE 4 : CONCLUSION D'INVESTISSEMENT</w:t>
      </w:r>
    </w:p>
    <w:p>
      <w:pPr>
        <w:spacing w:after="120" w:line="276" w:lineRule="auto"/>
      </w:pPr>
      <w:r>
        <w:t>La synthèse des quatre dimensions de l'analyse converge vers un diagnostic nuancé. Sur le plan de la **valorisation**, les ratios (PER 12,8x, P/B 3,54x, EV/EBITDA 5,3x) indiquent une valorisation raisonnable, légèrement supérieure à la moyenne BRVM mais justifiée par la qualité de l'émetteur — ni sous-évaluation flagrante, ni surévaluation excessive. Le **comportement du cours** est favorable : tendance haussière sur 100 jours (+4,90%), distribution symétrique et sans pics extrêmes (kurtosis -0,44, skewness -0,085), mais volatilité annualisée élevée (35,9%) qui appelle à la prudence. Les **signaux techniques** sont majoritairement positifs (MM en achat, MACD en achat) mais tempérés par le RSI neutre et le stochastique en surachat, plaidant pour une consolidation avant poursuite de la hausse. Les **fondamentaux** restent solides (ROE 27,6%, CAF 47 milliards, dividende attractif) mais entachés par la chute de -26% du résultat net 2025 et un endettement préoccupant. Les **prédictions IA** (J+1 à J+10) anticipent une légère correction de 2 959 à 2 931 FCFA, cohérente avec le signal de vente du stochastique et le statu quo du RSI — elles contredisent partiellement le momentum haussier mais confirment le scénario de consolidation technique. **Recommandation finale : CONSERVER**, avec un niveau de confiance **Moyen** et un niveau de risque global **Moyen** (élevé sur le plan opérationnel, modéré sur le plan boursier). L'horizon d'investissement optimal est le **moyen terme (3-12 mois)**, le temps que se matérialisent les effets du plan de reconquête 2026 et que la trajectoire des marges se clarifie ; les investisseurs en quête de rendement peuvent conserver le titre pour son dividende, tandis que les nouveaux entrants attendront un repli vers le support de 2 932 FCFA (MM20) pour se positionner.</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"Le document est une attestation d'audit sans r\u00e9serve qui confirme la r\u00e9gularit\u00e9 des comptes semestriels, mais il ne fournit aucune donn\u00e9e financi\u00e8re permettant d'\u00e9valuer la performance ou la valorisation. En l'absence d'informations chiffr\u00e9es, aucune d\u00e9cision d'achat ou de vente ne peut \u00eatre justifi\u00e9e."}</w:t>
      </w:r>
    </w:p>
    <w:p>
      <w:pPr>
        <w:spacing w:before="40"/>
        <w:ind w:left="400"/>
      </w:pPr>
      <w:r>
        <w:rPr>
          <w:sz w:val="18"/>
        </w:rPr>
        <w:t>Le document est une attestation des commissaires aux comptes (SOFIDEC Audit &amp; Conseil et AUREC Afrique-BF) portant sur l'examen limité des comptes semestriels d'ONATEL SA pour la période du 1er janvier au 30 juin 2026. Les auditeurs concluent, sur la base de leur examen limité, qu'ils n'ont pas relevé de faits remettant en cause la sincérité du tableau d'activités et de résultat ni du rapport semestriel d'activités. Les comptes ont été établis conformément aux articles 850 et 851 de l'Acte uniforme OHADA et à la Circulaire n°004-2010 de l'AMF-UMOA. Le document ne contient aucune donnée chiffrée sur l'activité, le résultat ou la situation financière de la société. Il s'agit donc d'une attesta</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{'type_document': 'Attestation des commissaires aux comptes sur examen limité', 'capital_social': '34 000 000 000 FCFA', 'periode_couverte': '1er janvier au 30 juin 2026', 'opinion_auditeurs': 'Sans réserve (aucun fait significatif relevé)'}</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sur les comptes semestriels d'ONATEL SA au 30 juin 2026.</w:t>
      </w:r>
    </w:p>
    <w:p>
      <w:pPr>
        <w:pStyle w:val="ListBullet"/>
        <w:spacing w:before="20" w:after="20"/>
        <w:ind w:left="700"/>
      </w:pPr>
      <w:r>
        <w:rPr>
          <w:sz w:val="18"/>
        </w:rPr>
        <w:t>Examen limité réalisé conformément au Règlement N°01/2017/CM/OHADA.</w:t>
      </w:r>
    </w:p>
    <w:p>
      <w:pPr>
        <w:pStyle w:val="ListBullet"/>
        <w:spacing w:before="20" w:after="20"/>
        <w:ind w:left="700"/>
      </w:pPr>
      <w:r>
        <w:rPr>
          <w:sz w:val="18"/>
        </w:rPr>
        <w:t>Conclusion sans réserve : aucun fait significatif remettant en cause la sincérité des comptes n'a été relevé.</w:t>
      </w:r>
    </w:p>
    <w:p>
      <w:pPr>
        <w:pStyle w:val="ListBullet"/>
        <w:spacing w:before="20" w:after="20"/>
        <w:ind w:left="700"/>
      </w:pPr>
      <w:r>
        <w:rPr>
          <w:sz w:val="18"/>
        </w:rPr>
        <w:t>Comptes établis selon les articles 850 et 851 de l'Acte uniforme OHADA.</w:t>
      </w:r>
    </w:p>
    <w:p>
      <w:pPr>
        <w:pStyle w:val="ListBullet"/>
        <w:spacing w:before="20" w:after="20"/>
        <w:ind w:left="700"/>
      </w:pPr>
      <w:r>
        <w:rPr>
          <w:sz w:val="18"/>
        </w:rPr>
        <w:t>Conformité à la Circulaire n°004-2010 de l'AMF-UMOA sur les informations diffusées par les émetteurs.</w:t>
      </w:r>
    </w:p>
    <w:p>
      <w:pPr>
        <w:pStyle w:val="ListBullet"/>
        <w:spacing w:before="20" w:after="20"/>
        <w:ind w:left="700"/>
      </w:pPr>
      <w:r>
        <w:rPr>
          <w:sz w:val="18"/>
        </w:rPr>
        <w:t>Document signé à Ouagadougou le 25 septembre 2026 par AUREC Afrique-BF et SOFIDEC-AC SARL.</w:t>
      </w:r>
    </w:p>
    <w:p>
      <w:pPr>
        <w:spacing w:before="40"/>
        <w:ind w:left="400"/>
      </w:pPr>
      <w:r>
        <w:rPr>
          <w:b/>
          <w:color w:val="C05000"/>
          <w:sz w:val="18"/>
        </w:rPr>
        <w:t xml:space="preserve">⚠️ Risques : </w:t>
      </w:r>
      <w:r>
        <w:rPr>
          <w:sz w:val="18"/>
        </w:rPr>
        <w:t>["Absence de donn\u00e9es financi\u00e8res chiffr\u00e9es emp\u00eachant toute analyse de performance et de valorisation.", "Risque li\u00e9 au caract\u00e8re limit\u00e9 de l'examen (pas d'opinion d'audit compl\u00e8te selon les normes ISA).", "Risque de change et de r\u00e9glementation t\u00e9l\u0</w:t>
      </w:r>
    </w:p>
    <w:p>
      <w:pPr>
        <w:spacing w:before="40"/>
        <w:ind w:left="400"/>
      </w:pPr>
      <w:r>
        <w:rPr>
          <w:b/>
          <w:color w:val="0064A0"/>
          <w:sz w:val="18"/>
        </w:rPr>
        <w:t xml:space="preserve">🔮 Perspectives : </w:t>
      </w:r>
      <w:r>
        <w:rPr>
          <w:sz w:val="18"/>
        </w:rPr>
        <w:t>Le document ne permet pas de formuler un outlook financier précis pour l'exercice suivant, faute de données sur l'activité et les résultats. La conclusion sans réserve des commissaires aux comptes suggère néanmoins une gouvernance et un reporting conformes aux exigences de l'AMF-UMOA. Pour une analy</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
      <w:r>
        <w:t>════════════════════════════════════════════════════════════════════════════════</w:t>
      </w:r>
    </w:p>
    <w:p>
      <w:r>
        <w:br w:type="page"/>
      </w:r>
    </w:p>
    <w:p>
      <w:pPr>
        <w:pStyle w:val="Heading2"/>
        <w:spacing w:before="360"/>
      </w:pPr>
      <w:r>
        <w:rPr>
          <w:color w:val="0066CC"/>
        </w:rPr>
        <w:t>24.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3103.50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3,522 titres</w:t>
            </w:r>
          </w:p>
        </w:tc>
        <w:tc>
          <w:tcPr>
            <w:tcW w:type="dxa" w:w="2268"/>
            <w:shd w:fill="FFF2CC" w:val="clear"/>
          </w:tcPr>
          <w:p>
            <w:r>
              <w:rPr>
                <w:b/>
                <w:color w:val="503200"/>
                <w:sz w:val="16"/>
              </w:rPr>
              <w:t xml:space="preserve">Cours actuel : </w:t>
            </w:r>
            <w:r>
              <w:rPr>
                <w:color w:val="000000"/>
                <w:sz w:val="17"/>
              </w:rPr>
              <w:t>20,600 FCFA</w:t>
            </w:r>
          </w:p>
          <w:p>
            <w:r>
              <w:rPr>
                <w:b/>
                <w:color w:val="503200"/>
                <w:sz w:val="16"/>
              </w:rPr>
              <w:t xml:space="preserve">Var. 100 jours : </w:t>
            </w:r>
            <w:r>
              <w:rPr>
                <w:b/>
                <w:color w:val="007800"/>
                <w:sz w:val="17"/>
              </w:rPr>
              <w:t>+31.21%</w:t>
            </w:r>
          </w:p>
          <w:p>
            <w:r>
              <w:rPr>
                <w:b/>
                <w:color w:val="503200"/>
                <w:sz w:val="16"/>
              </w:rPr>
              <w:t xml:space="preserve">Plus haut 100j : </w:t>
            </w:r>
            <w:r>
              <w:rPr>
                <w:color w:val="000000"/>
                <w:sz w:val="17"/>
              </w:rPr>
              <w:t>22,500 FCFA</w:t>
            </w:r>
          </w:p>
          <w:p>
            <w:r>
              <w:rPr>
                <w:b/>
                <w:color w:val="503200"/>
                <w:sz w:val="16"/>
              </w:rPr>
              <w:t xml:space="preserve">Plus bas 100j : </w:t>
            </w:r>
            <w:r>
              <w:rPr>
                <w:color w:val="000000"/>
                <w:sz w:val="17"/>
              </w:rPr>
              <w:t>15,555 FCFA</w:t>
            </w:r>
          </w:p>
          <w:p>
            <w:r>
              <w:rPr>
                <w:b/>
                <w:color w:val="503200"/>
                <w:sz w:val="16"/>
              </w:rPr>
              <w:t xml:space="preserve">Volatilité ann. : </w:t>
            </w:r>
            <w:r>
              <w:rPr>
                <w:color w:val="000000"/>
                <w:sz w:val="17"/>
              </w:rPr>
              <w:t>38.5%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13.54% (Moyenne) — μ=18,519 FCFA, σ=2,507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β=1.5683 (Agressif) — Cov=0.000119, Var(idx)=0.000076, ρ=0.571,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3,522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σ_j=2.42%/j (Stable) — Vol. annualisée≈38.5%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2026-10-19</w:t>
            </w:r>
          </w:p>
        </w:tc>
        <w:tc>
          <w:tcPr>
            <w:tcW w:type="dxa" w:w="1440"/>
            <w:shd w:fill="C6EFCE" w:val="clear"/>
          </w:tcPr>
          <w:p>
            <w:r>
              <w:rPr>
                <w:sz w:val="17"/>
              </w:rPr>
              <w:t>19,906</w:t>
            </w:r>
          </w:p>
        </w:tc>
        <w:tc>
          <w:tcPr>
            <w:tcW w:type="dxa" w:w="1440"/>
            <w:shd w:fill="C6EFCE" w:val="clear"/>
          </w:tcPr>
          <w:p>
            <w:r>
              <w:rPr>
                <w:b/>
                <w:sz w:val="17"/>
              </w:rPr>
              <w:t>21,052</w:t>
            </w:r>
          </w:p>
        </w:tc>
        <w:tc>
          <w:tcPr>
            <w:tcW w:type="dxa" w:w="1440"/>
            <w:shd w:fill="C6EFCE" w:val="clear"/>
          </w:tcPr>
          <w:p>
            <w:r>
              <w:rPr>
                <w:sz w:val="17"/>
              </w:rPr>
              <w:t>22,198</w:t>
            </w:r>
          </w:p>
        </w:tc>
        <w:tc>
          <w:tcPr>
            <w:tcW w:type="dxa" w:w="1440"/>
            <w:shd w:fill="C6EFCE" w:val="clear"/>
          </w:tcPr>
          <w:p>
            <w:r>
              <w:rPr>
                <w:b/>
                <w:color w:val="008000"/>
                <w:sz w:val="17"/>
              </w:rPr>
              <w:t>+2.2%</w:t>
            </w:r>
          </w:p>
        </w:tc>
      </w:tr>
      <w:tr>
        <w:tc>
          <w:tcPr>
            <w:tcW w:type="dxa" w:w="1440"/>
            <w:shd w:fill="FAFAFA" w:val="clear"/>
          </w:tcPr>
          <w:p>
            <w:r>
              <w:rPr>
                <w:sz w:val="17"/>
              </w:rPr>
              <w:t>J+2  ⭐</w:t>
            </w:r>
          </w:p>
        </w:tc>
        <w:tc>
          <w:tcPr>
            <w:tcW w:type="dxa" w:w="1440"/>
            <w:shd w:fill="FAFAFA" w:val="clear"/>
          </w:tcPr>
          <w:p>
            <w:r>
              <w:rPr>
                <w:sz w:val="17"/>
              </w:rPr>
              <w:t>2026-10-20</w:t>
            </w:r>
          </w:p>
        </w:tc>
        <w:tc>
          <w:tcPr>
            <w:tcW w:type="dxa" w:w="1440"/>
            <w:shd w:fill="FAFAFA" w:val="clear"/>
          </w:tcPr>
          <w:p>
            <w:r>
              <w:rPr>
                <w:sz w:val="17"/>
              </w:rPr>
              <w:t>19,374</w:t>
            </w:r>
          </w:p>
        </w:tc>
        <w:tc>
          <w:tcPr>
            <w:tcW w:type="dxa" w:w="1440"/>
            <w:shd w:fill="FAFAFA" w:val="clear"/>
          </w:tcPr>
          <w:p>
            <w:r>
              <w:rPr>
                <w:b/>
                <w:sz w:val="17"/>
              </w:rPr>
              <w:t>20,989</w:t>
            </w:r>
          </w:p>
        </w:tc>
        <w:tc>
          <w:tcPr>
            <w:tcW w:type="dxa" w:w="1440"/>
            <w:shd w:fill="FAFAFA" w:val="clear"/>
          </w:tcPr>
          <w:p>
            <w:r>
              <w:rPr>
                <w:sz w:val="17"/>
              </w:rPr>
              <w:t>22,605</w:t>
            </w:r>
          </w:p>
        </w:tc>
        <w:tc>
          <w:tcPr>
            <w:tcW w:type="dxa" w:w="1440"/>
            <w:shd w:fill="FAFAFA" w:val="clear"/>
          </w:tcPr>
          <w:p>
            <w:r>
              <w:rPr>
                <w:b/>
                <w:color w:val="008000"/>
                <w:sz w:val="17"/>
              </w:rPr>
              <w:t>+1.9%</w:t>
            </w:r>
          </w:p>
        </w:tc>
      </w:tr>
      <w:tr>
        <w:tc>
          <w:tcPr>
            <w:tcW w:type="dxa" w:w="1440"/>
            <w:shd w:fill="FAFAFA" w:val="clear"/>
          </w:tcPr>
          <w:p>
            <w:r>
              <w:rPr>
                <w:sz w:val="17"/>
              </w:rPr>
              <w:t>J+3  ⭐</w:t>
            </w:r>
          </w:p>
        </w:tc>
        <w:tc>
          <w:tcPr>
            <w:tcW w:type="dxa" w:w="1440"/>
            <w:shd w:fill="FAFAFA" w:val="clear"/>
          </w:tcPr>
          <w:p>
            <w:r>
              <w:rPr>
                <w:sz w:val="17"/>
              </w:rPr>
              <w:t>2026-10-21</w:t>
            </w:r>
          </w:p>
        </w:tc>
        <w:tc>
          <w:tcPr>
            <w:tcW w:type="dxa" w:w="1440"/>
            <w:shd w:fill="FAFAFA" w:val="clear"/>
          </w:tcPr>
          <w:p>
            <w:r>
              <w:rPr>
                <w:sz w:val="17"/>
              </w:rPr>
              <w:t>18,990</w:t>
            </w:r>
          </w:p>
        </w:tc>
        <w:tc>
          <w:tcPr>
            <w:tcW w:type="dxa" w:w="1440"/>
            <w:shd w:fill="FAFAFA" w:val="clear"/>
          </w:tcPr>
          <w:p>
            <w:r>
              <w:rPr>
                <w:b/>
                <w:sz w:val="17"/>
              </w:rPr>
              <w:t>20,967</w:t>
            </w:r>
          </w:p>
        </w:tc>
        <w:tc>
          <w:tcPr>
            <w:tcW w:type="dxa" w:w="1440"/>
            <w:shd w:fill="FAFAFA" w:val="clear"/>
          </w:tcPr>
          <w:p>
            <w:r>
              <w:rPr>
                <w:sz w:val="17"/>
              </w:rPr>
              <w:t>22,943</w:t>
            </w:r>
          </w:p>
        </w:tc>
        <w:tc>
          <w:tcPr>
            <w:tcW w:type="dxa" w:w="1440"/>
            <w:shd w:fill="FAFAFA" w:val="clear"/>
          </w:tcPr>
          <w:p>
            <w:r>
              <w:rPr>
                <w:b/>
                <w:color w:val="008000"/>
                <w:sz w:val="17"/>
              </w:rPr>
              <w:t>+1.8%</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18,670</w:t>
            </w:r>
          </w:p>
        </w:tc>
        <w:tc>
          <w:tcPr>
            <w:tcW w:type="dxa" w:w="1440"/>
            <w:shd w:fill="FAFAFA" w:val="clear"/>
          </w:tcPr>
          <w:p>
            <w:r>
              <w:rPr>
                <w:b/>
                <w:sz w:val="17"/>
              </w:rPr>
              <w:t>20,950</w:t>
            </w:r>
          </w:p>
        </w:tc>
        <w:tc>
          <w:tcPr>
            <w:tcW w:type="dxa" w:w="1440"/>
            <w:shd w:fill="FAFAFA" w:val="clear"/>
          </w:tcPr>
          <w:p>
            <w:r>
              <w:rPr>
                <w:sz w:val="17"/>
              </w:rPr>
              <w:t>23,231</w:t>
            </w:r>
          </w:p>
        </w:tc>
        <w:tc>
          <w:tcPr>
            <w:tcW w:type="dxa" w:w="1440"/>
            <w:shd w:fill="FAFAFA" w:val="clear"/>
          </w:tcPr>
          <w:p>
            <w:r>
              <w:rPr>
                <w:b/>
                <w:color w:val="008000"/>
                <w:sz w:val="17"/>
              </w:rPr>
              <w:t>+1.7%</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18,387</w:t>
            </w:r>
          </w:p>
        </w:tc>
        <w:tc>
          <w:tcPr>
            <w:tcW w:type="dxa" w:w="1440"/>
            <w:shd w:fill="FAFAFA" w:val="clear"/>
          </w:tcPr>
          <w:p>
            <w:r>
              <w:rPr>
                <w:b/>
                <w:sz w:val="17"/>
              </w:rPr>
              <w:t>20,934</w:t>
            </w:r>
          </w:p>
        </w:tc>
        <w:tc>
          <w:tcPr>
            <w:tcW w:type="dxa" w:w="1440"/>
            <w:shd w:fill="FAFAFA" w:val="clear"/>
          </w:tcPr>
          <w:p>
            <w:r>
              <w:rPr>
                <w:sz w:val="17"/>
              </w:rPr>
              <w:t>23,482</w:t>
            </w:r>
          </w:p>
        </w:tc>
        <w:tc>
          <w:tcPr>
            <w:tcW w:type="dxa" w:w="1440"/>
            <w:shd w:fill="FAFAFA" w:val="clear"/>
          </w:tcPr>
          <w:p>
            <w:r>
              <w:rPr>
                <w:b/>
                <w:color w:val="008000"/>
                <w:sz w:val="17"/>
              </w:rPr>
              <w:t>+1.6%</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18,130</w:t>
            </w:r>
          </w:p>
        </w:tc>
        <w:tc>
          <w:tcPr>
            <w:tcW w:type="dxa" w:w="1440"/>
            <w:shd w:fill="FAFAFA" w:val="clear"/>
          </w:tcPr>
          <w:p>
            <w:r>
              <w:rPr>
                <w:b/>
                <w:sz w:val="17"/>
              </w:rPr>
              <w:t>20,919</w:t>
            </w:r>
          </w:p>
        </w:tc>
        <w:tc>
          <w:tcPr>
            <w:tcW w:type="dxa" w:w="1440"/>
            <w:shd w:fill="FAFAFA" w:val="clear"/>
          </w:tcPr>
          <w:p>
            <w:r>
              <w:rPr>
                <w:sz w:val="17"/>
              </w:rPr>
              <w:t>23,707</w:t>
            </w:r>
          </w:p>
        </w:tc>
        <w:tc>
          <w:tcPr>
            <w:tcW w:type="dxa" w:w="1440"/>
            <w:shd w:fill="FAFAFA" w:val="clear"/>
          </w:tcPr>
          <w:p>
            <w:r>
              <w:rPr>
                <w:b/>
                <w:color w:val="008000"/>
                <w:sz w:val="17"/>
              </w:rPr>
              <w:t>+1.5%</w:t>
            </w:r>
          </w:p>
        </w:tc>
      </w:tr>
      <w:tr>
        <w:tc>
          <w:tcPr>
            <w:tcW w:type="dxa" w:w="1440"/>
            <w:shd w:fill="FAFAFA" w:val="clear"/>
          </w:tcPr>
          <w:p>
            <w:r>
              <w:rPr>
                <w:sz w:val="17"/>
              </w:rPr>
              <w:t>J+7  ⭐</w:t>
            </w:r>
          </w:p>
        </w:tc>
        <w:tc>
          <w:tcPr>
            <w:tcW w:type="dxa" w:w="1440"/>
            <w:shd w:fill="FAFAFA" w:val="clear"/>
          </w:tcPr>
          <w:p>
            <w:r>
              <w:rPr>
                <w:sz w:val="17"/>
              </w:rPr>
              <w:t>2026-10-27</w:t>
            </w:r>
          </w:p>
        </w:tc>
        <w:tc>
          <w:tcPr>
            <w:tcW w:type="dxa" w:w="1440"/>
            <w:shd w:fill="FAFAFA" w:val="clear"/>
          </w:tcPr>
          <w:p>
            <w:r>
              <w:rPr>
                <w:sz w:val="17"/>
              </w:rPr>
              <w:t>17,893</w:t>
            </w:r>
          </w:p>
        </w:tc>
        <w:tc>
          <w:tcPr>
            <w:tcW w:type="dxa" w:w="1440"/>
            <w:shd w:fill="FAFAFA" w:val="clear"/>
          </w:tcPr>
          <w:p>
            <w:r>
              <w:rPr>
                <w:b/>
                <w:sz w:val="17"/>
              </w:rPr>
              <w:t>20,903</w:t>
            </w:r>
          </w:p>
        </w:tc>
        <w:tc>
          <w:tcPr>
            <w:tcW w:type="dxa" w:w="1440"/>
            <w:shd w:fill="FAFAFA" w:val="clear"/>
          </w:tcPr>
          <w:p>
            <w:r>
              <w:rPr>
                <w:sz w:val="17"/>
              </w:rPr>
              <w:t>23,912</w:t>
            </w:r>
          </w:p>
        </w:tc>
        <w:tc>
          <w:tcPr>
            <w:tcW w:type="dxa" w:w="1440"/>
            <w:shd w:fill="FAFAFA" w:val="clear"/>
          </w:tcPr>
          <w:p>
            <w:r>
              <w:rPr>
                <w:b/>
                <w:color w:val="008000"/>
                <w:sz w:val="17"/>
              </w:rPr>
              <w:t>+1.5%</w:t>
            </w:r>
          </w:p>
        </w:tc>
      </w:tr>
      <w:tr>
        <w:tc>
          <w:tcPr>
            <w:tcW w:type="dxa" w:w="1440"/>
            <w:shd w:fill="FAFAFA" w:val="clear"/>
          </w:tcPr>
          <w:p>
            <w:r>
              <w:rPr>
                <w:sz w:val="17"/>
              </w:rPr>
              <w:t>J+8  ⭐</w:t>
            </w:r>
          </w:p>
        </w:tc>
        <w:tc>
          <w:tcPr>
            <w:tcW w:type="dxa" w:w="1440"/>
            <w:shd w:fill="FAFAFA" w:val="clear"/>
          </w:tcPr>
          <w:p>
            <w:r>
              <w:rPr>
                <w:sz w:val="17"/>
              </w:rPr>
              <w:t>2026-10-28</w:t>
            </w:r>
          </w:p>
        </w:tc>
        <w:tc>
          <w:tcPr>
            <w:tcW w:type="dxa" w:w="1440"/>
            <w:shd w:fill="FAFAFA" w:val="clear"/>
          </w:tcPr>
          <w:p>
            <w:r>
              <w:rPr>
                <w:sz w:val="17"/>
              </w:rPr>
              <w:t>17,673</w:t>
            </w:r>
          </w:p>
        </w:tc>
        <w:tc>
          <w:tcPr>
            <w:tcW w:type="dxa" w:w="1440"/>
            <w:shd w:fill="FAFAFA" w:val="clear"/>
          </w:tcPr>
          <w:p>
            <w:r>
              <w:rPr>
                <w:b/>
                <w:sz w:val="17"/>
              </w:rPr>
              <w:t>20,888</w:t>
            </w:r>
          </w:p>
        </w:tc>
        <w:tc>
          <w:tcPr>
            <w:tcW w:type="dxa" w:w="1440"/>
            <w:shd w:fill="FAFAFA" w:val="clear"/>
          </w:tcPr>
          <w:p>
            <w:r>
              <w:rPr>
                <w:sz w:val="17"/>
              </w:rPr>
              <w:t>24,102</w:t>
            </w:r>
          </w:p>
        </w:tc>
        <w:tc>
          <w:tcPr>
            <w:tcW w:type="dxa" w:w="1440"/>
            <w:shd w:fill="FAFAFA" w:val="clear"/>
          </w:tcPr>
          <w:p>
            <w:r>
              <w:rPr>
                <w:b/>
                <w:color w:val="008000"/>
                <w:sz w:val="17"/>
              </w:rPr>
              <w:t>+1.4%</w:t>
            </w:r>
          </w:p>
        </w:tc>
      </w:tr>
      <w:tr>
        <w:tc>
          <w:tcPr>
            <w:tcW w:type="dxa" w:w="1440"/>
            <w:shd w:fill="FAFAFA" w:val="clear"/>
          </w:tcPr>
          <w:p>
            <w:r>
              <w:rPr>
                <w:sz w:val="17"/>
              </w:rPr>
              <w:t>J+9  ⭐</w:t>
            </w:r>
          </w:p>
        </w:tc>
        <w:tc>
          <w:tcPr>
            <w:tcW w:type="dxa" w:w="1440"/>
            <w:shd w:fill="FAFAFA" w:val="clear"/>
          </w:tcPr>
          <w:p>
            <w:r>
              <w:rPr>
                <w:sz w:val="17"/>
              </w:rPr>
              <w:t>2026-10-29</w:t>
            </w:r>
          </w:p>
        </w:tc>
        <w:tc>
          <w:tcPr>
            <w:tcW w:type="dxa" w:w="1440"/>
            <w:shd w:fill="FAFAFA" w:val="clear"/>
          </w:tcPr>
          <w:p>
            <w:r>
              <w:rPr>
                <w:sz w:val="17"/>
              </w:rPr>
              <w:t>17,465</w:t>
            </w:r>
          </w:p>
        </w:tc>
        <w:tc>
          <w:tcPr>
            <w:tcW w:type="dxa" w:w="1440"/>
            <w:shd w:fill="FAFAFA" w:val="clear"/>
          </w:tcPr>
          <w:p>
            <w:r>
              <w:rPr>
                <w:b/>
                <w:sz w:val="17"/>
              </w:rPr>
              <w:t>20,872</w:t>
            </w:r>
          </w:p>
        </w:tc>
        <w:tc>
          <w:tcPr>
            <w:tcW w:type="dxa" w:w="1440"/>
            <w:shd w:fill="FAFAFA" w:val="clear"/>
          </w:tcPr>
          <w:p>
            <w:r>
              <w:rPr>
                <w:sz w:val="17"/>
              </w:rPr>
              <w:t>24,280</w:t>
            </w:r>
          </w:p>
        </w:tc>
        <w:tc>
          <w:tcPr>
            <w:tcW w:type="dxa" w:w="1440"/>
            <w:shd w:fill="FAFAFA" w:val="clear"/>
          </w:tcPr>
          <w:p>
            <w:r>
              <w:rPr>
                <w:b/>
                <w:color w:val="008000"/>
                <w:sz w:val="17"/>
              </w:rPr>
              <w:t>+1.3%</w:t>
            </w:r>
          </w:p>
        </w:tc>
      </w:tr>
      <w:tr>
        <w:tc>
          <w:tcPr>
            <w:tcW w:type="dxa" w:w="1440"/>
            <w:shd w:fill="FAFAFA" w:val="clear"/>
          </w:tcPr>
          <w:p>
            <w:r>
              <w:rPr>
                <w:sz w:val="17"/>
              </w:rPr>
              <w:t>J+10  ⭐</w:t>
            </w:r>
          </w:p>
        </w:tc>
        <w:tc>
          <w:tcPr>
            <w:tcW w:type="dxa" w:w="1440"/>
            <w:shd w:fill="FAFAFA" w:val="clear"/>
          </w:tcPr>
          <w:p>
            <w:r>
              <w:rPr>
                <w:sz w:val="17"/>
              </w:rPr>
              <w:t>2026-10-30</w:t>
            </w:r>
          </w:p>
        </w:tc>
        <w:tc>
          <w:tcPr>
            <w:tcW w:type="dxa" w:w="1440"/>
            <w:shd w:fill="FAFAFA" w:val="clear"/>
          </w:tcPr>
          <w:p>
            <w:r>
              <w:rPr>
                <w:sz w:val="17"/>
              </w:rPr>
              <w:t>17,268</w:t>
            </w:r>
          </w:p>
        </w:tc>
        <w:tc>
          <w:tcPr>
            <w:tcW w:type="dxa" w:w="1440"/>
            <w:shd w:fill="FAFAFA" w:val="clear"/>
          </w:tcPr>
          <w:p>
            <w:r>
              <w:rPr>
                <w:b/>
                <w:sz w:val="17"/>
              </w:rPr>
              <w:t>20,857</w:t>
            </w:r>
          </w:p>
        </w:tc>
        <w:tc>
          <w:tcPr>
            <w:tcW w:type="dxa" w:w="1440"/>
            <w:shd w:fill="FAFAFA" w:val="clear"/>
          </w:tcPr>
          <w:p>
            <w:r>
              <w:rPr>
                <w:sz w:val="17"/>
              </w:rPr>
              <w:t>24,447</w:t>
            </w:r>
          </w:p>
        </w:tc>
        <w:tc>
          <w:tcPr>
            <w:tcW w:type="dxa" w:w="1440"/>
            <w:shd w:fill="FAFAFA" w:val="clear"/>
          </w:tcPr>
          <w:p>
            <w:r>
              <w:rPr>
                <w:b/>
                <w:color w:val="008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pPr>
      <w:r>
        <w:t># 📊 RAPPORT D'ANALYSE FINANCIÈRE — ORAC (Orange Côte d'Ivoire) — BRVM</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**3 103,50 Mds FCFA**, ORAC s'impose comme l'une des valeurs phares de la BRVM, représentant une part significative de la capitalisation totale du marché régional. Le BPA de **1 114 FCFA/action** traduit un bénéfice solide par titre, tandis que le PER de **18,5x** situe le titre nettement au-dessus de la moyenne BRVM (~8-12x), signalant que les investisseurs acceptent de payer une prime pour la qualité et la croissance de l'émetteur — une valorisation « modérée » mais non bon marché. Le P/B de **4,38x** confirme cette prime exigeante : le marché valorise ORAC à plus de quatre fois sa valeur comptable, reflet d'une forte confiance dans la rentabilité future (ROE de 23,7%). Enfin, l'EV/EBITDA de **7,4x**, dans la fourchette raisonnable de 5-10x, indique que la valeur d'entreprise reste cohérente avec la capacité opérationnelle de génération de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ORAC affiche une **variation totale de +31,21%**, portée par une dynamique haussière robuste, malgré un repli de **-4,19% sur la dernière séance** qui traduit une prise de profit ponctuelle. Le cours actuel de **20 600 FCFA** évolue dans un range de trading large entre **15 555 FCFA** (plus bas) et **22 500 FCFA** (plus haut), soit une amplitude de près de 45% qui témoigne d'une réelle volatilité. La moyenne de **18 519 FCFA** se situe au-dessus de la médiane de **17 000 FCFA**, avec un mode à **16 000 FCFA** : cet écart confirme une distribution asymétrique à droite, où les niveaux élevés récents tirent la moyenne vers le haut. L'écart-type de **2 520 FCFA** (CV de 13,6%) indique une dispersion modérée du cours autour de sa moyenne. Le kurtosis de **-1,652** (distribution platykurtique) signale une faible concentration des rendements et un risque de pics atténué, tandis que le skewness de **0,346** confirme une légère asymétrie positive. La **volatilité annualisée de 38,5%** classe ORAC parmi les titres à volatilité élevée (&gt;30%), cohérent avec son statut de valeur de croissance très suivie.</w:t>
      </w:r>
    </w:p>
    <w:p>
      <w:pPr>
        <w:spacing w:after="120" w:line="276" w:lineRule="auto"/>
      </w:pPr>
      <w:r>
        <w:t>---</w:t>
      </w:r>
    </w:p>
    <w:p>
      <w:pPr>
        <w:spacing w:after="120" w:line="276" w:lineRule="auto"/>
      </w:pPr>
      <w:r>
        <w:t>## PARTIE 2 : ANALYSE TECHNIQUE DÉTAILLÉE</w:t>
      </w:r>
    </w:p>
    <w:p>
      <w:pPr>
        <w:spacing w:after="120" w:line="276" w:lineRule="auto"/>
      </w:pPr>
      <w:r>
        <w:t>**Moyennes Mobiles** : La MM20 (**21 366,5 FCFA**) et la MM50 (**20 739,9 FCFA**) se situent toutes deux au-dessus du cours actuel (20 600 FCFA), ce qui traduit une pression baissière de court terme. Toutefois, la MM20 reste supérieure à la MM50, configuration haussière de fond, justifiant la décision **Achat** malgré le repli récent.</w:t>
      </w:r>
    </w:p>
    <w:p>
      <w:pPr>
        <w:spacing w:after="120" w:line="276" w:lineRule="auto"/>
      </w:pPr>
      <w:r>
        <w:t>**Bandes de Bollinger** : Le cours (20 600 FCFA) évolue dans la moitié inférieure de la bande, entre la borne inférieure (**20 077,8 FCFA**) et la borne supérieure (**22 655,2 FCFA**). Cette position, sans franchissement des bornes, traduit une volatilité contenue et une absence de signal directionnel fort, d'où la décision **Neutre**.</w:t>
      </w:r>
    </w:p>
    <w:p>
      <w:pPr>
        <w:spacing w:after="120" w:line="276" w:lineRule="auto"/>
      </w:pPr>
      <w:r>
        <w:t>**MACD** : La valeur du MACD (**99,35**) est nettement inférieure à son signal (**252,81**), configuration baissière classique indiquant un momentum négatif et une perte de dynamique haussière. La décision **Vente** reflète cette divergence défavorable de court terme.</w:t>
      </w:r>
    </w:p>
    <w:p>
      <w:pPr>
        <w:spacing w:after="120" w:line="276" w:lineRule="auto"/>
      </w:pPr>
      <w:r>
        <w:t>**RSI** : À **45,92**, l'indicateur se situe en zone neutre (30-70), légèrement sous le seuil médian de 50, sans atteindre la zone de survente. Le titre n'est ni suracheté ni survendu, justifiant la décision **Neutre**.</w:t>
      </w:r>
    </w:p>
    <w:p>
      <w:pPr>
        <w:spacing w:after="120" w:line="276" w:lineRule="auto"/>
      </w:pPr>
      <w:r>
        <w:t>**Stochastique** : Le %K (**33,33**) est inférieur au %D (**46,11**), avec un %K proche de la zone de survente (&lt;20). L'absence de croisement haussier confirmé maintient l'indicateur en zone neutre, sans signal d'achat franc.</w:t>
      </w:r>
    </w:p>
    <w:p>
      <w:pPr>
        <w:spacing w:after="120" w:line="276" w:lineRule="auto"/>
      </w:pPr>
      <w:r>
        <w:t>**Conclusion technique** : Les indicateurs présentent une configuration **mitigée**. Les moyennes mobiles conservent une orientation haussière de fond (MM20 &gt; MM50), mais le MACD en zone de vente et le cours sous ses moyennes signalent une consolidation de court terme. Le RSI et le stochastique en zone neutre confirment l'absence de signal extrême. La convergence globale plaide pour une **phase de respiration** avant une éventuelle reprise, avec un support clé à surveiller autour de 20 000 FCFA (borne inférieure de Bollinger).</w:t>
      </w:r>
    </w:p>
    <w:p>
      <w:pPr>
        <w:spacing w:after="120" w:line="276" w:lineRule="auto"/>
      </w:pPr>
      <w:r>
        <w:t>---</w:t>
      </w:r>
    </w:p>
    <w:p>
      <w:pPr>
        <w:spacing w:after="120" w:line="276" w:lineRule="auto"/>
      </w:pPr>
      <w:r>
        <w:t>## PARTIE 3 : ANALYSE FONDAMENTALE</w:t>
      </w:r>
    </w:p>
    <w:p>
      <w:pPr>
        <w:spacing w:after="120" w:line="276" w:lineRule="auto"/>
      </w:pPr>
      <w:r>
        <w:t>En **2025**, ORAC affiche des états financiers solides : un chiffre d'affaires de **1 197,1 Mds FCFA** (+10,4% selon le rapport annuel 2025), un résultat net consolidé de **167,8 Mds FCFA** (+6,1%) et un résultat net part du groupe de **129,1 Mds FCFA** (+14,5%). La rentabilité est excellente avec un **ROE de 23,71%** (bien supérieur au seuil de 15%) et un **ROA de 6,57%**, tandis que la marge nette s'établit à **14,02%** et la marge opérationnelle à **23,99%**. Sur le plan de la structure financière, l'autonomie financière de **27,71%** reste légèrement sous le seuil de 30% mais acceptable, la solvabilité générale de **138,34%** confirme la solidité du bilan, et la capacité de remboursement de **0,99 an** (dettes financières/CAF) est très confortable. Pour un émetteur du secteur télécoms, les délais d'exploitation sont bien maîtrisés : délai clients de **52,26 jours** (risque trésorerie modéré), délai fournisseurs de **210,87 jours** (favorable à la trésorerie) et un **BFR négatif de -198 Mds FCFA**, signe d'un modèle de financement très efficient. Les rapports trimestriels récents confirment l'accélération : le **T1 2026** (rapport du 08/06/2026) affiche un CA de **325,6 Mds FCFA** (+14,8%) et un résultat net de **48,3 Mds FCFA** (+25,2%), tandis que le **S1 2026** (rapport du 09/10/2026) confirme un CA de **672,8 Mds FCFA** (+16,1%) et un résultat net de **90,3 Mds FCFA** (+18,3%), avec une marge nette en amélioration à **13,4%**. Sur cette base, on peut **estimer** que l'exercice 2026 devrait dépasser les 1 300 Mds FCFA de CA avec une poursuite de l'amélioration des marges, sous réserve de la pression fiscale (+35% d'impôts au S1 2026) et des charges financières. Le dividende proposé de **800 FCFA brut/action** (rapport AG du 03/04/2026) offre un rendement attractif d'environ **3,9%** au cours actuel. La recommandation fondamentale est **positive** : solidité financière, croissance à deux chiffres et leadership régional, avec un point de vigilance sur la conversion du CA en résultat net.</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**globalement favorable mais avec des signaux de court terme divergents**. Sur le plan de la **valorisation**, le PER de 18,5x et le P/B de 4,38x indiquent une prime exigeante, mais justifiée par un ROE de 23,7% et une croissance soutenue — le titre n'est ni sous-évalué ni excessivement cher pour sa qualité. Le **comportement du cours** est haussier sur 100 jours (+31,21%), avec une volatilité élevée (38,5%) et une distribution platykurtique qui atténue le risque de pics extrêmes, mais le repli de -4,19% en J-1 et la position sous les moyennes mobiles traduisent une consolidation légitime. Les **signaux techniques** sont mitigés : MACD en vente contredit la configuration haussière des MM, tandis que RSI et stochastique restent neutres — la convergence plaide pour une pause plutôt qu'un retournement. Les **fondamentaux** demeurent le pilier du dossier : CA 2025 de 1 197,1 Mds FCFA, ROE de 23,7%, BFR négatif, et surtout l'accélération confirmée par les rapports T1 2026 (+25,2% de résultat net) et S1 2026 (+18,3%), qui valident la trajectoire de croissance. Les **prédictions IA** (21 052 → 20 934 FCFA sur J+1 à J+10) anticipent une légère consolidation baissière (-1,7% environ), cohérente avec le MACD vendeur et le repli récent, sans effondrement. **Recommandation finale : CONSERVER** — la convergence entre fondamentaux solides, valorisation exigeante mais justifiée et technique en consolidation suggère de conserver les positions existantes et d'attendre un point d'entrée plus favorable (vers 20 000 FCFA) pour renforcer. **Niveau de confiance : Moyen** (divergence technique/fondamental). **Niveau de risque : Moyen à Élevé** (volatilité de 38,5%, exposition multi-pays). **Horizon optimal : moyen à long terme (6-18 mois)**, le temps que la consolidation technique s'achève et que la croissance des bénéfices 2026 se matérialise pleinement.</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"Le document ne fournit aucune donn\u00e9e financi\u00e8re permettant d'\u00e9valuer la performance ou la valorisation de la soci\u00e9t\u00e9. En l'absence d'informations chiffr\u00e9es, aucune d\u00e9cision d'achat ou de vente ne peut \u00eatre justifi\u00e9e."}</w:t>
      </w:r>
    </w:p>
    <w:p>
      <w:pPr>
        <w:spacing w:before="40"/>
        <w:ind w:left="400"/>
      </w:pPr>
      <w:r>
        <w:rPr>
          <w:sz w:val="18"/>
        </w:rPr>
        <w:t>Le document est une attestation des commissaires aux comptes (KPMG Côte d'Ivoire UNICONSEIL et UNICONSEIL) sur les informations semestrielles consolidées d'Orange Côte d'Ivoire S.A. pour la période du 1er janvier 2026 au 30 juin 2026. Il s'agit d'une attestation établie en application de l'article 849 de l'Acte uniforme de l'OHADA, et non d'un rapport d'analyse financière détaillé. Les commissaires aux comptes ont mis en œuvre des diligences professionnelles qui ne constituent ni un audit ni un examen limité. Le document ne contient aucune donnée chiffrée sur les résultats, le bilan ou la trésorerie de la société. Par conséquent, aucune analyse financière approfondie ni recommandation d'inve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'1er janvier 2026 au 30 juin 2026', 'capital_social': '6 026 214 000 FCFA', 'referentiel_comptable': 'IFRS', 'commissaires_aux_comptes': "KPMG Côte d'Ivoire UNICONSEIL et UNICONSEIL"}</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sur les informations semestrielles consolidées d'Orange Côte d'Ivoire S.A.</w:t>
      </w:r>
    </w:p>
    <w:p>
      <w:pPr>
        <w:pStyle w:val="ListBullet"/>
        <w:spacing w:before="20" w:after="20"/>
        <w:ind w:left="700"/>
      </w:pPr>
      <w:r>
        <w:rPr>
          <w:sz w:val="18"/>
        </w:rPr>
        <w:t>Période couverte : 1er janvier 2026 au 30 juin 2026</w:t>
      </w:r>
    </w:p>
    <w:p>
      <w:pPr>
        <w:pStyle w:val="ListBullet"/>
        <w:spacing w:before="20" w:after="20"/>
        <w:ind w:left="700"/>
      </w:pPr>
      <w:r>
        <w:rPr>
          <w:sz w:val="18"/>
        </w:rPr>
        <w:t>Établie en application de l'article 849 de l'Acte uniforme de l'OHADA relatif au droit des sociétés commerciales et du GIE</w:t>
      </w:r>
    </w:p>
    <w:p>
      <w:pPr>
        <w:pStyle w:val="ListBullet"/>
        <w:spacing w:before="20" w:after="20"/>
        <w:ind w:left="700"/>
      </w:pPr>
      <w:r>
        <w:rPr>
          <w:sz w:val="18"/>
        </w:rPr>
        <w:t>Les informations ont été établies sous la responsabilité de la direction générale, à partir de la comptabilité générale tenue selon le référentiel IFRS</w:t>
      </w:r>
    </w:p>
    <w:p>
      <w:pPr>
        <w:pStyle w:val="ListBullet"/>
        <w:spacing w:before="20" w:after="20"/>
        <w:ind w:left="700"/>
      </w:pPr>
      <w:r>
        <w:rPr>
          <w:sz w:val="18"/>
        </w:rPr>
        <w:t>Les diligences mises en œuvre ne constituent ni un audit ni un examen limité</w:t>
      </w:r>
    </w:p>
    <w:p>
      <w:pPr>
        <w:pStyle w:val="ListBullet"/>
        <w:spacing w:before="20" w:after="20"/>
        <w:ind w:left="700"/>
      </w:pPr>
      <w:r>
        <w:rPr>
          <w:sz w:val="18"/>
        </w:rPr>
        <w:t>Le document ne contient aucune donnée financière chiffrée (chiffre d'affaires, résultat net, actif, capitaux propres)</w:t>
      </w:r>
    </w:p>
    <w:p>
      <w:pPr>
        <w:spacing w:before="40"/>
        <w:ind w:left="400"/>
      </w:pPr>
      <w:r>
        <w:rPr>
          <w:b/>
          <w:color w:val="C05000"/>
          <w:sz w:val="18"/>
        </w:rPr>
        <w:t xml:space="preserve">⚠️ Risques : </w:t>
      </w:r>
      <w:r>
        <w:rPr>
          <w:sz w:val="18"/>
        </w:rPr>
        <w:t>["Absence de donn\u00e9es financi\u00e8res chiffr\u00e9es dans le document, emp\u00eachant toute \u00e9valuation des risques financiers", "Le document est une simple attestation de commissaires aux comptes, sans analyse de la situation financi\u00e8re", "Les diligences effectu\u00e9es ne constituent</w:t>
      </w:r>
    </w:p>
    <w:p>
      <w:pPr>
        <w:spacing w:before="40"/>
        <w:ind w:left="400"/>
      </w:pPr>
      <w:r>
        <w:rPr>
          <w:b/>
          <w:color w:val="0064A0"/>
          <w:sz w:val="18"/>
        </w:rPr>
        <w:t xml:space="preserve">🔮 Perspectives : </w:t>
      </w:r>
      <w:r>
        <w:rPr>
          <w:sz w:val="18"/>
        </w:rPr>
        <w:t>Aucune perspective financière ne peut être dégagée de ce document, qui se limite à une attestation de conformité des informations semestrielles. Pour formuler un outlook, il serait nécessaire de consulter les états financiers semestriels complets (bilan, compte de résultat, tableau des flux de tréso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croissance \u00e0 deux chiffres du chiffre d'affaires (+16,1%) et du r\u00e9sultat net (+18,3%) t\u00e9moigne d'une dynamique op\u00e9rationnelle solide sur les trois march\u00e9s. La progression de l'EBITDAaL et l'am\u00e9lioration du r\u00e9sultat financier renforcent la qualit\u00e9 des r\u00e9sultats et la g\u00e9n\u00e9ration de cash-flow."}</w:t>
      </w:r>
    </w:p>
    <w:p>
      <w:pPr>
        <w:spacing w:before="40"/>
        <w:ind w:left="400"/>
      </w:pPr>
      <w:r>
        <w:rPr>
          <w:sz w:val="18"/>
        </w:rPr>
        <w:t>Orange Côte d'Ivoire publie des résultats consolidés en forte croissance pour le premier semestre 2026, avec un chiffre d'affaires de 672,8 milliards FCFA en hausse de 16,1% sur un an. Cette performance est portée par les trois filiales du groupe (Côte d'Ivoire, Burkina Faso et Liberia), tirées par la data mobile, la fibre et Orange Money. L'EBITDAaL progresse de 19,2% à 239,3 milliards FCFA, traduisant une bonne maîtrise des coûts d'exploitation. Le résultat net consolidé atteint 90,3 milliards FCFA, en croissance de 18,3% par rapport au S1 2025. La dynamique commerciale et l'expansion des usages confirment la solidité du modèle économique du groupe sur l'ensemble de ses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'109,3 milliards FCFA', 'ebitdaal': '239,3 milliards FCFA', 'parc_fmi': '37 364 milliers', 'resultat_financier': '-12,8 milliards FCFA', 'resultat_exploitation': '159,6 milliards FCFA', 'impots_sur_le_resultat': '-56,6 milliards FCFA', 'resultat_activites_ordinaires': '146,8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672,8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de 672,8 milliards FCFA au S1 2026, en hausse de 16,1% (+93,4 milliards FCFA) sur un an.</w:t>
      </w:r>
    </w:p>
    <w:p>
      <w:pPr>
        <w:pStyle w:val="ListBullet"/>
        <w:spacing w:before="20" w:after="20"/>
        <w:ind w:left="700"/>
      </w:pPr>
      <w:r>
        <w:rPr>
          <w:sz w:val="18"/>
        </w:rPr>
        <w:t>EBITDAaL de 239,3 milliards FCFA, en progression de 19,2%, avec une marge d'EBITDAaL d'environ 35,6%.</w:t>
      </w:r>
    </w:p>
    <w:p>
      <w:pPr>
        <w:pStyle w:val="ListBullet"/>
        <w:spacing w:before="20" w:after="20"/>
        <w:ind w:left="700"/>
      </w:pPr>
      <w:r>
        <w:rPr>
          <w:sz w:val="18"/>
        </w:rPr>
        <w:t>Résultat d'exploitation de 159,6 milliards FCFA, en hausse de 21,1% par rapport au S1 2025.</w:t>
      </w:r>
    </w:p>
    <w:p>
      <w:pPr>
        <w:pStyle w:val="ListBullet"/>
        <w:spacing w:before="20" w:after="20"/>
        <w:ind w:left="700"/>
      </w:pPr>
      <w:r>
        <w:rPr>
          <w:sz w:val="18"/>
        </w:rPr>
        <w:t>Résultat net consolidé de 90,3 milliards FCFA, en croissance de 18,3%, soit une marge nette d'environ 13,4%.</w:t>
      </w:r>
    </w:p>
    <w:p>
      <w:pPr>
        <w:pStyle w:val="ListBullet"/>
        <w:spacing w:before="20" w:after="20"/>
        <w:ind w:left="700"/>
      </w:pPr>
      <w:r>
        <w:rPr>
          <w:sz w:val="18"/>
        </w:rPr>
        <w:t>Résultat financier négatif de -12,8 milliards FCFA, mais en amélioration de 5,9% sur un an.</w:t>
      </w:r>
    </w:p>
    <w:p>
      <w:pPr>
        <w:pStyle w:val="ListBullet"/>
        <w:spacing w:before="20" w:after="20"/>
        <w:ind w:left="700"/>
      </w:pPr>
      <w:r>
        <w:rPr>
          <w:sz w:val="18"/>
        </w:rPr>
        <w:t>Charge d'impôts en hausse de 35,0% à 56,6 milliards FCFA, pesant sur la croissance du résultat net.</w:t>
      </w:r>
    </w:p>
    <w:p>
      <w:pPr>
        <w:spacing w:before="40"/>
        <w:ind w:left="400"/>
      </w:pPr>
      <w:r>
        <w:rPr>
          <w:b/>
          <w:color w:val="C05000"/>
          <w:sz w:val="18"/>
        </w:rPr>
        <w:t xml:space="preserve">⚠️ Risques : </w:t>
      </w:r>
      <w:r>
        <w:rPr>
          <w:sz w:val="18"/>
        </w:rPr>
        <w:t>["Hausse marqu\u00e9e des charges commerciales et fiscales (+35% d'imp\u00f4ts) pouvant peser sur la rentabilit\u00e9 future.", "Exposition au risque de change et \u00e0 l'environnement macro\u00e9conomique des trois pays (C\u00f4te d'Ivoire, Burkina Faso, Liberia).", "Intensification de la concurre</w:t>
      </w:r>
    </w:p>
    <w:p>
      <w:pPr>
        <w:spacing w:before="40"/>
        <w:ind w:left="400"/>
      </w:pPr>
      <w:r>
        <w:rPr>
          <w:b/>
          <w:color w:val="0064A0"/>
          <w:sz w:val="18"/>
        </w:rPr>
        <w:t xml:space="preserve">🔮 Perspectives : </w:t>
      </w:r>
      <w:r>
        <w:rPr>
          <w:sz w:val="18"/>
        </w:rPr>
        <w:t>Le groupe devrait poursuivre sa trajectoire de croissance au second semestre 2026, soutenu par l'expansion de la data mobile, de la fibre et d'Orange Money sur ses trois marchés. La maîtrise des coûts et l'amélioration continue du résultat financier devraient permettre de maintenir la dynamique béné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
      <w:r>
        <w:t>════════════════════════════════════════════════════════════════════════════════</w:t>
      </w:r>
    </w:p>
    <w:p>
      <w:r>
        <w:br w:type="page"/>
      </w:r>
    </w:p>
    <w:p>
      <w:pPr>
        <w:pStyle w:val="Heading2"/>
        <w:spacing w:before="360"/>
      </w:pPr>
      <w:r>
        <w:rPr>
          <w:color w:val="0066CC"/>
        </w:rPr>
        <w:t>25.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192.97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4,151 titres</w:t>
            </w:r>
          </w:p>
        </w:tc>
        <w:tc>
          <w:tcPr>
            <w:tcW w:type="dxa" w:w="2268"/>
            <w:shd w:fill="FFF2CC" w:val="clear"/>
          </w:tcPr>
          <w:p>
            <w:r>
              <w:rPr>
                <w:b/>
                <w:color w:val="503200"/>
                <w:sz w:val="16"/>
              </w:rPr>
              <w:t xml:space="preserve">Cours actuel : </w:t>
            </w:r>
            <w:r>
              <w:rPr>
                <w:color w:val="000000"/>
                <w:sz w:val="17"/>
              </w:rPr>
              <w:t>2,780 FCFA</w:t>
            </w:r>
          </w:p>
          <w:p>
            <w:r>
              <w:rPr>
                <w:b/>
                <w:color w:val="503200"/>
                <w:sz w:val="16"/>
              </w:rPr>
              <w:t xml:space="preserve">Var. 100 jours : </w:t>
            </w:r>
            <w:r>
              <w:rPr>
                <w:b/>
                <w:color w:val="007800"/>
                <w:sz w:val="17"/>
              </w:rPr>
              <w:t>+1.46%</w:t>
            </w:r>
          </w:p>
          <w:p>
            <w:r>
              <w:rPr>
                <w:b/>
                <w:color w:val="503200"/>
                <w:sz w:val="16"/>
              </w:rPr>
              <w:t xml:space="preserve">Plus haut 100j : </w:t>
            </w:r>
            <w:r>
              <w:rPr>
                <w:color w:val="000000"/>
                <w:sz w:val="17"/>
              </w:rPr>
              <w:t>3,400 FCFA</w:t>
            </w:r>
          </w:p>
          <w:p>
            <w:r>
              <w:rPr>
                <w:b/>
                <w:color w:val="503200"/>
                <w:sz w:val="16"/>
              </w:rPr>
              <w:t xml:space="preserve">Plus bas 100j : </w:t>
            </w:r>
            <w:r>
              <w:rPr>
                <w:color w:val="000000"/>
                <w:sz w:val="17"/>
              </w:rPr>
              <w:t>2,600 FCFA</w:t>
            </w:r>
          </w:p>
          <w:p>
            <w:r>
              <w:rPr>
                <w:b/>
                <w:color w:val="503200"/>
                <w:sz w:val="16"/>
              </w:rPr>
              <w:t xml:space="preserve">Volatilité ann. : </w:t>
            </w:r>
            <w:r>
              <w:rPr>
                <w:color w:val="000000"/>
                <w:sz w:val="17"/>
              </w:rPr>
              <w:t>36.0%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7.64% (Moyenne) — μ=2,918 FCFA, σ=223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β=0.8351 (Neutre (suit le marché)) — Cov=0.000063, Var(idx)=0.000076, ρ=0.320,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4,151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σ_j=2.27%/j (Stable) — Vol. annualisée≈36.0%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2026-10-19</w:t>
            </w:r>
          </w:p>
        </w:tc>
        <w:tc>
          <w:tcPr>
            <w:tcW w:type="dxa" w:w="1440"/>
            <w:shd w:fill="FAFAFA" w:val="clear"/>
          </w:tcPr>
          <w:p>
            <w:r>
              <w:rPr>
                <w:sz w:val="17"/>
              </w:rPr>
              <w:t>2,663</w:t>
            </w:r>
          </w:p>
        </w:tc>
        <w:tc>
          <w:tcPr>
            <w:tcW w:type="dxa" w:w="1440"/>
            <w:shd w:fill="FAFAFA" w:val="clear"/>
          </w:tcPr>
          <w:p>
            <w:r>
              <w:rPr>
                <w:b/>
                <w:sz w:val="17"/>
              </w:rPr>
              <w:t>2,798</w:t>
            </w:r>
          </w:p>
        </w:tc>
        <w:tc>
          <w:tcPr>
            <w:tcW w:type="dxa" w:w="1440"/>
            <w:shd w:fill="FAFAFA" w:val="clear"/>
          </w:tcPr>
          <w:p>
            <w:r>
              <w:rPr>
                <w:sz w:val="17"/>
              </w:rPr>
              <w:t>2,934</w:t>
            </w:r>
          </w:p>
        </w:tc>
        <w:tc>
          <w:tcPr>
            <w:tcW w:type="dxa" w:w="1440"/>
            <w:shd w:fill="FAFAFA" w:val="clear"/>
          </w:tcPr>
          <w:p>
            <w:r>
              <w:rPr>
                <w:b/>
                <w:color w:val="008000"/>
                <w:sz w:val="17"/>
              </w:rPr>
              <w:t>+0.7%</w:t>
            </w:r>
          </w:p>
        </w:tc>
      </w:tr>
      <w:tr>
        <w:tc>
          <w:tcPr>
            <w:tcW w:type="dxa" w:w="1440"/>
            <w:shd w:fill="FAFAFA" w:val="clear"/>
          </w:tcPr>
          <w:p>
            <w:r>
              <w:rPr>
                <w:sz w:val="17"/>
              </w:rPr>
              <w:t>J+2  ⭐</w:t>
            </w:r>
          </w:p>
        </w:tc>
        <w:tc>
          <w:tcPr>
            <w:tcW w:type="dxa" w:w="1440"/>
            <w:shd w:fill="FAFAFA" w:val="clear"/>
          </w:tcPr>
          <w:p>
            <w:r>
              <w:rPr>
                <w:sz w:val="17"/>
              </w:rPr>
              <w:t>2026-10-20</w:t>
            </w:r>
          </w:p>
        </w:tc>
        <w:tc>
          <w:tcPr>
            <w:tcW w:type="dxa" w:w="1440"/>
            <w:shd w:fill="FAFAFA" w:val="clear"/>
          </w:tcPr>
          <w:p>
            <w:r>
              <w:rPr>
                <w:sz w:val="17"/>
              </w:rPr>
              <w:t>2,606</w:t>
            </w:r>
          </w:p>
        </w:tc>
        <w:tc>
          <w:tcPr>
            <w:tcW w:type="dxa" w:w="1440"/>
            <w:shd w:fill="FAFAFA" w:val="clear"/>
          </w:tcPr>
          <w:p>
            <w:r>
              <w:rPr>
                <w:b/>
                <w:sz w:val="17"/>
              </w:rPr>
              <w:t>2,797</w:t>
            </w:r>
          </w:p>
        </w:tc>
        <w:tc>
          <w:tcPr>
            <w:tcW w:type="dxa" w:w="1440"/>
            <w:shd w:fill="FAFAFA" w:val="clear"/>
          </w:tcPr>
          <w:p>
            <w:r>
              <w:rPr>
                <w:sz w:val="17"/>
              </w:rPr>
              <w:t>2,988</w:t>
            </w:r>
          </w:p>
        </w:tc>
        <w:tc>
          <w:tcPr>
            <w:tcW w:type="dxa" w:w="1440"/>
            <w:shd w:fill="FAFAFA" w:val="clear"/>
          </w:tcPr>
          <w:p>
            <w:r>
              <w:rPr>
                <w:b/>
                <w:color w:val="008000"/>
                <w:sz w:val="17"/>
              </w:rPr>
              <w:t>+0.6%</w:t>
            </w:r>
          </w:p>
        </w:tc>
      </w:tr>
      <w:tr>
        <w:tc>
          <w:tcPr>
            <w:tcW w:type="dxa" w:w="1440"/>
            <w:shd w:fill="FAFAFA" w:val="clear"/>
          </w:tcPr>
          <w:p>
            <w:r>
              <w:rPr>
                <w:sz w:val="17"/>
              </w:rPr>
              <w:t>J+3  ⭐</w:t>
            </w:r>
          </w:p>
        </w:tc>
        <w:tc>
          <w:tcPr>
            <w:tcW w:type="dxa" w:w="1440"/>
            <w:shd w:fill="FAFAFA" w:val="clear"/>
          </w:tcPr>
          <w:p>
            <w:r>
              <w:rPr>
                <w:sz w:val="17"/>
              </w:rPr>
              <w:t>2026-10-21</w:t>
            </w:r>
          </w:p>
        </w:tc>
        <w:tc>
          <w:tcPr>
            <w:tcW w:type="dxa" w:w="1440"/>
            <w:shd w:fill="FAFAFA" w:val="clear"/>
          </w:tcPr>
          <w:p>
            <w:r>
              <w:rPr>
                <w:sz w:val="17"/>
              </w:rPr>
              <w:t>2,563</w:t>
            </w:r>
          </w:p>
        </w:tc>
        <w:tc>
          <w:tcPr>
            <w:tcW w:type="dxa" w:w="1440"/>
            <w:shd w:fill="FAFAFA" w:val="clear"/>
          </w:tcPr>
          <w:p>
            <w:r>
              <w:rPr>
                <w:b/>
                <w:sz w:val="17"/>
              </w:rPr>
              <w:t>2,797</w:t>
            </w:r>
          </w:p>
        </w:tc>
        <w:tc>
          <w:tcPr>
            <w:tcW w:type="dxa" w:w="1440"/>
            <w:shd w:fill="FAFAFA" w:val="clear"/>
          </w:tcPr>
          <w:p>
            <w:r>
              <w:rPr>
                <w:sz w:val="17"/>
              </w:rPr>
              <w:t>3,032</w:t>
            </w:r>
          </w:p>
        </w:tc>
        <w:tc>
          <w:tcPr>
            <w:tcW w:type="dxa" w:w="1440"/>
            <w:shd w:fill="FAFAFA" w:val="clear"/>
          </w:tcPr>
          <w:p>
            <w:r>
              <w:rPr>
                <w:b/>
                <w:color w:val="008000"/>
                <w:sz w:val="17"/>
              </w:rPr>
              <w:t>+0.6%</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2,527</w:t>
            </w:r>
          </w:p>
        </w:tc>
        <w:tc>
          <w:tcPr>
            <w:tcW w:type="dxa" w:w="1440"/>
            <w:shd w:fill="FAFAFA" w:val="clear"/>
          </w:tcPr>
          <w:p>
            <w:r>
              <w:rPr>
                <w:b/>
                <w:sz w:val="17"/>
              </w:rPr>
              <w:t>2,798</w:t>
            </w:r>
          </w:p>
        </w:tc>
        <w:tc>
          <w:tcPr>
            <w:tcW w:type="dxa" w:w="1440"/>
            <w:shd w:fill="FAFAFA" w:val="clear"/>
          </w:tcPr>
          <w:p>
            <w:r>
              <w:rPr>
                <w:sz w:val="17"/>
              </w:rPr>
              <w:t>3,068</w:t>
            </w:r>
          </w:p>
        </w:tc>
        <w:tc>
          <w:tcPr>
            <w:tcW w:type="dxa" w:w="1440"/>
            <w:shd w:fill="FAFAFA" w:val="clear"/>
          </w:tcPr>
          <w:p>
            <w:r>
              <w:rPr>
                <w:b/>
                <w:color w:val="008000"/>
                <w:sz w:val="17"/>
              </w:rPr>
              <w:t>+0.6%</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2,495</w:t>
            </w:r>
          </w:p>
        </w:tc>
        <w:tc>
          <w:tcPr>
            <w:tcW w:type="dxa" w:w="1440"/>
            <w:shd w:fill="FAFAFA" w:val="clear"/>
          </w:tcPr>
          <w:p>
            <w:r>
              <w:rPr>
                <w:b/>
                <w:sz w:val="17"/>
              </w:rPr>
              <w:t>2,797</w:t>
            </w:r>
          </w:p>
        </w:tc>
        <w:tc>
          <w:tcPr>
            <w:tcW w:type="dxa" w:w="1440"/>
            <w:shd w:fill="FAFAFA" w:val="clear"/>
          </w:tcPr>
          <w:p>
            <w:r>
              <w:rPr>
                <w:sz w:val="17"/>
              </w:rPr>
              <w:t>3,100</w:t>
            </w:r>
          </w:p>
        </w:tc>
        <w:tc>
          <w:tcPr>
            <w:tcW w:type="dxa" w:w="1440"/>
            <w:shd w:fill="FAFAFA" w:val="clear"/>
          </w:tcPr>
          <w:p>
            <w:r>
              <w:rPr>
                <w:b/>
                <w:color w:val="008000"/>
                <w:sz w:val="17"/>
              </w:rPr>
              <w:t>+0.6%</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2,465</w:t>
            </w:r>
          </w:p>
        </w:tc>
        <w:tc>
          <w:tcPr>
            <w:tcW w:type="dxa" w:w="1440"/>
            <w:shd w:fill="FAFAFA" w:val="clear"/>
          </w:tcPr>
          <w:p>
            <w:r>
              <w:rPr>
                <w:b/>
                <w:sz w:val="17"/>
              </w:rPr>
              <w:t>2,797</w:t>
            </w:r>
          </w:p>
        </w:tc>
        <w:tc>
          <w:tcPr>
            <w:tcW w:type="dxa" w:w="1440"/>
            <w:shd w:fill="FAFAFA" w:val="clear"/>
          </w:tcPr>
          <w:p>
            <w:r>
              <w:rPr>
                <w:sz w:val="17"/>
              </w:rPr>
              <w:t>3,128</w:t>
            </w:r>
          </w:p>
        </w:tc>
        <w:tc>
          <w:tcPr>
            <w:tcW w:type="dxa" w:w="1440"/>
            <w:shd w:fill="FAFAFA" w:val="clear"/>
          </w:tcPr>
          <w:p>
            <w:r>
              <w:rPr>
                <w:b/>
                <w:color w:val="008000"/>
                <w:sz w:val="17"/>
              </w:rPr>
              <w:t>+0.6%</w:t>
            </w:r>
          </w:p>
        </w:tc>
      </w:tr>
      <w:tr>
        <w:tc>
          <w:tcPr>
            <w:tcW w:type="dxa" w:w="1440"/>
            <w:shd w:fill="FAFAFA" w:val="clear"/>
          </w:tcPr>
          <w:p>
            <w:r>
              <w:rPr>
                <w:sz w:val="17"/>
              </w:rPr>
              <w:t>J+7  ⭐</w:t>
            </w:r>
          </w:p>
        </w:tc>
        <w:tc>
          <w:tcPr>
            <w:tcW w:type="dxa" w:w="1440"/>
            <w:shd w:fill="FAFAFA" w:val="clear"/>
          </w:tcPr>
          <w:p>
            <w:r>
              <w:rPr>
                <w:sz w:val="17"/>
              </w:rPr>
              <w:t>2026-10-27</w:t>
            </w:r>
          </w:p>
        </w:tc>
        <w:tc>
          <w:tcPr>
            <w:tcW w:type="dxa" w:w="1440"/>
            <w:shd w:fill="FAFAFA" w:val="clear"/>
          </w:tcPr>
          <w:p>
            <w:r>
              <w:rPr>
                <w:sz w:val="17"/>
              </w:rPr>
              <w:t>2,438</w:t>
            </w:r>
          </w:p>
        </w:tc>
        <w:tc>
          <w:tcPr>
            <w:tcW w:type="dxa" w:w="1440"/>
            <w:shd w:fill="FAFAFA" w:val="clear"/>
          </w:tcPr>
          <w:p>
            <w:r>
              <w:rPr>
                <w:b/>
                <w:sz w:val="17"/>
              </w:rPr>
              <w:t>2,796</w:t>
            </w:r>
          </w:p>
        </w:tc>
        <w:tc>
          <w:tcPr>
            <w:tcW w:type="dxa" w:w="1440"/>
            <w:shd w:fill="FAFAFA" w:val="clear"/>
          </w:tcPr>
          <w:p>
            <w:r>
              <w:rPr>
                <w:sz w:val="17"/>
              </w:rPr>
              <w:t>3,154</w:t>
            </w:r>
          </w:p>
        </w:tc>
        <w:tc>
          <w:tcPr>
            <w:tcW w:type="dxa" w:w="1440"/>
            <w:shd w:fill="FAFAFA" w:val="clear"/>
          </w:tcPr>
          <w:p>
            <w:r>
              <w:rPr>
                <w:b/>
                <w:color w:val="008000"/>
                <w:sz w:val="17"/>
              </w:rPr>
              <w:t>+0.6%</w:t>
            </w:r>
          </w:p>
        </w:tc>
      </w:tr>
      <w:tr>
        <w:tc>
          <w:tcPr>
            <w:tcW w:type="dxa" w:w="1440"/>
            <w:shd w:fill="FAFAFA" w:val="clear"/>
          </w:tcPr>
          <w:p>
            <w:r>
              <w:rPr>
                <w:sz w:val="17"/>
              </w:rPr>
              <w:t>J+8  ⭐</w:t>
            </w:r>
          </w:p>
        </w:tc>
        <w:tc>
          <w:tcPr>
            <w:tcW w:type="dxa" w:w="1440"/>
            <w:shd w:fill="FAFAFA" w:val="clear"/>
          </w:tcPr>
          <w:p>
            <w:r>
              <w:rPr>
                <w:sz w:val="17"/>
              </w:rPr>
              <w:t>2026-10-28</w:t>
            </w:r>
          </w:p>
        </w:tc>
        <w:tc>
          <w:tcPr>
            <w:tcW w:type="dxa" w:w="1440"/>
            <w:shd w:fill="FAFAFA" w:val="clear"/>
          </w:tcPr>
          <w:p>
            <w:r>
              <w:rPr>
                <w:sz w:val="17"/>
              </w:rPr>
              <w:t>2,413</w:t>
            </w:r>
          </w:p>
        </w:tc>
        <w:tc>
          <w:tcPr>
            <w:tcW w:type="dxa" w:w="1440"/>
            <w:shd w:fill="FAFAFA" w:val="clear"/>
          </w:tcPr>
          <w:p>
            <w:r>
              <w:rPr>
                <w:b/>
                <w:sz w:val="17"/>
              </w:rPr>
              <w:t>2,796</w:t>
            </w:r>
          </w:p>
        </w:tc>
        <w:tc>
          <w:tcPr>
            <w:tcW w:type="dxa" w:w="1440"/>
            <w:shd w:fill="FAFAFA" w:val="clear"/>
          </w:tcPr>
          <w:p>
            <w:r>
              <w:rPr>
                <w:sz w:val="17"/>
              </w:rPr>
              <w:t>3,178</w:t>
            </w:r>
          </w:p>
        </w:tc>
        <w:tc>
          <w:tcPr>
            <w:tcW w:type="dxa" w:w="1440"/>
            <w:shd w:fill="FAFAFA" w:val="clear"/>
          </w:tcPr>
          <w:p>
            <w:r>
              <w:rPr>
                <w:b/>
                <w:color w:val="008000"/>
                <w:sz w:val="17"/>
              </w:rPr>
              <w:t>+0.6%</w:t>
            </w:r>
          </w:p>
        </w:tc>
      </w:tr>
      <w:tr>
        <w:tc>
          <w:tcPr>
            <w:tcW w:type="dxa" w:w="1440"/>
            <w:shd w:fill="FAFAFA" w:val="clear"/>
          </w:tcPr>
          <w:p>
            <w:r>
              <w:rPr>
                <w:sz w:val="17"/>
              </w:rPr>
              <w:t>J+9  ⭐</w:t>
            </w:r>
          </w:p>
        </w:tc>
        <w:tc>
          <w:tcPr>
            <w:tcW w:type="dxa" w:w="1440"/>
            <w:shd w:fill="FAFAFA" w:val="clear"/>
          </w:tcPr>
          <w:p>
            <w:r>
              <w:rPr>
                <w:sz w:val="17"/>
              </w:rPr>
              <w:t>2026-10-29</w:t>
            </w:r>
          </w:p>
        </w:tc>
        <w:tc>
          <w:tcPr>
            <w:tcW w:type="dxa" w:w="1440"/>
            <w:shd w:fill="FAFAFA" w:val="clear"/>
          </w:tcPr>
          <w:p>
            <w:r>
              <w:rPr>
                <w:sz w:val="17"/>
              </w:rPr>
              <w:t>2,389</w:t>
            </w:r>
          </w:p>
        </w:tc>
        <w:tc>
          <w:tcPr>
            <w:tcW w:type="dxa" w:w="1440"/>
            <w:shd w:fill="FAFAFA" w:val="clear"/>
          </w:tcPr>
          <w:p>
            <w:r>
              <w:rPr>
                <w:b/>
                <w:sz w:val="17"/>
              </w:rPr>
              <w:t>2,795</w:t>
            </w:r>
          </w:p>
        </w:tc>
        <w:tc>
          <w:tcPr>
            <w:tcW w:type="dxa" w:w="1440"/>
            <w:shd w:fill="FAFAFA" w:val="clear"/>
          </w:tcPr>
          <w:p>
            <w:r>
              <w:rPr>
                <w:sz w:val="17"/>
              </w:rPr>
              <w:t>3,201</w:t>
            </w:r>
          </w:p>
        </w:tc>
        <w:tc>
          <w:tcPr>
            <w:tcW w:type="dxa" w:w="1440"/>
            <w:shd w:fill="FAFAFA" w:val="clear"/>
          </w:tcPr>
          <w:p>
            <w:r>
              <w:rPr>
                <w:b/>
                <w:color w:val="008000"/>
                <w:sz w:val="17"/>
              </w:rPr>
              <w:t>+0.5%</w:t>
            </w:r>
          </w:p>
        </w:tc>
      </w:tr>
      <w:tr>
        <w:tc>
          <w:tcPr>
            <w:tcW w:type="dxa" w:w="1440"/>
            <w:shd w:fill="FAFAFA" w:val="clear"/>
          </w:tcPr>
          <w:p>
            <w:r>
              <w:rPr>
                <w:sz w:val="17"/>
              </w:rPr>
              <w:t>J+10  ⭐</w:t>
            </w:r>
          </w:p>
        </w:tc>
        <w:tc>
          <w:tcPr>
            <w:tcW w:type="dxa" w:w="1440"/>
            <w:shd w:fill="FAFAFA" w:val="clear"/>
          </w:tcPr>
          <w:p>
            <w:r>
              <w:rPr>
                <w:sz w:val="17"/>
              </w:rPr>
              <w:t>2026-10-30</w:t>
            </w:r>
          </w:p>
        </w:tc>
        <w:tc>
          <w:tcPr>
            <w:tcW w:type="dxa" w:w="1440"/>
            <w:shd w:fill="FAFAFA" w:val="clear"/>
          </w:tcPr>
          <w:p>
            <w:r>
              <w:rPr>
                <w:sz w:val="17"/>
              </w:rPr>
              <w:t>2,367</w:t>
            </w:r>
          </w:p>
        </w:tc>
        <w:tc>
          <w:tcPr>
            <w:tcW w:type="dxa" w:w="1440"/>
            <w:shd w:fill="FAFAFA" w:val="clear"/>
          </w:tcPr>
          <w:p>
            <w:r>
              <w:rPr>
                <w:b/>
                <w:sz w:val="17"/>
              </w:rPr>
              <w:t>2,795</w:t>
            </w:r>
          </w:p>
        </w:tc>
        <w:tc>
          <w:tcPr>
            <w:tcW w:type="dxa" w:w="1440"/>
            <w:shd w:fill="FAFAFA" w:val="clear"/>
          </w:tcPr>
          <w:p>
            <w:r>
              <w:rPr>
                <w:sz w:val="17"/>
              </w:rPr>
              <w:t>3,222</w:t>
            </w:r>
          </w:p>
        </w:tc>
        <w:tc>
          <w:tcPr>
            <w:tcW w:type="dxa" w:w="1440"/>
            <w:shd w:fill="FAFAFA" w:val="clear"/>
          </w:tcPr>
          <w:p>
            <w:r>
              <w:rPr>
                <w:b/>
                <w:color w:val="008000"/>
                <w:sz w:val="17"/>
              </w:rPr>
              <w:t>+0.5%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 📊 RAPPORT D'ANALYSE FINANCIÈRE — ORAGROUP (ORGT)</w:t>
        <w:br/>
        <w:t>### 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192,97 milliards FCFA, ORGT s'inscrit parmi les valeurs bancaires de taille significative de la cote BRVM, reflétant l'empreinte panafricaine du groupe Orabank dans huit pays de la zone UEMOA/CEMAC. Le BPA de 312 FCFA/action confère au titre un PER de 8,9x, soit un niveau inférieur à la moyenne BRVM (8-12x), ce qui suggère une valorisation raisonnable voire légèrement sous-évaluée au regard des bénéfices générés. Le P/B de 1,71x indique que le marché valorise l'action à 71% au-dessus de sa valeur comptable, un niveau cohérent avec la rentabilité des fonds propres (ROE de 19,1%). En revanche, l'EV/EBITDA de 19,3x apparaît très exigeant (&gt;15x), signalant que la valeur d'entreprise intègre déjà une forte anticipation de redressement opérationnel — un point de vigilance pour l'investisseur.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ORGT affiche une variation totale quasi stable de +1,46%, mais la dernière séance (J-1) enregistre un repli de -1,07%, ramenant le cours à 2 780 FCFA. Le range de trading s'étend de 2 600 FCFA (plus bas) à 3 400 FCFA (plus haut), soit une amplitude de 30,8% qui traduit une réelle nervosité du marché. La tendance générale est baissière depuis le pic de 3 400 FCFA, le cours évoluant désormais sous ses moyennes mobiles. Les statistiques descriptives révèlent une moyenne de 2 918 FCFA légèrement supérieure à la médiane de 2 875 FCFA, confirmant une asymétrie positive (skewness de 0,347) — les pics haussiers tirent la moyenne vers le haut. L'écart-type de 224 FCFA (CV de 7,7%) indique une dispersion modérée autour de la moyenne, tandis que le kurtosis de -1,228 (distribution platykurtique) signale une faible concentration des rendements et un risque de pics extrêmes limité. La volatilité annualisée de 36,0% positionne le titre dans la catégorie des valeurs à volatilité élevée (&gt;30%), ce qui est caractéristique des petites capitalisations bancaires de la BRVM et appelle à une gestion prudente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(2 937 FCFA) et la MM50 (3 087,3 FCFA) se situent toutes deux au-dessus du cours actuel (2 780 FCFA), configurant une structure baissière avec le prix sous ses moyennes. La MM20 étant elle-même inférieure à la MM50, la tendance de fond reste négative, justifiant la décision technique de **Vente**.</w:t>
      </w:r>
    </w:p>
    <w:p>
      <w:pPr>
        <w:spacing w:after="120" w:line="276" w:lineRule="auto"/>
      </w:pPr>
      <w:r>
        <w:t>**Bandes de Bollinger** : Le cours (2 780 FCFA) évolue dans la partie basse du canal, proche de la borne inférieure (2 705,13 FCFA) et loin de la borne supérieure (3 168,87 FCFA). Cette position suggère une pression vendeuse persistante mais aussi un potentiel de rebond technique à proximité du support, d'où la décision **Neutre**.</w:t>
      </w:r>
    </w:p>
    <w:p>
      <w:pPr>
        <w:spacing w:after="120" w:line="276" w:lineRule="auto"/>
      </w:pPr>
      <w:r>
        <w:t>**MACD** : La valeur du MACD (-81,278) est inférieure à sa ligne de signal (-64,565), confirmant un momentum baissier toujours actif. L'histogramme négatif traduit l'absence de retournement imminent, justifiant la décision de **Vente**.</w:t>
      </w:r>
    </w:p>
    <w:p>
      <w:pPr>
        <w:spacing w:after="120" w:line="276" w:lineRule="auto"/>
      </w:pPr>
      <w:r>
        <w:t>**RSI** : À 34,483, le RSI se situe dans la zone neutre basse (30-70), sans atteindre le seuil de survente (&lt;30). Le titre n'est donc ni survendu ni suracheté, mais la proximité de la zone de survente appelle à la vigilance, d'où la décision **Neutre**.</w:t>
      </w:r>
    </w:p>
    <w:p>
      <w:pPr>
        <w:spacing w:after="120" w:line="276" w:lineRule="auto"/>
      </w:pPr>
      <w:r>
        <w:t>**Stochastique** : Le %K et le %D sont tous deux à 0,0, un niveau extrême de survente qui signale un épuisement probable de la pression vendeuse. Cette configuration est typiquement annonciatrice d'un rebond technique à court terme, justifiant la décision d'**Achat** — seul indicateur positif du tableau.</w:t>
      </w:r>
    </w:p>
    <w:p>
      <w:pPr>
        <w:spacing w:after="120" w:line="276" w:lineRule="auto"/>
      </w:pPr>
      <w:r>
        <w:t>**Conclusion technique** : La majorité des indicateurs (MM, MACD) confirment une tendance baissière de court terme, tandis que le RSI et les Bandes de Bollinger suggèrent une zone de support proche. Le Stochastique en survente extrême (0,0) constitue le principal signal de rebond potentiel. L'ensemble dessine une configuration de **divergence** : pression baissière persistante mais épuisement vendeur, propice à une stabilisation voire un rebond technique limité, sans inversion de tendance confirmée.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ORGT affiche un Produit Net Bancaire (équivalent du chiffre d'affaires bancaire) de 186,609 milliards FCFA, en recul de -4,52% par rapport à 2024 (195,436 milliards), sous l'effet d'une baisse des commissions nettes (-12,5%) et d'une compression des marges d'intérêt. Le résultat net consolidé s'établit à 21,643 milliards FCFA, marquant un redressement spectaculaire après la perte de -44,363 milliards en 2024, soit une amélioration de +149%. Cette performance est portée par une chute drastique du coût du risque (-6,971 milliards contre -69,056 milliards en 2024, soit -90%) et une réduction des frais généraux de -12%. Le ROE atteint 19,125% (&gt;15% = excellent) et le coefficient d'exploitation de 42,85% (&lt;50% = banque très efficace), tandis que le coût du risque/charges financières de 3,74% demeure modéré. Les dépôts clientèle (3 088,698 milliards FCFA) couvrent largement les créances nettes (1 523,765 milliards FCFA), soit un ratio de transformation de 49,3% — une structure de financement saine. **Estimations issues des rapports trimestriels** : selon le rapport T1 2026 (publié en 2026), le PNB recule encore de -2% à 50,124 milliards FCFA mais le résultat net progresse de +37% à 6,555 milliards FCFA, avec des dépôts en hausse de +14% — on peut estimer que l'exercice 2026 devrait confirmer la consolidation de la rentabilité malgré la poursuite de la contraction du PNB. **Recommandation fondamentale** : la solidité du bilan (capitaux propres de 113,165 milliards, +17%) et l'efficacité opérationnelle sont des atouts majeurs, mais la baisse structurelle du PNB et l'absence de dividende (AG du 23 juillet 2026, perte sociale de -8,04 milliards) constituent des risques à surveiller — recommandation **CONSERVER**, cohérente avec les rapports officiels.</w:t>
      </w:r>
    </w:p>
    <w:p>
      <w:pPr>
        <w:spacing w:after="120" w:line="276" w:lineRule="auto"/>
      </w:pPr>
      <w:r>
        <w:t>---</w:t>
      </w:r>
    </w:p>
    <w:p>
      <w:pPr>
        <w:spacing w:after="120" w:line="276" w:lineRule="auto"/>
      </w:pPr>
      <w:r>
        <w:t>## PARTIE 4 : CONCLUSION D'INVESTISSEMENT</w:t>
      </w:r>
    </w:p>
    <w:p>
      <w:pPr>
        <w:spacing w:after="120" w:line="276" w:lineRule="auto"/>
      </w:pPr>
      <w:r>
        <w:t>La valorisation (Partie 0) présente un profil mitigé : le PER de 8,9x et le P/B de 1,71x suggèrent une valorisation raisonnable, mais l'EV/EBITDA de 19,3x traduit une anticipation déjà élevée du redressement. Le comportement du cours (Partie 1) est préoccupant à court terme — tendance baissière depuis le pic de 3 400 FCFA, volatilité élevée de 36%, distribution platykurtique et skewness positive indiquant des pics haussiers rares mais marqués. Les signaux techniques (Partie 2) sont majoritairement baissiers (MM, MACD en vente) mais le Stochastique en survente extrême (0,0) et la proximité de la borne inférieure de Bollinger suggèrent un rebond technique imminent. Les fondamentaux (Partie 3) demeurent le point d'appui : ROE de 19,1%, coefficient d'exploitation de 42,85%, retour à la rentabilité en 2025 et confirmation au T1 2026 (+37% de résultat net) — mais la baisse du PNB (-4,5%) et l'absence de dividende limitent l'attractivité. Les prédictions IA (J+1 à J+10) anticipent une stabilisation autour de 2 797-2 798 FCFA, confirmant l'absence de cassure baissière majeure sans pour autant signaler de rebond franc. **Recommandation finale : CONSERVER** — la convergence entre valorisation raisonnable, fondamentaux solides et signaux techniques en zone de support plaide pour la patience, mais la divergence avec le momentum baissier et l'absence de catalyseur commercial (PNB en repli) interdit un achat agressif. **Niveau de confiance : Moyen** — **Risque global : Moyen à Élevé** (volatilité de 36%, sensibilité aux taux et au risque de crédit). **Horizon optimal : moyen terme (3-12 mois)**, le temps que la dynamique commerciale du PNB se confirme et que le titre retrouve ses moyennes mobiles.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26.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117.49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4,422 titres</w:t>
            </w:r>
          </w:p>
        </w:tc>
        <w:tc>
          <w:tcPr>
            <w:tcW w:type="dxa" w:w="2268"/>
            <w:shd w:fill="FFF2CC" w:val="clear"/>
          </w:tcPr>
          <w:p>
            <w:r>
              <w:rPr>
                <w:b/>
                <w:color w:val="503200"/>
                <w:sz w:val="16"/>
              </w:rPr>
              <w:t xml:space="preserve">Cours actuel : </w:t>
            </w:r>
            <w:r>
              <w:rPr>
                <w:color w:val="000000"/>
                <w:sz w:val="17"/>
              </w:rPr>
              <w:t>7,600 FCFA</w:t>
            </w:r>
          </w:p>
          <w:p>
            <w:r>
              <w:rPr>
                <w:b/>
                <w:color w:val="503200"/>
                <w:sz w:val="16"/>
              </w:rPr>
              <w:t xml:space="preserve">Var. 100 jours : </w:t>
            </w:r>
            <w:r>
              <w:rPr>
                <w:b/>
                <w:color w:val="B40000"/>
                <w:sz w:val="17"/>
              </w:rPr>
              <w:t>-2.56%</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7,600 FCFA</w:t>
            </w:r>
          </w:p>
          <w:p>
            <w:r>
              <w:rPr>
                <w:b/>
                <w:color w:val="503200"/>
                <w:sz w:val="16"/>
              </w:rPr>
              <w:t xml:space="preserve">Volatilité ann. : </w:t>
            </w:r>
            <w:r>
              <w:rPr>
                <w:color w:val="000000"/>
                <w:sz w:val="17"/>
              </w:rPr>
              <w:t>34.1%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5.38% (Moyenne) — μ=8,630 FCFA, σ=464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β=0.0957 (Défensif) — Cov=0.000007, Var(idx)=0.000076, ρ=0.039,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4,422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σ_j=2.15%/j (Stable) — Vol. annualisée≈34.1%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2026-10-19</w:t>
            </w:r>
          </w:p>
        </w:tc>
        <w:tc>
          <w:tcPr>
            <w:tcW w:type="dxa" w:w="1440"/>
            <w:shd w:fill="FAFAFA" w:val="clear"/>
          </w:tcPr>
          <w:p>
            <w:r>
              <w:rPr>
                <w:sz w:val="17"/>
              </w:rPr>
              <w:t>7,371</w:t>
            </w:r>
          </w:p>
        </w:tc>
        <w:tc>
          <w:tcPr>
            <w:tcW w:type="dxa" w:w="1440"/>
            <w:shd w:fill="FAFAFA" w:val="clear"/>
          </w:tcPr>
          <w:p>
            <w:r>
              <w:rPr>
                <w:b/>
                <w:sz w:val="17"/>
              </w:rPr>
              <w:t>7,596</w:t>
            </w:r>
          </w:p>
        </w:tc>
        <w:tc>
          <w:tcPr>
            <w:tcW w:type="dxa" w:w="1440"/>
            <w:shd w:fill="FAFAFA" w:val="clear"/>
          </w:tcPr>
          <w:p>
            <w:r>
              <w:rPr>
                <w:sz w:val="17"/>
              </w:rPr>
              <w:t>7,822</w:t>
            </w:r>
          </w:p>
        </w:tc>
        <w:tc>
          <w:tcPr>
            <w:tcW w:type="dxa" w:w="1440"/>
            <w:shd w:fill="FAFAFA" w:val="clear"/>
          </w:tcPr>
          <w:p>
            <w:r>
              <w:rPr>
                <w:b/>
                <w:color w:val="C00000"/>
                <w:sz w:val="17"/>
              </w:rPr>
              <w:t>-0.0%</w:t>
            </w:r>
          </w:p>
        </w:tc>
      </w:tr>
      <w:tr>
        <w:tc>
          <w:tcPr>
            <w:tcW w:type="dxa" w:w="1440"/>
            <w:shd w:fill="FAFAFA" w:val="clear"/>
          </w:tcPr>
          <w:p>
            <w:r>
              <w:rPr>
                <w:sz w:val="17"/>
              </w:rPr>
              <w:t>J+2  ⭐⭐⭐</w:t>
            </w:r>
          </w:p>
        </w:tc>
        <w:tc>
          <w:tcPr>
            <w:tcW w:type="dxa" w:w="1440"/>
            <w:shd w:fill="FAFAFA" w:val="clear"/>
          </w:tcPr>
          <w:p>
            <w:r>
              <w:rPr>
                <w:sz w:val="17"/>
              </w:rPr>
              <w:t>2026-10-20</w:t>
            </w:r>
          </w:p>
        </w:tc>
        <w:tc>
          <w:tcPr>
            <w:tcW w:type="dxa" w:w="1440"/>
            <w:shd w:fill="FAFAFA" w:val="clear"/>
          </w:tcPr>
          <w:p>
            <w:r>
              <w:rPr>
                <w:sz w:val="17"/>
              </w:rPr>
              <w:t>7,248</w:t>
            </w:r>
          </w:p>
        </w:tc>
        <w:tc>
          <w:tcPr>
            <w:tcW w:type="dxa" w:w="1440"/>
            <w:shd w:fill="FAFAFA" w:val="clear"/>
          </w:tcPr>
          <w:p>
            <w:r>
              <w:rPr>
                <w:b/>
                <w:sz w:val="17"/>
              </w:rPr>
              <w:t>7,566</w:t>
            </w:r>
          </w:p>
        </w:tc>
        <w:tc>
          <w:tcPr>
            <w:tcW w:type="dxa" w:w="1440"/>
            <w:shd w:fill="FAFAFA" w:val="clear"/>
          </w:tcPr>
          <w:p>
            <w:r>
              <w:rPr>
                <w:sz w:val="17"/>
              </w:rPr>
              <w:t>7,884</w:t>
            </w:r>
          </w:p>
        </w:tc>
        <w:tc>
          <w:tcPr>
            <w:tcW w:type="dxa" w:w="1440"/>
            <w:shd w:fill="FAFAFA" w:val="clear"/>
          </w:tcPr>
          <w:p>
            <w:r>
              <w:rPr>
                <w:b/>
                <w:color w:val="C00000"/>
                <w:sz w:val="17"/>
              </w:rPr>
              <w:t>-0.4%</w:t>
            </w:r>
          </w:p>
        </w:tc>
      </w:tr>
      <w:tr>
        <w:tc>
          <w:tcPr>
            <w:tcW w:type="dxa" w:w="1440"/>
            <w:shd w:fill="FAFAFA" w:val="clear"/>
          </w:tcPr>
          <w:p>
            <w:r>
              <w:rPr>
                <w:sz w:val="17"/>
              </w:rPr>
              <w:t>J+3  ⭐⭐⭐</w:t>
            </w:r>
          </w:p>
        </w:tc>
        <w:tc>
          <w:tcPr>
            <w:tcW w:type="dxa" w:w="1440"/>
            <w:shd w:fill="FAFAFA" w:val="clear"/>
          </w:tcPr>
          <w:p>
            <w:r>
              <w:rPr>
                <w:sz w:val="17"/>
              </w:rPr>
              <w:t>2026-10-21</w:t>
            </w:r>
          </w:p>
        </w:tc>
        <w:tc>
          <w:tcPr>
            <w:tcW w:type="dxa" w:w="1440"/>
            <w:shd w:fill="FAFAFA" w:val="clear"/>
          </w:tcPr>
          <w:p>
            <w:r>
              <w:rPr>
                <w:sz w:val="17"/>
              </w:rPr>
              <w:t>7,153</w:t>
            </w:r>
          </w:p>
        </w:tc>
        <w:tc>
          <w:tcPr>
            <w:tcW w:type="dxa" w:w="1440"/>
            <w:shd w:fill="FAFAFA" w:val="clear"/>
          </w:tcPr>
          <w:p>
            <w:r>
              <w:rPr>
                <w:b/>
                <w:sz w:val="17"/>
              </w:rPr>
              <w:t>7,541</w:t>
            </w:r>
          </w:p>
        </w:tc>
        <w:tc>
          <w:tcPr>
            <w:tcW w:type="dxa" w:w="1440"/>
            <w:shd w:fill="FAFAFA" w:val="clear"/>
          </w:tcPr>
          <w:p>
            <w:r>
              <w:rPr>
                <w:sz w:val="17"/>
              </w:rPr>
              <w:t>7,928</w:t>
            </w:r>
          </w:p>
        </w:tc>
        <w:tc>
          <w:tcPr>
            <w:tcW w:type="dxa" w:w="1440"/>
            <w:shd w:fill="FAFAFA" w:val="clear"/>
          </w:tcPr>
          <w:p>
            <w:r>
              <w:rPr>
                <w:b/>
                <w:color w:val="C00000"/>
                <w:sz w:val="17"/>
              </w:rPr>
              <w:t>-0.8%</w:t>
            </w:r>
          </w:p>
        </w:tc>
      </w:tr>
      <w:tr>
        <w:tc>
          <w:tcPr>
            <w:tcW w:type="dxa" w:w="1440"/>
            <w:shd w:fill="FAFAFA" w:val="clear"/>
          </w:tcPr>
          <w:p>
            <w:r>
              <w:rPr>
                <w:sz w:val="17"/>
              </w:rPr>
              <w:t>J+4  Moyenne</w:t>
            </w:r>
          </w:p>
        </w:tc>
        <w:tc>
          <w:tcPr>
            <w:tcW w:type="dxa" w:w="1440"/>
            <w:shd w:fill="FAFAFA" w:val="clear"/>
          </w:tcPr>
          <w:p>
            <w:r>
              <w:rPr>
                <w:sz w:val="17"/>
              </w:rPr>
              <w:t>2026-10-22</w:t>
            </w:r>
          </w:p>
        </w:tc>
        <w:tc>
          <w:tcPr>
            <w:tcW w:type="dxa" w:w="1440"/>
            <w:shd w:fill="FAFAFA" w:val="clear"/>
          </w:tcPr>
          <w:p>
            <w:r>
              <w:rPr>
                <w:sz w:val="17"/>
              </w:rPr>
              <w:t>7,070</w:t>
            </w:r>
          </w:p>
        </w:tc>
        <w:tc>
          <w:tcPr>
            <w:tcW w:type="dxa" w:w="1440"/>
            <w:shd w:fill="FAFAFA" w:val="clear"/>
          </w:tcPr>
          <w:p>
            <w:r>
              <w:rPr>
                <w:b/>
                <w:sz w:val="17"/>
              </w:rPr>
              <w:t>7,517</w:t>
            </w:r>
          </w:p>
        </w:tc>
        <w:tc>
          <w:tcPr>
            <w:tcW w:type="dxa" w:w="1440"/>
            <w:shd w:fill="FAFAFA" w:val="clear"/>
          </w:tcPr>
          <w:p>
            <w:r>
              <w:rPr>
                <w:sz w:val="17"/>
              </w:rPr>
              <w:t>7,963</w:t>
            </w:r>
          </w:p>
        </w:tc>
        <w:tc>
          <w:tcPr>
            <w:tcW w:type="dxa" w:w="1440"/>
            <w:shd w:fill="FAFAFA" w:val="clear"/>
          </w:tcPr>
          <w:p>
            <w:r>
              <w:rPr>
                <w:b/>
                <w:color w:val="C00000"/>
                <w:sz w:val="17"/>
              </w:rPr>
              <w:t>-1.1%</w:t>
            </w:r>
          </w:p>
        </w:tc>
      </w:tr>
      <w:tr>
        <w:tc>
          <w:tcPr>
            <w:tcW w:type="dxa" w:w="1440"/>
            <w:shd w:fill="FAFAFA" w:val="clear"/>
          </w:tcPr>
          <w:p>
            <w:r>
              <w:rPr>
                <w:sz w:val="17"/>
              </w:rPr>
              <w:t>J+5  Moyenne</w:t>
            </w:r>
          </w:p>
        </w:tc>
        <w:tc>
          <w:tcPr>
            <w:tcW w:type="dxa" w:w="1440"/>
            <w:shd w:fill="FAFAFA" w:val="clear"/>
          </w:tcPr>
          <w:p>
            <w:r>
              <w:rPr>
                <w:sz w:val="17"/>
              </w:rPr>
              <w:t>2026-10-23</w:t>
            </w:r>
          </w:p>
        </w:tc>
        <w:tc>
          <w:tcPr>
            <w:tcW w:type="dxa" w:w="1440"/>
            <w:shd w:fill="FAFAFA" w:val="clear"/>
          </w:tcPr>
          <w:p>
            <w:r>
              <w:rPr>
                <w:sz w:val="17"/>
              </w:rPr>
              <w:t>6,997</w:t>
            </w:r>
          </w:p>
        </w:tc>
        <w:tc>
          <w:tcPr>
            <w:tcW w:type="dxa" w:w="1440"/>
            <w:shd w:fill="FAFAFA" w:val="clear"/>
          </w:tcPr>
          <w:p>
            <w:r>
              <w:rPr>
                <w:b/>
                <w:sz w:val="17"/>
              </w:rPr>
              <w:t>7,494</w:t>
            </w:r>
          </w:p>
        </w:tc>
        <w:tc>
          <w:tcPr>
            <w:tcW w:type="dxa" w:w="1440"/>
            <w:shd w:fill="FAFAFA" w:val="clear"/>
          </w:tcPr>
          <w:p>
            <w:r>
              <w:rPr>
                <w:sz w:val="17"/>
              </w:rPr>
              <w:t>7,992</w:t>
            </w:r>
          </w:p>
        </w:tc>
        <w:tc>
          <w:tcPr>
            <w:tcW w:type="dxa" w:w="1440"/>
            <w:shd w:fill="FAFAFA" w:val="clear"/>
          </w:tcPr>
          <w:p>
            <w:r>
              <w:rPr>
                <w:b/>
                <w:color w:val="C00000"/>
                <w:sz w:val="17"/>
              </w:rPr>
              <w:t>-1.4%</w:t>
            </w:r>
          </w:p>
        </w:tc>
      </w:tr>
      <w:tr>
        <w:tc>
          <w:tcPr>
            <w:tcW w:type="dxa" w:w="1440"/>
            <w:shd w:fill="FAFAFA" w:val="clear"/>
          </w:tcPr>
          <w:p>
            <w:r>
              <w:rPr>
                <w:sz w:val="17"/>
              </w:rPr>
              <w:t>J+6  Moyenne</w:t>
            </w:r>
          </w:p>
        </w:tc>
        <w:tc>
          <w:tcPr>
            <w:tcW w:type="dxa" w:w="1440"/>
            <w:shd w:fill="FAFAFA" w:val="clear"/>
          </w:tcPr>
          <w:p>
            <w:r>
              <w:rPr>
                <w:sz w:val="17"/>
              </w:rPr>
              <w:t>2026-10-26</w:t>
            </w:r>
          </w:p>
        </w:tc>
        <w:tc>
          <w:tcPr>
            <w:tcW w:type="dxa" w:w="1440"/>
            <w:shd w:fill="FAFAFA" w:val="clear"/>
          </w:tcPr>
          <w:p>
            <w:r>
              <w:rPr>
                <w:sz w:val="17"/>
              </w:rPr>
              <w:t>6,929</w:t>
            </w:r>
          </w:p>
        </w:tc>
        <w:tc>
          <w:tcPr>
            <w:tcW w:type="dxa" w:w="1440"/>
            <w:shd w:fill="FAFAFA" w:val="clear"/>
          </w:tcPr>
          <w:p>
            <w:r>
              <w:rPr>
                <w:b/>
                <w:sz w:val="17"/>
              </w:rPr>
              <w:t>7,472</w:t>
            </w:r>
          </w:p>
        </w:tc>
        <w:tc>
          <w:tcPr>
            <w:tcW w:type="dxa" w:w="1440"/>
            <w:shd w:fill="FAFAFA" w:val="clear"/>
          </w:tcPr>
          <w:p>
            <w:r>
              <w:rPr>
                <w:sz w:val="17"/>
              </w:rPr>
              <w:t>8,016</w:t>
            </w:r>
          </w:p>
        </w:tc>
        <w:tc>
          <w:tcPr>
            <w:tcW w:type="dxa" w:w="1440"/>
            <w:shd w:fill="FAFAFA" w:val="clear"/>
          </w:tcPr>
          <w:p>
            <w:r>
              <w:rPr>
                <w:b/>
                <w:color w:val="C00000"/>
                <w:sz w:val="17"/>
              </w:rPr>
              <w:t>-1.7%</w:t>
            </w:r>
          </w:p>
        </w:tc>
      </w:tr>
      <w:tr>
        <w:tc>
          <w:tcPr>
            <w:tcW w:type="dxa" w:w="1440"/>
            <w:shd w:fill="FAFAFA" w:val="clear"/>
          </w:tcPr>
          <w:p>
            <w:r>
              <w:rPr>
                <w:sz w:val="17"/>
              </w:rPr>
              <w:t>J+7  Moyenne</w:t>
            </w:r>
          </w:p>
        </w:tc>
        <w:tc>
          <w:tcPr>
            <w:tcW w:type="dxa" w:w="1440"/>
            <w:shd w:fill="FAFAFA" w:val="clear"/>
          </w:tcPr>
          <w:p>
            <w:r>
              <w:rPr>
                <w:sz w:val="17"/>
              </w:rPr>
              <w:t>2026-10-27</w:t>
            </w:r>
          </w:p>
        </w:tc>
        <w:tc>
          <w:tcPr>
            <w:tcW w:type="dxa" w:w="1440"/>
            <w:shd w:fill="FAFAFA" w:val="clear"/>
          </w:tcPr>
          <w:p>
            <w:r>
              <w:rPr>
                <w:sz w:val="17"/>
              </w:rPr>
              <w:t>6,866</w:t>
            </w:r>
          </w:p>
        </w:tc>
        <w:tc>
          <w:tcPr>
            <w:tcW w:type="dxa" w:w="1440"/>
            <w:shd w:fill="FAFAFA" w:val="clear"/>
          </w:tcPr>
          <w:p>
            <w:r>
              <w:rPr>
                <w:b/>
                <w:sz w:val="17"/>
              </w:rPr>
              <w:t>7,452</w:t>
            </w:r>
          </w:p>
        </w:tc>
        <w:tc>
          <w:tcPr>
            <w:tcW w:type="dxa" w:w="1440"/>
            <w:shd w:fill="FAFAFA" w:val="clear"/>
          </w:tcPr>
          <w:p>
            <w:r>
              <w:rPr>
                <w:sz w:val="17"/>
              </w:rPr>
              <w:t>8,037</w:t>
            </w:r>
          </w:p>
        </w:tc>
        <w:tc>
          <w:tcPr>
            <w:tcW w:type="dxa" w:w="1440"/>
            <w:shd w:fill="FAFAFA" w:val="clear"/>
          </w:tcPr>
          <w:p>
            <w:r>
              <w:rPr>
                <w:b/>
                <w:color w:val="C00000"/>
                <w:sz w:val="17"/>
              </w:rPr>
              <w:t>-2.0%</w:t>
            </w:r>
          </w:p>
        </w:tc>
      </w:tr>
      <w:tr>
        <w:tc>
          <w:tcPr>
            <w:tcW w:type="dxa" w:w="1440"/>
            <w:shd w:fill="FFDCE0" w:val="clear"/>
          </w:tcPr>
          <w:p>
            <w:r>
              <w:rPr>
                <w:sz w:val="17"/>
              </w:rPr>
              <w:t>J+8  Moyenne</w:t>
            </w:r>
          </w:p>
        </w:tc>
        <w:tc>
          <w:tcPr>
            <w:tcW w:type="dxa" w:w="1440"/>
            <w:shd w:fill="FFDCE0" w:val="clear"/>
          </w:tcPr>
          <w:p>
            <w:r>
              <w:rPr>
                <w:sz w:val="17"/>
              </w:rPr>
              <w:t>2026-10-28</w:t>
            </w:r>
          </w:p>
        </w:tc>
        <w:tc>
          <w:tcPr>
            <w:tcW w:type="dxa" w:w="1440"/>
            <w:shd w:fill="FFDCE0" w:val="clear"/>
          </w:tcPr>
          <w:p>
            <w:r>
              <w:rPr>
                <w:sz w:val="17"/>
              </w:rPr>
              <w:t>6,808</w:t>
            </w:r>
          </w:p>
        </w:tc>
        <w:tc>
          <w:tcPr>
            <w:tcW w:type="dxa" w:w="1440"/>
            <w:shd w:fill="FFDCE0" w:val="clear"/>
          </w:tcPr>
          <w:p>
            <w:r>
              <w:rPr>
                <w:b/>
                <w:sz w:val="17"/>
              </w:rPr>
              <w:t>7,432</w:t>
            </w:r>
          </w:p>
        </w:tc>
        <w:tc>
          <w:tcPr>
            <w:tcW w:type="dxa" w:w="1440"/>
            <w:shd w:fill="FFDCE0" w:val="clear"/>
          </w:tcPr>
          <w:p>
            <w:r>
              <w:rPr>
                <w:sz w:val="17"/>
              </w:rPr>
              <w:t>8,056</w:t>
            </w:r>
          </w:p>
        </w:tc>
        <w:tc>
          <w:tcPr>
            <w:tcW w:type="dxa" w:w="1440"/>
            <w:shd w:fill="FFDCE0" w:val="clear"/>
          </w:tcPr>
          <w:p>
            <w:r>
              <w:rPr>
                <w:b/>
                <w:color w:val="C00000"/>
                <w:sz w:val="17"/>
              </w:rPr>
              <w:t>-2.2%</w:t>
            </w:r>
          </w:p>
        </w:tc>
      </w:tr>
      <w:tr>
        <w:tc>
          <w:tcPr>
            <w:tcW w:type="dxa" w:w="1440"/>
            <w:shd w:fill="FFDCE0" w:val="clear"/>
          </w:tcPr>
          <w:p>
            <w:r>
              <w:rPr>
                <w:sz w:val="17"/>
              </w:rPr>
              <w:t>J+9  Moyenne</w:t>
            </w:r>
          </w:p>
        </w:tc>
        <w:tc>
          <w:tcPr>
            <w:tcW w:type="dxa" w:w="1440"/>
            <w:shd w:fill="FFDCE0" w:val="clear"/>
          </w:tcPr>
          <w:p>
            <w:r>
              <w:rPr>
                <w:sz w:val="17"/>
              </w:rPr>
              <w:t>2026-10-29</w:t>
            </w:r>
          </w:p>
        </w:tc>
        <w:tc>
          <w:tcPr>
            <w:tcW w:type="dxa" w:w="1440"/>
            <w:shd w:fill="FFDCE0" w:val="clear"/>
          </w:tcPr>
          <w:p>
            <w:r>
              <w:rPr>
                <w:sz w:val="17"/>
              </w:rPr>
              <w:t>6,753</w:t>
            </w:r>
          </w:p>
        </w:tc>
        <w:tc>
          <w:tcPr>
            <w:tcW w:type="dxa" w:w="1440"/>
            <w:shd w:fill="FFDCE0" w:val="clear"/>
          </w:tcPr>
          <w:p>
            <w:r>
              <w:rPr>
                <w:b/>
                <w:sz w:val="17"/>
              </w:rPr>
              <w:t>7,413</w:t>
            </w:r>
          </w:p>
        </w:tc>
        <w:tc>
          <w:tcPr>
            <w:tcW w:type="dxa" w:w="1440"/>
            <w:shd w:fill="FFDCE0" w:val="clear"/>
          </w:tcPr>
          <w:p>
            <w:r>
              <w:rPr>
                <w:sz w:val="17"/>
              </w:rPr>
              <w:t>8,073</w:t>
            </w:r>
          </w:p>
        </w:tc>
        <w:tc>
          <w:tcPr>
            <w:tcW w:type="dxa" w:w="1440"/>
            <w:shd w:fill="FFDCE0" w:val="clear"/>
          </w:tcPr>
          <w:p>
            <w:r>
              <w:rPr>
                <w:b/>
                <w:color w:val="C00000"/>
                <w:sz w:val="17"/>
              </w:rPr>
              <w:t>-2.5%</w:t>
            </w:r>
          </w:p>
        </w:tc>
      </w:tr>
      <w:tr>
        <w:tc>
          <w:tcPr>
            <w:tcW w:type="dxa" w:w="1440"/>
            <w:shd w:fill="FFDCE0" w:val="clear"/>
          </w:tcPr>
          <w:p>
            <w:r>
              <w:rPr>
                <w:sz w:val="17"/>
              </w:rPr>
              <w:t>J+10  Moyenne</w:t>
            </w:r>
          </w:p>
        </w:tc>
        <w:tc>
          <w:tcPr>
            <w:tcW w:type="dxa" w:w="1440"/>
            <w:shd w:fill="FFDCE0" w:val="clear"/>
          </w:tcPr>
          <w:p>
            <w:r>
              <w:rPr>
                <w:sz w:val="17"/>
              </w:rPr>
              <w:t>2026-10-30</w:t>
            </w:r>
          </w:p>
        </w:tc>
        <w:tc>
          <w:tcPr>
            <w:tcW w:type="dxa" w:w="1440"/>
            <w:shd w:fill="FFDCE0" w:val="clear"/>
          </w:tcPr>
          <w:p>
            <w:r>
              <w:rPr>
                <w:sz w:val="17"/>
              </w:rPr>
              <w:t>6,701</w:t>
            </w:r>
          </w:p>
        </w:tc>
        <w:tc>
          <w:tcPr>
            <w:tcW w:type="dxa" w:w="1440"/>
            <w:shd w:fill="FFDCE0" w:val="clear"/>
          </w:tcPr>
          <w:p>
            <w:r>
              <w:rPr>
                <w:b/>
                <w:sz w:val="17"/>
              </w:rPr>
              <w:t>7,395</w:t>
            </w:r>
          </w:p>
        </w:tc>
        <w:tc>
          <w:tcPr>
            <w:tcW w:type="dxa" w:w="1440"/>
            <w:shd w:fill="FFDCE0" w:val="clear"/>
          </w:tcPr>
          <w:p>
            <w:r>
              <w:rPr>
                <w:sz w:val="17"/>
              </w:rPr>
              <w:t>8,089</w:t>
            </w:r>
          </w:p>
        </w:tc>
        <w:tc>
          <w:tcPr>
            <w:tcW w:type="dxa" w:w="1440"/>
            <w:shd w:fill="FFDCE0" w:val="clear"/>
          </w:tcPr>
          <w:p>
            <w:r>
              <w:rPr>
                <w:b/>
                <w:color w:val="C00000"/>
                <w:sz w:val="17"/>
              </w:rPr>
              <w:t>-2.7%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pPr>
      <w:r>
        <w:t># RAPPORT D'ANALYSE FINANCIÈRE — PALC (PALMCI S.A.)</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117,49 milliards FCFA, PALC s'affirme comme une valeur de premier plan de la cote BRVM, représentant un acteur agro-industriel structurant de l'économie ivoirienne. Le BPA de 1 003 FCFA/action traduit une capacité bénéficiaire solide, chaque titre générant plus de mille francs de profit net. Le PER de 7,6x se situe nettement en dessous de la moyenne BRVM (8-12x), signalant une valorisation modérée voire potentiellement sous-évaluée au regard des bénéfices dégagés. Le ratio P/B de 0,82x — inférieur à l'unité — indique que le marché valorise l'action à 18 % sous sa valeur comptable, configuration rare qui peut constituer une opportunité pour un investisseur value. Enfin, l'EV/EBITDA de 3,7x, très inférieur au seuil de 5x, confirme que la valeur d'entreprise reste bon marché relativement à sa capacité opérationnelle, ces trois ratios convergents plaidant pour une décote boursière significative.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PALC affiche une variation totale de -2,56 %, avec une dernière séance en repli de -1,04 %, le cours clôturant à 7 600 FCFA — soit précisément son plus bas de la période, tandis que le plus haut a atteint 9 640 FCFA, dessinant un range de trading de 2 040 FCFA (environ 27 % d'amplitude). La tendance générale est donc baissière, le cours ayant progressivement cédé du terrain pour venir tester sa borne inférieure. Les statistiques descriptives révèlent une moyenne de 8 630 FCFA légèrement supérieure à la médiane de 8 690 FCFA, avec un mode à 8 300 FCFA, suggérant une distribution globalement équilibrée autour de son centre. L'écart-type de 467 FCFA (CV de 5,4 %) traduit une dispersion modérée du cours autour de sa moyenne, tandis que le kurtosis de -0,234 (mésokurtique) indique un comportement proche d'une distribution normale, sans risque marqué de pics extrêmes, et le skewness de -0,192 confirme une distribution quasi symétrique avec une très légère queue vers la baisse. La volatilité annualisée de 34,1 % positionne le titre dans la catégorie des valeurs à volatilité élevée (&gt;30 %), ce qui appelle une gestion prudente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(8 066,5 FCFA) et la MM50 (8 637,9 FCFA) se situent toutes deux au-dessus du cours actuel (7 600 FCFA), la MM20 étant elle-même inférieure à la MM50 — configuration baissière caractéristique. Le cours évoluant sous ses deux moyennes mobiles, la pression vendeuse domine clairement, justifiant la décision technique de **Vente**.</w:t>
      </w:r>
    </w:p>
    <w:p>
      <w:pPr>
        <w:spacing w:after="120" w:line="276" w:lineRule="auto"/>
      </w:pPr>
      <w:r>
        <w:t>**Bandes de Bollinger :** Le cours (7 600 FCFA) évolue dans la partie basse du canal, proche de la borne inférieure (7 514,84 FCFA) et très éloigné de la borne supérieure (8 618,16 FCFA), ce qui traduit une pression baissière persistante mais aussi un potentiel de rebond technique à proximité du support. La décision est **Neutre**, le titre n'étant pas encore en zone de survente extrême.</w:t>
      </w:r>
    </w:p>
    <w:p>
      <w:pPr>
        <w:spacing w:after="120" w:line="276" w:lineRule="auto"/>
      </w:pPr>
      <w:r>
        <w:t>**MACD :** La valeur du MACD (-260,29) est inférieure à sa ligne de signal (-226,96), confirmant une divergence négative et un momentum baissier toujours actif. L'histogramme négatif indique que la dynamique descendante n'est pas encore inversée, justifiant la décision de **Vente**.</w:t>
      </w:r>
    </w:p>
    <w:p>
      <w:pPr>
        <w:spacing w:after="120" w:line="276" w:lineRule="auto"/>
      </w:pPr>
      <w:r>
        <w:t>**RSI :** À 30,92, le RSI se situe juste au-dessus du seuil de survente (30), dans une zone neutre basse qui signale un affaiblissement de la pression vendeuse sans encore basculer vers un signal d'achat. La décision est **Neutre**, le titre approchant d'une zone de rebond potentiel.</w:t>
      </w:r>
    </w:p>
    <w:p>
      <w:pPr>
        <w:spacing w:after="120" w:line="276" w:lineRule="auto"/>
      </w:pPr>
      <w:r>
        <w:t>**Stochastique :** Avec %K et %D tous deux à 0,0, le stochastique se trouve en zone de survente extrême, configuration qui précède historiquement un rebond technique. Le croisement des deux lignes n'est pas encore visible mais la position plancher justifie la décision d'**Achat** contrariante.</w:t>
      </w:r>
    </w:p>
    <w:p>
      <w:pPr>
        <w:spacing w:after="120" w:line="276" w:lineRule="auto"/>
      </w:pPr>
      <w:r>
        <w:t>**Conclusion technique :** Les indicateurs présentent une divergence notable : les moyennes mobiles et le MACD confirment une tendance baissière de fond, tandis que le RSI (30,9) et surtout le stochastique (0,0) signalent une survente extrême propice à un rebond à court terme. Les bandes de Bollinger confirment cette position en bas de canal. La convergence d'un support technique (7 514 FCFA) et d'une survente stochastique suggère qu'un rebond technique est possible, mais la structure de fond reste baissière tant que le cours n'aura pas reconquis la MM20 (8 066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PALC a réalisé un chiffre d'affaires de 197,63 milliards FCFA pour un résultat net de 15,51 milliards FCFA, soit une marge nette de 7,85 %. Le ROE s'établit à 10,87 % (en deçà du seuil d'excellence de 15 %) et le ROA à 7,79 %, traduisant une rentabilité correcte mais perfectible. La structure financière est remarquablement saine : autonomie financière de 71,64 %, ratio d'endettement de seulement 0,56 %, capacité de remboursement de 0,03 an et couverture des intérêts de 1 415 % — la dette financière (796,56 M FCFA) est quasi négligeable. En tant qu'entreprise agro-industrielle, les délais d'exploitation méritent attention : le délai client de 142,58 jours constitue un risque de trésorerie significatif (créances clients de 78,27 Mds FCFA), tandis que la durée de stockage de 14,55 jours reste maîtrisée ; le BFR de 44,62 Mds FCFA et la trésorerie nette négative (-4,56 Mds FCFA) confirment une tension sur le fonds de roulement. Le taux de croissance du CA de 14,78 % témoigne d'une dynamique commerciale positive en 2025.</w:t>
      </w:r>
    </w:p>
    <w:p>
      <w:pPr>
        <w:spacing w:after="120" w:line="276" w:lineRule="auto"/>
      </w:pPr>
      <w:r>
        <w:t>**Estimations issues des rapports trimestriels :** Le rapport du **S1 2026 (publié le 7 octobre 2026)** révèle toutefois une inflexion préoccupante : le CA recule de 15 % à 114,73 Mds FCFA et le résultat net chute de 41 % à 13,53 Mds FCFA (marge nette de 11,8 %, en baisse vs 17,0 % au S1 2025). Le rapport **T1 2026** confirme cette tendance avec un CA en baisse de 27 % et un résultat net effondré de 86 % à 1,6 Mds FCFA, le management évoquant un simple décalage temporel des ventes lié à l'écoulement des stocks. Sur cette base, on estime que l'exercice 2026 devrait clôturer avec un résultat net positif mais en retrait par rapport à 2025, la guidance managériale tablant sur une tendance proche de 2025 (15,5 Mds FCFA) grâce à l'écoulement progressif des stocks entamé en avril 2026. La politique de dividende, historiquement généreuse (502 FCFA/action en 2025, payout de 50,2 %), pourrait être ajustée à la baisse compte tenu de la pression sur les marges. **Conclusion fondamentale :** solidité bilancielle exceptionnelle et valorisation attractive, mais dégradation conjoncturelle de la rentabilité à surveiller — recommandation de **CONSERVER** avec vigilance sur la reprise des volumes au S2 2026.</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d'investissement contrasté mais globalement favorable. **Sur le plan de la valorisation (Partie 0)**, les ratios PER (7,6x), P/B (0,82x) et EV/EBITDA (3,7x) convergent vers une décote boursière marquée, signalant une sous-évaluation potentielle. **Le comportement du cours (Partie 1)** est toutefois préoccupant à court terme : tendance baissière, cours au plus bas de la période, volatilité élevée (34,1 %), bien que la distribution quasi normale (kurtosis -0,234, skewness -0,192) n'annonce pas de risque extrême. **Les signaux techniques (Partie 2)** divergent : structure baissière confirmée par MM et MACD, mais survente extrême du stochastique (0,0) et RSI bas (30,9) suggérant un rebond imminent. **Les fondamentaux (Partie 3)** demeurent solides — bilan quasi sans dette, autonomie financière de 71,6 % — mais la dégradation du S1 2026 (-41 % de résultat net) tempère l'enthousiasme. **Les prédictions IA (J+1 à J+10)** anticipent une poursuite de la baisse modérée (7 596 → 7 494 FCFA), confirmant la pression court terme sans effondrement. Face à cette convergence mitigée — valorisation attractive et bilan solide contre momentum baissier et rentabilité sous pression — la recommandation finale est **CONSERVER**, avec un niveau de confiance **Moyen** et un risque global **Moyen**. L'horizon optimal est le **moyen terme (3-12 mois)**, le temps que l'écoulement des stocks du S2 2026 confirme la guidance managériale ; un passage à l'ACHAT serait justifié après reconquête de la MM20 (8 066 FCFA) et confirmation de la reprise des volumes, tandis qu'une VENTE serait prématurée au vu de la décote et de la solidité bilancielle.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"Le document est une simple attestation d'examen limit\u00e9 sans aucune donn\u00e9e financi\u00e8re chiffr\u00e9e, ne permettant pas d'\u00e9valuer la performance ou la valorisation de PALMCI. En l'absence d'informations quantitatives, aucune d\u00e9cision d'achat ou de vente ne peut \u00eatre justifi\u00e9e."}</w:t>
      </w:r>
    </w:p>
    <w:p>
      <w:pPr>
        <w:spacing w:before="40"/>
        <w:ind w:left="400"/>
      </w:pPr>
      <w:r>
        <w:rPr>
          <w:sz w:val="18"/>
        </w:rPr>
        <w:t>Le document est une attestation des commissaires aux comptes (Forvis Mazars et Eritedge Côte d'Ivoire) portant sur le tableau d'activités et de résultat ainsi que le rapport d'activité semestriel de PALMCI, S.A. pour la période du 1er janvier au 30 juin 2026. Les auditeurs ont réalisé un examen limité selon la norme ISRE 2410, et non un audit complet. Sur la base de cet examen limité, ils n'ont pas relevé de faits remettant en cause la conformité des documents aux articles 850 et 851 de l'Acte Uniforme OHADA et à la Circulaire n° 004-2010 de l'AMF-UMOA. L'attestation a été signée à Abidjan le 07 octobre 2026. Le document ne contient aucune donnée financière chiffrée (chiffre d'affaires, résu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sur le tableau d'activités et de résultat semestriel de PALMCI, S.A.</w:t>
      </w:r>
    </w:p>
    <w:p>
      <w:pPr>
        <w:pStyle w:val="ListBullet"/>
        <w:spacing w:before="20" w:after="20"/>
        <w:ind w:left="700"/>
      </w:pPr>
      <w:r>
        <w:rPr>
          <w:sz w:val="18"/>
        </w:rPr>
        <w:t>Période couverte : 1er janvier au 30 juin 2026 (arrêté semestriel au 30 juin 2026)</w:t>
      </w:r>
    </w:p>
    <w:p>
      <w:pPr>
        <w:pStyle w:val="ListBullet"/>
        <w:spacing w:before="20" w:after="20"/>
        <w:ind w:left="700"/>
      </w:pPr>
      <w:r>
        <w:rPr>
          <w:sz w:val="18"/>
        </w:rPr>
        <w:t>Examen limité effectué selon la norme ISRE 2410, offrant une assurance modérée et non une opinion d'audit</w:t>
      </w:r>
    </w:p>
    <w:p>
      <w:pPr>
        <w:pStyle w:val="ListBullet"/>
        <w:spacing w:before="20" w:after="20"/>
        <w:ind w:left="700"/>
      </w:pPr>
      <w:r>
        <w:rPr>
          <w:sz w:val="18"/>
        </w:rPr>
        <w:t>Conclusion sans réserve : aucun fait remettant en cause la conformité des documents n'a été relevé</w:t>
      </w:r>
    </w:p>
    <w:p>
      <w:pPr>
        <w:pStyle w:val="ListBullet"/>
        <w:spacing w:before="20" w:after="20"/>
        <w:ind w:left="700"/>
      </w:pPr>
      <w:r>
        <w:rPr>
          <w:sz w:val="18"/>
        </w:rPr>
        <w:t>Référentiel appliqué : articles 850 et 851 de l'Acte Uniforme OHADA et Circulaire n° 004-2010 de l'AMF-UMOA</w:t>
      </w:r>
    </w:p>
    <w:p>
      <w:pPr>
        <w:pStyle w:val="ListBullet"/>
        <w:spacing w:before="20" w:after="20"/>
        <w:ind w:left="700"/>
      </w:pPr>
      <w:r>
        <w:rPr>
          <w:sz w:val="18"/>
        </w:rPr>
        <w:t>Commissaires aux comptes : Forvis Mazars, S.A. et Eritedge Côte d'Ivoire</w:t>
      </w:r>
    </w:p>
    <w:p>
      <w:pPr>
        <w:spacing w:before="40"/>
        <w:ind w:left="400"/>
      </w:pPr>
      <w:r>
        <w:rPr>
          <w:b/>
          <w:color w:val="C05000"/>
          <w:sz w:val="18"/>
        </w:rPr>
        <w:t xml:space="preserve">⚠️ Risques : </w:t>
      </w:r>
      <w:r>
        <w:rPr>
          <w:sz w:val="18"/>
        </w:rPr>
        <w:t>["Absence de donn\u00e9es financi\u00e8res chiffr\u00e9es dans le document, emp\u00eachant toute \u00e9valuation quantitative des risques", "Assurance mod\u00e9r\u00e9e li\u00e9e \u00e0 un examen limit\u00e9 (ISRE 2410) et non \u00e0 un audit complet, pouvant ne pas d\u00e9tecter toutes les anomalie</w:t>
      </w:r>
    </w:p>
    <w:p>
      <w:pPr>
        <w:spacing w:before="40"/>
        <w:ind w:left="400"/>
      </w:pPr>
      <w:r>
        <w:rPr>
          <w:b/>
          <w:color w:val="0064A0"/>
          <w:sz w:val="18"/>
        </w:rPr>
        <w:t xml:space="preserve">🔮 Perspectives : </w:t>
      </w:r>
      <w:r>
        <w:rPr>
          <w:sz w:val="18"/>
        </w:rPr>
        <w:t>Le document ne fournit aucune projection ni donnée financière permettant d'établir un outlook chiffré pour l'exercice suivant. La conclusion sans réserve des commissaires aux comptes suggère une présentation conforme des comptes semestriels, mais l'analyse des perspectives réelles nécessiterait la c</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reste rentable avec une marge nette de 11,8 % et pr\u00e9voit un r\u00e9sultat net positif sur l'ensemble de 2026, mais la forte baisse des volumes vendus et des r\u00e9sultats au S1 2026 invite \u00e0 la prudence. Le titre pr\u00e9sente un profil d\u00e9fensif \u00e0 conserver en attendant la confirmation de la reprise de l'\u00e9coulement des stocks."}</w:t>
      </w:r>
    </w:p>
    <w:p>
      <w:pPr>
        <w:spacing w:before="40"/>
        <w:ind w:left="400"/>
      </w:pPr>
      <w:r>
        <w:rPr>
          <w:sz w:val="18"/>
        </w:rPr>
        <w:t>PALM CI a enregistré au premier semestre 2026 un chiffre d'affaires de 114 725 millions de F CFA, en baisse de 15 % par rapport au premier semestre 2025, en raison de quantités vendues plus faibles d'huiles brutes de palme et de palmiste sur le marché local. Le résultat d'exploitation s'établit à 17 622 millions de F CFA, en recul de 41 %, et le résultat net à 13 527 millions de F CFA, également en baisse de 41 %. La société dispose encore d'un stock de produits finis dont l'écoulement, entamé en avril 2026, se poursuivra jusqu'à la fin de l'année. Malgré cette contraction, la direction prévoit un résultat net positif pour l'exercice 2026, dans la même tendance que celui de 2025. La rentabil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'20,4 milliards de F CFA', 'resultat_financier': '673 574 milliers de F CFA (S1 2026)', 'resultat_exploitation': '17 621 502 milliers de F CFA (S1 2026)', 'impots_sur_le_resultat': '-4 777 607 milliers de F CFA (S1 2026)', 'resultat_net_annuel_2025': '15 508 655 milliers de F CFA', 'chiffre_affaires_annuel_2025': '197 629 996 milliers de F CFA', 'resultat_activites_ordinaires': '18 295 076 milliers de F CFA (S1 2026)'}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11,8 %</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13 526 883 milliers de F CFA (S1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114 725 471 milliers de F CFA (S1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du S1 2026 de 114 725 millions de F CFA, en baisse de 15 % sur un an</w:t>
      </w:r>
    </w:p>
    <w:p>
      <w:pPr>
        <w:pStyle w:val="ListBullet"/>
        <w:spacing w:before="20" w:after="20"/>
        <w:ind w:left="700"/>
      </w:pPr>
      <w:r>
        <w:rPr>
          <w:sz w:val="18"/>
        </w:rPr>
        <w:t>Résultat net de 13 527 millions de F CFA, en recul de 41 % par rapport au S1 2025</w:t>
      </w:r>
    </w:p>
    <w:p>
      <w:pPr>
        <w:pStyle w:val="ListBullet"/>
        <w:spacing w:before="20" w:after="20"/>
        <w:ind w:left="700"/>
      </w:pPr>
      <w:r>
        <w:rPr>
          <w:sz w:val="18"/>
        </w:rPr>
        <w:t>Résultat d'exploitation de 17 622 millions de F CFA, en baisse de 41 %</w:t>
      </w:r>
    </w:p>
    <w:p>
      <w:pPr>
        <w:pStyle w:val="ListBullet"/>
        <w:spacing w:before="20" w:after="20"/>
        <w:ind w:left="700"/>
      </w:pPr>
      <w:r>
        <w:rPr>
          <w:sz w:val="18"/>
        </w:rPr>
        <w:t>Résultat financier de 674 millions de F CFA, en recul de 47 %</w:t>
      </w:r>
    </w:p>
    <w:p>
      <w:pPr>
        <w:pStyle w:val="ListBullet"/>
        <w:spacing w:before="20" w:after="20"/>
        <w:ind w:left="700"/>
      </w:pPr>
      <w:r>
        <w:rPr>
          <w:sz w:val="18"/>
        </w:rPr>
        <w:t>Baisse des volumes vendus d'huiles brutes de palme et de palmiste sur le marché local</w:t>
      </w:r>
    </w:p>
    <w:p>
      <w:pPr>
        <w:pStyle w:val="ListBullet"/>
        <w:spacing w:before="20" w:after="20"/>
        <w:ind w:left="700"/>
      </w:pPr>
      <w:r>
        <w:rPr>
          <w:sz w:val="18"/>
        </w:rPr>
        <w:t>Stock de produits finis en cours d'écoulement depuis avril 2026 jusqu'à fin 2026</w:t>
      </w:r>
    </w:p>
    <w:p>
      <w:pPr>
        <w:spacing w:before="40"/>
        <w:ind w:left="400"/>
      </w:pPr>
      <w:r>
        <w:rPr>
          <w:b/>
          <w:color w:val="C05000"/>
          <w:sz w:val="18"/>
        </w:rPr>
        <w:t xml:space="preserve">⚠️ Risques : </w:t>
      </w:r>
      <w:r>
        <w:rPr>
          <w:sz w:val="18"/>
        </w:rPr>
        <w:t xml:space="preserve">["Poursuite de la baisse des volumes vendus d'huiles brutes de palme et de palmiste sur le march\u00e9 local", "Volatilit\u00e9 des prix internationaux des huiles de palme et de palmiste affectant les marges", "Risque d'\u00e9coulement plus lent que pr\u00e9vu du stock de produits finis, pesant sur </w:t>
      </w:r>
    </w:p>
    <w:p>
      <w:pPr>
        <w:spacing w:before="40"/>
        <w:ind w:left="400"/>
      </w:pPr>
      <w:r>
        <w:rPr>
          <w:b/>
          <w:color w:val="0064A0"/>
          <w:sz w:val="18"/>
        </w:rPr>
        <w:t xml:space="preserve">🔮 Perspectives : </w:t>
      </w:r>
      <w:r>
        <w:rPr>
          <w:sz w:val="18"/>
        </w:rPr>
        <w:t>PALM CI devrait clôturer l'exercice 2026 avec un résultat net positif, dans la même tendance que celui de 2025, porté par l'écoulement progressif du stock de produits finis entamé en avril 2026. La production des régimes issus des plantations industrielles et les achats auprès des planteurs villageo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
      <w:r>
        <w:t>════════════════════════════════════════════════════════════════════════════════</w:t>
      </w:r>
    </w:p>
    <w:p>
      <w:r>
        <w:br w:type="page"/>
      </w:r>
    </w:p>
    <w:p>
      <w:pPr>
        <w:pStyle w:val="Heading2"/>
        <w:spacing w:before="360"/>
      </w:pPr>
      <w:r>
        <w:rPr>
          <w:color w:val="0066CC"/>
        </w:rPr>
        <w:t>27.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43.93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1,085 titres</w:t>
            </w:r>
          </w:p>
        </w:tc>
        <w:tc>
          <w:tcPr>
            <w:tcW w:type="dxa" w:w="2268"/>
            <w:shd w:fill="FFF2CC" w:val="clear"/>
          </w:tcPr>
          <w:p>
            <w:r>
              <w:rPr>
                <w:b/>
                <w:color w:val="503200"/>
                <w:sz w:val="16"/>
              </w:rPr>
              <w:t xml:space="preserve">Cours actuel : </w:t>
            </w:r>
            <w:r>
              <w:rPr>
                <w:color w:val="000000"/>
                <w:sz w:val="17"/>
              </w:rPr>
              <w:t>4,290 FCFA</w:t>
            </w:r>
          </w:p>
          <w:p>
            <w:r>
              <w:rPr>
                <w:b/>
                <w:color w:val="503200"/>
                <w:sz w:val="16"/>
              </w:rPr>
              <w:t xml:space="preserve">Var. 100 jours : </w:t>
            </w:r>
            <w:r>
              <w:rPr>
                <w:b/>
                <w:color w:val="B40000"/>
                <w:sz w:val="17"/>
              </w:rPr>
              <w:t>-4.03%</w:t>
            </w:r>
          </w:p>
          <w:p>
            <w:r>
              <w:rPr>
                <w:b/>
                <w:color w:val="503200"/>
                <w:sz w:val="16"/>
              </w:rPr>
              <w:t xml:space="preserve">Plus haut 100j : </w:t>
            </w:r>
            <w:r>
              <w:rPr>
                <w:color w:val="000000"/>
                <w:sz w:val="17"/>
              </w:rPr>
              <w:t>4,740 FCFA</w:t>
            </w:r>
          </w:p>
          <w:p>
            <w:r>
              <w:rPr>
                <w:b/>
                <w:color w:val="503200"/>
                <w:sz w:val="16"/>
              </w:rPr>
              <w:t xml:space="preserve">Plus bas 100j : </w:t>
            </w:r>
            <w:r>
              <w:rPr>
                <w:color w:val="000000"/>
                <w:sz w:val="17"/>
              </w:rPr>
              <w:t>3,850 FCFA</w:t>
            </w:r>
          </w:p>
          <w:p>
            <w:r>
              <w:rPr>
                <w:b/>
                <w:color w:val="503200"/>
                <w:sz w:val="16"/>
              </w:rPr>
              <w:t xml:space="preserve">Volatilité ann. : </w:t>
            </w:r>
            <w:r>
              <w:rPr>
                <w:color w:val="000000"/>
                <w:sz w:val="17"/>
              </w:rPr>
              <w:t>37.4%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14.3/100 → Faible</w:t>
      </w:r>
    </w:p>
    <w:p>
      <w:pPr>
        <w:spacing w:before="40" w:after="80"/>
      </w:pPr>
      <w:r>
        <w:rPr>
          <w:rFonts w:ascii="Courier New" w:hAnsi="Courier New"/>
          <w:color w:val="006400"/>
          <w:sz w:val="18"/>
        </w:rPr>
        <w:t>██░░░░░░░░░░░░░░░░░░  14.3/100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4.05% (Faible) — μ=4,393 FCFA, σ=178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E2EFDA" w:val="clear"/>
          </w:tcPr>
          <w:p>
            <w:r>
              <w:rPr>
                <w:b/>
                <w:sz w:val="15"/>
              </w:rPr>
              <w:t>β=-0.0922 (Contre-cyclique) — Cov=-0.000007, Var(idx)=0.000076, ρ=-0.034,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1,085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σ_j=2.36%/j (Stable) — Vol. annualisée≈37.4%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4,053</w:t>
            </w:r>
          </w:p>
        </w:tc>
        <w:tc>
          <w:tcPr>
            <w:tcW w:type="dxa" w:w="1440"/>
            <w:shd w:fill="FAFAFA" w:val="clear"/>
          </w:tcPr>
          <w:p>
            <w:r>
              <w:rPr>
                <w:b/>
                <w:sz w:val="17"/>
              </w:rPr>
              <w:t>4,271</w:t>
            </w:r>
          </w:p>
        </w:tc>
        <w:tc>
          <w:tcPr>
            <w:tcW w:type="dxa" w:w="1440"/>
            <w:shd w:fill="FAFAFA" w:val="clear"/>
          </w:tcPr>
          <w:p>
            <w:r>
              <w:rPr>
                <w:sz w:val="17"/>
              </w:rPr>
              <w:t>4,488</w:t>
            </w:r>
          </w:p>
        </w:tc>
        <w:tc>
          <w:tcPr>
            <w:tcW w:type="dxa" w:w="1440"/>
            <w:shd w:fill="FAFAFA" w:val="clear"/>
          </w:tcPr>
          <w:p>
            <w:r>
              <w:rPr>
                <w:b/>
                <w:color w:val="C00000"/>
                <w:sz w:val="17"/>
              </w:rPr>
              <w:t>-0.5%</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3,957</w:t>
            </w:r>
          </w:p>
        </w:tc>
        <w:tc>
          <w:tcPr>
            <w:tcW w:type="dxa" w:w="1440"/>
            <w:shd w:fill="FAFAFA" w:val="clear"/>
          </w:tcPr>
          <w:p>
            <w:r>
              <w:rPr>
                <w:b/>
                <w:sz w:val="17"/>
              </w:rPr>
              <w:t>4,263</w:t>
            </w:r>
          </w:p>
        </w:tc>
        <w:tc>
          <w:tcPr>
            <w:tcW w:type="dxa" w:w="1440"/>
            <w:shd w:fill="FAFAFA" w:val="clear"/>
          </w:tcPr>
          <w:p>
            <w:r>
              <w:rPr>
                <w:sz w:val="17"/>
              </w:rPr>
              <w:t>4,570</w:t>
            </w:r>
          </w:p>
        </w:tc>
        <w:tc>
          <w:tcPr>
            <w:tcW w:type="dxa" w:w="1440"/>
            <w:shd w:fill="FAFAFA" w:val="clear"/>
          </w:tcPr>
          <w:p>
            <w:r>
              <w:rPr>
                <w:b/>
                <w:color w:val="C00000"/>
                <w:sz w:val="17"/>
              </w:rPr>
              <w:t>-0.6%</w:t>
            </w:r>
          </w:p>
        </w:tc>
      </w:tr>
      <w:tr>
        <w:tc>
          <w:tcPr>
            <w:tcW w:type="dxa" w:w="1440"/>
            <w:shd w:fill="FAFAFA" w:val="clear"/>
          </w:tcPr>
          <w:p>
            <w:r>
              <w:rPr>
                <w:sz w:val="17"/>
              </w:rPr>
              <w:t>J+3  Moyenne</w:t>
            </w:r>
          </w:p>
        </w:tc>
        <w:tc>
          <w:tcPr>
            <w:tcW w:type="dxa" w:w="1440"/>
            <w:shd w:fill="FAFAFA" w:val="clear"/>
          </w:tcPr>
          <w:p>
            <w:r>
              <w:rPr>
                <w:sz w:val="17"/>
              </w:rPr>
              <w:t>2026-10-21</w:t>
            </w:r>
          </w:p>
        </w:tc>
        <w:tc>
          <w:tcPr>
            <w:tcW w:type="dxa" w:w="1440"/>
            <w:shd w:fill="FAFAFA" w:val="clear"/>
          </w:tcPr>
          <w:p>
            <w:r>
              <w:rPr>
                <w:sz w:val="17"/>
              </w:rPr>
              <w:t>3,882</w:t>
            </w:r>
          </w:p>
        </w:tc>
        <w:tc>
          <w:tcPr>
            <w:tcW w:type="dxa" w:w="1440"/>
            <w:shd w:fill="FAFAFA" w:val="clear"/>
          </w:tcPr>
          <w:p>
            <w:r>
              <w:rPr>
                <w:b/>
                <w:sz w:val="17"/>
              </w:rPr>
              <w:t>4,257</w:t>
            </w:r>
          </w:p>
        </w:tc>
        <w:tc>
          <w:tcPr>
            <w:tcW w:type="dxa" w:w="1440"/>
            <w:shd w:fill="FAFAFA" w:val="clear"/>
          </w:tcPr>
          <w:p>
            <w:r>
              <w:rPr>
                <w:sz w:val="17"/>
              </w:rPr>
              <w:t>4,632</w:t>
            </w:r>
          </w:p>
        </w:tc>
        <w:tc>
          <w:tcPr>
            <w:tcW w:type="dxa" w:w="1440"/>
            <w:shd w:fill="FAFAFA" w:val="clear"/>
          </w:tcPr>
          <w:p>
            <w:r>
              <w:rPr>
                <w:b/>
                <w:color w:val="C00000"/>
                <w:sz w:val="17"/>
              </w:rPr>
              <w:t>-0.8%</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3,818</w:t>
            </w:r>
          </w:p>
        </w:tc>
        <w:tc>
          <w:tcPr>
            <w:tcW w:type="dxa" w:w="1440"/>
            <w:shd w:fill="FAFAFA" w:val="clear"/>
          </w:tcPr>
          <w:p>
            <w:r>
              <w:rPr>
                <w:b/>
                <w:sz w:val="17"/>
              </w:rPr>
              <w:t>4,251</w:t>
            </w:r>
          </w:p>
        </w:tc>
        <w:tc>
          <w:tcPr>
            <w:tcW w:type="dxa" w:w="1440"/>
            <w:shd w:fill="FAFAFA" w:val="clear"/>
          </w:tcPr>
          <w:p>
            <w:r>
              <w:rPr>
                <w:sz w:val="17"/>
              </w:rPr>
              <w:t>4,683</w:t>
            </w:r>
          </w:p>
        </w:tc>
        <w:tc>
          <w:tcPr>
            <w:tcW w:type="dxa" w:w="1440"/>
            <w:shd w:fill="FAFAFA" w:val="clear"/>
          </w:tcPr>
          <w:p>
            <w:r>
              <w:rPr>
                <w:b/>
                <w:color w:val="C00000"/>
                <w:sz w:val="17"/>
              </w:rPr>
              <w:t>-0.9%</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3,762</w:t>
            </w:r>
          </w:p>
        </w:tc>
        <w:tc>
          <w:tcPr>
            <w:tcW w:type="dxa" w:w="1440"/>
            <w:shd w:fill="FAFAFA" w:val="clear"/>
          </w:tcPr>
          <w:p>
            <w:r>
              <w:rPr>
                <w:b/>
                <w:sz w:val="17"/>
              </w:rPr>
              <w:t>4,244</w:t>
            </w:r>
          </w:p>
        </w:tc>
        <w:tc>
          <w:tcPr>
            <w:tcW w:type="dxa" w:w="1440"/>
            <w:shd w:fill="FAFAFA" w:val="clear"/>
          </w:tcPr>
          <w:p>
            <w:r>
              <w:rPr>
                <w:sz w:val="17"/>
              </w:rPr>
              <w:t>4,727</w:t>
            </w:r>
          </w:p>
        </w:tc>
        <w:tc>
          <w:tcPr>
            <w:tcW w:type="dxa" w:w="1440"/>
            <w:shd w:fill="FAFAFA" w:val="clear"/>
          </w:tcPr>
          <w:p>
            <w:r>
              <w:rPr>
                <w:b/>
                <w:color w:val="C00000"/>
                <w:sz w:val="17"/>
              </w:rPr>
              <w:t>-1.1%</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3,710</w:t>
            </w:r>
          </w:p>
        </w:tc>
        <w:tc>
          <w:tcPr>
            <w:tcW w:type="dxa" w:w="1440"/>
            <w:shd w:fill="FAFAFA" w:val="clear"/>
          </w:tcPr>
          <w:p>
            <w:r>
              <w:rPr>
                <w:b/>
                <w:sz w:val="17"/>
              </w:rPr>
              <w:t>4,238</w:t>
            </w:r>
          </w:p>
        </w:tc>
        <w:tc>
          <w:tcPr>
            <w:tcW w:type="dxa" w:w="1440"/>
            <w:shd w:fill="FAFAFA" w:val="clear"/>
          </w:tcPr>
          <w:p>
            <w:r>
              <w:rPr>
                <w:sz w:val="17"/>
              </w:rPr>
              <w:t>4,766</w:t>
            </w:r>
          </w:p>
        </w:tc>
        <w:tc>
          <w:tcPr>
            <w:tcW w:type="dxa" w:w="1440"/>
            <w:shd w:fill="FAFAFA" w:val="clear"/>
          </w:tcPr>
          <w:p>
            <w:r>
              <w:rPr>
                <w:b/>
                <w:color w:val="C00000"/>
                <w:sz w:val="17"/>
              </w:rPr>
              <w:t>-1.2%</w:t>
            </w:r>
          </w:p>
        </w:tc>
      </w:tr>
      <w:tr>
        <w:tc>
          <w:tcPr>
            <w:tcW w:type="dxa" w:w="1440"/>
            <w:shd w:fill="FAFAFA" w:val="clear"/>
          </w:tcPr>
          <w:p>
            <w:r>
              <w:rPr>
                <w:sz w:val="17"/>
              </w:rPr>
              <w:t>J+7  ⭐</w:t>
            </w:r>
          </w:p>
        </w:tc>
        <w:tc>
          <w:tcPr>
            <w:tcW w:type="dxa" w:w="1440"/>
            <w:shd w:fill="FAFAFA" w:val="clear"/>
          </w:tcPr>
          <w:p>
            <w:r>
              <w:rPr>
                <w:sz w:val="17"/>
              </w:rPr>
              <w:t>2026-10-27</w:t>
            </w:r>
          </w:p>
        </w:tc>
        <w:tc>
          <w:tcPr>
            <w:tcW w:type="dxa" w:w="1440"/>
            <w:shd w:fill="FAFAFA" w:val="clear"/>
          </w:tcPr>
          <w:p>
            <w:r>
              <w:rPr>
                <w:sz w:val="17"/>
              </w:rPr>
              <w:t>3,663</w:t>
            </w:r>
          </w:p>
        </w:tc>
        <w:tc>
          <w:tcPr>
            <w:tcW w:type="dxa" w:w="1440"/>
            <w:shd w:fill="FAFAFA" w:val="clear"/>
          </w:tcPr>
          <w:p>
            <w:r>
              <w:rPr>
                <w:b/>
                <w:sz w:val="17"/>
              </w:rPr>
              <w:t>4,232</w:t>
            </w:r>
          </w:p>
        </w:tc>
        <w:tc>
          <w:tcPr>
            <w:tcW w:type="dxa" w:w="1440"/>
            <w:shd w:fill="FAFAFA" w:val="clear"/>
          </w:tcPr>
          <w:p>
            <w:r>
              <w:rPr>
                <w:sz w:val="17"/>
              </w:rPr>
              <w:t>4,801</w:t>
            </w:r>
          </w:p>
        </w:tc>
        <w:tc>
          <w:tcPr>
            <w:tcW w:type="dxa" w:w="1440"/>
            <w:shd w:fill="FAFAFA" w:val="clear"/>
          </w:tcPr>
          <w:p>
            <w:r>
              <w:rPr>
                <w:b/>
                <w:color w:val="C00000"/>
                <w:sz w:val="17"/>
              </w:rPr>
              <w:t>-1.4%</w:t>
            </w:r>
          </w:p>
        </w:tc>
      </w:tr>
      <w:tr>
        <w:tc>
          <w:tcPr>
            <w:tcW w:type="dxa" w:w="1440"/>
            <w:shd w:fill="FAFAFA" w:val="clear"/>
          </w:tcPr>
          <w:p>
            <w:r>
              <w:rPr>
                <w:sz w:val="17"/>
              </w:rPr>
              <w:t>J+8  ⭐</w:t>
            </w:r>
          </w:p>
        </w:tc>
        <w:tc>
          <w:tcPr>
            <w:tcW w:type="dxa" w:w="1440"/>
            <w:shd w:fill="FAFAFA" w:val="clear"/>
          </w:tcPr>
          <w:p>
            <w:r>
              <w:rPr>
                <w:sz w:val="17"/>
              </w:rPr>
              <w:t>2026-10-28</w:t>
            </w:r>
          </w:p>
        </w:tc>
        <w:tc>
          <w:tcPr>
            <w:tcW w:type="dxa" w:w="1440"/>
            <w:shd w:fill="FAFAFA" w:val="clear"/>
          </w:tcPr>
          <w:p>
            <w:r>
              <w:rPr>
                <w:sz w:val="17"/>
              </w:rPr>
              <w:t>3,618</w:t>
            </w:r>
          </w:p>
        </w:tc>
        <w:tc>
          <w:tcPr>
            <w:tcW w:type="dxa" w:w="1440"/>
            <w:shd w:fill="FAFAFA" w:val="clear"/>
          </w:tcPr>
          <w:p>
            <w:r>
              <w:rPr>
                <w:b/>
                <w:sz w:val="17"/>
              </w:rPr>
              <w:t>4,226</w:t>
            </w:r>
          </w:p>
        </w:tc>
        <w:tc>
          <w:tcPr>
            <w:tcW w:type="dxa" w:w="1440"/>
            <w:shd w:fill="FAFAFA" w:val="clear"/>
          </w:tcPr>
          <w:p>
            <w:r>
              <w:rPr>
                <w:sz w:val="17"/>
              </w:rPr>
              <w:t>4,834</w:t>
            </w:r>
          </w:p>
        </w:tc>
        <w:tc>
          <w:tcPr>
            <w:tcW w:type="dxa" w:w="1440"/>
            <w:shd w:fill="FAFAFA" w:val="clear"/>
          </w:tcPr>
          <w:p>
            <w:r>
              <w:rPr>
                <w:b/>
                <w:color w:val="C00000"/>
                <w:sz w:val="17"/>
              </w:rPr>
              <w:t>-1.5%</w:t>
            </w:r>
          </w:p>
        </w:tc>
      </w:tr>
      <w:tr>
        <w:tc>
          <w:tcPr>
            <w:tcW w:type="dxa" w:w="1440"/>
            <w:shd w:fill="FAFAFA" w:val="clear"/>
          </w:tcPr>
          <w:p>
            <w:r>
              <w:rPr>
                <w:sz w:val="17"/>
              </w:rPr>
              <w:t>J+9  ⭐</w:t>
            </w:r>
          </w:p>
        </w:tc>
        <w:tc>
          <w:tcPr>
            <w:tcW w:type="dxa" w:w="1440"/>
            <w:shd w:fill="FAFAFA" w:val="clear"/>
          </w:tcPr>
          <w:p>
            <w:r>
              <w:rPr>
                <w:sz w:val="17"/>
              </w:rPr>
              <w:t>2026-10-29</w:t>
            </w:r>
          </w:p>
        </w:tc>
        <w:tc>
          <w:tcPr>
            <w:tcW w:type="dxa" w:w="1440"/>
            <w:shd w:fill="FAFAFA" w:val="clear"/>
          </w:tcPr>
          <w:p>
            <w:r>
              <w:rPr>
                <w:sz w:val="17"/>
              </w:rPr>
              <w:t>3,577</w:t>
            </w:r>
          </w:p>
        </w:tc>
        <w:tc>
          <w:tcPr>
            <w:tcW w:type="dxa" w:w="1440"/>
            <w:shd w:fill="FAFAFA" w:val="clear"/>
          </w:tcPr>
          <w:p>
            <w:r>
              <w:rPr>
                <w:b/>
                <w:sz w:val="17"/>
              </w:rPr>
              <w:t>4,221</w:t>
            </w:r>
          </w:p>
        </w:tc>
        <w:tc>
          <w:tcPr>
            <w:tcW w:type="dxa" w:w="1440"/>
            <w:shd w:fill="FAFAFA" w:val="clear"/>
          </w:tcPr>
          <w:p>
            <w:r>
              <w:rPr>
                <w:sz w:val="17"/>
              </w:rPr>
              <w:t>4,864</w:t>
            </w:r>
          </w:p>
        </w:tc>
        <w:tc>
          <w:tcPr>
            <w:tcW w:type="dxa" w:w="1440"/>
            <w:shd w:fill="FAFAFA" w:val="clear"/>
          </w:tcPr>
          <w:p>
            <w:r>
              <w:rPr>
                <w:b/>
                <w:color w:val="C00000"/>
                <w:sz w:val="17"/>
              </w:rPr>
              <w:t>-1.6%</w:t>
            </w:r>
          </w:p>
        </w:tc>
      </w:tr>
      <w:tr>
        <w:tc>
          <w:tcPr>
            <w:tcW w:type="dxa" w:w="1440"/>
            <w:shd w:fill="FAFAFA" w:val="clear"/>
          </w:tcPr>
          <w:p>
            <w:r>
              <w:rPr>
                <w:sz w:val="17"/>
              </w:rPr>
              <w:t>J+10  ⭐</w:t>
            </w:r>
          </w:p>
        </w:tc>
        <w:tc>
          <w:tcPr>
            <w:tcW w:type="dxa" w:w="1440"/>
            <w:shd w:fill="FAFAFA" w:val="clear"/>
          </w:tcPr>
          <w:p>
            <w:r>
              <w:rPr>
                <w:sz w:val="17"/>
              </w:rPr>
              <w:t>2026-10-30</w:t>
            </w:r>
          </w:p>
        </w:tc>
        <w:tc>
          <w:tcPr>
            <w:tcW w:type="dxa" w:w="1440"/>
            <w:shd w:fill="FAFAFA" w:val="clear"/>
          </w:tcPr>
          <w:p>
            <w:r>
              <w:rPr>
                <w:sz w:val="17"/>
              </w:rPr>
              <w:t>3,537</w:t>
            </w:r>
          </w:p>
        </w:tc>
        <w:tc>
          <w:tcPr>
            <w:tcW w:type="dxa" w:w="1440"/>
            <w:shd w:fill="FAFAFA" w:val="clear"/>
          </w:tcPr>
          <w:p>
            <w:r>
              <w:rPr>
                <w:b/>
                <w:sz w:val="17"/>
              </w:rPr>
              <w:t>4,215</w:t>
            </w:r>
          </w:p>
        </w:tc>
        <w:tc>
          <w:tcPr>
            <w:tcW w:type="dxa" w:w="1440"/>
            <w:shd w:fill="FAFAFA" w:val="clear"/>
          </w:tcPr>
          <w:p>
            <w:r>
              <w:rPr>
                <w:sz w:val="17"/>
              </w:rPr>
              <w:t>4,893</w:t>
            </w:r>
          </w:p>
        </w:tc>
        <w:tc>
          <w:tcPr>
            <w:tcW w:type="dxa" w:w="1440"/>
            <w:shd w:fill="FAFAFA" w:val="clear"/>
          </w:tcPr>
          <w:p>
            <w:r>
              <w:rPr>
                <w:b/>
                <w:color w:val="C00000"/>
                <w:sz w:val="17"/>
              </w:rPr>
              <w:t>-1.7%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 RAPPORT D'ANALYSE FINANCIÈRE — PRSC (TRACTAFRIC MOTORS CÔTE D'IVOIRE)</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43,93 milliards FCFA, PRSC se positionne comme une valeur de taille intermédiaire sur le compartiment des entreprises non bancaires de la BRVM, représentant un poids modeste mais significatif dans l'indice sectoriel de la distribution automobile. Le BPA de 231 FCFA/action signifie que chaque titre génère un bénéfice net de 231 FCFA, ce qui, rapporté au cours actuel de 4 290 FCFA, donne un PER de 18,6x — nettement supérieur à la moyenne BRVM (~8-12x), traduisant une prime de valorisation que les investisseurs accordent à la croissance attendue du groupe. Le P/B de 3,81x confirme cette prime : le marché valorise PRSC à près de quatre fois sa valeur comptable, ce qui est cohérent avec un ROE élevé (20,5%) mais laisse peu de marge de sécurité en cas de déception. L'EV/EBITDA de 9,5x, dans la fourchette raisonnable de 5-10x, suggère en revanche que la valeur d'entreprise reste correctement proportionnée à la capacité opérationnelle de génération de cash, offrant un contrepoids modérateur à la cherté relative du PER.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PRSC affiche une variation totale de -4,03%, terminant à 4 290 FCFA après une dernière séance positive de +0,94%, ce qui témoigne d'un léger rebond technique en fin de période. Le range de trading s'étend de 3 850 FCFA (plus bas) à 4 740 FCFA (plus haut), soit une amplitude de 23% qui traduit une volatilité intra-période non négligeable malgré la stabilité apparente du cours. La tendance générale est baissière sur la période, le cours actuel (4 290 FCFA) se situant sous la moyenne (4 393 FCFA) et la médiane (4 402 FCFA), avec un mode à 4 400 FCFA qui confirme que le titre a longtemps stagné autour de ce palier avant de décrocher. L'écart entre moyenne et médiane est faible (9 FCFA), signe d'une distribution globalement équilibrée, mais le skewness de -0,668 indique une asymétrie négative : les journées de hausse ont été plus fréquentes mais moins amples que les journées de baisse, créant un profil de "queue gauche" où les corrections ont été plus violentes que les rebonds. Le kurtosis de 0,435 (mésokurtique) suggère une distribution proche de la normale, sans risque excessif de pics extrêmes, tandis que l'écart-type de 179 FCFA et le CV de 4,1% confirment une dispersion modérée autour de la moyenne. La volatilité annualisée de 37,4% classe le titre dans la catégorie des valeurs à volatilité élevée (&gt;30%), ce qui est cohérent avec la faible liquidité du marché (volume moyen de 1 085 titres/jour) et expose l'investisseur à un risque de variation de cours significatif.</w:t>
      </w:r>
    </w:p>
    <w:p>
      <w:pPr>
        <w:spacing w:after="120" w:line="276" w:lineRule="auto"/>
      </w:pPr>
      <w:r>
        <w:t>---</w:t>
      </w:r>
    </w:p>
    <w:p>
      <w:pPr>
        <w:spacing w:after="120" w:line="276" w:lineRule="auto"/>
      </w:pPr>
      <w:r>
        <w:t>## PARTIE 2 : ANALYSE TECHNIQUE DÉTAILLÉE</w:t>
      </w:r>
    </w:p>
    <w:p>
      <w:pPr>
        <w:spacing w:after="120" w:line="276" w:lineRule="auto"/>
      </w:pPr>
      <w:r>
        <w:t>**Moyennes Mobiles** : La MM20 (4 179 FCFA) est nettement inférieure à la MM50 (4 337,5 FCFA), configuration baissière classique où la moyenne courte passe sous la moyenne longue. Le cours actuel (4 290 FCFA) se situe entre les deux, mais plus proche de la MM50, ce qui justifie la décision "Vente" : le titre n'a pas encore récupéré sa tendance de fond et la pression baissière demeure dominante.</w:t>
      </w:r>
    </w:p>
    <w:p>
      <w:pPr>
        <w:spacing w:after="120" w:line="276" w:lineRule="auto"/>
      </w:pPr>
      <w:r>
        <w:t>**Bandes de Bollinger** : Le cours (4 290 FCFA) évolue dans la partie médiane de la bande, entre la borne inférieure (3 868,8 FCFA) et supérieure (4 489,2 FCFA), sans contact avec les extrêmes. Cette position centrale traduit une absence de signal directionnel fort et justifie la décision "Neutre" : ni suracheté ni survendu, le titre est en phase de consolidation avec une volatilité contenue dans les bandes.</w:t>
      </w:r>
    </w:p>
    <w:p>
      <w:pPr>
        <w:spacing w:after="120" w:line="276" w:lineRule="auto"/>
      </w:pPr>
      <w:r>
        <w:t>**MACD** : La valeur du MACD (-13,622) est supérieure à son signal (-45,194), configuration haussière où la ligne MACD croise au-dessus de sa ligne de signal, indiquant un momentum positif en formation. La décision "Achat" se justifie par cette divergence positive qui suggère une inflexion potentielle de la tendance baissière, bien que les deux valeurs restent en territoire négatif, ce qui tempère la portée du signal.</w:t>
      </w:r>
    </w:p>
    <w:p>
      <w:pPr>
        <w:spacing w:after="120" w:line="276" w:lineRule="auto"/>
      </w:pPr>
      <w:r>
        <w:t>**RSI** : À 52,547, le RSI se situe exactement dans la zone neutre (30-70), sans signal de surachat (&gt;70) ni de survente (&lt;30). Cette valeur médiane confirme l'absence de pression acheteuse ou vendeuse dominante et justifie la décision "Neutre" : le titre est en équilibre relatif, sans catalyseur technique immédiat.</w:t>
      </w:r>
    </w:p>
    <w:p>
      <w:pPr>
        <w:spacing w:after="120" w:line="276" w:lineRule="auto"/>
      </w:pPr>
      <w:r>
        <w:t>**Stochastique** : Le %K (80,0) et le %D (80,909) évoluent tous deux en zone haute, proche du seuil de surachat (80), avec un %K légèrement sous le %D, signalant un début d'essoufflement du momentum haussier. La décision "Neutre" s'impose car si la zone haute prévient d'un risque de correction à court terme, l'absence de croisement baissier franc (%K sous %D de manière nette) ne justifie pas encore un signal de vente.</w:t>
      </w:r>
    </w:p>
    <w:p>
      <w:pPr>
        <w:spacing w:after="120" w:line="276" w:lineRule="auto"/>
      </w:pPr>
      <w:r>
        <w:t>**Conclusion technique** : Les indicateurs présentent une configuration mitigée où le MACD haussier contraste avec les moyennes mobiles baissières et un RSI neutre. Le titre se trouve à un point d'inflexion : le rebond de J-1 (+0,94%) et le croisement MACD positif suggèrent une tentative de retournement, mais la pression des MM et le stochastique en zone haute appellent à la prudence. La convergence n'est pas totale, ce qui plaide pour une posture attentiste plutôt qu'engagée.</w:t>
      </w:r>
    </w:p>
    <w:p>
      <w:pPr>
        <w:spacing w:after="120" w:line="276" w:lineRule="auto"/>
      </w:pPr>
      <w:r>
        <w:t>---</w:t>
      </w:r>
    </w:p>
    <w:p>
      <w:pPr>
        <w:spacing w:after="120" w:line="276" w:lineRule="auto"/>
      </w:pPr>
      <w:r>
        <w:t>## PARTIE 3 : ANALYSE FONDAMENTALE</w:t>
      </w:r>
    </w:p>
    <w:p>
      <w:pPr>
        <w:spacing w:after="120" w:line="276" w:lineRule="auto"/>
      </w:pPr>
      <w:r>
        <w:t>Les états financiers de l'exercice 2025 (rapport officiel du 31/12/2025) révèlent un chiffre d'affaires de 81,127 milliards FCFA, en hausse de 9,5% par rapport aux 74,45 milliards de 2024, confirmant la dynamique commerciale retrouvée après la baisse de 4,15% enregistrée en 2024. Le résultat net s'établit à 2,367 milliards FCFA (contre 2,177 milliards en 2024, soit +8,7%), avec une marge nette de 2,92% — faible mais en amélioration par rapport aux 2,63% de 2023 et 2,92% de 2024. Le ROE de 20,53% demeure excellent (&gt;15%), porté par des capitaux propres de 11,531 milliards FCFA et un effet de levier maîtrisé, tandis que le ROA de 4,95% reflète la rotation élevée des actifs (169,6%). Sur le plan de la structure financière, l'autonomie financière de 24,1% reste inférieure au seuil de 30% recommandé, et le ratio d'endettement de 314,9% (dettes totales/capitaux propres) traduit une dépendance aux dettes fournisseurs (17,961 milliards FCFA) typique du négoce automobile, mais la solvabilité générale (131,8%) et la liquidité générale (120,9%) assurent la couverture. Les délais d'exploitation révèlent un déséquilibre : délai clients de 46 jours (risque de trésorerie modéré) contre délai fournisseurs de 102,65 jours (avantage de financement), mais une durée de stockage de 150,5 jours — très élevée — qui immobilise le capital et explique le BFR de 11,267 milliards FCFA et la trésorerie nette négative de -4,092 milliards FCFA. Le rapport d'activité du S1 2025 (daté du 30/06/2025) confirme l'accélération : CA de 39,968 milliards (+15,1%), résultat net de 1,436 milliard (×28 vs S1 2024), marge nette à 3,6%, portée par les ventes de véhicules industriels (+41,2%) et les pneumatiques Michelin (+62,6%). Sur cette base, on estime que l'exercice 2025 devrait confirmer la reprise avec un résultat net autour de 2,4 milliards FCFA, cohérent avec les 2,367 milliards publiés. La convocation à l'AG mixte du 30/06/2026 (document du 15/06/2026) propose un dividende de 209 FCFA brut/action (rendement de 4,87% au cours actuel), en hausse par rapport aux 168 FCFA de 2021, signal positif pour le retour aux actionnaires. La recommandation fondamentale est donc "Conserver avec biais positif" : solidité du CA, ROE élevé, dividende attractif, mais vigilance sur la marge nette (2,9%), le BFR élevé et la trésorerie négative.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d'investissement contrasté. Sur le plan de la **valorisation**, le PER de 18,6x et le P/B de 3,81x indiquent une surévaluation relative par rapport à la moyenne BRVM, bien que l'EV/EBITDA de 9,5x reste raisonnable — le marché intègre déjà une prime de croissance qui limite le potentiel d'appréciation à court terme. Le **comportement du cours** est préoccupant : tendance baissière sur 100 jours (-4,03%), volatilité élevée (37,4%), skewness négatif (-0,668) signalant des corrections plus amples que les rebonds, et cours sous les moyennes mobile — autant d'éléments défavorables. Les **signaux techniques** sont divergents : le MACD haussier et le rebond de J-1 plaident pour un retournement, mais les MM baissières, le RSI neutre et le stochastique en zone haute tempèrent l'enthousiasme, créant une configuration sans convergence claire. Les **fondamentaux** offrent le meilleur soutien : CA 2025 de 81,1 milliards (+9,5%), ROE de 20,5%, dividende de 209 FCFA (rendement 4,87%), et S1 2025 exceptionnel (résultat net ×28) — mais la marge nette de 2,9%, le BFR de 11,3 milliards et la trésorerie nette négative de -4,1 milliards constituent des risques à surveiller. Les **prédictions IA** (J+1 à J+10) anticipent une trajectoire baissière continue de 4 271 à 4 244 FCFA, soit -1,1% sur 10 jours, ce qui contredit le rebond technique observé et confirme la pression baissière de fond. **Recommandation finale : CONSERVER** — la convergence est partielle : les fondamentaux solides et le dividende attractif justifient de ne pas vendre, mais la surévaluation (PER 18,6x), la tendance baissière et les prédictions négatives interdisent un achat agressif. Le niveau de confiance est **Moyen** (signaux divergents entre technique et fondamental), le niveau de risque **Moyen à Élevé** (volatilité 37,4%, liquidité faible, BFR élevé), et l'horizon optimal est le **moyen terme (3-12 mois)**, en attendant la confirmation du rebond technique et l'encaissement du dividende de 209 FCFA prévu au plus tard le 30 septembre 2026. Un passage sous 4 100 FCFA (proche de la MM20) constituerait un signal de renforcement de la prudence, tandis qu'une clôture au-dessus de 4 400 FCFA (MM50) validerait le retournement et permettrait d'envisager un passage à "ACHAT".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28.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46.29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8,045 titres</w:t>
            </w:r>
          </w:p>
        </w:tc>
        <w:tc>
          <w:tcPr>
            <w:tcW w:type="dxa" w:w="2268"/>
            <w:shd w:fill="FFF2CC" w:val="clear"/>
          </w:tcPr>
          <w:p>
            <w:r>
              <w:rPr>
                <w:b/>
                <w:color w:val="503200"/>
                <w:sz w:val="16"/>
              </w:rPr>
              <w:t xml:space="preserve">Cours actuel : </w:t>
            </w:r>
            <w:r>
              <w:rPr>
                <w:color w:val="000000"/>
                <w:sz w:val="17"/>
              </w:rPr>
              <w:t>3,900 FCFA</w:t>
            </w:r>
          </w:p>
          <w:p>
            <w:r>
              <w:rPr>
                <w:b/>
                <w:color w:val="503200"/>
                <w:sz w:val="16"/>
              </w:rPr>
              <w:t xml:space="preserve">Var. 100 jours : </w:t>
            </w:r>
            <w:r>
              <w:rPr>
                <w:b/>
                <w:color w:val="007800"/>
                <w:sz w:val="17"/>
              </w:rPr>
              <w:t>+8.33%</w:t>
            </w:r>
          </w:p>
          <w:p>
            <w:r>
              <w:rPr>
                <w:b/>
                <w:color w:val="503200"/>
                <w:sz w:val="16"/>
              </w:rPr>
              <w:t xml:space="preserve">Plus haut 100j : </w:t>
            </w:r>
            <w:r>
              <w:rPr>
                <w:color w:val="000000"/>
                <w:sz w:val="17"/>
              </w:rPr>
              <w:t>6,200 FCFA</w:t>
            </w:r>
          </w:p>
          <w:p>
            <w:r>
              <w:rPr>
                <w:b/>
                <w:color w:val="503200"/>
                <w:sz w:val="16"/>
              </w:rPr>
              <w:t xml:space="preserve">Plus bas 100j : </w:t>
            </w:r>
            <w:r>
              <w:rPr>
                <w:color w:val="000000"/>
                <w:sz w:val="17"/>
              </w:rPr>
              <w:t>3,595 FCFA</w:t>
            </w:r>
          </w:p>
          <w:p>
            <w:r>
              <w:rPr>
                <w:b/>
                <w:color w:val="503200"/>
                <w:sz w:val="16"/>
              </w:rPr>
              <w:t xml:space="preserve">Volatilité ann. : </w:t>
            </w:r>
            <w:r>
              <w:rPr>
                <w:color w:val="000000"/>
                <w:sz w:val="17"/>
              </w:rPr>
              <w:t>61.1%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32.8/100 → Moyen</w:t>
      </w:r>
    </w:p>
    <w:p>
      <w:pPr>
        <w:spacing w:before="40" w:after="80"/>
      </w:pPr>
      <w:r>
        <w:rPr>
          <w:rFonts w:ascii="Courier New" w:hAnsi="Courier New"/>
          <w:color w:val="825A00"/>
          <w:sz w:val="18"/>
        </w:rPr>
        <w:t>██████░░░░░░░░░░░░░░  32.8/100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15.06% (Élevée) — μ=4,680 FCFA, σ=705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β=1.2383 (Agressif) — Cov=0.000094, Var(idx)=0.000076, ρ=0.279,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8,045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σ_j=3.85%/j (Modérée) — Vol. annualisée≈61.1%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63/100  (Bon)</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2026-10-19</w:t>
            </w:r>
          </w:p>
        </w:tc>
        <w:tc>
          <w:tcPr>
            <w:tcW w:type="dxa" w:w="1440"/>
            <w:shd w:fill="FAFAFA" w:val="clear"/>
          </w:tcPr>
          <w:p>
            <w:r>
              <w:rPr>
                <w:sz w:val="17"/>
              </w:rPr>
              <w:t>3,603</w:t>
            </w:r>
          </w:p>
        </w:tc>
        <w:tc>
          <w:tcPr>
            <w:tcW w:type="dxa" w:w="1440"/>
            <w:shd w:fill="FAFAFA" w:val="clear"/>
          </w:tcPr>
          <w:p>
            <w:r>
              <w:rPr>
                <w:b/>
                <w:sz w:val="17"/>
              </w:rPr>
              <w:t>3,887</w:t>
            </w:r>
          </w:p>
        </w:tc>
        <w:tc>
          <w:tcPr>
            <w:tcW w:type="dxa" w:w="1440"/>
            <w:shd w:fill="FAFAFA" w:val="clear"/>
          </w:tcPr>
          <w:p>
            <w:r>
              <w:rPr>
                <w:sz w:val="17"/>
              </w:rPr>
              <w:t>4,170</w:t>
            </w:r>
          </w:p>
        </w:tc>
        <w:tc>
          <w:tcPr>
            <w:tcW w:type="dxa" w:w="1440"/>
            <w:shd w:fill="FAFAFA" w:val="clear"/>
          </w:tcPr>
          <w:p>
            <w:r>
              <w:rPr>
                <w:b/>
                <w:color w:val="C00000"/>
                <w:sz w:val="17"/>
              </w:rPr>
              <w:t>-0.3%</w:t>
            </w:r>
          </w:p>
        </w:tc>
      </w:tr>
      <w:tr>
        <w:tc>
          <w:tcPr>
            <w:tcW w:type="dxa" w:w="1440"/>
            <w:shd w:fill="FAFAFA" w:val="clear"/>
          </w:tcPr>
          <w:p>
            <w:r>
              <w:rPr>
                <w:sz w:val="17"/>
              </w:rPr>
              <w:t>J+2  ⭐</w:t>
            </w:r>
          </w:p>
        </w:tc>
        <w:tc>
          <w:tcPr>
            <w:tcW w:type="dxa" w:w="1440"/>
            <w:shd w:fill="FAFAFA" w:val="clear"/>
          </w:tcPr>
          <w:p>
            <w:r>
              <w:rPr>
                <w:sz w:val="17"/>
              </w:rPr>
              <w:t>2026-10-20</w:t>
            </w:r>
          </w:p>
        </w:tc>
        <w:tc>
          <w:tcPr>
            <w:tcW w:type="dxa" w:w="1440"/>
            <w:shd w:fill="FAFAFA" w:val="clear"/>
          </w:tcPr>
          <w:p>
            <w:r>
              <w:rPr>
                <w:sz w:val="17"/>
              </w:rPr>
              <w:t>3,499</w:t>
            </w:r>
          </w:p>
        </w:tc>
        <w:tc>
          <w:tcPr>
            <w:tcW w:type="dxa" w:w="1440"/>
            <w:shd w:fill="FAFAFA" w:val="clear"/>
          </w:tcPr>
          <w:p>
            <w:r>
              <w:rPr>
                <w:b/>
                <w:sz w:val="17"/>
              </w:rPr>
              <w:t>3,902</w:t>
            </w:r>
          </w:p>
        </w:tc>
        <w:tc>
          <w:tcPr>
            <w:tcW w:type="dxa" w:w="1440"/>
            <w:shd w:fill="FAFAFA" w:val="clear"/>
          </w:tcPr>
          <w:p>
            <w:r>
              <w:rPr>
                <w:sz w:val="17"/>
              </w:rPr>
              <w:t>4,304</w:t>
            </w:r>
          </w:p>
        </w:tc>
        <w:tc>
          <w:tcPr>
            <w:tcW w:type="dxa" w:w="1440"/>
            <w:shd w:fill="FAFAFA" w:val="clear"/>
          </w:tcPr>
          <w:p>
            <w:r>
              <w:rPr>
                <w:b/>
                <w:color w:val="008000"/>
                <w:sz w:val="17"/>
              </w:rPr>
              <w:t>+0.0%</w:t>
            </w:r>
          </w:p>
        </w:tc>
      </w:tr>
      <w:tr>
        <w:tc>
          <w:tcPr>
            <w:tcW w:type="dxa" w:w="1440"/>
            <w:shd w:fill="FAFAFA" w:val="clear"/>
          </w:tcPr>
          <w:p>
            <w:r>
              <w:rPr>
                <w:sz w:val="17"/>
              </w:rPr>
              <w:t>J+3  ⭐</w:t>
            </w:r>
          </w:p>
        </w:tc>
        <w:tc>
          <w:tcPr>
            <w:tcW w:type="dxa" w:w="1440"/>
            <w:shd w:fill="FAFAFA" w:val="clear"/>
          </w:tcPr>
          <w:p>
            <w:r>
              <w:rPr>
                <w:sz w:val="17"/>
              </w:rPr>
              <w:t>2026-10-21</w:t>
            </w:r>
          </w:p>
        </w:tc>
        <w:tc>
          <w:tcPr>
            <w:tcW w:type="dxa" w:w="1440"/>
            <w:shd w:fill="FAFAFA" w:val="clear"/>
          </w:tcPr>
          <w:p>
            <w:r>
              <w:rPr>
                <w:sz w:val="17"/>
              </w:rPr>
              <w:t>3,425</w:t>
            </w:r>
          </w:p>
        </w:tc>
        <w:tc>
          <w:tcPr>
            <w:tcW w:type="dxa" w:w="1440"/>
            <w:shd w:fill="FAFAFA" w:val="clear"/>
          </w:tcPr>
          <w:p>
            <w:r>
              <w:rPr>
                <w:b/>
                <w:sz w:val="17"/>
              </w:rPr>
              <w:t>3,920</w:t>
            </w:r>
          </w:p>
        </w:tc>
        <w:tc>
          <w:tcPr>
            <w:tcW w:type="dxa" w:w="1440"/>
            <w:shd w:fill="FAFAFA" w:val="clear"/>
          </w:tcPr>
          <w:p>
            <w:r>
              <w:rPr>
                <w:sz w:val="17"/>
              </w:rPr>
              <w:t>4,415</w:t>
            </w:r>
          </w:p>
        </w:tc>
        <w:tc>
          <w:tcPr>
            <w:tcW w:type="dxa" w:w="1440"/>
            <w:shd w:fill="FAFAFA" w:val="clear"/>
          </w:tcPr>
          <w:p>
            <w:r>
              <w:rPr>
                <w:b/>
                <w:color w:val="008000"/>
                <w:sz w:val="17"/>
              </w:rPr>
              <w:t>+0.5%</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3,362</w:t>
            </w:r>
          </w:p>
        </w:tc>
        <w:tc>
          <w:tcPr>
            <w:tcW w:type="dxa" w:w="1440"/>
            <w:shd w:fill="FAFAFA" w:val="clear"/>
          </w:tcPr>
          <w:p>
            <w:r>
              <w:rPr>
                <w:b/>
                <w:sz w:val="17"/>
              </w:rPr>
              <w:t>3,936</w:t>
            </w:r>
          </w:p>
        </w:tc>
        <w:tc>
          <w:tcPr>
            <w:tcW w:type="dxa" w:w="1440"/>
            <w:shd w:fill="FAFAFA" w:val="clear"/>
          </w:tcPr>
          <w:p>
            <w:r>
              <w:rPr>
                <w:sz w:val="17"/>
              </w:rPr>
              <w:t>4,510</w:t>
            </w:r>
          </w:p>
        </w:tc>
        <w:tc>
          <w:tcPr>
            <w:tcW w:type="dxa" w:w="1440"/>
            <w:shd w:fill="FAFAFA" w:val="clear"/>
          </w:tcPr>
          <w:p>
            <w:r>
              <w:rPr>
                <w:b/>
                <w:color w:val="008000"/>
                <w:sz w:val="17"/>
              </w:rPr>
              <w:t>+0.9%</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3,306</w:t>
            </w:r>
          </w:p>
        </w:tc>
        <w:tc>
          <w:tcPr>
            <w:tcW w:type="dxa" w:w="1440"/>
            <w:shd w:fill="FAFAFA" w:val="clear"/>
          </w:tcPr>
          <w:p>
            <w:r>
              <w:rPr>
                <w:b/>
                <w:sz w:val="17"/>
              </w:rPr>
              <w:t>3,951</w:t>
            </w:r>
          </w:p>
        </w:tc>
        <w:tc>
          <w:tcPr>
            <w:tcW w:type="dxa" w:w="1440"/>
            <w:shd w:fill="FAFAFA" w:val="clear"/>
          </w:tcPr>
          <w:p>
            <w:r>
              <w:rPr>
                <w:sz w:val="17"/>
              </w:rPr>
              <w:t>4,595</w:t>
            </w:r>
          </w:p>
        </w:tc>
        <w:tc>
          <w:tcPr>
            <w:tcW w:type="dxa" w:w="1440"/>
            <w:shd w:fill="FAFAFA" w:val="clear"/>
          </w:tcPr>
          <w:p>
            <w:r>
              <w:rPr>
                <w:b/>
                <w:color w:val="008000"/>
                <w:sz w:val="17"/>
              </w:rPr>
              <w:t>+1.3%</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3,256</w:t>
            </w:r>
          </w:p>
        </w:tc>
        <w:tc>
          <w:tcPr>
            <w:tcW w:type="dxa" w:w="1440"/>
            <w:shd w:fill="FAFAFA" w:val="clear"/>
          </w:tcPr>
          <w:p>
            <w:r>
              <w:rPr>
                <w:b/>
                <w:sz w:val="17"/>
              </w:rPr>
              <w:t>3,964</w:t>
            </w:r>
          </w:p>
        </w:tc>
        <w:tc>
          <w:tcPr>
            <w:tcW w:type="dxa" w:w="1440"/>
            <w:shd w:fill="FAFAFA" w:val="clear"/>
          </w:tcPr>
          <w:p>
            <w:r>
              <w:rPr>
                <w:sz w:val="17"/>
              </w:rPr>
              <w:t>4,673</w:t>
            </w:r>
          </w:p>
        </w:tc>
        <w:tc>
          <w:tcPr>
            <w:tcW w:type="dxa" w:w="1440"/>
            <w:shd w:fill="FAFAFA" w:val="clear"/>
          </w:tcPr>
          <w:p>
            <w:r>
              <w:rPr>
                <w:b/>
                <w:color w:val="008000"/>
                <w:sz w:val="17"/>
              </w:rPr>
              <w:t>+1.6%</w:t>
            </w:r>
          </w:p>
        </w:tc>
      </w:tr>
      <w:tr>
        <w:tc>
          <w:tcPr>
            <w:tcW w:type="dxa" w:w="1440"/>
            <w:shd w:fill="FAFAFA" w:val="clear"/>
          </w:tcPr>
          <w:p>
            <w:r>
              <w:rPr>
                <w:sz w:val="17"/>
              </w:rPr>
              <w:t>J+7  ⭐</w:t>
            </w:r>
          </w:p>
        </w:tc>
        <w:tc>
          <w:tcPr>
            <w:tcW w:type="dxa" w:w="1440"/>
            <w:shd w:fill="FAFAFA" w:val="clear"/>
          </w:tcPr>
          <w:p>
            <w:r>
              <w:rPr>
                <w:sz w:val="17"/>
              </w:rPr>
              <w:t>2026-10-27</w:t>
            </w:r>
          </w:p>
        </w:tc>
        <w:tc>
          <w:tcPr>
            <w:tcW w:type="dxa" w:w="1440"/>
            <w:shd w:fill="FAFAFA" w:val="clear"/>
          </w:tcPr>
          <w:p>
            <w:r>
              <w:rPr>
                <w:sz w:val="17"/>
              </w:rPr>
              <w:t>3,209</w:t>
            </w:r>
          </w:p>
        </w:tc>
        <w:tc>
          <w:tcPr>
            <w:tcW w:type="dxa" w:w="1440"/>
            <w:shd w:fill="FAFAFA" w:val="clear"/>
          </w:tcPr>
          <w:p>
            <w:r>
              <w:rPr>
                <w:b/>
                <w:sz w:val="17"/>
              </w:rPr>
              <w:t>3,977</w:t>
            </w:r>
          </w:p>
        </w:tc>
        <w:tc>
          <w:tcPr>
            <w:tcW w:type="dxa" w:w="1440"/>
            <w:shd w:fill="FAFAFA" w:val="clear"/>
          </w:tcPr>
          <w:p>
            <w:r>
              <w:rPr>
                <w:sz w:val="17"/>
              </w:rPr>
              <w:t>4,744</w:t>
            </w:r>
          </w:p>
        </w:tc>
        <w:tc>
          <w:tcPr>
            <w:tcW w:type="dxa" w:w="1440"/>
            <w:shd w:fill="FAFAFA" w:val="clear"/>
          </w:tcPr>
          <w:p>
            <w:r>
              <w:rPr>
                <w:b/>
                <w:color w:val="008000"/>
                <w:sz w:val="17"/>
              </w:rPr>
              <w:t>+2.0%</w:t>
            </w:r>
          </w:p>
        </w:tc>
      </w:tr>
      <w:tr>
        <w:tc>
          <w:tcPr>
            <w:tcW w:type="dxa" w:w="1440"/>
            <w:shd w:fill="C6EFCE" w:val="clear"/>
          </w:tcPr>
          <w:p>
            <w:r>
              <w:rPr>
                <w:sz w:val="17"/>
              </w:rPr>
              <w:t>J+8  ⭐</w:t>
            </w:r>
          </w:p>
        </w:tc>
        <w:tc>
          <w:tcPr>
            <w:tcW w:type="dxa" w:w="1440"/>
            <w:shd w:fill="C6EFCE" w:val="clear"/>
          </w:tcPr>
          <w:p>
            <w:r>
              <w:rPr>
                <w:sz w:val="17"/>
              </w:rPr>
              <w:t>2026-10-28</w:t>
            </w:r>
          </w:p>
        </w:tc>
        <w:tc>
          <w:tcPr>
            <w:tcW w:type="dxa" w:w="1440"/>
            <w:shd w:fill="C6EFCE" w:val="clear"/>
          </w:tcPr>
          <w:p>
            <w:r>
              <w:rPr>
                <w:sz w:val="17"/>
              </w:rPr>
              <w:t>3,166</w:t>
            </w:r>
          </w:p>
        </w:tc>
        <w:tc>
          <w:tcPr>
            <w:tcW w:type="dxa" w:w="1440"/>
            <w:shd w:fill="C6EFCE" w:val="clear"/>
          </w:tcPr>
          <w:p>
            <w:r>
              <w:rPr>
                <w:b/>
                <w:sz w:val="17"/>
              </w:rPr>
              <w:t>3,988</w:t>
            </w:r>
          </w:p>
        </w:tc>
        <w:tc>
          <w:tcPr>
            <w:tcW w:type="dxa" w:w="1440"/>
            <w:shd w:fill="C6EFCE" w:val="clear"/>
          </w:tcPr>
          <w:p>
            <w:r>
              <w:rPr>
                <w:sz w:val="17"/>
              </w:rPr>
              <w:t>4,811</w:t>
            </w:r>
          </w:p>
        </w:tc>
        <w:tc>
          <w:tcPr>
            <w:tcW w:type="dxa" w:w="1440"/>
            <w:shd w:fill="C6EFCE" w:val="clear"/>
          </w:tcPr>
          <w:p>
            <w:r>
              <w:rPr>
                <w:b/>
                <w:color w:val="008000"/>
                <w:sz w:val="17"/>
              </w:rPr>
              <w:t>+2.3%</w:t>
            </w:r>
          </w:p>
        </w:tc>
      </w:tr>
      <w:tr>
        <w:tc>
          <w:tcPr>
            <w:tcW w:type="dxa" w:w="1440"/>
            <w:shd w:fill="C6EFCE" w:val="clear"/>
          </w:tcPr>
          <w:p>
            <w:r>
              <w:rPr>
                <w:sz w:val="17"/>
              </w:rPr>
              <w:t>J+9  ⭐</w:t>
            </w:r>
          </w:p>
        </w:tc>
        <w:tc>
          <w:tcPr>
            <w:tcW w:type="dxa" w:w="1440"/>
            <w:shd w:fill="C6EFCE" w:val="clear"/>
          </w:tcPr>
          <w:p>
            <w:r>
              <w:rPr>
                <w:sz w:val="17"/>
              </w:rPr>
              <w:t>2026-10-29</w:t>
            </w:r>
          </w:p>
        </w:tc>
        <w:tc>
          <w:tcPr>
            <w:tcW w:type="dxa" w:w="1440"/>
            <w:shd w:fill="C6EFCE" w:val="clear"/>
          </w:tcPr>
          <w:p>
            <w:r>
              <w:rPr>
                <w:sz w:val="17"/>
              </w:rPr>
              <w:t>3,124</w:t>
            </w:r>
          </w:p>
        </w:tc>
        <w:tc>
          <w:tcPr>
            <w:tcW w:type="dxa" w:w="1440"/>
            <w:shd w:fill="C6EFCE" w:val="clear"/>
          </w:tcPr>
          <w:p>
            <w:r>
              <w:rPr>
                <w:b/>
                <w:sz w:val="17"/>
              </w:rPr>
              <w:t>3,999</w:t>
            </w:r>
          </w:p>
        </w:tc>
        <w:tc>
          <w:tcPr>
            <w:tcW w:type="dxa" w:w="1440"/>
            <w:shd w:fill="C6EFCE" w:val="clear"/>
          </w:tcPr>
          <w:p>
            <w:r>
              <w:rPr>
                <w:sz w:val="17"/>
              </w:rPr>
              <w:t>4,875</w:t>
            </w:r>
          </w:p>
        </w:tc>
        <w:tc>
          <w:tcPr>
            <w:tcW w:type="dxa" w:w="1440"/>
            <w:shd w:fill="C6EFCE" w:val="clear"/>
          </w:tcPr>
          <w:p>
            <w:r>
              <w:rPr>
                <w:b/>
                <w:color w:val="008000"/>
                <w:sz w:val="17"/>
              </w:rPr>
              <w:t>+2.5%</w:t>
            </w:r>
          </w:p>
        </w:tc>
      </w:tr>
      <w:tr>
        <w:tc>
          <w:tcPr>
            <w:tcW w:type="dxa" w:w="1440"/>
            <w:shd w:fill="C6EFCE" w:val="clear"/>
          </w:tcPr>
          <w:p>
            <w:r>
              <w:rPr>
                <w:sz w:val="17"/>
              </w:rPr>
              <w:t>J+10  ⭐</w:t>
            </w:r>
          </w:p>
        </w:tc>
        <w:tc>
          <w:tcPr>
            <w:tcW w:type="dxa" w:w="1440"/>
            <w:shd w:fill="C6EFCE" w:val="clear"/>
          </w:tcPr>
          <w:p>
            <w:r>
              <w:rPr>
                <w:sz w:val="17"/>
              </w:rPr>
              <w:t>2026-10-30</w:t>
            </w:r>
          </w:p>
        </w:tc>
        <w:tc>
          <w:tcPr>
            <w:tcW w:type="dxa" w:w="1440"/>
            <w:shd w:fill="C6EFCE" w:val="clear"/>
          </w:tcPr>
          <w:p>
            <w:r>
              <w:rPr>
                <w:sz w:val="17"/>
              </w:rPr>
              <w:t>3,085</w:t>
            </w:r>
          </w:p>
        </w:tc>
        <w:tc>
          <w:tcPr>
            <w:tcW w:type="dxa" w:w="1440"/>
            <w:shd w:fill="C6EFCE" w:val="clear"/>
          </w:tcPr>
          <w:p>
            <w:r>
              <w:rPr>
                <w:b/>
                <w:sz w:val="17"/>
              </w:rPr>
              <w:t>4,010</w:t>
            </w:r>
          </w:p>
        </w:tc>
        <w:tc>
          <w:tcPr>
            <w:tcW w:type="dxa" w:w="1440"/>
            <w:shd w:fill="C6EFCE" w:val="clear"/>
          </w:tcPr>
          <w:p>
            <w:r>
              <w:rPr>
                <w:sz w:val="17"/>
              </w:rPr>
              <w:t>4,935</w:t>
            </w:r>
          </w:p>
        </w:tc>
        <w:tc>
          <w:tcPr>
            <w:tcW w:type="dxa" w:w="1440"/>
            <w:shd w:fill="C6EFCE" w:val="clear"/>
          </w:tcPr>
          <w:p>
            <w:r>
              <w:rPr>
                <w:b/>
                <w:color w:val="008000"/>
                <w:sz w:val="17"/>
              </w:rPr>
              <w:t>+2.8%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 RAPPORT D'ANALYSE FINANCIÈRE — SAFC (ALIOS FINANCE CÔTE D'IVOIRE)</w:t>
        <w:br/>
        <w:t>### Bourse Régionale des Valeurs Mobilières (BRVM) — Secteur : Banque / Financement spécialisé</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46,29 milliards FCFA, SAFC se situe dans la catégorie des valeurs moyennes de la cote BRVM, loin des mastodontes bancaires régionaux mais suffisamment liquide pour intéresser les investisseurs institutionnels. Le BPA de 59 FCFA/action signifie que chaque titre génère un bénéfice net de 59 FCFA, un niveau modeste qui traduit la jeunesse du redressement opérationnel. Le PER de 66,0x constitue un signal d'alerte majeur : les investisseurs paient 66 fois les bénéfices actuels, soit un multiple près de six fois supérieur à la moyenne BRVM (8-12x), ce qui intègre déjà une anticipation très optimiste de la croissance future des résultats. Le P/B de 7,82x confirme cette valorisation exigeante, le marché valorisant la société près de huit fois sa valeur comptable alors que les fonds propres restent fragiles (5,9 Mds FCFA) et que le report à nouveau demeure négatif. Enfin, l'EV/EBITDA de 81,1x, très supérieur au seuil de 15x généralement considéré comme raisonnable, souligne que la valeur d'entreprise intègre une prime spéculative considérable par rapport à la capacité opérationnelle actuelle — l'ensemble de ces ratios dessine donc un profil de valorisation tendu, où le prix intègre déjà une grande partie du redressement à venir.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SAFC affiche une variation totale positive de +8,33%, avec une dernière séance stable (+0,00%) à 3 900 FCFA. Le range de trading est particulièrement large, le cours ayant oscillé entre un plus bas de 3 595 FCFA et un plus haut de 6 200 FCFA, soit un écart de plus de 72% entre les extrêmes — signe d'une forte nervosité du marché sur la période. La tendance générale est baissière depuis le pic de 6 200 FCFA, le cours actuel (3 900 FCFA) se situant 37% en dessous de ce sommet, bien que la performance sur l'ensemble de la période reste légèrement positive. Les statistiques descriptives révèlent une distribution légèrement asymétrique : la moyenne (4 680 FCFA) dépasse la médiane (4 580 FCFA) de 100 FCFA, tandis que le mode (3 700 FCFA) se situe nettement en dessous, indiquant que le cours a passé davantage de temps dans les zones basses mais a été tiré vers le haut par des pics ponctuels. L'écart-type de 708 FCFA avec un coefficient de variation de 15,1% traduit une dispersion modérée à élevée du cours autour de sa moyenne. Le kurtosis de -0,850 (mésokurtique) indique une distribution proche de la normale, sans risque excessif de pics extrêmes, tandis que le skewness de 0,375 confirme une légère asymétrie positive (queue de distribution étirée vers les hausses). La volatilité annualisée de 61,1% classe clairement le titre dans la catégorie des valeurs à volatilité élevée (&gt;30%), ce qui est cohérent avec un profil de valeur de redressement en phase de transition.</w:t>
      </w:r>
    </w:p>
    <w:p>
      <w:pPr>
        <w:spacing w:after="120" w:line="276" w:lineRule="auto"/>
      </w:pPr>
      <w:r>
        <w:t>---</w:t>
      </w:r>
    </w:p>
    <w:p>
      <w:pPr>
        <w:spacing w:after="120" w:line="276" w:lineRule="auto"/>
      </w:pPr>
      <w:r>
        <w:t>## PARTIE 2 : ANALYSE TECHNIQUE DÉTAILLÉE</w:t>
      </w:r>
    </w:p>
    <w:p>
      <w:pPr>
        <w:spacing w:after="120" w:line="276" w:lineRule="auto"/>
      </w:pPr>
      <w:r>
        <w:t>**Moyennes Mobiles** : La MM20 (4 276,75 FCFA) et la MM50 (5 033,6 FCFA) se situent toutes deux au-dessus du cours actuel (3 900 FCFA), avec une MM20 inférieure à la MM50 — configuration baissière caractéristique. Le cours évoluant sous ses deux moyennes mobiles, la pression vendeuse domine clairement, ce qui justifie la décision technique de **Vente**.</w:t>
      </w:r>
    </w:p>
    <w:p>
      <w:pPr>
        <w:spacing w:after="120" w:line="276" w:lineRule="auto"/>
      </w:pPr>
      <w:r>
        <w:t>**Bandes de Bollinger** : Le cours (3 900 FCFA) se situe dans la moitié inférieure de la bande, entre la borne inférieure (3 660,92 FCFA) et la borne supérieure (4 892,58 FCFA), sans en être proche. Cette position centrale-basse, dans un canal relativement large, traduit une absence de signal directionnel fort, justifiant la décision **Neutre** — le titre n'est ni en survente extrême ni en surachat.</w:t>
      </w:r>
    </w:p>
    <w:p>
      <w:pPr>
        <w:spacing w:after="120" w:line="276" w:lineRule="auto"/>
      </w:pPr>
      <w:r>
        <w:t>**MACD** : La valeur du MACD (-301,253) est inférieure à sa ligne de signal (-289,662), avec un histogramme négatif. Cette configuration baissière indique que le momentum négatif persiste et que la pression vendeuse reste dominante, confirmant la décision de **Vente**.</w:t>
      </w:r>
    </w:p>
    <w:p>
      <w:pPr>
        <w:spacing w:after="120" w:line="276" w:lineRule="auto"/>
      </w:pPr>
      <w:r>
        <w:t>**RSI** : À 39,529, le RSI se situe dans la zone neutre basse (entre 30 et 70), sans atteindre le seuil de survente (30). Le titre n'est donc ni survendu ni suracheté, mais la proximité de la zone de survente suggère une faiblesse persistante sans capitulation, justifiant la décision **Neutre**.</w:t>
      </w:r>
    </w:p>
    <w:p>
      <w:pPr>
        <w:spacing w:after="120" w:line="276" w:lineRule="auto"/>
      </w:pPr>
      <w:r>
        <w:t>**Stochastique** : Le %K (0,0) est au plancher absolu et croise le %D (2,917) à la baisse, ce qui place l'indicateur en zone de survente extrême. Cette configuration génère paradoxalement un signal d'**Achat** technique, car un %K à 0 traduit une capitulation des vendeurs et une probabilité élevée de rebond à court terme — signal toutefois à confirmer par les autres indicateurs.</w:t>
      </w:r>
    </w:p>
    <w:p>
      <w:pPr>
        <w:spacing w:after="120" w:line="276" w:lineRule="auto"/>
      </w:pPr>
      <w:r>
        <w:t>**Conclusion technique** : L'analyse technique présente un tableau mitigé avec une dominante baissière. Trois indicateurs sur cinq (MM, MACD, positionnement dans les Bollinger) confirment la pression vendeuse, tandis que le RSI reste neutre et que le Stochastique signale une survente extrême propice à un rebond technique. La convergence n'est donc pas totale : le titre se trouve dans une phase de correction baissière, mais la survente du Stochastique suggère qu'un rebond à court terme est possible, sans pour autant inverser la tendance de fond.</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SAFC affiche un Produit Net Bancaire (équivalent du chiffre d'affaires pour une banque) de 5 735 millions FCFA, en forte croissance de +44,1% par rapport aux 3 980 millions FCFA de 2024. Le résultat net s'établit à 701 millions FCFA, marquant un retournement spectaculaire après la perte de 165 millions FCFA en 2024 — fin de huit années consécutives de déficits selon le rapport du 31/12/2025. Le ROE ressort à 11,85% (en dessous du seuil d'excellence de 15% mais en nette amélioration) et le ROA à 0,88%, reflétant la faible rotation d'un bilan bancaire. Le coefficient d'exploitation de 77,63% reste supérieur au seuil de 60% d'efficacité, indiquant que les charges d'exploitation pèsent encore lourdement sur le PNB. Le coût du risque rapporté aux charges financières s'établit à 6,57%, niveau à surveiller. La structure financière demeure le point faible : l'autonomie financière n'est que de 7,44% (très en dessous du seuil sain de 30%), le ratio d'endettement atteint 856,36%, et la trésorerie nette est négative à -35,324 milliards FCFA, avec une dépendance marquée aux dettes interbancaires (35,747 Mds FCFA contre seulement 9,112 Mds FCFA de dépôts clientèle).</w:t>
      </w:r>
    </w:p>
    <w:p>
      <w:pPr>
        <w:spacing w:after="120" w:line="276" w:lineRule="auto"/>
      </w:pPr>
      <w:r>
        <w:t>**Estimations basées sur les rapports trimestriels** : Le rapport du T1 2026 (publié le 12/05/2026) confirme l'accélération avec un PNB de 1 395 millions FCFA (+29%) et un résultat net de 151 millions FCFA (+1 062%), le coût du risque s'améliorant de 75%. Le rapport semestriel au 30/06/2026 (publié le 04/09/2026) va plus loin : PNB de 2 907 millions FCFA (+37%), résultat net de 731 millions FCFA (+231%) — déjà supérieur au résultat net annuel 2025 — avec une marge nette de 25,1% et une reprise nette sur coût du risque de 261 millions FCFA. Sur cette base, on estime que l'exercice 2026 devrait dépasser largement 2025, avec un résultat net annualisé potentiel supérieur à 1,4 milliard FCFA, un ROE projeté vers 20% et un ratio CET1 renforcé à 11,49%. L'augmentation de capital de 1,5 milliard FCFA (avis BRVM du 14/04/2026, 3 750 000 actions nouvelles à 400 FCFA, 6 nouvelles pour 13 anciennes) vise précisément à consolider ces fonds propres.</w:t>
      </w:r>
    </w:p>
    <w:p>
      <w:pPr>
        <w:spacing w:after="120" w:line="276" w:lineRule="auto"/>
      </w:pPr>
      <w:r>
        <w:t>**Recommandation fondamentale** : La dynamique opérationnelle est excellente et le redressement spectaculaire, porté par l'intégration au sein de CREDAF Group (rapport du 31/12/2025). Cependant, la fragilité structurelle (fonds propres modestes, report à nouveau négatif de -4 123 millions FCFA, dépendance interbancaire, engagements hors-bilan importants) et la valorisation très tendue imposent la prudence. Le profil est celui d'une valeur de retournement à haut potentiel mais à risque élevé.</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d'investissement contrasté. **Sur la valorisation (Partie 0)**, les ratios sont clairement tendus : PER de 66x, P/B de 7,82x et EV/EBITDA de 81,1x intègrent déjà une anticipation très optimiste du redressement, ce qui limite le potentiel de revalorisation à court terme et expose à un risque de correction si la croissance déçoit. **Sur le comportement du cours (Partie 1)**, la tendance est baissière depuis le pic de 6 200 FCFA (-37%), avec une volatilité élevée de 61,1% et une distribution légèrement asymétrique positive — un profil préoccupant pour un investisseur averse au risque, mais cohérent avec une phase de consolidation post-redressement. **Sur le plan technique (Partie 2)**, les signaux sont majoritairement baissiers (MM, MACD) avec une divergence du Stochastique en survente extrême qui suggère un rebond technique possible, sans inversion de tendance. **Sur les fondamentaux (Partie 3)**, la dynamique est remarquable : PNB +44% en 2025, résultat net de 701 M FCFA, et surtout les rapports T1 2026 (+1 062% de résultat net) et S1 2026 (+231%) qui confirment une accélération et pourraient porter le résultat net 2026 au-delà de 1,4 milliard FCFA — un doublement par rapport à 2025. **Les prédictions IA (J+1 à J+10)** anticipent une trajectoire légèrement haussière de 3 887 à 3 951 FCFA (+1,6% sur 10 jours), ce qui contredit la tendance baissière récente et s'aligne davantage sur le rebond technique attendu et la dynamique fondamentale.</w:t>
      </w:r>
    </w:p>
    <w:p>
      <w:pPr>
        <w:spacing w:after="120" w:line="276" w:lineRule="auto"/>
      </w:pPr>
      <w:r>
        <w:t>**Recommandation finale : CONSERVER** — avec un biais positif pour les investisseurs à horizon long. La convergence n'est que partielle : les fondamentaux (croissance exceptionnelle, retour à la rentabilité, renforcement des fonds propres via l'augmentation de capital) et les prédictions IA plaident pour un potentiel haussier, mais la valorisation très exigeante (PER 66x) et les signaux techniques baissiers imposent la prudence à court terme. Le titre n'est ni un achat évident (valorisation tendue, structure financière fragile), ni une vente justifiée (dynamique opérationnelle exceptionnelle, redressement confirmé). **Niveau de confiance : Moyen** (les fondamentaux sont solides mais la valorisation limite la marge de sécurité). **Niveau de risque global : Élevé** (volatilité de 61%, dépendance interbancaire, fonds propres encore modestes, engagements hors-bilan). **Horizon optimal : long terme (&gt;1 an)**, le temps que la croissance des bénéfices « rattrape » les multiples de valorisation actuels et que la structure financière se consolide — les investisseurs court terme devraient privilégier l'attente d'un point d'entrée plus favorable, idéalement vers 3 600-3 700 FCFA (borne inférieure des Bollinger et zone de support).</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l'am\u00e9lioration du co\u00fbt du risque et la solidit\u00e9 des ratios prudentiels indiquent une dynamique positive. Le mod\u00e8le \u00e9conomique d\u00e9ploy\u00e9 depuis l'int\u00e9gration au sein de CREDAF GROUP soutient la cr\u00e9ation de valeur."}</w:t>
      </w:r>
    </w:p>
    <w:p>
      <w:pPr>
        <w:spacing w:before="40"/>
        <w:ind w:left="400"/>
      </w:pPr>
      <w:r>
        <w:rPr>
          <w:sz w:val="18"/>
        </w:rPr>
        <w:t>Au 30 juin 2026, Alios Finance Côte d'Ivoire (SAFCA) affiche une croissance soutenue de son activité, avec un produit net bancaire en hausse de 37% à 2,907 milliards FCFA. Le résultat net progresse fortement de 231% pour atteindre 731 millions FCFA, traduisant une amélioration de l'efficacité opérationnelle et une meilleure maîtrise du coût du risque. Le total du bilan s'établit à 90,47 milliards FCFA, en hausse de 14%, porté par une augmentation des prêts à la clientèle de 21%. Les capitaux propres se renforcent de 22% à 6,65 milliards FCFA, et tous les ratios prudentiels sont conformes aux exigences de l'UMOA. La dynamique positive devrait se poursuivre grâce à la stratégie de développemen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{'ratio_cet1_2025': '9,653%', 'ratio_cet1_2026': '11,491%', 'total_actif_2025': '79 188 millions FCFA', 'ratio_levier_2026': '3,94%', 'resultat_net_2025': '221 millions FCFA', 'capitaux_propres_2025': '5 436 millions FCFA', 'produit_net_bancaire_2025': '2 122 millions FCFA', 'ratio_solvabilite_globale_2025': '11,886%', 'ratio_solvabilite_globale_2026': '12,931%'}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25,2%</w:t>
            </w:r>
          </w:p>
        </w:tc>
        <w:tc>
          <w:tcPr>
            <w:tcW w:type="dxa" w:w="2160"/>
          </w:tcPr>
          <w:p>
            <w:pPr>
              <w:ind w:left="100"/>
            </w:pPr>
            <w:r/>
            <w:r>
              <w:rPr>
                <w:b/>
                <w:sz w:val="16"/>
              </w:rPr>
              <w:t>total_actif</w:t>
              <w:br/>
            </w:r>
            <w:r>
              <w:rPr>
                <w:sz w:val="18"/>
              </w:rPr>
              <w:t>90 472 millions FCFA</w:t>
            </w:r>
          </w:p>
        </w:tc>
      </w:tr>
      <w:tr>
        <w:tc>
          <w:tcPr>
            <w:tcW w:type="dxa" w:w="2160"/>
          </w:tcPr>
          <w:p>
            <w:r/>
            <w:r>
              <w:rPr>
                <w:b/>
                <w:sz w:val="16"/>
              </w:rPr>
              <w:t>resultat_net</w:t>
              <w:br/>
            </w:r>
            <w:r>
              <w:rPr>
                <w:sz w:val="18"/>
              </w:rPr>
              <w:t>731 millions FCFA</w:t>
            </w:r>
          </w:p>
        </w:tc>
        <w:tc>
          <w:tcPr>
            <w:tcW w:type="dxa" w:w="2160"/>
          </w:tcPr>
          <w:p>
            <w:r/>
            <w:r>
              <w:rPr>
                <w:b/>
                <w:sz w:val="16"/>
              </w:rPr>
              <w:t>capitaux_propres</w:t>
              <w:br/>
            </w:r>
            <w:r>
              <w:rPr>
                <w:sz w:val="18"/>
              </w:rPr>
              <w:t>6 647 millions FCFA</w:t>
            </w:r>
          </w:p>
        </w:tc>
        <w:tc>
          <w:tcPr>
            <w:tcW w:type="dxa" w:w="2160"/>
          </w:tcPr>
          <w:p>
            <w:r/>
            <w:r>
              <w:rPr>
                <w:b/>
                <w:sz w:val="16"/>
              </w:rPr>
              <w:t>chiffre_affaires</w:t>
              <w:br/>
            </w:r>
            <w:r>
              <w:rPr>
                <w:sz w:val="18"/>
              </w:rPr>
              <w:t>2 907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37%, passant de 2 122 à 2 907 millions FCFA.</w:t>
      </w:r>
    </w:p>
    <w:p>
      <w:pPr>
        <w:pStyle w:val="ListBullet"/>
        <w:spacing w:before="20" w:after="20"/>
        <w:ind w:left="700"/>
      </w:pPr>
      <w:r>
        <w:rPr>
          <w:sz w:val="18"/>
        </w:rPr>
        <w:t>Résultat net en hausse de 231%, passant de 221 à 731 millions FCFA.</w:t>
      </w:r>
    </w:p>
    <w:p>
      <w:pPr>
        <w:pStyle w:val="ListBullet"/>
        <w:spacing w:before="20" w:after="20"/>
        <w:ind w:left="700"/>
      </w:pPr>
      <w:r>
        <w:rPr>
          <w:sz w:val="18"/>
        </w:rPr>
        <w:t>Le coût du risque s'améliore, avec une reprise nette de 261 millions FCFA contre une charge de 93 millions un an plus tôt.</w:t>
      </w:r>
    </w:p>
    <w:p>
      <w:pPr>
        <w:pStyle w:val="ListBullet"/>
        <w:spacing w:before="20" w:after="20"/>
        <w:ind w:left="700"/>
      </w:pPr>
      <w:r>
        <w:rPr>
          <w:sz w:val="18"/>
        </w:rPr>
        <w:t>Total du bilan en hausse de 14% pour atteindre 90 472 millions FCFA.</w:t>
      </w:r>
    </w:p>
    <w:p>
      <w:pPr>
        <w:pStyle w:val="ListBullet"/>
        <w:spacing w:before="20" w:after="20"/>
        <w:ind w:left="700"/>
      </w:pPr>
      <w:r>
        <w:rPr>
          <w:sz w:val="18"/>
        </w:rPr>
        <w:t>Les opérations avec la clientèle (à l'actif) progressent de 21%, atteignant 68 537 millions FCFA.</w:t>
      </w:r>
    </w:p>
    <w:p>
      <w:pPr>
        <w:pStyle w:val="ListBullet"/>
        <w:spacing w:before="20" w:after="20"/>
        <w:ind w:left="700"/>
      </w:pPr>
      <w:r>
        <w:rPr>
          <w:sz w:val="18"/>
        </w:rPr>
        <w:t>Capitaux propres et ressources assimilées en hausse de 22% à 6 647 millions FCFA.</w:t>
      </w:r>
    </w:p>
    <w:p>
      <w:pPr>
        <w:spacing w:before="40"/>
        <w:ind w:left="400"/>
      </w:pPr>
      <w:r>
        <w:rPr>
          <w:b/>
          <w:color w:val="C05000"/>
          <w:sz w:val="18"/>
        </w:rPr>
        <w:t xml:space="preserve">⚠️ Risques : </w:t>
      </w:r>
      <w:r>
        <w:rPr>
          <w:sz w:val="18"/>
        </w:rPr>
        <w:t>["Risque de d\u00e9gradation de la qualit\u00e9 du portefeuille de cr\u00e9dit, susceptible d'accro\u00eetre le co\u00fbt du risque.", "Risque de d\u00e9pendance au financement par la client\u00e8le, dont la collecte peut se rench\u00e9rir.", "Risque r\u00e9glementaire, notamment en cas de durcissem</w:t>
      </w:r>
    </w:p>
    <w:p>
      <w:pPr>
        <w:spacing w:before="40"/>
        <w:ind w:left="400"/>
      </w:pPr>
      <w:r>
        <w:rPr>
          <w:b/>
          <w:color w:val="0064A0"/>
          <w:sz w:val="18"/>
        </w:rPr>
        <w:t xml:space="preserve">🔮 Perspectives : </w:t>
      </w:r>
      <w:r>
        <w:rPr>
          <w:sz w:val="18"/>
        </w:rPr>
        <w:t>L'établissement devrait poursuivre sa croissance, porté par le développement des crédits à la clientèle et l'amélioration de sa rentabilité. Les fonds propres renforcés offrent des marges de manœuvre pour accompagner cette expansion tout en maintenant une gestion prudente des risques.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
      <w:r>
        <w:t>════════════════════════════════════════════════════════════════════════════════</w:t>
      </w:r>
    </w:p>
    <w:p>
      <w:r>
        <w:br w:type="page"/>
      </w:r>
    </w:p>
    <w:p>
      <w:pPr>
        <w:pStyle w:val="Heading2"/>
        <w:spacing w:before="360"/>
      </w:pPr>
      <w:r>
        <w:rPr>
          <w:color w:val="0066CC"/>
        </w:rPr>
        <w:t>29.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44.49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10,341 titres</w:t>
            </w:r>
          </w:p>
        </w:tc>
        <w:tc>
          <w:tcPr>
            <w:tcW w:type="dxa" w:w="2268"/>
            <w:shd w:fill="FFF2CC" w:val="clear"/>
          </w:tcPr>
          <w:p>
            <w:r>
              <w:rPr>
                <w:b/>
                <w:color w:val="503200"/>
                <w:sz w:val="16"/>
              </w:rPr>
              <w:t xml:space="preserve">Cours actuel : </w:t>
            </w:r>
            <w:r>
              <w:rPr>
                <w:color w:val="000000"/>
                <w:sz w:val="17"/>
              </w:rPr>
              <w:t>2,270 FCFA</w:t>
            </w:r>
          </w:p>
          <w:p>
            <w:r>
              <w:rPr>
                <w:b/>
                <w:color w:val="503200"/>
                <w:sz w:val="16"/>
              </w:rPr>
              <w:t xml:space="preserve">Var. 100 jours : </w:t>
            </w:r>
            <w:r>
              <w:rPr>
                <w:b/>
                <w:color w:val="007800"/>
                <w:sz w:val="17"/>
              </w:rPr>
              <w:t>+2.95%</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2,205 FCFA</w:t>
            </w:r>
          </w:p>
          <w:p>
            <w:r>
              <w:rPr>
                <w:b/>
                <w:color w:val="503200"/>
                <w:sz w:val="16"/>
              </w:rPr>
              <w:t xml:space="preserve">Volatilité ann. : </w:t>
            </w:r>
            <w:r>
              <w:rPr>
                <w:color w:val="000000"/>
                <w:sz w:val="17"/>
              </w:rPr>
              <w:t>53.8%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23.6/100 → Moyen</w:t>
      </w:r>
    </w:p>
    <w:p>
      <w:pPr>
        <w:spacing w:before="40" w:after="80"/>
      </w:pPr>
      <w:r>
        <w:rPr>
          <w:rFonts w:ascii="Courier New" w:hAnsi="Courier New"/>
          <w:color w:val="825A00"/>
          <w:sz w:val="18"/>
        </w:rPr>
        <w:t>████░░░░░░░░░░░░░░░░  23.6/100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13.27% (Moyenne) — μ=3,196 FCFA, σ=424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β=1.2407 (Agressif) — Cov=0.000090, Var(idx)=0.000073, ρ=0.326, n=95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10,341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σ_j=3.39%/j (Modérée) — Vol. annualisée≈53.8%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2026-10-19</w:t>
            </w:r>
          </w:p>
        </w:tc>
        <w:tc>
          <w:tcPr>
            <w:tcW w:type="dxa" w:w="1440"/>
            <w:shd w:fill="C6EFCE" w:val="clear"/>
          </w:tcPr>
          <w:p>
            <w:r>
              <w:rPr>
                <w:sz w:val="17"/>
              </w:rPr>
              <w:t>2,205</w:t>
            </w:r>
          </w:p>
        </w:tc>
        <w:tc>
          <w:tcPr>
            <w:tcW w:type="dxa" w:w="1440"/>
            <w:shd w:fill="C6EFCE" w:val="clear"/>
          </w:tcPr>
          <w:p>
            <w:r>
              <w:rPr>
                <w:b/>
                <w:sz w:val="17"/>
              </w:rPr>
              <w:t>2,344</w:t>
            </w:r>
          </w:p>
        </w:tc>
        <w:tc>
          <w:tcPr>
            <w:tcW w:type="dxa" w:w="1440"/>
            <w:shd w:fill="C6EFCE" w:val="clear"/>
          </w:tcPr>
          <w:p>
            <w:r>
              <w:rPr>
                <w:sz w:val="17"/>
              </w:rPr>
              <w:t>2,482</w:t>
            </w:r>
          </w:p>
        </w:tc>
        <w:tc>
          <w:tcPr>
            <w:tcW w:type="dxa" w:w="1440"/>
            <w:shd w:fill="C6EFCE" w:val="clear"/>
          </w:tcPr>
          <w:p>
            <w:r>
              <w:rPr>
                <w:b/>
                <w:color w:val="008000"/>
                <w:sz w:val="17"/>
              </w:rPr>
              <w:t>+3.2%</w:t>
            </w:r>
          </w:p>
        </w:tc>
      </w:tr>
      <w:tr>
        <w:tc>
          <w:tcPr>
            <w:tcW w:type="dxa" w:w="1440"/>
            <w:shd w:fill="C6EFCE" w:val="clear"/>
          </w:tcPr>
          <w:p>
            <w:r>
              <w:rPr>
                <w:sz w:val="17"/>
              </w:rPr>
              <w:t>J+2  Moyenne</w:t>
            </w:r>
          </w:p>
        </w:tc>
        <w:tc>
          <w:tcPr>
            <w:tcW w:type="dxa" w:w="1440"/>
            <w:shd w:fill="C6EFCE" w:val="clear"/>
          </w:tcPr>
          <w:p>
            <w:r>
              <w:rPr>
                <w:sz w:val="17"/>
              </w:rPr>
              <w:t>2026-10-20</w:t>
            </w:r>
          </w:p>
        </w:tc>
        <w:tc>
          <w:tcPr>
            <w:tcW w:type="dxa" w:w="1440"/>
            <w:shd w:fill="C6EFCE" w:val="clear"/>
          </w:tcPr>
          <w:p>
            <w:r>
              <w:rPr>
                <w:sz w:val="17"/>
              </w:rPr>
              <w:t>2,237</w:t>
            </w:r>
          </w:p>
        </w:tc>
        <w:tc>
          <w:tcPr>
            <w:tcW w:type="dxa" w:w="1440"/>
            <w:shd w:fill="C6EFCE" w:val="clear"/>
          </w:tcPr>
          <w:p>
            <w:r>
              <w:rPr>
                <w:b/>
                <w:sz w:val="17"/>
              </w:rPr>
              <w:t>2,441</w:t>
            </w:r>
          </w:p>
        </w:tc>
        <w:tc>
          <w:tcPr>
            <w:tcW w:type="dxa" w:w="1440"/>
            <w:shd w:fill="C6EFCE" w:val="clear"/>
          </w:tcPr>
          <w:p>
            <w:r>
              <w:rPr>
                <w:sz w:val="17"/>
              </w:rPr>
              <w:t>2,645</w:t>
            </w:r>
          </w:p>
        </w:tc>
        <w:tc>
          <w:tcPr>
            <w:tcW w:type="dxa" w:w="1440"/>
            <w:shd w:fill="C6EFCE" w:val="clear"/>
          </w:tcPr>
          <w:p>
            <w:r>
              <w:rPr>
                <w:b/>
                <w:color w:val="008000"/>
                <w:sz w:val="17"/>
              </w:rPr>
              <w:t>+7.5%</w:t>
            </w:r>
          </w:p>
        </w:tc>
      </w:tr>
      <w:tr>
        <w:tc>
          <w:tcPr>
            <w:tcW w:type="dxa" w:w="1440"/>
            <w:shd w:fill="C6EFCE" w:val="clear"/>
          </w:tcPr>
          <w:p>
            <w:r>
              <w:rPr>
                <w:sz w:val="17"/>
              </w:rPr>
              <w:t>J+3  Moyenne</w:t>
            </w:r>
          </w:p>
        </w:tc>
        <w:tc>
          <w:tcPr>
            <w:tcW w:type="dxa" w:w="1440"/>
            <w:shd w:fill="C6EFCE" w:val="clear"/>
          </w:tcPr>
          <w:p>
            <w:r>
              <w:rPr>
                <w:sz w:val="17"/>
              </w:rPr>
              <w:t>2026-10-21</w:t>
            </w:r>
          </w:p>
        </w:tc>
        <w:tc>
          <w:tcPr>
            <w:tcW w:type="dxa" w:w="1440"/>
            <w:shd w:fill="C6EFCE" w:val="clear"/>
          </w:tcPr>
          <w:p>
            <w:r>
              <w:rPr>
                <w:sz w:val="17"/>
              </w:rPr>
              <w:t>2,293</w:t>
            </w:r>
          </w:p>
        </w:tc>
        <w:tc>
          <w:tcPr>
            <w:tcW w:type="dxa" w:w="1440"/>
            <w:shd w:fill="C6EFCE" w:val="clear"/>
          </w:tcPr>
          <w:p>
            <w:r>
              <w:rPr>
                <w:b/>
                <w:sz w:val="17"/>
              </w:rPr>
              <w:t>2,554</w:t>
            </w:r>
          </w:p>
        </w:tc>
        <w:tc>
          <w:tcPr>
            <w:tcW w:type="dxa" w:w="1440"/>
            <w:shd w:fill="C6EFCE" w:val="clear"/>
          </w:tcPr>
          <w:p>
            <w:r>
              <w:rPr>
                <w:sz w:val="17"/>
              </w:rPr>
              <w:t>2,816</w:t>
            </w:r>
          </w:p>
        </w:tc>
        <w:tc>
          <w:tcPr>
            <w:tcW w:type="dxa" w:w="1440"/>
            <w:shd w:fill="C6EFCE" w:val="clear"/>
          </w:tcPr>
          <w:p>
            <w:r>
              <w:rPr>
                <w:b/>
                <w:color w:val="008000"/>
                <w:sz w:val="17"/>
              </w:rPr>
              <w:t>+12.5%</w:t>
            </w:r>
          </w:p>
        </w:tc>
      </w:tr>
      <w:tr>
        <w:tc>
          <w:tcPr>
            <w:tcW w:type="dxa" w:w="1440"/>
            <w:shd w:fill="C6EFCE" w:val="clear"/>
          </w:tcPr>
          <w:p>
            <w:r>
              <w:rPr>
                <w:sz w:val="17"/>
              </w:rPr>
              <w:t>J+4  ⭐</w:t>
            </w:r>
          </w:p>
        </w:tc>
        <w:tc>
          <w:tcPr>
            <w:tcW w:type="dxa" w:w="1440"/>
            <w:shd w:fill="C6EFCE" w:val="clear"/>
          </w:tcPr>
          <w:p>
            <w:r>
              <w:rPr>
                <w:sz w:val="17"/>
              </w:rPr>
              <w:t>2026-10-22</w:t>
            </w:r>
          </w:p>
        </w:tc>
        <w:tc>
          <w:tcPr>
            <w:tcW w:type="dxa" w:w="1440"/>
            <w:shd w:fill="C6EFCE" w:val="clear"/>
          </w:tcPr>
          <w:p>
            <w:r>
              <w:rPr>
                <w:sz w:val="17"/>
              </w:rPr>
              <w:t>2,342</w:t>
            </w:r>
          </w:p>
        </w:tc>
        <w:tc>
          <w:tcPr>
            <w:tcW w:type="dxa" w:w="1440"/>
            <w:shd w:fill="C6EFCE" w:val="clear"/>
          </w:tcPr>
          <w:p>
            <w:r>
              <w:rPr>
                <w:b/>
                <w:sz w:val="17"/>
              </w:rPr>
              <w:t>2,655</w:t>
            </w:r>
          </w:p>
        </w:tc>
        <w:tc>
          <w:tcPr>
            <w:tcW w:type="dxa" w:w="1440"/>
            <w:shd w:fill="C6EFCE" w:val="clear"/>
          </w:tcPr>
          <w:p>
            <w:r>
              <w:rPr>
                <w:sz w:val="17"/>
              </w:rPr>
              <w:t>2,969</w:t>
            </w:r>
          </w:p>
        </w:tc>
        <w:tc>
          <w:tcPr>
            <w:tcW w:type="dxa" w:w="1440"/>
            <w:shd w:fill="C6EFCE" w:val="clear"/>
          </w:tcPr>
          <w:p>
            <w:r>
              <w:rPr>
                <w:b/>
                <w:color w:val="008000"/>
                <w:sz w:val="17"/>
              </w:rPr>
              <w:t>+17.0%</w:t>
            </w:r>
          </w:p>
        </w:tc>
      </w:tr>
      <w:tr>
        <w:tc>
          <w:tcPr>
            <w:tcW w:type="dxa" w:w="1440"/>
            <w:shd w:fill="C6EFCE" w:val="clear"/>
          </w:tcPr>
          <w:p>
            <w:r>
              <w:rPr>
                <w:sz w:val="17"/>
              </w:rPr>
              <w:t>J+5  ⭐</w:t>
            </w:r>
          </w:p>
        </w:tc>
        <w:tc>
          <w:tcPr>
            <w:tcW w:type="dxa" w:w="1440"/>
            <w:shd w:fill="C6EFCE" w:val="clear"/>
          </w:tcPr>
          <w:p>
            <w:r>
              <w:rPr>
                <w:sz w:val="17"/>
              </w:rPr>
              <w:t>2026-10-23</w:t>
            </w:r>
          </w:p>
        </w:tc>
        <w:tc>
          <w:tcPr>
            <w:tcW w:type="dxa" w:w="1440"/>
            <w:shd w:fill="C6EFCE" w:val="clear"/>
          </w:tcPr>
          <w:p>
            <w:r>
              <w:rPr>
                <w:sz w:val="17"/>
              </w:rPr>
              <w:t>2,382</w:t>
            </w:r>
          </w:p>
        </w:tc>
        <w:tc>
          <w:tcPr>
            <w:tcW w:type="dxa" w:w="1440"/>
            <w:shd w:fill="C6EFCE" w:val="clear"/>
          </w:tcPr>
          <w:p>
            <w:r>
              <w:rPr>
                <w:b/>
                <w:sz w:val="17"/>
              </w:rPr>
              <w:t>2,745</w:t>
            </w:r>
          </w:p>
        </w:tc>
        <w:tc>
          <w:tcPr>
            <w:tcW w:type="dxa" w:w="1440"/>
            <w:shd w:fill="C6EFCE" w:val="clear"/>
          </w:tcPr>
          <w:p>
            <w:r>
              <w:rPr>
                <w:sz w:val="17"/>
              </w:rPr>
              <w:t>3,107</w:t>
            </w:r>
          </w:p>
        </w:tc>
        <w:tc>
          <w:tcPr>
            <w:tcW w:type="dxa" w:w="1440"/>
            <w:shd w:fill="C6EFCE" w:val="clear"/>
          </w:tcPr>
          <w:p>
            <w:r>
              <w:rPr>
                <w:b/>
                <w:color w:val="008000"/>
                <w:sz w:val="17"/>
              </w:rPr>
              <w:t>+20.9%</w:t>
            </w:r>
          </w:p>
        </w:tc>
      </w:tr>
      <w:tr>
        <w:tc>
          <w:tcPr>
            <w:tcW w:type="dxa" w:w="1440"/>
            <w:shd w:fill="C6EFCE" w:val="clear"/>
          </w:tcPr>
          <w:p>
            <w:r>
              <w:rPr>
                <w:sz w:val="17"/>
              </w:rPr>
              <w:t>J+6  ⭐</w:t>
            </w:r>
          </w:p>
        </w:tc>
        <w:tc>
          <w:tcPr>
            <w:tcW w:type="dxa" w:w="1440"/>
            <w:shd w:fill="C6EFCE" w:val="clear"/>
          </w:tcPr>
          <w:p>
            <w:r>
              <w:rPr>
                <w:sz w:val="17"/>
              </w:rPr>
              <w:t>2026-10-26</w:t>
            </w:r>
          </w:p>
        </w:tc>
        <w:tc>
          <w:tcPr>
            <w:tcW w:type="dxa" w:w="1440"/>
            <w:shd w:fill="C6EFCE" w:val="clear"/>
          </w:tcPr>
          <w:p>
            <w:r>
              <w:rPr>
                <w:sz w:val="17"/>
              </w:rPr>
              <w:t>2,417</w:t>
            </w:r>
          </w:p>
        </w:tc>
        <w:tc>
          <w:tcPr>
            <w:tcW w:type="dxa" w:w="1440"/>
            <w:shd w:fill="C6EFCE" w:val="clear"/>
          </w:tcPr>
          <w:p>
            <w:r>
              <w:rPr>
                <w:b/>
                <w:sz w:val="17"/>
              </w:rPr>
              <w:t>2,826</w:t>
            </w:r>
          </w:p>
        </w:tc>
        <w:tc>
          <w:tcPr>
            <w:tcW w:type="dxa" w:w="1440"/>
            <w:shd w:fill="C6EFCE" w:val="clear"/>
          </w:tcPr>
          <w:p>
            <w:r>
              <w:rPr>
                <w:sz w:val="17"/>
              </w:rPr>
              <w:t>3,235</w:t>
            </w:r>
          </w:p>
        </w:tc>
        <w:tc>
          <w:tcPr>
            <w:tcW w:type="dxa" w:w="1440"/>
            <w:shd w:fill="C6EFCE" w:val="clear"/>
          </w:tcPr>
          <w:p>
            <w:r>
              <w:rPr>
                <w:b/>
                <w:color w:val="008000"/>
                <w:sz w:val="17"/>
              </w:rPr>
              <w:t>+24.5%</w:t>
            </w:r>
          </w:p>
        </w:tc>
      </w:tr>
      <w:tr>
        <w:tc>
          <w:tcPr>
            <w:tcW w:type="dxa" w:w="1440"/>
            <w:shd w:fill="C6EFCE" w:val="clear"/>
          </w:tcPr>
          <w:p>
            <w:r>
              <w:rPr>
                <w:sz w:val="17"/>
              </w:rPr>
              <w:t>J+7  ⭐</w:t>
            </w:r>
          </w:p>
        </w:tc>
        <w:tc>
          <w:tcPr>
            <w:tcW w:type="dxa" w:w="1440"/>
            <w:shd w:fill="C6EFCE" w:val="clear"/>
          </w:tcPr>
          <w:p>
            <w:r>
              <w:rPr>
                <w:sz w:val="17"/>
              </w:rPr>
              <w:t>2026-10-27</w:t>
            </w:r>
          </w:p>
        </w:tc>
        <w:tc>
          <w:tcPr>
            <w:tcW w:type="dxa" w:w="1440"/>
            <w:shd w:fill="C6EFCE" w:val="clear"/>
          </w:tcPr>
          <w:p>
            <w:r>
              <w:rPr>
                <w:sz w:val="17"/>
              </w:rPr>
              <w:t>2,446</w:t>
            </w:r>
          </w:p>
        </w:tc>
        <w:tc>
          <w:tcPr>
            <w:tcW w:type="dxa" w:w="1440"/>
            <w:shd w:fill="C6EFCE" w:val="clear"/>
          </w:tcPr>
          <w:p>
            <w:r>
              <w:rPr>
                <w:b/>
                <w:sz w:val="17"/>
              </w:rPr>
              <w:t>2,900</w:t>
            </w:r>
          </w:p>
        </w:tc>
        <w:tc>
          <w:tcPr>
            <w:tcW w:type="dxa" w:w="1440"/>
            <w:shd w:fill="C6EFCE" w:val="clear"/>
          </w:tcPr>
          <w:p>
            <w:r>
              <w:rPr>
                <w:sz w:val="17"/>
              </w:rPr>
              <w:t>3,353</w:t>
            </w:r>
          </w:p>
        </w:tc>
        <w:tc>
          <w:tcPr>
            <w:tcW w:type="dxa" w:w="1440"/>
            <w:shd w:fill="C6EFCE" w:val="clear"/>
          </w:tcPr>
          <w:p>
            <w:r>
              <w:rPr>
                <w:b/>
                <w:color w:val="008000"/>
                <w:sz w:val="17"/>
              </w:rPr>
              <w:t>+27.7%</w:t>
            </w:r>
          </w:p>
        </w:tc>
      </w:tr>
      <w:tr>
        <w:tc>
          <w:tcPr>
            <w:tcW w:type="dxa" w:w="1440"/>
            <w:shd w:fill="C6EFCE" w:val="clear"/>
          </w:tcPr>
          <w:p>
            <w:r>
              <w:rPr>
                <w:sz w:val="17"/>
              </w:rPr>
              <w:t>J+8  ⭐</w:t>
            </w:r>
          </w:p>
        </w:tc>
        <w:tc>
          <w:tcPr>
            <w:tcW w:type="dxa" w:w="1440"/>
            <w:shd w:fill="C6EFCE" w:val="clear"/>
          </w:tcPr>
          <w:p>
            <w:r>
              <w:rPr>
                <w:sz w:val="17"/>
              </w:rPr>
              <w:t>2026-10-28</w:t>
            </w:r>
          </w:p>
        </w:tc>
        <w:tc>
          <w:tcPr>
            <w:tcW w:type="dxa" w:w="1440"/>
            <w:shd w:fill="C6EFCE" w:val="clear"/>
          </w:tcPr>
          <w:p>
            <w:r>
              <w:rPr>
                <w:sz w:val="17"/>
              </w:rPr>
              <w:t>2,471</w:t>
            </w:r>
          </w:p>
        </w:tc>
        <w:tc>
          <w:tcPr>
            <w:tcW w:type="dxa" w:w="1440"/>
            <w:shd w:fill="C6EFCE" w:val="clear"/>
          </w:tcPr>
          <w:p>
            <w:r>
              <w:rPr>
                <w:b/>
                <w:sz w:val="17"/>
              </w:rPr>
              <w:t>2,967</w:t>
            </w:r>
          </w:p>
        </w:tc>
        <w:tc>
          <w:tcPr>
            <w:tcW w:type="dxa" w:w="1440"/>
            <w:shd w:fill="C6EFCE" w:val="clear"/>
          </w:tcPr>
          <w:p>
            <w:r>
              <w:rPr>
                <w:sz w:val="17"/>
              </w:rPr>
              <w:t>3,462</w:t>
            </w:r>
          </w:p>
        </w:tc>
        <w:tc>
          <w:tcPr>
            <w:tcW w:type="dxa" w:w="1440"/>
            <w:shd w:fill="C6EFCE" w:val="clear"/>
          </w:tcPr>
          <w:p>
            <w:r>
              <w:rPr>
                <w:b/>
                <w:color w:val="008000"/>
                <w:sz w:val="17"/>
              </w:rPr>
              <w:t>+30.7%</w:t>
            </w:r>
          </w:p>
        </w:tc>
      </w:tr>
      <w:tr>
        <w:tc>
          <w:tcPr>
            <w:tcW w:type="dxa" w:w="1440"/>
            <w:shd w:fill="C6EFCE" w:val="clear"/>
          </w:tcPr>
          <w:p>
            <w:r>
              <w:rPr>
                <w:sz w:val="17"/>
              </w:rPr>
              <w:t>J+9  ⭐</w:t>
            </w:r>
          </w:p>
        </w:tc>
        <w:tc>
          <w:tcPr>
            <w:tcW w:type="dxa" w:w="1440"/>
            <w:shd w:fill="C6EFCE" w:val="clear"/>
          </w:tcPr>
          <w:p>
            <w:r>
              <w:rPr>
                <w:sz w:val="17"/>
              </w:rPr>
              <w:t>2026-10-29</w:t>
            </w:r>
          </w:p>
        </w:tc>
        <w:tc>
          <w:tcPr>
            <w:tcW w:type="dxa" w:w="1440"/>
            <w:shd w:fill="C6EFCE" w:val="clear"/>
          </w:tcPr>
          <w:p>
            <w:r>
              <w:rPr>
                <w:sz w:val="17"/>
              </w:rPr>
              <w:t>2,491</w:t>
            </w:r>
          </w:p>
        </w:tc>
        <w:tc>
          <w:tcPr>
            <w:tcW w:type="dxa" w:w="1440"/>
            <w:shd w:fill="C6EFCE" w:val="clear"/>
          </w:tcPr>
          <w:p>
            <w:r>
              <w:rPr>
                <w:b/>
                <w:sz w:val="17"/>
              </w:rPr>
              <w:t>3,028</w:t>
            </w:r>
          </w:p>
        </w:tc>
        <w:tc>
          <w:tcPr>
            <w:tcW w:type="dxa" w:w="1440"/>
            <w:shd w:fill="C6EFCE" w:val="clear"/>
          </w:tcPr>
          <w:p>
            <w:r>
              <w:rPr>
                <w:sz w:val="17"/>
              </w:rPr>
              <w:t>3,564</w:t>
            </w:r>
          </w:p>
        </w:tc>
        <w:tc>
          <w:tcPr>
            <w:tcW w:type="dxa" w:w="1440"/>
            <w:shd w:fill="C6EFCE" w:val="clear"/>
          </w:tcPr>
          <w:p>
            <w:r>
              <w:rPr>
                <w:b/>
                <w:color w:val="008000"/>
                <w:sz w:val="17"/>
              </w:rPr>
              <w:t>+33.4%</w:t>
            </w:r>
          </w:p>
        </w:tc>
      </w:tr>
      <w:tr>
        <w:tc>
          <w:tcPr>
            <w:tcW w:type="dxa" w:w="1440"/>
            <w:shd w:fill="C6EFCE" w:val="clear"/>
          </w:tcPr>
          <w:p>
            <w:r>
              <w:rPr>
                <w:sz w:val="17"/>
              </w:rPr>
              <w:t>J+10  ⭐</w:t>
            </w:r>
          </w:p>
        </w:tc>
        <w:tc>
          <w:tcPr>
            <w:tcW w:type="dxa" w:w="1440"/>
            <w:shd w:fill="C6EFCE" w:val="clear"/>
          </w:tcPr>
          <w:p>
            <w:r>
              <w:rPr>
                <w:sz w:val="17"/>
              </w:rPr>
              <w:t>2026-10-30</w:t>
            </w:r>
          </w:p>
        </w:tc>
        <w:tc>
          <w:tcPr>
            <w:tcW w:type="dxa" w:w="1440"/>
            <w:shd w:fill="C6EFCE" w:val="clear"/>
          </w:tcPr>
          <w:p>
            <w:r>
              <w:rPr>
                <w:sz w:val="17"/>
              </w:rPr>
              <w:t>2,507</w:t>
            </w:r>
          </w:p>
        </w:tc>
        <w:tc>
          <w:tcPr>
            <w:tcW w:type="dxa" w:w="1440"/>
            <w:shd w:fill="C6EFCE" w:val="clear"/>
          </w:tcPr>
          <w:p>
            <w:r>
              <w:rPr>
                <w:b/>
                <w:sz w:val="17"/>
              </w:rPr>
              <w:t>3,082</w:t>
            </w:r>
          </w:p>
        </w:tc>
        <w:tc>
          <w:tcPr>
            <w:tcW w:type="dxa" w:w="1440"/>
            <w:shd w:fill="C6EFCE" w:val="clear"/>
          </w:tcPr>
          <w:p>
            <w:r>
              <w:rPr>
                <w:sz w:val="17"/>
              </w:rPr>
              <w:t>3,658</w:t>
            </w:r>
          </w:p>
        </w:tc>
        <w:tc>
          <w:tcPr>
            <w:tcW w:type="dxa" w:w="1440"/>
            <w:shd w:fill="C6EFCE" w:val="clear"/>
          </w:tcPr>
          <w:p>
            <w:r>
              <w:rPr>
                <w:b/>
                <w:color w:val="008000"/>
                <w:sz w:val="17"/>
              </w:rPr>
              <w:t>+35.8%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pPr>
      <w:r>
        <w:t># RAPPORT D'ANALYSE FINANCIÈRE — SCRC (SUCRIVOIRE SA)</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SCRC s'établit à 44,49 milliards FCFA, un niveau modeste à l'échelle de la BRVM qui la classe parmi les valeurs de second rang du compartiment agro-industriel. Le BPA ressort à -406 FCFA/action, traduisant une société déficitaire dont chaque action détruit de la valeur comptable, ce qui rend le PER de -5,6x mécaniquement négatif et donc non interprétable en termes de « cher/pas cher » — il signale simplement l'absence de bénéfices positifs. Le P/B de 2,58x mérite attention : le marché valorise SCRC à 2,6 fois ses fonds propres (17,24 Mds FCFA) alors même que la société est en perte, ce qui constitue une prime de croissance difficile à justifier au regard des fondamentaux actuels. L'EV/EBITDA de 9,2x se situe dans la fourchette raisonnable de 5-10x, suggérant que la valeur d'entreprise reste cohérente avec la capacité opérationnelle (EBE de 14,85 Mds FCFA), mais cette lecture est tempérée par un endettement massif qui gonfle la valeur d'entreprise.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SCRC affiche une variation totale légèrement positive de +2,95%, mais la dernière séance a été marquée par une chute brutale de -3,20%, ramenant le cours à 2 270 FCFA. Le range de trading est particulièrement large, avec un plus haut à 3 920 FCFA et un plus bas à 2 205 FCFA — soit un écart de plus de 77% entre les extrêmes — ce qui traduit une tendance globale baissière depuis les sommets, le cours actuel se situant à seulement 2,9% au-dessus de son plancher. Les statistiques descriptives révèlent une distribution asymétrique : la moyenne (3 196 FCFA) est inférieure à la médiane (3 298 FCFA), confirmant un skewness négatif de -0,527 indiquant davantage de journées de baisse que de hausse, avec des mouvements baissiers plus amples. L'écart-type de 426 FCFA (CV de 13,3%) traduit une dispersion modérée autour de la moyenne, tandis que le kurtosis de -0,820 (mésokurtique) suggère une distribution proche de la normale, sans pics extrêmes marqués — un comportement relativement « sage » pour un titre en difficulté. La volatilité annualisée de 53,8% classe SCRC dans la catégorie des titres à volatilité élevée (&gt;30%), ce qui est cohérent avec un profil de valeur en retournement, exposée à des annonces financières lourdes et à une liquidité limitée (volume moyen de 10 341 titres/jour).</w:t>
      </w:r>
    </w:p>
    <w:p>
      <w:pPr>
        <w:spacing w:after="120" w:line="276" w:lineRule="auto"/>
      </w:pPr>
      <w:r>
        <w:t>---</w:t>
      </w:r>
    </w:p>
    <w:p>
      <w:pPr>
        <w:spacing w:after="120" w:line="276" w:lineRule="auto"/>
      </w:pPr>
      <w:r>
        <w:t>## PARTIE 2 : ANALYSE TECHNIQUE DÉTAILLÉE</w:t>
      </w:r>
    </w:p>
    <w:p>
      <w:pPr>
        <w:spacing w:after="120" w:line="276" w:lineRule="auto"/>
      </w:pPr>
      <w:r>
        <w:t>**Moyennes Mobiles** : La MM20 (2 736 FCFA) et la MM50 (3 214,6 FCFA) se situent toutes deux nettement au-dessus du cours actuel (2 270 FCFA), avec un écart de 466 FCFA pour la MM20 et de 944 FCFA pour la MM50. Cette configuration baissière — cours sous les deux moyennes, et MM20 sous MM50 — confirme une tendance descendante structurée, justifiant la décision technique de **Vente**.</w:t>
      </w:r>
    </w:p>
    <w:p>
      <w:pPr>
        <w:spacing w:after="120" w:line="276" w:lineRule="auto"/>
      </w:pPr>
      <w:r>
        <w:t>**Bandes de Bollinger** : Le cours (2 270 FCFA) évolue très près de la borne inférieure (2 177,88 FCFA), à seulement 92 FCFA de celle-ci, tandis que la borne supérieure se situe à 3 294,12 FCFA. Cette position basse dans le canal traduit une pression vendeuse persistante, mais l'absence de cassure franche de la borne inférieure maintient la décision **Neutre** — le titre est en zone de survente sans signal de rebond confirmé.</w:t>
      </w:r>
    </w:p>
    <w:p>
      <w:pPr>
        <w:spacing w:after="120" w:line="276" w:lineRule="auto"/>
      </w:pPr>
      <w:r>
        <w:t>**MACD** : La valeur du MACD (-257,53) est inférieure à sa ligne de signal (-225,71), avec un histogramme négatif de -31,82. Cette divergence baissière persistante indique un momentum négatif toujours actif, sans signe de retournement, justifiant la décision de **Vente**.</w:t>
      </w:r>
    </w:p>
    <w:p>
      <w:pPr>
        <w:spacing w:after="120" w:line="276" w:lineRule="auto"/>
      </w:pPr>
      <w:r>
        <w:t>**RSI** : À 2,299, le RSI est en zone de survente extrême (seuil &lt;30), un niveau exceptionnellement bas qui signale un épuisement des vendeurs et un potentiel de rebond technique. Cette lecture justifie la décision d'**Achat** — le titre est techniquement survendu à un point rare.</w:t>
      </w:r>
    </w:p>
    <w:p>
      <w:pPr>
        <w:spacing w:after="120" w:line="276" w:lineRule="auto"/>
      </w:pPr>
      <w:r>
        <w:t>**Stochastique** : Le %K et le %D sont tous deux à 0,0, en zone de survente absolue avec un croisement nul. Cette configuration extrême confirme la décision d'**Achat** par un signal de retournement potentiel, bien que l'absence de croisement haussier effectif invite à la prudence.</w:t>
      </w:r>
    </w:p>
    <w:p>
      <w:pPr>
        <w:spacing w:after="120" w:line="276" w:lineRule="auto"/>
      </w:pPr>
      <w:r>
        <w:t>**Conclusion technique** : Les indicateurs présentent une divergence frappante — les moyennes mobiles et le MACD confirment une tendance baissière structurelle (Vente), tandis que le RSI (2,3) et le stochastique (0,0) signalent une survente extrême (Achat). Cette configuration est typique d'un titre en chute libre ayant atteint un plancher technique, où le rebond est probable mais fragile. La convergence des signaux de survente suggère qu'un rebond technique à court terme est possible, mais la tendance de fond reste baissière tant que le cours n'aura pas reconquis la MM20 (2 736 FCFA).</w:t>
      </w:r>
    </w:p>
    <w:p>
      <w:pPr>
        <w:spacing w:after="120" w:line="276" w:lineRule="auto"/>
      </w:pPr>
      <w:r>
        <w:t>---</w:t>
      </w:r>
    </w:p>
    <w:p>
      <w:pPr>
        <w:spacing w:after="120" w:line="276" w:lineRule="auto"/>
      </w:pPr>
      <w:r>
        <w:t>## PARTIE 3 : ANALYSE FONDAMENTALE (SECTION CRITIQUE)</w:t>
      </w:r>
    </w:p>
    <w:p>
      <w:pPr>
        <w:spacing w:after="120" w:line="276" w:lineRule="auto"/>
      </w:pPr>
      <w:r>
        <w:t>Les états financiers 2025 de SCRC (exercice clos au 31/12/2025, rapport analysé le 19/05/2026) révèlent une situation profondément dégradée : le chiffre d'affaires recule de -7,6% à 80,57 Mds FCFA (contre 87,22 Mds en 2024), tandis que le résultat net bascule en perte massive de -7,95 Mds FCFA (contre un bénéfice de +2,47 Mds en 2024), soit une dégradation de 421%. Les ratios de rentabilité sont tous négatifs : ROE de -46,13%, ROA de -5,08%, marge nette de -9,87% et marge opérationnelle de -0,68%, confirmant que l'exploitation courante ne génère plus de profit. La structure financière est critique : l'autonomie financière n'est que de 11,02% (capitaux propres de 17,24 Mds pour un total bilan de 156,43 Mds), le ratio d'endettement atteint 88,98% et la dépendance financière 492,21%, avec des dettes financières totales de 84,87 Mds FCFA — dont 45,92 Mds à long/moyen terme — générant des charges financières de 6,79 Mds FCFA (multipliées par 3,6 selon le rapport 2025). La liquidité est préoccupante : liquidité générale de 74,53% (&lt;1), trésorerie nette de -6,505 Mds FCFA et fonds de roulement négatif de -10,665 Mds. Concernant le cycle d'exploitation, le délai clients est court (12,28 jours, bon signe), mais la durée de stockage atteint 360,73 jours — un niveau anormalement élevé qui immobilise massivement le capital — et le délai fournisseurs de 366,07 jours traduit un étirement des paiements, signe de tension de trésorerie. La capacité de remboursement est de 11,21 années de CAF (7,57 Mds FCFA), et la couverture des intérêts est négative (-8,03%), signifiant que l'exploitation ne couvre plus les charges financières. Les rapports trimestriels 2025 confirment la trajectoire : le T1 2025 (rapport du 31/03/2025) affichait déjà un CA en baisse de -13% à 25,09 Mds avec un résultat net de 3,21 Mds en repli de -32%, et le S1 2025 (rapport du 30/06/2025) plongeait en perte de -6,71 Mds FCFA avec un résultat d'exploitation négatif de -3,18 Mds. **Recommandation fondamentale** : la solidité financière est compromise par un endettement insoutenable, une rentabilité négative et une trésorerie négative ; les perspectives 2026 dépendront impérativement d'une restructuration de la dette et d'un retour à la profitabilité opérationnelle, mais les signaux actuels sont alarmants.</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de risque exceptionnellement élevé avec des signaux contradictoires. **Valorisation** : le PER négatif (-5,6x) et le P/B de 2,58x indiquent que le marché valorise encore une prime de croissance (2,6x les fonds propres) malgré les pertes, ce qui constitue une surévaluation relative au regard des fondamentaux — l'EV/EBITDA de 9,2x reste toutefois dans la norme. **Comportement du cours** : la tendance est baissière (cours à 2,9% du plancher), avec une volatilité élevée (53,8%) et un skewness négatif (-0,527) signalant une pression vendeuse dominante, bien que le kurtosis mésokurtique (-0,820) n'annonce pas de pics extrêmes. **Signaux techniques** : divergence majeure entre la tendance baissière (MM20/MM50, MACD en Vente) et la survente extrême (RSI à 2,3, Stochastique à 0,0 en Achat) — configuration de rebond technique possible mais fragile. **Fondamentaux** : situation critique (perte nette de -7,95 Mds en 2025, ROE de -46%, endettement à 88,98%, trésorerie nette négative de -6,5 Mds), avec des rapports trimestriels 2025 confirmant la dégradation continue. **Prédictions IA (J+1 à J+10)** : la trajectoire projetée (2 344 → 2 745 FCFA, soit +20,9% sur 5 séances) anticipe un rebond technique cohérent avec la survente extrême du RSI et du stochastique, mais contredit la tendance fondamentale baissière. **Recommandation finale : VENTE** — la convergence des fondamentaux dégradés (perte massive, endettement insoutenable, trésorerie négative) et de la tendance technique baissière l'emporte sur le rebond technique anticipé par les prédictions IA, qui apparaît comme un sursaut spéculatif sans soutien fondamental. Le niveau de confiance est **Moyen** (les signaux de survente pourraient générer un rebond court terme, mais le risque de défaut est réel), le niveau de risque global est **Élevé**, et l'horizon d'investissement recommandé est **court terme** (&lt;3 mois) pour les investisseurs déjà positionnés souhaitant profiter d'un éventuel rebond technique, avec un stop-loss strict sous 2 205 FCFA ; les nouveaux entrants doivent s'abstenir jusqu'à confirmation d'une restructuration financière et d'un retour à la profitabilité opérationnelle.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30.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116.10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1,517 titres</w:t>
            </w:r>
          </w:p>
        </w:tc>
        <w:tc>
          <w:tcPr>
            <w:tcW w:type="dxa" w:w="2268"/>
            <w:shd w:fill="FFF2CC" w:val="clear"/>
          </w:tcPr>
          <w:p>
            <w:r>
              <w:rPr>
                <w:b/>
                <w:color w:val="503200"/>
                <w:sz w:val="16"/>
              </w:rPr>
              <w:t xml:space="preserve">Cours actuel : </w:t>
            </w:r>
            <w:r>
              <w:rPr>
                <w:color w:val="000000"/>
                <w:sz w:val="17"/>
              </w:rPr>
              <w:t>12,900 FCFA</w:t>
            </w:r>
          </w:p>
          <w:p>
            <w:r>
              <w:rPr>
                <w:b/>
                <w:color w:val="503200"/>
                <w:sz w:val="16"/>
              </w:rPr>
              <w:t xml:space="preserve">Var. 100 jours : </w:t>
            </w:r>
            <w:r>
              <w:rPr>
                <w:b/>
                <w:color w:val="007800"/>
                <w:sz w:val="17"/>
              </w:rPr>
              <w:t>+16.16%</w:t>
            </w:r>
          </w:p>
          <w:p>
            <w:r>
              <w:rPr>
                <w:b/>
                <w:color w:val="503200"/>
                <w:sz w:val="16"/>
              </w:rPr>
              <w:t xml:space="preserve">Plus haut 100j : </w:t>
            </w:r>
            <w:r>
              <w:rPr>
                <w:color w:val="000000"/>
                <w:sz w:val="17"/>
              </w:rPr>
              <w:t>13,885 FCFA</w:t>
            </w:r>
          </w:p>
          <w:p>
            <w:r>
              <w:rPr>
                <w:b/>
                <w:color w:val="503200"/>
                <w:sz w:val="16"/>
              </w:rPr>
              <w:t xml:space="preserve">Plus bas 100j : </w:t>
            </w:r>
            <w:r>
              <w:rPr>
                <w:color w:val="000000"/>
                <w:sz w:val="17"/>
              </w:rPr>
              <w:t>11,000 FCFA</w:t>
            </w:r>
          </w:p>
          <w:p>
            <w:r>
              <w:rPr>
                <w:b/>
                <w:color w:val="503200"/>
                <w:sz w:val="16"/>
              </w:rPr>
              <w:t xml:space="preserve">Volatilité ann. : </w:t>
            </w:r>
            <w:r>
              <w:rPr>
                <w:color w:val="000000"/>
                <w:sz w:val="17"/>
              </w:rPr>
              <w:t>37.3%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5.78% (Moyenne) — μ=12,195 FCFA, σ=704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β=0.7370 (Défensif) — Cov=0.000056, Var(idx)=0.000076, ρ=0.272,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1,517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σ_j=2.35%/j (Stable) — Vol. annualisée≈37.3%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2026-10-19</w:t>
            </w:r>
          </w:p>
        </w:tc>
        <w:tc>
          <w:tcPr>
            <w:tcW w:type="dxa" w:w="1440"/>
            <w:shd w:fill="FAFAFA" w:val="clear"/>
          </w:tcPr>
          <w:p>
            <w:r>
              <w:rPr>
                <w:sz w:val="17"/>
              </w:rPr>
              <w:t>12,260</w:t>
            </w:r>
          </w:p>
        </w:tc>
        <w:tc>
          <w:tcPr>
            <w:tcW w:type="dxa" w:w="1440"/>
            <w:shd w:fill="FAFAFA" w:val="clear"/>
          </w:tcPr>
          <w:p>
            <w:r>
              <w:rPr>
                <w:b/>
                <w:sz w:val="17"/>
              </w:rPr>
              <w:t>12,948</w:t>
            </w:r>
          </w:p>
        </w:tc>
        <w:tc>
          <w:tcPr>
            <w:tcW w:type="dxa" w:w="1440"/>
            <w:shd w:fill="FAFAFA" w:val="clear"/>
          </w:tcPr>
          <w:p>
            <w:r>
              <w:rPr>
                <w:sz w:val="17"/>
              </w:rPr>
              <w:t>13,635</w:t>
            </w:r>
          </w:p>
        </w:tc>
        <w:tc>
          <w:tcPr>
            <w:tcW w:type="dxa" w:w="1440"/>
            <w:shd w:fill="FAFAFA" w:val="clear"/>
          </w:tcPr>
          <w:p>
            <w:r>
              <w:rPr>
                <w:b/>
                <w:color w:val="008000"/>
                <w:sz w:val="17"/>
              </w:rPr>
              <w:t>+0.4%</w:t>
            </w:r>
          </w:p>
        </w:tc>
      </w:tr>
      <w:tr>
        <w:tc>
          <w:tcPr>
            <w:tcW w:type="dxa" w:w="1440"/>
            <w:shd w:fill="FAFAFA" w:val="clear"/>
          </w:tcPr>
          <w:p>
            <w:r>
              <w:rPr>
                <w:sz w:val="17"/>
              </w:rPr>
              <w:t>J+2  ⭐</w:t>
            </w:r>
          </w:p>
        </w:tc>
        <w:tc>
          <w:tcPr>
            <w:tcW w:type="dxa" w:w="1440"/>
            <w:shd w:fill="FAFAFA" w:val="clear"/>
          </w:tcPr>
          <w:p>
            <w:r>
              <w:rPr>
                <w:sz w:val="17"/>
              </w:rPr>
              <w:t>2026-10-20</w:t>
            </w:r>
          </w:p>
        </w:tc>
        <w:tc>
          <w:tcPr>
            <w:tcW w:type="dxa" w:w="1440"/>
            <w:shd w:fill="FAFAFA" w:val="clear"/>
          </w:tcPr>
          <w:p>
            <w:r>
              <w:rPr>
                <w:sz w:val="17"/>
              </w:rPr>
              <w:t>12,001</w:t>
            </w:r>
          </w:p>
        </w:tc>
        <w:tc>
          <w:tcPr>
            <w:tcW w:type="dxa" w:w="1440"/>
            <w:shd w:fill="FAFAFA" w:val="clear"/>
          </w:tcPr>
          <w:p>
            <w:r>
              <w:rPr>
                <w:b/>
                <w:sz w:val="17"/>
              </w:rPr>
              <w:t>12,976</w:t>
            </w:r>
          </w:p>
        </w:tc>
        <w:tc>
          <w:tcPr>
            <w:tcW w:type="dxa" w:w="1440"/>
            <w:shd w:fill="FAFAFA" w:val="clear"/>
          </w:tcPr>
          <w:p>
            <w:r>
              <w:rPr>
                <w:sz w:val="17"/>
              </w:rPr>
              <w:t>13,950</w:t>
            </w:r>
          </w:p>
        </w:tc>
        <w:tc>
          <w:tcPr>
            <w:tcW w:type="dxa" w:w="1440"/>
            <w:shd w:fill="FAFAFA" w:val="clear"/>
          </w:tcPr>
          <w:p>
            <w:r>
              <w:rPr>
                <w:b/>
                <w:color w:val="008000"/>
                <w:sz w:val="17"/>
              </w:rPr>
              <w:t>+0.6%</w:t>
            </w:r>
          </w:p>
        </w:tc>
      </w:tr>
      <w:tr>
        <w:tc>
          <w:tcPr>
            <w:tcW w:type="dxa" w:w="1440"/>
            <w:shd w:fill="FAFAFA" w:val="clear"/>
          </w:tcPr>
          <w:p>
            <w:r>
              <w:rPr>
                <w:sz w:val="17"/>
              </w:rPr>
              <w:t>J+3  ⭐</w:t>
            </w:r>
          </w:p>
        </w:tc>
        <w:tc>
          <w:tcPr>
            <w:tcW w:type="dxa" w:w="1440"/>
            <w:shd w:fill="FAFAFA" w:val="clear"/>
          </w:tcPr>
          <w:p>
            <w:r>
              <w:rPr>
                <w:sz w:val="17"/>
              </w:rPr>
              <w:t>2026-10-21</w:t>
            </w:r>
          </w:p>
        </w:tc>
        <w:tc>
          <w:tcPr>
            <w:tcW w:type="dxa" w:w="1440"/>
            <w:shd w:fill="FAFAFA" w:val="clear"/>
          </w:tcPr>
          <w:p>
            <w:r>
              <w:rPr>
                <w:sz w:val="17"/>
              </w:rPr>
              <w:t>11,804</w:t>
            </w:r>
          </w:p>
        </w:tc>
        <w:tc>
          <w:tcPr>
            <w:tcW w:type="dxa" w:w="1440"/>
            <w:shd w:fill="FAFAFA" w:val="clear"/>
          </w:tcPr>
          <w:p>
            <w:r>
              <w:rPr>
                <w:b/>
                <w:sz w:val="17"/>
              </w:rPr>
              <w:t>12,999</w:t>
            </w:r>
          </w:p>
        </w:tc>
        <w:tc>
          <w:tcPr>
            <w:tcW w:type="dxa" w:w="1440"/>
            <w:shd w:fill="FAFAFA" w:val="clear"/>
          </w:tcPr>
          <w:p>
            <w:r>
              <w:rPr>
                <w:sz w:val="17"/>
              </w:rPr>
              <w:t>14,195</w:t>
            </w:r>
          </w:p>
        </w:tc>
        <w:tc>
          <w:tcPr>
            <w:tcW w:type="dxa" w:w="1440"/>
            <w:shd w:fill="FAFAFA" w:val="clear"/>
          </w:tcPr>
          <w:p>
            <w:r>
              <w:rPr>
                <w:b/>
                <w:color w:val="008000"/>
                <w:sz w:val="17"/>
              </w:rPr>
              <w:t>+0.8%</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11,638</w:t>
            </w:r>
          </w:p>
        </w:tc>
        <w:tc>
          <w:tcPr>
            <w:tcW w:type="dxa" w:w="1440"/>
            <w:shd w:fill="FAFAFA" w:val="clear"/>
          </w:tcPr>
          <w:p>
            <w:r>
              <w:rPr>
                <w:b/>
                <w:sz w:val="17"/>
              </w:rPr>
              <w:t>13,021</w:t>
            </w:r>
          </w:p>
        </w:tc>
        <w:tc>
          <w:tcPr>
            <w:tcW w:type="dxa" w:w="1440"/>
            <w:shd w:fill="FAFAFA" w:val="clear"/>
          </w:tcPr>
          <w:p>
            <w:r>
              <w:rPr>
                <w:sz w:val="17"/>
              </w:rPr>
              <w:t>14,404</w:t>
            </w:r>
          </w:p>
        </w:tc>
        <w:tc>
          <w:tcPr>
            <w:tcW w:type="dxa" w:w="1440"/>
            <w:shd w:fill="FAFAFA" w:val="clear"/>
          </w:tcPr>
          <w:p>
            <w:r>
              <w:rPr>
                <w:b/>
                <w:color w:val="008000"/>
                <w:sz w:val="17"/>
              </w:rPr>
              <w:t>+0.9%</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11,490</w:t>
            </w:r>
          </w:p>
        </w:tc>
        <w:tc>
          <w:tcPr>
            <w:tcW w:type="dxa" w:w="1440"/>
            <w:shd w:fill="FAFAFA" w:val="clear"/>
          </w:tcPr>
          <w:p>
            <w:r>
              <w:rPr>
                <w:b/>
                <w:sz w:val="17"/>
              </w:rPr>
              <w:t>13,038</w:t>
            </w:r>
          </w:p>
        </w:tc>
        <w:tc>
          <w:tcPr>
            <w:tcW w:type="dxa" w:w="1440"/>
            <w:shd w:fill="FAFAFA" w:val="clear"/>
          </w:tcPr>
          <w:p>
            <w:r>
              <w:rPr>
                <w:sz w:val="17"/>
              </w:rPr>
              <w:t>14,586</w:t>
            </w:r>
          </w:p>
        </w:tc>
        <w:tc>
          <w:tcPr>
            <w:tcW w:type="dxa" w:w="1440"/>
            <w:shd w:fill="FAFAFA" w:val="clear"/>
          </w:tcPr>
          <w:p>
            <w:r>
              <w:rPr>
                <w:b/>
                <w:color w:val="008000"/>
                <w:sz w:val="17"/>
              </w:rPr>
              <w:t>+1.1%</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11,353</w:t>
            </w:r>
          </w:p>
        </w:tc>
        <w:tc>
          <w:tcPr>
            <w:tcW w:type="dxa" w:w="1440"/>
            <w:shd w:fill="FAFAFA" w:val="clear"/>
          </w:tcPr>
          <w:p>
            <w:r>
              <w:rPr>
                <w:b/>
                <w:sz w:val="17"/>
              </w:rPr>
              <w:t>13,051</w:t>
            </w:r>
          </w:p>
        </w:tc>
        <w:tc>
          <w:tcPr>
            <w:tcW w:type="dxa" w:w="1440"/>
            <w:shd w:fill="FAFAFA" w:val="clear"/>
          </w:tcPr>
          <w:p>
            <w:r>
              <w:rPr>
                <w:sz w:val="17"/>
              </w:rPr>
              <w:t>14,748</w:t>
            </w:r>
          </w:p>
        </w:tc>
        <w:tc>
          <w:tcPr>
            <w:tcW w:type="dxa" w:w="1440"/>
            <w:shd w:fill="FAFAFA" w:val="clear"/>
          </w:tcPr>
          <w:p>
            <w:r>
              <w:rPr>
                <w:b/>
                <w:color w:val="008000"/>
                <w:sz w:val="17"/>
              </w:rPr>
              <w:t>+1.2%</w:t>
            </w:r>
          </w:p>
        </w:tc>
      </w:tr>
      <w:tr>
        <w:tc>
          <w:tcPr>
            <w:tcW w:type="dxa" w:w="1440"/>
            <w:shd w:fill="FAFAFA" w:val="clear"/>
          </w:tcPr>
          <w:p>
            <w:r>
              <w:rPr>
                <w:sz w:val="17"/>
              </w:rPr>
              <w:t>J+7  ⭐</w:t>
            </w:r>
          </w:p>
        </w:tc>
        <w:tc>
          <w:tcPr>
            <w:tcW w:type="dxa" w:w="1440"/>
            <w:shd w:fill="FAFAFA" w:val="clear"/>
          </w:tcPr>
          <w:p>
            <w:r>
              <w:rPr>
                <w:sz w:val="17"/>
              </w:rPr>
              <w:t>2026-10-27</w:t>
            </w:r>
          </w:p>
        </w:tc>
        <w:tc>
          <w:tcPr>
            <w:tcW w:type="dxa" w:w="1440"/>
            <w:shd w:fill="FAFAFA" w:val="clear"/>
          </w:tcPr>
          <w:p>
            <w:r>
              <w:rPr>
                <w:sz w:val="17"/>
              </w:rPr>
              <w:t>11,227</w:t>
            </w:r>
          </w:p>
        </w:tc>
        <w:tc>
          <w:tcPr>
            <w:tcW w:type="dxa" w:w="1440"/>
            <w:shd w:fill="FAFAFA" w:val="clear"/>
          </w:tcPr>
          <w:p>
            <w:r>
              <w:rPr>
                <w:b/>
                <w:sz w:val="17"/>
              </w:rPr>
              <w:t>13,063</w:t>
            </w:r>
          </w:p>
        </w:tc>
        <w:tc>
          <w:tcPr>
            <w:tcW w:type="dxa" w:w="1440"/>
            <w:shd w:fill="FAFAFA" w:val="clear"/>
          </w:tcPr>
          <w:p>
            <w:r>
              <w:rPr>
                <w:sz w:val="17"/>
              </w:rPr>
              <w:t>14,898</w:t>
            </w:r>
          </w:p>
        </w:tc>
        <w:tc>
          <w:tcPr>
            <w:tcW w:type="dxa" w:w="1440"/>
            <w:shd w:fill="FAFAFA" w:val="clear"/>
          </w:tcPr>
          <w:p>
            <w:r>
              <w:rPr>
                <w:b/>
                <w:color w:val="008000"/>
                <w:sz w:val="17"/>
              </w:rPr>
              <w:t>+1.3%</w:t>
            </w:r>
          </w:p>
        </w:tc>
      </w:tr>
      <w:tr>
        <w:tc>
          <w:tcPr>
            <w:tcW w:type="dxa" w:w="1440"/>
            <w:shd w:fill="FAFAFA" w:val="clear"/>
          </w:tcPr>
          <w:p>
            <w:r>
              <w:rPr>
                <w:sz w:val="17"/>
              </w:rPr>
              <w:t>J+8  ⭐</w:t>
            </w:r>
          </w:p>
        </w:tc>
        <w:tc>
          <w:tcPr>
            <w:tcW w:type="dxa" w:w="1440"/>
            <w:shd w:fill="FAFAFA" w:val="clear"/>
          </w:tcPr>
          <w:p>
            <w:r>
              <w:rPr>
                <w:sz w:val="17"/>
              </w:rPr>
              <w:t>2026-10-28</w:t>
            </w:r>
          </w:p>
        </w:tc>
        <w:tc>
          <w:tcPr>
            <w:tcW w:type="dxa" w:w="1440"/>
            <w:shd w:fill="FAFAFA" w:val="clear"/>
          </w:tcPr>
          <w:p>
            <w:r>
              <w:rPr>
                <w:sz w:val="17"/>
              </w:rPr>
              <w:t>11,113</w:t>
            </w:r>
          </w:p>
        </w:tc>
        <w:tc>
          <w:tcPr>
            <w:tcW w:type="dxa" w:w="1440"/>
            <w:shd w:fill="FAFAFA" w:val="clear"/>
          </w:tcPr>
          <w:p>
            <w:r>
              <w:rPr>
                <w:b/>
                <w:sz w:val="17"/>
              </w:rPr>
              <w:t>13,077</w:t>
            </w:r>
          </w:p>
        </w:tc>
        <w:tc>
          <w:tcPr>
            <w:tcW w:type="dxa" w:w="1440"/>
            <w:shd w:fill="FAFAFA" w:val="clear"/>
          </w:tcPr>
          <w:p>
            <w:r>
              <w:rPr>
                <w:sz w:val="17"/>
              </w:rPr>
              <w:t>15,042</w:t>
            </w:r>
          </w:p>
        </w:tc>
        <w:tc>
          <w:tcPr>
            <w:tcW w:type="dxa" w:w="1440"/>
            <w:shd w:fill="FAFAFA" w:val="clear"/>
          </w:tcPr>
          <w:p>
            <w:r>
              <w:rPr>
                <w:b/>
                <w:color w:val="008000"/>
                <w:sz w:val="17"/>
              </w:rPr>
              <w:t>+1.4%</w:t>
            </w:r>
          </w:p>
        </w:tc>
      </w:tr>
      <w:tr>
        <w:tc>
          <w:tcPr>
            <w:tcW w:type="dxa" w:w="1440"/>
            <w:shd w:fill="FAFAFA" w:val="clear"/>
          </w:tcPr>
          <w:p>
            <w:r>
              <w:rPr>
                <w:sz w:val="17"/>
              </w:rPr>
              <w:t>J+9  ⭐</w:t>
            </w:r>
          </w:p>
        </w:tc>
        <w:tc>
          <w:tcPr>
            <w:tcW w:type="dxa" w:w="1440"/>
            <w:shd w:fill="FAFAFA" w:val="clear"/>
          </w:tcPr>
          <w:p>
            <w:r>
              <w:rPr>
                <w:sz w:val="17"/>
              </w:rPr>
              <w:t>2026-10-29</w:t>
            </w:r>
          </w:p>
        </w:tc>
        <w:tc>
          <w:tcPr>
            <w:tcW w:type="dxa" w:w="1440"/>
            <w:shd w:fill="FAFAFA" w:val="clear"/>
          </w:tcPr>
          <w:p>
            <w:r>
              <w:rPr>
                <w:sz w:val="17"/>
              </w:rPr>
              <w:t>11,002</w:t>
            </w:r>
          </w:p>
        </w:tc>
        <w:tc>
          <w:tcPr>
            <w:tcW w:type="dxa" w:w="1440"/>
            <w:shd w:fill="FAFAFA" w:val="clear"/>
          </w:tcPr>
          <w:p>
            <w:r>
              <w:rPr>
                <w:b/>
                <w:sz w:val="17"/>
              </w:rPr>
              <w:t>13,086</w:t>
            </w:r>
          </w:p>
        </w:tc>
        <w:tc>
          <w:tcPr>
            <w:tcW w:type="dxa" w:w="1440"/>
            <w:shd w:fill="FAFAFA" w:val="clear"/>
          </w:tcPr>
          <w:p>
            <w:r>
              <w:rPr>
                <w:sz w:val="17"/>
              </w:rPr>
              <w:t>15,171</w:t>
            </w:r>
          </w:p>
        </w:tc>
        <w:tc>
          <w:tcPr>
            <w:tcW w:type="dxa" w:w="1440"/>
            <w:shd w:fill="FAFAFA" w:val="clear"/>
          </w:tcPr>
          <w:p>
            <w:r>
              <w:rPr>
                <w:b/>
                <w:color w:val="008000"/>
                <w:sz w:val="17"/>
              </w:rPr>
              <w:t>+1.4%</w:t>
            </w:r>
          </w:p>
        </w:tc>
      </w:tr>
      <w:tr>
        <w:tc>
          <w:tcPr>
            <w:tcW w:type="dxa" w:w="1440"/>
            <w:shd w:fill="FAFAFA" w:val="clear"/>
          </w:tcPr>
          <w:p>
            <w:r>
              <w:rPr>
                <w:sz w:val="17"/>
              </w:rPr>
              <w:t>J+10  ⭐</w:t>
            </w:r>
          </w:p>
        </w:tc>
        <w:tc>
          <w:tcPr>
            <w:tcW w:type="dxa" w:w="1440"/>
            <w:shd w:fill="FAFAFA" w:val="clear"/>
          </w:tcPr>
          <w:p>
            <w:r>
              <w:rPr>
                <w:sz w:val="17"/>
              </w:rPr>
              <w:t>2026-10-30</w:t>
            </w:r>
          </w:p>
        </w:tc>
        <w:tc>
          <w:tcPr>
            <w:tcW w:type="dxa" w:w="1440"/>
            <w:shd w:fill="FAFAFA" w:val="clear"/>
          </w:tcPr>
          <w:p>
            <w:r>
              <w:rPr>
                <w:sz w:val="17"/>
              </w:rPr>
              <w:t>10,894</w:t>
            </w:r>
          </w:p>
        </w:tc>
        <w:tc>
          <w:tcPr>
            <w:tcW w:type="dxa" w:w="1440"/>
            <w:shd w:fill="FAFAFA" w:val="clear"/>
          </w:tcPr>
          <w:p>
            <w:r>
              <w:rPr>
                <w:b/>
                <w:sz w:val="17"/>
              </w:rPr>
              <w:t>13,092</w:t>
            </w:r>
          </w:p>
        </w:tc>
        <w:tc>
          <w:tcPr>
            <w:tcW w:type="dxa" w:w="1440"/>
            <w:shd w:fill="FAFAFA" w:val="clear"/>
          </w:tcPr>
          <w:p>
            <w:r>
              <w:rPr>
                <w:sz w:val="17"/>
              </w:rPr>
              <w:t>15,291</w:t>
            </w:r>
          </w:p>
        </w:tc>
        <w:tc>
          <w:tcPr>
            <w:tcW w:type="dxa" w:w="1440"/>
            <w:shd w:fill="FAFAFA" w:val="clear"/>
          </w:tcPr>
          <w:p>
            <w:r>
              <w:rPr>
                <w:b/>
                <w:color w:val="008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 RAPPORT D'ANALYSE FINANCIÈRE — SDCC (SODECI)</w:t>
        <w:br/>
        <w:t>### Bourse Régionale des Valeurs Mobilières (BRVM) — Secteur : Eau &amp; Assainissement</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SDCC s'établit à **116,10 milliards FCFA**, un niveau significatif à l'échelle de la BRVM qui positionne la valeur parmi les capitalisations de premier plan du compartiment des entreprises non bancaires. Le **BPA de 518 FCFA/action** traduit la contribution bénéficiaire de chaque titre, tandis que le **PER de 24,9x** signale que les investisseurs paient près de 25 fois les bénéfices, soit un multiple nettement supérieur à la moyenne BRVM (8-12x) — le marché intègre donc une forte prime de croissance ou une surévaluation relative. Le **P/B de 5,89x**, très au-dessus du seuil de 4x, confirme cette valorisation exigeante : le marché paie près de six fois la valeur comptable, ce qui suppose une rentabilité future élevée et durable. Enfin, l'**EV/EBITDA de 14,9x**, dans le haut de la fourchette 10-15x, indique que la valeur d'entreprise rapportée à la capacité opérationnelle reste tendue, cohérente avec un profil de croissance attendue mais laissant peu de marge d'erreur.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SDCC affiche une **progression totale de +16,16%**, malgré un léger repli de **-0,65% sur la dernière séance**, le cours s'établissant à **12 900 FCFA**. Le range de trading s'étend de **11 000 FCFA** (plus bas) à **13 885 FCFA** (plus haut), soit une amplitude d'environ 26% qui témoigne d'une dynamique haussière réelle mais ponctuée de corrections. La tendance générale est donc **haussière**, portée par un cours actuel supérieur à la moyenne de la période. Les statistiques descriptives révèlent une **moyenne de 12 195 FCFA** légèrement supérieure à la **médiane de 12 000 FCFA** et au **mode de 11 900 FCFA**, suggérant une distribution légèrement tirée vers le haut par les pics récents. L'**écart-type de 708 FCFA (CV = 5,8%)** indique une dispersion modérée du cours autour de sa moyenne, tandis que le **kurtosis de -0,493 (mésokurtique)** et le **skewness de 0,411 (distribution symétrique)** confirment un comportement proche d'une loi normale, sans risque extrême de pics. La **volatilité annualisée de 37,3%** classe le titre dans la catégorie **élevée (&gt;30%)**, ce qui appelle à la prudence sur les horizons courts.</w:t>
      </w:r>
    </w:p>
    <w:p>
      <w:pPr>
        <w:spacing w:after="120" w:line="276" w:lineRule="auto"/>
      </w:pPr>
      <w:r>
        <w:t>---</w:t>
      </w:r>
    </w:p>
    <w:p>
      <w:pPr>
        <w:spacing w:after="120" w:line="276" w:lineRule="auto"/>
      </w:pPr>
      <w:r>
        <w:t>## PARTIE 2 : ANALYSE TECHNIQUE DÉTAILLÉE</w:t>
      </w:r>
    </w:p>
    <w:p>
      <w:pPr>
        <w:spacing w:after="120" w:line="276" w:lineRule="auto"/>
      </w:pPr>
      <w:r>
        <w:t>**Moyennes Mobiles** : La MM20 (12 635,0 FCFA) et la MM50 (12 635,2 FCFA) sont quasi confondues et **supérieures au cours actuel** (12 900 FCFA se situe en réalité au-dessus — écart de +265 FCFA), signalant que le titre évolue légèrement au-dessus de ses références de court et moyen terme. La décision affichée « Vente » traduit une configuration de croisement baissier ou de pression vendeuse récente, appelant à la vigilance.</w:t>
      </w:r>
    </w:p>
    <w:p>
      <w:pPr>
        <w:spacing w:after="120" w:line="276" w:lineRule="auto"/>
      </w:pPr>
      <w:r>
        <w:t>**Bandes de Bollinger** : Le cours (12 900 FCFA) se situe dans la partie haute de la bande, entre la borne inférieure (11 595,5 FCFA) et la borne supérieure (13 674,5 FCFA), sans franchissement. La décision « Neutre » reflète une volatilité contenue et une absence de signal directionnel fort, le titre évoluant dans un canal équilibré.</w:t>
      </w:r>
    </w:p>
    <w:p>
      <w:pPr>
        <w:spacing w:after="120" w:line="276" w:lineRule="auto"/>
      </w:pPr>
      <w:r>
        <w:t>**MACD** : La valeur du MACD (67,691) est **légèrement inférieure à son signal** (68,781), configuration baissière de court terme qui traduit un essoufflement du momentum haussier. La décision « Vente » confirme cette perte de dynamique, sans pour autant signaler un retournement majeur.</w:t>
      </w:r>
    </w:p>
    <w:p>
      <w:pPr>
        <w:spacing w:after="120" w:line="276" w:lineRule="auto"/>
      </w:pPr>
      <w:r>
        <w:t>**RSI** : À **68,587**, l'indicateur se situe en zone neutre haute, proche du seuil de surachat (70) sans le franchir. La décision « Neutre » suggère que le titre conserve un potentiel haussier résiduel mais approche d'une zone de tension acheteuse.</w:t>
      </w:r>
    </w:p>
    <w:p>
      <w:pPr>
        <w:spacing w:after="120" w:line="276" w:lineRule="auto"/>
      </w:pPr>
      <w:r>
        <w:t>**Stochastique** : Le %K (61,644) est légèrement inférieur au %D (64,428), sans croisement baissier marqué. La décision « Neutre » indique une absence de signal clair, le titre évoluant dans une phase de consolidation.</w:t>
      </w:r>
    </w:p>
    <w:p>
      <w:pPr>
        <w:spacing w:after="120" w:line="276" w:lineRule="auto"/>
      </w:pPr>
      <w:r>
        <w:t>**Conclusion technique** : Les indicateurs sont majoritairement **neutres à baissiers** (MM et MACD en « Vente », Bollinger/RSI/Stochastique en « Neutre »), dessinant une configuration de **consolidation après le rallye de +16%**. Le titre reste au-dessus de ses supports mais le momentum s'essouffle, plaidant pour une pause technique plutôt qu'un retournement franc.</w:t>
      </w:r>
    </w:p>
    <w:p>
      <w:pPr>
        <w:spacing w:after="120" w:line="276" w:lineRule="auto"/>
      </w:pPr>
      <w:r>
        <w:t>---</w:t>
      </w:r>
    </w:p>
    <w:p>
      <w:pPr>
        <w:spacing w:after="120" w:line="276" w:lineRule="auto"/>
      </w:pPr>
      <w:r>
        <w:t>## PARTIE 3 : ANALYSE FONDAMENTALE</w:t>
      </w:r>
    </w:p>
    <w:p>
      <w:pPr>
        <w:spacing w:after="120" w:line="276" w:lineRule="auto"/>
      </w:pPr>
      <w:r>
        <w:t>**En 2025**, les états financiers officiels de SDCC affichent un **chiffre d'affaires de 189,430 milliards FCFA** (+9,98% de croissance), un **résultat net de 4,663 milliards FCFA** (+31% selon le rapport 2025), une **marge nette de 2,46%** et un **ROE de 23,65%** — niveau excellent (&gt;15%) qui traduit une forte rentabilité des fonds propres malgré des capitaux propres limités (19,716 Mds FCFA). Le **ROA de 0,99%** reste faible, conséquence d'un total actif de 472,672 Mds FCFA dominé par les créances clients (388,852 Mds FCFA). Sur le plan du secteur « entreprise », le **délai clients de 749 jours** constitue un signal d'alerte majeur sur le risque de trésorerie, tandis que le **BFR de 104,748 Mds FCFA** et une **trésorerie nette de -61,710 Mds FCFA** confirment des tensions de financement persistantes ; l'autonomie financière de seulement **4,17%** et un ratio d'endettement de **95,83%** traduisent une structure bilancielle fragile, bien que la **couverture des intérêts (1 583%)** et la **capacité de remboursement (8,18 ans)** restent rassurantes. Les rapports narratifs confirment cette dynamique : le **T1 2026 (rapport 2026)** montre un CA en léger repli de -2% à 40 916 M FCFA mais un **résultat net bondissant de +118% à 1 318 M FCFA** grâce à la maîtrise des charges opérationnelles (résultat d'exploitation +150% à 2 730 M FCFA) ; le **rapport annuel 2025** confirme la croissance à deux chiffres (+10% CA, +31% RN) avec 2,27 millions de clients (+6,14%) et un dividende de **525 FCFA/action**. On estime, sur la base du T1 2026, que l'exercice 2026 pourrait confirmer l'amélioration de la rentabilité opérationnelle malgré un CA atone, mais la persistance des tensions de trésorerie (flux opérationnel négatif de -36,655 Mds FCFA en 2025) demeure le principal point de vigilance. La recommandation fondamentale est donc **CONSERVER** : solidité opérationnelle et dividende attractif, mais structure financière tendue et valorisation exigeante.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d'analyse dessine un profil contrasté. **Sur la valorisation (Partie 0)**, les multiples PER (24,9x), P/B (5,89x) et EV/EBITDA (14,9x) indiquent une **surévaluation relative** par rapport aux standards BRVM, le marché intégrant déjà une prime de croissance optimiste. **Le comportement du cours (Partie 1)** reste favorable (+16,16% sur 100 jours, tendance haussière, distribution symétrique et kurtosis normal), mais la volatilité élevée (37,3%) et le repli récent appellent à la prudence. **Les signaux techniques (Partie 2)** sont **majoritairement neutres à baissiers** (MM et MACD en vente, RSI proche du surachat), suggérant une consolidation après le rallye plutôt qu'une poursuite immédiate. **Les fondamentaux (Partie 3)** sont solides sur le plan opérationnel (ROE 23,65%, RN +31% en 2025, T1 2026 +118%) mais fragilisés par une trésorerie nette négative (-61,7 Mds FCFA), un délai clients de 749 jours et une autonomie financière de 4,17%. **Les prédictions IA (J+1 à J+10)** anticipent une trajectoire haussière modérée de 12 948 à 13 038 FCFA (+1,1% sur 5 séances), cohérente avec la tendance de fond mais en décalage avec le momentum technique actuel. Face à cette **divergence entre fondamental opérationnel solide, valorisation tendue et technique en consolidation**, la recommandation finale est **CONSERVER**, avec un **niveau de confiance moyen** et un **risque global moyen à élevé** (volatilité 37,3%, levier financier important). L'horizon d'investissement optimal est le **moyen terme (3-12 mois)**, le temps que les résultats 2026 confirment la dynamique bénéficiaire du T1 et que la valorisation se normalise ; un renforcement ne serait justifié qu'en cas de correction vers la zone de support de 11 600-12 000 FCFA.</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31.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156.23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17,316 titres</w:t>
            </w:r>
          </w:p>
        </w:tc>
        <w:tc>
          <w:tcPr>
            <w:tcW w:type="dxa" w:w="2268"/>
            <w:shd w:fill="FFF2CC" w:val="clear"/>
          </w:tcPr>
          <w:p>
            <w:r>
              <w:rPr>
                <w:b/>
                <w:color w:val="503200"/>
                <w:sz w:val="16"/>
              </w:rPr>
              <w:t xml:space="preserve">Cours actuel : </w:t>
            </w:r>
            <w:r>
              <w:rPr>
                <w:color w:val="000000"/>
                <w:sz w:val="17"/>
              </w:rPr>
              <w:t>2,870 FCFA</w:t>
            </w:r>
          </w:p>
          <w:p>
            <w:r>
              <w:rPr>
                <w:b/>
                <w:color w:val="503200"/>
                <w:sz w:val="16"/>
              </w:rPr>
              <w:t xml:space="preserve">Var. 100 jours : </w:t>
            </w:r>
            <w:r>
              <w:rPr>
                <w:b/>
                <w:color w:val="007800"/>
                <w:sz w:val="17"/>
              </w:rPr>
              <w:t>+69.82%</w:t>
            </w:r>
          </w:p>
          <w:p>
            <w:r>
              <w:rPr>
                <w:b/>
                <w:color w:val="503200"/>
                <w:sz w:val="16"/>
              </w:rPr>
              <w:t xml:space="preserve">Plus haut 100j : </w:t>
            </w:r>
            <w:r>
              <w:rPr>
                <w:color w:val="000000"/>
                <w:sz w:val="17"/>
              </w:rPr>
              <w:t>3,205 FCFA</w:t>
            </w:r>
          </w:p>
          <w:p>
            <w:r>
              <w:rPr>
                <w:b/>
                <w:color w:val="503200"/>
                <w:sz w:val="16"/>
              </w:rPr>
              <w:t xml:space="preserve">Plus bas 100j : </w:t>
            </w:r>
            <w:r>
              <w:rPr>
                <w:color w:val="000000"/>
                <w:sz w:val="17"/>
              </w:rPr>
              <w:t>1,690 FCFA</w:t>
            </w:r>
          </w:p>
          <w:p>
            <w:r>
              <w:rPr>
                <w:b/>
                <w:color w:val="503200"/>
                <w:sz w:val="16"/>
              </w:rPr>
              <w:t xml:space="preserve">Volatilité ann. : </w:t>
            </w:r>
            <w:r>
              <w:rPr>
                <w:color w:val="000000"/>
                <w:sz w:val="17"/>
              </w:rPr>
              <w:t>53.0%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16.8/100 → Faible</w:t>
      </w:r>
    </w:p>
    <w:p>
      <w:pPr>
        <w:spacing w:before="40" w:after="80"/>
      </w:pPr>
      <w:r>
        <w:rPr>
          <w:rFonts w:ascii="Courier New" w:hAnsi="Courier New"/>
          <w:color w:val="006400"/>
          <w:sz w:val="18"/>
        </w:rPr>
        <w:t>███░░░░░░░░░░░░░░░░░  16.8/100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13.95% (Moyenne) — μ=2,619 FCFA, σ=366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β=0.4586 (Défensif) — Cov=0.000035, Var(idx)=0.000076, ρ=0.122,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17,316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σ_j=3.34%/j (Modérée) — Vol. annualisée≈53.0%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35585"/>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2,720</w:t>
            </w:r>
          </w:p>
        </w:tc>
        <w:tc>
          <w:tcPr>
            <w:tcW w:type="dxa" w:w="1440"/>
            <w:shd w:fill="FAFAFA" w:val="clear"/>
          </w:tcPr>
          <w:p>
            <w:r>
              <w:rPr>
                <w:b/>
                <w:sz w:val="17"/>
              </w:rPr>
              <w:t>2,862</w:t>
            </w:r>
          </w:p>
        </w:tc>
        <w:tc>
          <w:tcPr>
            <w:tcW w:type="dxa" w:w="1440"/>
            <w:shd w:fill="FAFAFA" w:val="clear"/>
          </w:tcPr>
          <w:p>
            <w:r>
              <w:rPr>
                <w:sz w:val="17"/>
              </w:rPr>
              <w:t>3,005</w:t>
            </w:r>
          </w:p>
        </w:tc>
        <w:tc>
          <w:tcPr>
            <w:tcW w:type="dxa" w:w="1440"/>
            <w:shd w:fill="FAFAFA" w:val="clear"/>
          </w:tcPr>
          <w:p>
            <w:r>
              <w:rPr>
                <w:b/>
                <w:color w:val="C00000"/>
                <w:sz w:val="17"/>
              </w:rPr>
              <w:t>-0.3%</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2,674</w:t>
            </w:r>
          </w:p>
        </w:tc>
        <w:tc>
          <w:tcPr>
            <w:tcW w:type="dxa" w:w="1440"/>
            <w:shd w:fill="FAFAFA" w:val="clear"/>
          </w:tcPr>
          <w:p>
            <w:r>
              <w:rPr>
                <w:b/>
                <w:sz w:val="17"/>
              </w:rPr>
              <w:t>2,877</w:t>
            </w:r>
          </w:p>
        </w:tc>
        <w:tc>
          <w:tcPr>
            <w:tcW w:type="dxa" w:w="1440"/>
            <w:shd w:fill="FAFAFA" w:val="clear"/>
          </w:tcPr>
          <w:p>
            <w:r>
              <w:rPr>
                <w:sz w:val="17"/>
              </w:rPr>
              <w:t>3,080</w:t>
            </w:r>
          </w:p>
        </w:tc>
        <w:tc>
          <w:tcPr>
            <w:tcW w:type="dxa" w:w="1440"/>
            <w:shd w:fill="FAFAFA" w:val="clear"/>
          </w:tcPr>
          <w:p>
            <w:r>
              <w:rPr>
                <w:b/>
                <w:color w:val="008000"/>
                <w:sz w:val="17"/>
              </w:rPr>
              <w:t>+0.2%</w:t>
            </w:r>
          </w:p>
        </w:tc>
      </w:tr>
      <w:tr>
        <w:tc>
          <w:tcPr>
            <w:tcW w:type="dxa" w:w="1440"/>
            <w:shd w:fill="FAFAFA" w:val="clear"/>
          </w:tcPr>
          <w:p>
            <w:r>
              <w:rPr>
                <w:sz w:val="17"/>
              </w:rPr>
              <w:t>J+3  Moyenne</w:t>
            </w:r>
          </w:p>
        </w:tc>
        <w:tc>
          <w:tcPr>
            <w:tcW w:type="dxa" w:w="1440"/>
            <w:shd w:fill="FAFAFA" w:val="clear"/>
          </w:tcPr>
          <w:p>
            <w:r>
              <w:rPr>
                <w:sz w:val="17"/>
              </w:rPr>
              <w:t>2026-10-21</w:t>
            </w:r>
          </w:p>
        </w:tc>
        <w:tc>
          <w:tcPr>
            <w:tcW w:type="dxa" w:w="1440"/>
            <w:shd w:fill="FAFAFA" w:val="clear"/>
          </w:tcPr>
          <w:p>
            <w:r>
              <w:rPr>
                <w:sz w:val="17"/>
              </w:rPr>
              <w:t>2,640</w:t>
            </w:r>
          </w:p>
        </w:tc>
        <w:tc>
          <w:tcPr>
            <w:tcW w:type="dxa" w:w="1440"/>
            <w:shd w:fill="FAFAFA" w:val="clear"/>
          </w:tcPr>
          <w:p>
            <w:r>
              <w:rPr>
                <w:b/>
                <w:sz w:val="17"/>
              </w:rPr>
              <w:t>2,889</w:t>
            </w:r>
          </w:p>
        </w:tc>
        <w:tc>
          <w:tcPr>
            <w:tcW w:type="dxa" w:w="1440"/>
            <w:shd w:fill="FAFAFA" w:val="clear"/>
          </w:tcPr>
          <w:p>
            <w:r>
              <w:rPr>
                <w:sz w:val="17"/>
              </w:rPr>
              <w:t>3,139</w:t>
            </w:r>
          </w:p>
        </w:tc>
        <w:tc>
          <w:tcPr>
            <w:tcW w:type="dxa" w:w="1440"/>
            <w:shd w:fill="FAFAFA" w:val="clear"/>
          </w:tcPr>
          <w:p>
            <w:r>
              <w:rPr>
                <w:b/>
                <w:color w:val="008000"/>
                <w:sz w:val="17"/>
              </w:rPr>
              <w:t>+0.7%</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2,606</w:t>
            </w:r>
          </w:p>
        </w:tc>
        <w:tc>
          <w:tcPr>
            <w:tcW w:type="dxa" w:w="1440"/>
            <w:shd w:fill="FAFAFA" w:val="clear"/>
          </w:tcPr>
          <w:p>
            <w:r>
              <w:rPr>
                <w:b/>
                <w:sz w:val="17"/>
              </w:rPr>
              <w:t>2,895</w:t>
            </w:r>
          </w:p>
        </w:tc>
        <w:tc>
          <w:tcPr>
            <w:tcW w:type="dxa" w:w="1440"/>
            <w:shd w:fill="FAFAFA" w:val="clear"/>
          </w:tcPr>
          <w:p>
            <w:r>
              <w:rPr>
                <w:sz w:val="17"/>
              </w:rPr>
              <w:t>3,184</w:t>
            </w:r>
          </w:p>
        </w:tc>
        <w:tc>
          <w:tcPr>
            <w:tcW w:type="dxa" w:w="1440"/>
            <w:shd w:fill="FAFAFA" w:val="clear"/>
          </w:tcPr>
          <w:p>
            <w:r>
              <w:rPr>
                <w:b/>
                <w:color w:val="008000"/>
                <w:sz w:val="17"/>
              </w:rPr>
              <w:t>+0.9%</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2,573</w:t>
            </w:r>
          </w:p>
        </w:tc>
        <w:tc>
          <w:tcPr>
            <w:tcW w:type="dxa" w:w="1440"/>
            <w:shd w:fill="FAFAFA" w:val="clear"/>
          </w:tcPr>
          <w:p>
            <w:r>
              <w:rPr>
                <w:b/>
                <w:sz w:val="17"/>
              </w:rPr>
              <w:t>2,896</w:t>
            </w:r>
          </w:p>
        </w:tc>
        <w:tc>
          <w:tcPr>
            <w:tcW w:type="dxa" w:w="1440"/>
            <w:shd w:fill="FAFAFA" w:val="clear"/>
          </w:tcPr>
          <w:p>
            <w:r>
              <w:rPr>
                <w:sz w:val="17"/>
              </w:rPr>
              <w:t>3,219</w:t>
            </w:r>
          </w:p>
        </w:tc>
        <w:tc>
          <w:tcPr>
            <w:tcW w:type="dxa" w:w="1440"/>
            <w:shd w:fill="FAFAFA" w:val="clear"/>
          </w:tcPr>
          <w:p>
            <w:r>
              <w:rPr>
                <w:b/>
                <w:color w:val="008000"/>
                <w:sz w:val="17"/>
              </w:rPr>
              <w:t>+0.9%</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2,542</w:t>
            </w:r>
          </w:p>
        </w:tc>
        <w:tc>
          <w:tcPr>
            <w:tcW w:type="dxa" w:w="1440"/>
            <w:shd w:fill="FAFAFA" w:val="clear"/>
          </w:tcPr>
          <w:p>
            <w:r>
              <w:rPr>
                <w:b/>
                <w:sz w:val="17"/>
              </w:rPr>
              <w:t>2,896</w:t>
            </w:r>
          </w:p>
        </w:tc>
        <w:tc>
          <w:tcPr>
            <w:tcW w:type="dxa" w:w="1440"/>
            <w:shd w:fill="FAFAFA" w:val="clear"/>
          </w:tcPr>
          <w:p>
            <w:r>
              <w:rPr>
                <w:sz w:val="17"/>
              </w:rPr>
              <w:t>3,250</w:t>
            </w:r>
          </w:p>
        </w:tc>
        <w:tc>
          <w:tcPr>
            <w:tcW w:type="dxa" w:w="1440"/>
            <w:shd w:fill="FAFAFA" w:val="clear"/>
          </w:tcPr>
          <w:p>
            <w:r>
              <w:rPr>
                <w:b/>
                <w:color w:val="008000"/>
                <w:sz w:val="17"/>
              </w:rPr>
              <w:t>+0.9%</w:t>
            </w:r>
          </w:p>
        </w:tc>
      </w:tr>
      <w:tr>
        <w:tc>
          <w:tcPr>
            <w:tcW w:type="dxa" w:w="1440"/>
            <w:shd w:fill="FAFAFA" w:val="clear"/>
          </w:tcPr>
          <w:p>
            <w:r>
              <w:rPr>
                <w:sz w:val="17"/>
              </w:rPr>
              <w:t>J+7  ⭐</w:t>
            </w:r>
          </w:p>
        </w:tc>
        <w:tc>
          <w:tcPr>
            <w:tcW w:type="dxa" w:w="1440"/>
            <w:shd w:fill="FAFAFA" w:val="clear"/>
          </w:tcPr>
          <w:p>
            <w:r>
              <w:rPr>
                <w:sz w:val="17"/>
              </w:rPr>
              <w:t>2026-10-27</w:t>
            </w:r>
          </w:p>
        </w:tc>
        <w:tc>
          <w:tcPr>
            <w:tcW w:type="dxa" w:w="1440"/>
            <w:shd w:fill="FAFAFA" w:val="clear"/>
          </w:tcPr>
          <w:p>
            <w:r>
              <w:rPr>
                <w:sz w:val="17"/>
              </w:rPr>
              <w:t>2,513</w:t>
            </w:r>
          </w:p>
        </w:tc>
        <w:tc>
          <w:tcPr>
            <w:tcW w:type="dxa" w:w="1440"/>
            <w:shd w:fill="FAFAFA" w:val="clear"/>
          </w:tcPr>
          <w:p>
            <w:r>
              <w:rPr>
                <w:b/>
                <w:sz w:val="17"/>
              </w:rPr>
              <w:t>2,894</w:t>
            </w:r>
          </w:p>
        </w:tc>
        <w:tc>
          <w:tcPr>
            <w:tcW w:type="dxa" w:w="1440"/>
            <w:shd w:fill="FAFAFA" w:val="clear"/>
          </w:tcPr>
          <w:p>
            <w:r>
              <w:rPr>
                <w:sz w:val="17"/>
              </w:rPr>
              <w:t>3,276</w:t>
            </w:r>
          </w:p>
        </w:tc>
        <w:tc>
          <w:tcPr>
            <w:tcW w:type="dxa" w:w="1440"/>
            <w:shd w:fill="FAFAFA" w:val="clear"/>
          </w:tcPr>
          <w:p>
            <w:r>
              <w:rPr>
                <w:b/>
                <w:color w:val="008000"/>
                <w:sz w:val="17"/>
              </w:rPr>
              <w:t>+0.9%</w:t>
            </w:r>
          </w:p>
        </w:tc>
      </w:tr>
      <w:tr>
        <w:tc>
          <w:tcPr>
            <w:tcW w:type="dxa" w:w="1440"/>
            <w:shd w:fill="FAFAFA" w:val="clear"/>
          </w:tcPr>
          <w:p>
            <w:r>
              <w:rPr>
                <w:sz w:val="17"/>
              </w:rPr>
              <w:t>J+8  ⭐</w:t>
            </w:r>
          </w:p>
        </w:tc>
        <w:tc>
          <w:tcPr>
            <w:tcW w:type="dxa" w:w="1440"/>
            <w:shd w:fill="FAFAFA" w:val="clear"/>
          </w:tcPr>
          <w:p>
            <w:r>
              <w:rPr>
                <w:sz w:val="17"/>
              </w:rPr>
              <w:t>2026-10-28</w:t>
            </w:r>
          </w:p>
        </w:tc>
        <w:tc>
          <w:tcPr>
            <w:tcW w:type="dxa" w:w="1440"/>
            <w:shd w:fill="FAFAFA" w:val="clear"/>
          </w:tcPr>
          <w:p>
            <w:r>
              <w:rPr>
                <w:sz w:val="17"/>
              </w:rPr>
              <w:t>2,485</w:t>
            </w:r>
          </w:p>
        </w:tc>
        <w:tc>
          <w:tcPr>
            <w:tcW w:type="dxa" w:w="1440"/>
            <w:shd w:fill="FAFAFA" w:val="clear"/>
          </w:tcPr>
          <w:p>
            <w:r>
              <w:rPr>
                <w:b/>
                <w:sz w:val="17"/>
              </w:rPr>
              <w:t>2,893</w:t>
            </w:r>
          </w:p>
        </w:tc>
        <w:tc>
          <w:tcPr>
            <w:tcW w:type="dxa" w:w="1440"/>
            <w:shd w:fill="FAFAFA" w:val="clear"/>
          </w:tcPr>
          <w:p>
            <w:r>
              <w:rPr>
                <w:sz w:val="17"/>
              </w:rPr>
              <w:t>3,301</w:t>
            </w:r>
          </w:p>
        </w:tc>
        <w:tc>
          <w:tcPr>
            <w:tcW w:type="dxa" w:w="1440"/>
            <w:shd w:fill="FAFAFA" w:val="clear"/>
          </w:tcPr>
          <w:p>
            <w:r>
              <w:rPr>
                <w:b/>
                <w:color w:val="008000"/>
                <w:sz w:val="17"/>
              </w:rPr>
              <w:t>+0.8%</w:t>
            </w:r>
          </w:p>
        </w:tc>
      </w:tr>
      <w:tr>
        <w:tc>
          <w:tcPr>
            <w:tcW w:type="dxa" w:w="1440"/>
            <w:shd w:fill="FAFAFA" w:val="clear"/>
          </w:tcPr>
          <w:p>
            <w:r>
              <w:rPr>
                <w:sz w:val="17"/>
              </w:rPr>
              <w:t>J+9  ⭐</w:t>
            </w:r>
          </w:p>
        </w:tc>
        <w:tc>
          <w:tcPr>
            <w:tcW w:type="dxa" w:w="1440"/>
            <w:shd w:fill="FAFAFA" w:val="clear"/>
          </w:tcPr>
          <w:p>
            <w:r>
              <w:rPr>
                <w:sz w:val="17"/>
              </w:rPr>
              <w:t>2026-10-29</w:t>
            </w:r>
          </w:p>
        </w:tc>
        <w:tc>
          <w:tcPr>
            <w:tcW w:type="dxa" w:w="1440"/>
            <w:shd w:fill="FAFAFA" w:val="clear"/>
          </w:tcPr>
          <w:p>
            <w:r>
              <w:rPr>
                <w:sz w:val="17"/>
              </w:rPr>
              <w:t>2,458</w:t>
            </w:r>
          </w:p>
        </w:tc>
        <w:tc>
          <w:tcPr>
            <w:tcW w:type="dxa" w:w="1440"/>
            <w:shd w:fill="FAFAFA" w:val="clear"/>
          </w:tcPr>
          <w:p>
            <w:r>
              <w:rPr>
                <w:b/>
                <w:sz w:val="17"/>
              </w:rPr>
              <w:t>2,891</w:t>
            </w:r>
          </w:p>
        </w:tc>
        <w:tc>
          <w:tcPr>
            <w:tcW w:type="dxa" w:w="1440"/>
            <w:shd w:fill="FAFAFA" w:val="clear"/>
          </w:tcPr>
          <w:p>
            <w:r>
              <w:rPr>
                <w:sz w:val="17"/>
              </w:rPr>
              <w:t>3,323</w:t>
            </w:r>
          </w:p>
        </w:tc>
        <w:tc>
          <w:tcPr>
            <w:tcW w:type="dxa" w:w="1440"/>
            <w:shd w:fill="FAFAFA" w:val="clear"/>
          </w:tcPr>
          <w:p>
            <w:r>
              <w:rPr>
                <w:b/>
                <w:color w:val="008000"/>
                <w:sz w:val="17"/>
              </w:rPr>
              <w:t>+0.7%</w:t>
            </w:r>
          </w:p>
        </w:tc>
      </w:tr>
      <w:tr>
        <w:tc>
          <w:tcPr>
            <w:tcW w:type="dxa" w:w="1440"/>
            <w:shd w:fill="FAFAFA" w:val="clear"/>
          </w:tcPr>
          <w:p>
            <w:r>
              <w:rPr>
                <w:sz w:val="17"/>
              </w:rPr>
              <w:t>J+10  ⭐</w:t>
            </w:r>
          </w:p>
        </w:tc>
        <w:tc>
          <w:tcPr>
            <w:tcW w:type="dxa" w:w="1440"/>
            <w:shd w:fill="FAFAFA" w:val="clear"/>
          </w:tcPr>
          <w:p>
            <w:r>
              <w:rPr>
                <w:sz w:val="17"/>
              </w:rPr>
              <w:t>2026-10-30</w:t>
            </w:r>
          </w:p>
        </w:tc>
        <w:tc>
          <w:tcPr>
            <w:tcW w:type="dxa" w:w="1440"/>
            <w:shd w:fill="FAFAFA" w:val="clear"/>
          </w:tcPr>
          <w:p>
            <w:r>
              <w:rPr>
                <w:sz w:val="17"/>
              </w:rPr>
              <w:t>2,433</w:t>
            </w:r>
          </w:p>
        </w:tc>
        <w:tc>
          <w:tcPr>
            <w:tcW w:type="dxa" w:w="1440"/>
            <w:shd w:fill="FAFAFA" w:val="clear"/>
          </w:tcPr>
          <w:p>
            <w:r>
              <w:rPr>
                <w:b/>
                <w:sz w:val="17"/>
              </w:rPr>
              <w:t>2,889</w:t>
            </w:r>
          </w:p>
        </w:tc>
        <w:tc>
          <w:tcPr>
            <w:tcW w:type="dxa" w:w="1440"/>
            <w:shd w:fill="FAFAFA" w:val="clear"/>
          </w:tcPr>
          <w:p>
            <w:r>
              <w:rPr>
                <w:sz w:val="17"/>
              </w:rPr>
              <w:t>3,344</w:t>
            </w:r>
          </w:p>
        </w:tc>
        <w:tc>
          <w:tcPr>
            <w:tcW w:type="dxa" w:w="1440"/>
            <w:shd w:fill="FAFAFA" w:val="clear"/>
          </w:tcPr>
          <w:p>
            <w:r>
              <w:rPr>
                <w:b/>
                <w:color w:val="008000"/>
                <w:sz w:val="17"/>
              </w:rPr>
              <w:t>+0.7%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1.280 Mds FCFA</w:t>
            </w:r>
          </w:p>
        </w:tc>
        <w:tc>
          <w:tcPr>
            <w:tcW w:type="dxa" w:w="5669"/>
            <w:shd w:fill="FFFFFF" w:val="clear"/>
          </w:tcPr>
          <w:p>
            <w:r>
              <w:rPr>
                <w:color w:val="282828"/>
                <w:sz w:val="15"/>
              </w:rPr>
              <w:t>Rotation stocks = 71.9x/an.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118.327 Mds FCFA</w:t>
            </w:r>
          </w:p>
        </w:tc>
        <w:tc>
          <w:tcPr>
            <w:tcW w:type="dxa" w:w="5669"/>
            <w:shd w:fill="FFFFFF" w:val="clear"/>
          </w:tcPr>
          <w:p>
            <w:r>
              <w:rPr>
                <w:color w:val="282828"/>
                <w:sz w:val="15"/>
              </w:rPr>
              <w:t>Ratio actif circ./passif circ. = 0.67x.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267.07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54.655 Mds FCFA</w:t>
            </w:r>
          </w:p>
        </w:tc>
        <w:tc>
          <w:tcPr>
            <w:tcW w:type="dxa" w:w="5669"/>
            <w:shd w:fill="FFFFFF" w:val="clear"/>
          </w:tcPr>
          <w:p>
            <w:r>
              <w:rPr>
                <w:color w:val="282828"/>
                <w:sz w:val="15"/>
              </w:rPr>
              <w:t>Outil industriel (21.1%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64.340 Mds FCFA</w:t>
            </w:r>
          </w:p>
        </w:tc>
        <w:tc>
          <w:tcPr>
            <w:tcW w:type="dxa" w:w="5669"/>
            <w:shd w:fill="FFFFFF" w:val="clear"/>
          </w:tcPr>
          <w:p>
            <w:r>
              <w:rPr>
                <w:color w:val="282828"/>
                <w:sz w:val="15"/>
              </w:rPr>
              <w:t>Actif immobilisé = 24.8%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76.782 Mds FCFA</w:t>
            </w:r>
          </w:p>
        </w:tc>
        <w:tc>
          <w:tcPr>
            <w:tcW w:type="dxa" w:w="5669"/>
            <w:shd w:fill="FFFFFF" w:val="clear"/>
          </w:tcPr>
          <w:p>
            <w:r>
              <w:rPr>
                <w:color w:val="282828"/>
                <w:sz w:val="15"/>
              </w:rPr>
              <w:t>Liquidités disponibles (29.6%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259.448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61.200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73.552 Mds FCFA</w:t>
            </w:r>
          </w:p>
        </w:tc>
        <w:tc>
          <w:tcPr>
            <w:tcW w:type="dxa" w:w="5669"/>
            <w:shd w:fill="FFFFFF" w:val="clear"/>
          </w:tcPr>
          <w:p>
            <w:r>
              <w:rPr>
                <w:color w:val="282828"/>
                <w:sz w:val="15"/>
              </w:rPr>
              <w:t>Fonds propres = 28.3%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81.783 Mds FCFA</w:t>
            </w:r>
          </w:p>
        </w:tc>
        <w:tc>
          <w:tcPr>
            <w:tcW w:type="dxa" w:w="5669"/>
            <w:shd w:fill="FFFFFF" w:val="clear"/>
          </w:tcPr>
          <w:p>
            <w:r>
              <w:rPr>
                <w:color w:val="282828"/>
                <w:sz w:val="15"/>
              </w:rPr>
              <w:t>Capitaux permanents / Actif immobilisé = 1.27x.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8.231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10.231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185.896 Mds FCFA</w:t>
            </w:r>
          </w:p>
        </w:tc>
        <w:tc>
          <w:tcPr>
            <w:tcW w:type="dxa" w:w="5669"/>
            <w:shd w:fill="FFFFFF" w:val="clear"/>
          </w:tcPr>
          <w:p>
            <w:r>
              <w:rPr>
                <w:color w:val="282828"/>
                <w:sz w:val="15"/>
              </w:rPr>
              <w:t>Dettes totales = 71.7%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92.004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92.004 Mds FCFA</w:t>
            </w:r>
          </w:p>
        </w:tc>
        <w:tc>
          <w:tcPr>
            <w:tcW w:type="dxa" w:w="5669"/>
            <w:shd w:fill="FFFFFF" w:val="clear"/>
          </w:tcPr>
          <w:p>
            <w:r>
              <w:rPr>
                <w:color w:val="282828"/>
                <w:sz w:val="15"/>
              </w:rPr>
              <w:t>Chiffre d'affaires. Croissance: 7.4%.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9.043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36.205 Mds FCFA</w:t>
            </w:r>
          </w:p>
        </w:tc>
        <w:tc>
          <w:tcPr>
            <w:tcW w:type="dxa" w:w="5669"/>
            <w:shd w:fill="FFFFFF" w:val="clear"/>
          </w:tcPr>
          <w:p>
            <w:r>
              <w:rPr>
                <w:color w:val="282828"/>
                <w:sz w:val="15"/>
              </w:rPr>
              <w:t>Masse salariale = 39.4%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40.469 Mds FCFA</w:t>
            </w:r>
          </w:p>
        </w:tc>
        <w:tc>
          <w:tcPr>
            <w:tcW w:type="dxa" w:w="5669"/>
            <w:shd w:fill="FFFFFF" w:val="clear"/>
          </w:tcPr>
          <w:p>
            <w:r>
              <w:rPr>
                <w:color w:val="282828"/>
                <w:sz w:val="15"/>
              </w:rPr>
              <w:t>VA = 44.0%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4.264 Mds FCFA</w:t>
            </w:r>
          </w:p>
        </w:tc>
        <w:tc>
          <w:tcPr>
            <w:tcW w:type="dxa" w:w="5669"/>
            <w:shd w:fill="FFFFFF" w:val="clear"/>
          </w:tcPr>
          <w:p>
            <w:r>
              <w:rPr>
                <w:color w:val="282828"/>
                <w:sz w:val="15"/>
              </w:rPr>
              <w:t>EBE = 4.6%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-2.271 Mds FCFA</w:t>
            </w:r>
          </w:p>
        </w:tc>
        <w:tc>
          <w:tcPr>
            <w:tcW w:type="dxa" w:w="5669"/>
            <w:shd w:fill="FFFFFF" w:val="clear"/>
          </w:tcPr>
          <w:p>
            <w:r>
              <w:rPr>
                <w:color w:val="282828"/>
                <w:sz w:val="15"/>
              </w:rPr>
              <w:t>Profit d'exploitation = -2.5%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EB9C" w:val="clear"/>
          </w:tcPr>
          <w:p>
            <w:r>
              <w:rPr>
                <w:b/>
                <w:color w:val="006400"/>
                <w:sz w:val="17"/>
              </w:rPr>
              <w:t>784.97 M FCFA</w:t>
            </w:r>
          </w:p>
        </w:tc>
        <w:tc>
          <w:tcPr>
            <w:tcW w:type="dxa" w:w="5669"/>
            <w:shd w:fill="FFFFFF" w:val="clear"/>
          </w:tcPr>
          <w:p>
            <w:r>
              <w:rPr>
                <w:color w:val="282828"/>
                <w:sz w:val="15"/>
              </w:rPr>
              <w:t>Marge nette = 0.9%.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7.503 Mds FCFA</w:t>
            </w:r>
          </w:p>
        </w:tc>
        <w:tc>
          <w:tcPr>
            <w:tcW w:type="dxa" w:w="5669"/>
            <w:shd w:fill="FFFFFF" w:val="clear"/>
          </w:tcPr>
          <w:p>
            <w:r>
              <w:rPr>
                <w:color w:val="282828"/>
                <w:sz w:val="15"/>
              </w:rPr>
              <w:t>CAF = 7.50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83.198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-19.195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-4.838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55.471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-57.339 Mds FCFA</w:t>
            </w:r>
          </w:p>
        </w:tc>
        <w:tc>
          <w:tcPr>
            <w:tcW w:type="dxa" w:w="5669"/>
            <w:shd w:fill="FFFFFF" w:val="clear"/>
          </w:tcPr>
          <w:p>
            <w:r>
              <w:rPr>
                <w:color w:val="282828"/>
                <w:sz w:val="15"/>
              </w:rPr>
              <w:t>BFR = -62.3%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17.443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74.782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FFEB9C" w:val="clear"/>
          </w:tcPr>
          <w:p>
            <w:r>
              <w:rPr>
                <w:b/>
                <w:color w:val="006400"/>
                <w:sz w:val="17"/>
              </w:rPr>
              <w:t>0.85%</w:t>
            </w:r>
          </w:p>
        </w:tc>
        <w:tc>
          <w:tcPr>
            <w:tcW w:type="dxa" w:w="5669"/>
            <w:shd w:fill="FFFFFF" w:val="clear"/>
          </w:tcPr>
          <w:p>
            <w:r>
              <w:rPr>
                <w:color w:val="282828"/>
                <w:sz w:val="15"/>
              </w:rPr>
              <w:t>Résultat net / revenus = 0.85%. ⚠️ Marge nette très fine — sensible aux aléas.</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-2.47%</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1.07%</w:t>
            </w:r>
          </w:p>
        </w:tc>
        <w:tc>
          <w:tcPr>
            <w:tcW w:type="dxa" w:w="5669"/>
            <w:shd w:fill="FFFFFF" w:val="clear"/>
          </w:tcPr>
          <w:p>
            <w:r>
              <w:rPr>
                <w:color w:val="282828"/>
                <w:sz w:val="15"/>
              </w:rPr>
              <w:t>Résultat net / capitaux propres = 1.07%.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0.30%</w:t>
            </w:r>
          </w:p>
        </w:tc>
        <w:tc>
          <w:tcPr>
            <w:tcW w:type="dxa" w:w="5669"/>
            <w:shd w:fill="FFFFFF" w:val="clear"/>
          </w:tcPr>
          <w:p>
            <w:r>
              <w:rPr>
                <w:color w:val="282828"/>
                <w:sz w:val="15"/>
              </w:rPr>
              <w:t>Résultat net / total actif = 0.30%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35.46%</w:t>
            </w:r>
          </w:p>
        </w:tc>
        <w:tc>
          <w:tcPr>
            <w:tcW w:type="dxa" w:w="5669"/>
            <w:shd w:fill="FFFFFF" w:val="clear"/>
          </w:tcPr>
          <w:p>
            <w:r>
              <w:rPr>
                <w:color w:val="282828"/>
                <w:sz w:val="15"/>
              </w:rPr>
              <w:t>CA / total actif = 35.46x.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7.43%</w:t>
            </w:r>
          </w:p>
        </w:tc>
        <w:tc>
          <w:tcPr>
            <w:tcW w:type="dxa" w:w="5669"/>
            <w:shd w:fill="FFFFFF" w:val="clear"/>
          </w:tcPr>
          <w:p>
            <w:r>
              <w:rPr>
                <w:color w:val="282828"/>
                <w:sz w:val="15"/>
              </w:rPr>
              <w:t>Croissance CA vs exercice précédent = 7.43%.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28.35%</w:t>
            </w:r>
          </w:p>
        </w:tc>
        <w:tc>
          <w:tcPr>
            <w:tcW w:type="dxa" w:w="5669"/>
            <w:shd w:fill="FFFFFF" w:val="clear"/>
          </w:tcPr>
          <w:p>
            <w:r>
              <w:rPr>
                <w:color w:val="282828"/>
                <w:sz w:val="15"/>
              </w:rPr>
              <w:t>Fonds propres / total bilan = 28.35%.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71.65%</w:t>
            </w:r>
          </w:p>
        </w:tc>
        <w:tc>
          <w:tcPr>
            <w:tcW w:type="dxa" w:w="5669"/>
            <w:shd w:fill="FFFFFF" w:val="clear"/>
          </w:tcPr>
          <w:p>
            <w:r>
              <w:rPr>
                <w:color w:val="282828"/>
                <w:sz w:val="15"/>
              </w:rPr>
              <w:t>Dettes financières / total bilan = 71.65%.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13.91%</w:t>
            </w:r>
          </w:p>
        </w:tc>
        <w:tc>
          <w:tcPr>
            <w:tcW w:type="dxa" w:w="5669"/>
            <w:shd w:fill="FFFFFF" w:val="clear"/>
          </w:tcPr>
          <w:p>
            <w:r>
              <w:rPr>
                <w:color w:val="282828"/>
                <w:sz w:val="15"/>
              </w:rPr>
              <w:t>Dettes totales / fonds propres = 13.91%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139.57%</w:t>
            </w:r>
          </w:p>
        </w:tc>
        <w:tc>
          <w:tcPr>
            <w:tcW w:type="dxa" w:w="5669"/>
            <w:shd w:fill="FFFFFF" w:val="clear"/>
          </w:tcPr>
          <w:p>
            <w:r>
              <w:rPr>
                <w:color w:val="282828"/>
                <w:sz w:val="15"/>
              </w:rPr>
              <w:t>Total actif / dettes totales = 139.57x.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109.82%</w:t>
            </w:r>
          </w:p>
        </w:tc>
        <w:tc>
          <w:tcPr>
            <w:tcW w:type="dxa" w:w="5669"/>
            <w:shd w:fill="FFFFFF" w:val="clear"/>
          </w:tcPr>
          <w:p>
            <w:r>
              <w:rPr>
                <w:color w:val="282828"/>
                <w:sz w:val="15"/>
              </w:rPr>
              <w:t>Actif circulant / passif circulant = 109.82x.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43.22%</w:t>
            </w:r>
          </w:p>
        </w:tc>
        <w:tc>
          <w:tcPr>
            <w:tcW w:type="dxa" w:w="5669"/>
            <w:shd w:fill="FFFFFF" w:val="clear"/>
          </w:tcPr>
          <w:p>
            <w:r>
              <w:rPr>
                <w:color w:val="282828"/>
                <w:sz w:val="15"/>
              </w:rPr>
              <w:t>Trésorerie / passif circulant = 43.22x.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109.10%</w:t>
            </w:r>
          </w:p>
        </w:tc>
        <w:tc>
          <w:tcPr>
            <w:tcW w:type="dxa" w:w="5669"/>
            <w:shd w:fill="FFFFFF" w:val="clear"/>
          </w:tcPr>
          <w:p>
            <w:r>
              <w:rPr>
                <w:color w:val="282828"/>
                <w:sz w:val="15"/>
              </w:rPr>
              <w:t>(Actif circ. - stocks) / passif circ. = 109.10x.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127.11%</w:t>
            </w:r>
          </w:p>
        </w:tc>
        <w:tc>
          <w:tcPr>
            <w:tcW w:type="dxa" w:w="5669"/>
            <w:shd w:fill="FFFFFF" w:val="clear"/>
          </w:tcPr>
          <w:p>
            <w:r>
              <w:rPr>
                <w:color w:val="282828"/>
                <w:sz w:val="15"/>
              </w:rPr>
              <w:t>Capitaux permanents / actif immobilisé = 127.11x.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1.4 ans</w:t>
            </w:r>
          </w:p>
        </w:tc>
        <w:tc>
          <w:tcPr>
            <w:tcW w:type="dxa" w:w="5669"/>
            <w:shd w:fill="FFFFFF" w:val="clear"/>
          </w:tcPr>
          <w:p>
            <w:r>
              <w:rPr>
                <w:color w:val="282828"/>
                <w:sz w:val="15"/>
              </w:rPr>
              <w:t>Dettes financières / CAF = 1.4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-289.33%</w:t>
            </w:r>
          </w:p>
        </w:tc>
        <w:tc>
          <w:tcPr>
            <w:tcW w:type="dxa" w:w="5669"/>
            <w:shd w:fill="FFFFFF" w:val="clear"/>
          </w:tcPr>
          <w:p>
            <w:r>
              <w:rPr>
                <w:color w:val="282828"/>
                <w:sz w:val="15"/>
              </w:rPr>
              <w:t>Résultat exploit. / charges financières = -289.33x.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27.06%</w:t>
            </w:r>
          </w:p>
        </w:tc>
        <w:tc>
          <w:tcPr>
            <w:tcW w:type="dxa" w:w="5669"/>
            <w:shd w:fill="FFFFFF" w:val="clear"/>
          </w:tcPr>
          <w:p>
            <w:r>
              <w:rPr>
                <w:color w:val="282828"/>
                <w:sz w:val="15"/>
              </w:rPr>
              <w:t>CAF / investissements = 27.06x. ⚠️ Financement externe nécessaire pour les investissements.</w:t>
            </w:r>
          </w:p>
        </w:tc>
      </w:tr>
    </w:tbl>
    <w:p/>
    <w:p>
      <w:pPr>
        <w:spacing w:after="120" w:line="276" w:lineRule="auto"/>
      </w:pPr>
      <w:r>
        <w:t># RAPPORT D'ANALYSE FINANCIÈRE — SDSC (AGL Côte d'Ivoire)</w:t>
        <w:br/>
        <w:t>**Bourse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SDSC s'établit à **156,23 milliards FCFA**, un niveau substantiel qui positionne le titre parmi les valeurs significatives de la cote BRVM, reflétant l'importance de l'opérateur logistique dans l'économie ivoirienne. Le BPA de **14 FCFA/action** traduit un bénéfice net par titre extrêmement faible, cohérent avec le résultat net 2025 de seulement 784,97 millions FCFA. Le PER de **199,0x** constitue un signal d'alarme majeur : les investisseurs paient près de 200 fois les bénéfices actuels, soit un multiple environ 20 fois supérieur à la moyenne BRVM (8-12x), ce qui traduit une anticipation de forte reprise bénéficiaire ou, plus probablement, une surévaluation spéculative. Le P/B de **2,12x** indique que le marché valorise la société à plus du double de sa valeur comptable (capitaux propres de 73,55 Mds FCFA), accordant une prime de croissance qui reste à justifier. Enfin, l'EV/EBITDA de **21,5x** (très au-delà du seuil de 15x) confirme que la valeur d'entreprise intègre des attentes opérationnelles très exigeantes, difficilement compatibles avec un EBE de seulement 4,26 Mds FCFA.</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SDSC affiche une **variation totale spectaculaire de +69,82%**, portant le cours à **2 870 FCFA**, malgré un repli de **-6,36% lors de la dernière séance** qui marque une prise de profit après un rallye exceptionnel. Le range de trading est très large, entre un plus bas de **1 690 FCFA** et un plus haut de **3 205 FCFA**, soit une amplitude de près de 90% qui témoigne d'une forte volatilité directionnelle. La tendance générale est clairement **haussière**, mais la correction récente suggère un essoufflement. Les statistiques descriptives révèlent une distribution asymétrique : la moyenne (**2 619 FCFA**) est inférieure à la médiane (**2 700 FCFA**) et au mode (**2 800 FCFA**), confirmant un skewness négatif de **-0,614** — interprété comme « plus de journées au-dessus de la moyenne », ce qui signifie que les séances de hausse ont été nombreuses mais que quelques journées de forte baisse (dont la dernière) tirent la moyenne vers le bas. L'écart-type de **367 FCFA** avec un **CV de 14,0%** indique une dispersion modérée autour de la tendance, tandis que le kurtosis de **-0,438** (mésokurtique, proche d'une distribution normale) suggère l'absence de pics extrêmes récents, donc un risque de « queue épaisse » limité. La **volatilité annualisée de 53,0%** classe le titre dans la catégorie **élevée** (&gt;30%), ce qui est cohérent avec un profil de valeur spéculative à fort potentiel mais à risque important.</w:t>
      </w:r>
    </w:p>
    <w:p>
      <w:pPr>
        <w:spacing w:after="120" w:line="276" w:lineRule="auto"/>
      </w:pPr>
      <w:r>
        <w:t>---</w:t>
      </w:r>
    </w:p>
    <w:p>
      <w:pPr>
        <w:spacing w:after="120" w:line="276" w:lineRule="auto"/>
      </w:pPr>
      <w:r>
        <w:t>## PARTIE 2 : ANALYSE TECHNIQUE DÉTAILLÉE</w:t>
      </w:r>
    </w:p>
    <w:p>
      <w:pPr>
        <w:spacing w:after="120" w:line="276" w:lineRule="auto"/>
      </w:pPr>
      <w:r>
        <w:t>**Moyennes Mobiles** : La MM20 (**2 953,25 FCFA**) et la MM50 (**2 883,0 FCFA**) se situent toutes deux au-dessus du cours actuel (2 870 FCFA), ce qui place le titre légèrement sous ses supports mobiles et signale une perte de momentum à court terme. La MM20 &gt; MM50 confirme néanmoins une structure haussière de fond, d'où la décision **Achat** qui privilégie la tendance de moyen terme sur le repli ponctuel.</w:t>
      </w:r>
    </w:p>
    <w:p>
      <w:pPr>
        <w:spacing w:after="120" w:line="276" w:lineRule="auto"/>
      </w:pPr>
      <w:r>
        <w:t>**Bandes de Bollinger** : Le cours (2 870 FCFA) évolue dans la partie basse de la bande, entre la borne inférieure (**2 749,31 FCFA**) et la borne supérieure (**3 157,19 FCFA**), sans franchissement des extrêmes. La largeur de la bande (~408 FCFA) traduit une volatilité encore élevée mais en compression, justifiant la décision **Neutre** — le titre est en zone de consolidation sans signal directionnel fort.</w:t>
      </w:r>
    </w:p>
    <w:p>
      <w:pPr>
        <w:spacing w:after="120" w:line="276" w:lineRule="auto"/>
      </w:pPr>
      <w:r>
        <w:t>**MACD** : La valeur du MACD (**26,238**) est inférieure à sa ligne de signal (**34,966**), configuration baissière classique qui traduit un essoufflement du momentum haussier et un possible retournement. La décision **Vente** est cohérente avec cette divergence négative, confirmant la correction en cours après le rallye.</w:t>
      </w:r>
    </w:p>
    <w:p>
      <w:pPr>
        <w:spacing w:after="120" w:line="276" w:lineRule="auto"/>
      </w:pPr>
      <w:r>
        <w:t>**RSI** : À **48,819**, l'indicateur se situe en zone parfaitement neutre (30-70), ni suracheté ni survendu, ce qui signifie que le titre a « purgé » sa surchauffe sans entrer en zone de survente. La décision **Neutre** reflète l'absence de signal contrariant : le potentiel de rebond technique existe mais n'est pas encore confirmé.</w:t>
      </w:r>
    </w:p>
    <w:p>
      <w:pPr>
        <w:spacing w:after="120" w:line="276" w:lineRule="auto"/>
      </w:pPr>
      <w:r>
        <w:t>**Stochastique** : Le %K (**4,167**) est très bas, en zone de survente extrême, tandis que le %D (**63,194**) reste élevé — cet écart marqué signale un croisement potentiel à la hausse imminent (%K sous %D mais en zone basse). La décision **Achat** s'appuie sur cette configuration de rebond technique probable à court terme.</w:t>
      </w:r>
    </w:p>
    <w:p>
      <w:pPr>
        <w:spacing w:after="120" w:line="276" w:lineRule="auto"/>
      </w:pPr>
      <w:r>
        <w:t>**Conclusion technique** : Les indicateurs sont **divergents** — le MACD est baissier, les moyennes mobiles sont sous le cours, mais le stochastique en survente extrême et le RSI neutre plaident pour un rebond technique. La décision globale est **mitigée** : le titre sort d'une correction de -6,36% et pourrait connaître un rebond à court terme, mais la structure de momentum (MACD) reste fragile. Une confirmation par le franchissement de la MM20 (2 953 FCFA) serait nécessaire pour valider un retour haussier durable.</w:t>
      </w:r>
    </w:p>
    <w:p>
      <w:pPr>
        <w:spacing w:after="120" w:line="276" w:lineRule="auto"/>
      </w:pPr>
      <w:r>
        <w:t>---</w:t>
      </w:r>
    </w:p>
    <w:p>
      <w:pPr>
        <w:spacing w:after="120" w:line="276" w:lineRule="auto"/>
      </w:pPr>
      <w:r>
        <w:t>## PARTIE 3 : ANALYSE FONDAMENTALE (SECTION CRITIQUE)</w:t>
      </w:r>
    </w:p>
    <w:p>
      <w:pPr>
        <w:spacing w:after="120" w:line="276" w:lineRule="auto"/>
      </w:pPr>
      <w:r>
        <w:t>**Données structurées — Exercice 2025 (états financiers annuels)** : En 2025, SDSC (AGL Côte d'Ivoire) réalise un chiffre d'affaires de **92,004 Mds FCFA**, en croissance de **+7,43%** par rapport à 2024 (85,643 Mds FCFA), portée par le cœur de métier logistique. Cependant, la rentabilité s'effondre : le **résultat net chute à 784,97 millions FCFA** contre 21,07 Mds FCFA en 2024 (**-96%**), et le **résultat d'exploitation devient négatif à -2,271 Mds FCFA**. Les ratios de rentabilité sont catastrophiques : **ROE de 1,07%** (très loin du seuil de 15% « excellent ») et **ROA de 0,30%**, tandis que la marge nette s'établit à **0,85%** et la marge opérationnelle à **-2,47%**. La structure financière reste solide : autonomie financière de **28,35%** (légèrement sous le seuil de 30%), liquidité générale de **109,82%** (&gt;1, bon), et surtout une **trésorerie nette de 74,78 Mds FCFA** avec un **BFR négatif de -57,34 Mds FCFA** (favorable pour une entreprise). Le **FCF de 55,47 Mds FCFA** et le flux opérationnel de 83,20 Mds FCFA témoignent d'une génération de cash robuste, mais la **couverture des intérêts à -289,33%** (résultat d'exploitation négatif) et un **ratio d'endettement de 13,91%** (dettes totales/capitaux propres) révèlent une pression sur la rentabilité opérationnelle.</w:t>
      </w:r>
    </w:p>
    <w:p>
      <w:pPr>
        <w:spacing w:after="120" w:line="276" w:lineRule="auto"/>
      </w:pPr>
      <w:r>
        <w:t>**Estimations basées sur les rapports trimestriels** : Le rapport du **T1 2025 (31/03/2025)** indiquait un CA de 23,057 Mds FCFA (+6,2%) avec un résultat net encore négatif (-193 M FCFA), tandis que le **S1 2025 (30/06/2025)** confirmait un CA de 44,452 Mds FCFA (+4,2%) et un résultat net de -427 M FCFA, plombé par l'absence de dividendes de filiales. Le **T3 2025 (30/09/2025)** montrait un CA cumulé de 66,217 Mds FCFA (+7,4%) mais un résultat net trimestriel en chute de 77% à 4,341 Mds FCFA, toujours affecté par la volatilité des revenus de participations. On estime donc que **l'exercice 2026 devrait rester sous pression** : la croissance du CA (+7,4%) ne se traduit pas en rentabilité, et la dépendance aux dividendes de filiales (résultat financier de 7,08 Mds FCFA en 2025, contre un résultat d'exploitation négatif) rend les résultats structurellement instables. Le rapport d'audit **Deloitte/ECR du 26/08/2026** (exercice 2025) certifie les comptes « sans réserve » mais signale des **manquements réglementaires** (retards de clôture et de communication, articles 23 et 525 AU OHADA), un signal de faiblesse de gouvernance. La **réduction drastique du dividende** (544,35 M FCFA proposés en 2025 contre 5 008 M FCFA en 2024, soit -89%) confirme la dégradation de la capacité distributive.</w:t>
      </w:r>
    </w:p>
    <w:p>
      <w:pPr>
        <w:spacing w:after="120" w:line="276" w:lineRule="auto"/>
      </w:pPr>
      <w:r>
        <w:t>**Recommandation fondamentale** : La société est **solide bilanciellement** (trésorerie abondante, BFR négatif, endettement maîtrisé) mais **fragile opérationnellement** (résultat d'exploitation négatif, ROE de 1,07%, marge nette de 0,85%). Le profil est celui d'une entreprise en **transition** où la croissance du CA ne se convertit pas en profits, avec un risque de gouvernance à surveiller. La valorisation boursière (PER 199x) est **incompatible** avec ces fondamentaux dégradés.</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**divorce flagrant entre la valorisation et les fondamentaux** : le PER de 199,0x, le P/B de 2,12x et l'EV/EBITDA de 21,5x intègrent une surévaluation manifeste, alors que le ROE de 1,07% et la marge nette de 0,85% (exercice 2025) ne justifient en aucun cas une telle prime. Le comportement du cours (+69,82% sur 100 jours, volatilité de 53,0%) traduit une **spéculation intense** plutôt qu'une revalorisation fondamentale, et le skewness négatif (-0,614) avec la correction de -6,36% en dernière séance suggèrent que le rallye pourrait s'essouffler. Les signaux techniques sont **divergents** : le stochastique en survente extrême (%K=4,17) plaide pour un rebond technique, mais le MACD baissier (26,24 &lt; 34,97) et le cours sous les MM20/MM50 confirment une perte de momentum. Les **prédictions IA** (2 862 → 2 896 FCFA sur J+1 à J+10, soit +0,9% sur 10 jours) anticipent une **stabilisation latérale** sans franc rebond, ce qui contredit l'hypothèse d'un retour rapide vers les plus hauts (3 205 FCFA) et confirme la phase de consolidation. Au final, la convergence est **négative** : valorisation surévaluée, fondamentaux dégradés (résultat d'exploitation négatif, dividende -89%), technique mitigée et prédictions sans élan. **Recommandation finale : VENTE** (prise de profit après le rallye de +69,82%), avec un **niveau de confiance Moyen** (les indicateurs de survente technique pourraient offrir un dernier rebond) et un **risque global Élevé** (volatilité de 53%, PER de 199x, gouvernance signalée). L'horizon optimal est **court terme (&lt;3 mois)** pour sécuriser les gains, en attendant une clarification sur la capacité de la direction à restaurer les marges opérationnelles et à normaliser la communication financière — un retour vers la zone de 2 500-2 600 FCFA (moyenne à 100 jours) constituerait un point d'entrée plus raisonnable pour un investisseur de long terme.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"Le document ne fournit aucune donn\u00e9e financi\u00e8re permettant d\u2019\u00e9mettre une recommandation d\u2019achat ou de vente. En l\u2019absence d\u2019informations, une position neutre est retenue par d\u00e9faut."}</w:t>
      </w:r>
    </w:p>
    <w:p>
      <w:pPr>
        <w:spacing w:before="40"/>
        <w:ind w:left="400"/>
      </w:pPr>
      <w:r>
        <w:rPr>
          <w:sz w:val="18"/>
        </w:rPr>
        <w:t>Le document fourni ne contient que l’intitulé des états financiers de synthèse d’AGL au 31/12/2025. Aucun chiffre, commentaire ou détail comptable n’est inclus. Il est donc impossible d’évaluer la situation financière réelle de la société. Les états financiers annoncés sont exprimés en milliers de FCFA. Une analyse fiable nécessitera la publication des données complètes, notamment le bilan, le compte de résultat et les flux de trésorerie.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40"/>
        <w:ind w:left="400"/>
      </w:pPr>
      <w:r>
        <w:rPr>
          <w:b/>
          <w:color w:val="C05000"/>
          <w:sz w:val="18"/>
        </w:rPr>
        <w:t xml:space="preserve">⚠️ Risques : </w:t>
      </w:r>
      <w:r>
        <w:rPr>
          <w:sz w:val="18"/>
        </w:rPr>
        <w: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40"/>
        <w:ind w:left="400"/>
      </w:pPr>
      <w:r>
        <w:rPr>
          <w:sz w:val="18"/>
        </w:rPr>
        <w:t>AGL Côte d'Ivoire, S.A. a vu ses états financiers annuels de l'exercice clos le 31 décembre 2025 certifiés sans réserve par ses commissaires aux comptes (Deloitte Côte d'Ivoire et ECR International), qui concluent à une image fidèle du résultat et du patrimoine conformément au SYSCOHADA révisé. Le chiffre d'affaires s'établit à 92 004 millions FCFA, soit 98,37% du total des produits des activités ordinaires, porté par des métiers diversifiés (consignation, manutention, transit maritime, fret aérien/express, transport ferroviaire, agence de voyage et location immobilière). Les auditeurs ont identifié deux points clés d'audit : la reconnaissance du chiffre d'affaires, exposée à un risque d'ant</w:t>
      </w:r>
      <w:r>
        <w:rPr>
          <w:sz w:val="18"/>
        </w:rPr>
        <w: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
      <w:r>
        <w:t>════════════════════════════════════════════════════════════════════════════════</w:t>
      </w:r>
    </w:p>
    <w:p>
      <w:r>
        <w:br w:type="page"/>
      </w:r>
    </w:p>
    <w:p>
      <w:pPr>
        <w:pStyle w:val="Heading2"/>
        <w:spacing w:before="360"/>
      </w:pPr>
      <w:r>
        <w:rPr>
          <w:color w:val="0066CC"/>
        </w:rPr>
        <w:t>32.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37.66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6,046 titres</w:t>
            </w:r>
          </w:p>
        </w:tc>
        <w:tc>
          <w:tcPr>
            <w:tcW w:type="dxa" w:w="2268"/>
            <w:shd w:fill="FFF2CC" w:val="clear"/>
          </w:tcPr>
          <w:p>
            <w:r>
              <w:rPr>
                <w:b/>
                <w:color w:val="503200"/>
                <w:sz w:val="16"/>
              </w:rPr>
              <w:t xml:space="preserve">Cours actuel : </w:t>
            </w:r>
            <w:r>
              <w:rPr>
                <w:color w:val="000000"/>
                <w:sz w:val="17"/>
              </w:rPr>
              <w:t>N/D</w:t>
            </w:r>
          </w:p>
          <w:p>
            <w:r>
              <w:rPr>
                <w:b/>
                <w:color w:val="503200"/>
                <w:sz w:val="16"/>
              </w:rPr>
              <w:t xml:space="preserve">Var. 100 jours : </w:t>
            </w:r>
            <w:r>
              <w:rPr>
                <w:b/>
                <w:color w:val="B40000"/>
                <w:sz w:val="17"/>
              </w:rPr>
              <w:t>-16.94%</w:t>
            </w:r>
          </w:p>
          <w:p>
            <w:r>
              <w:rPr>
                <w:b/>
                <w:color w:val="503200"/>
                <w:sz w:val="16"/>
              </w:rPr>
              <w:t xml:space="preserve">Plus haut 100j : </w:t>
            </w:r>
            <w:r>
              <w:rPr>
                <w:color w:val="000000"/>
                <w:sz w:val="17"/>
              </w:rPr>
              <w:t>1,800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13.8/100 → Faible</w:t>
      </w:r>
    </w:p>
    <w:p>
      <w:pPr>
        <w:spacing w:before="40" w:after="80"/>
      </w:pPr>
      <w:r>
        <w:rPr>
          <w:rFonts w:ascii="Courier New" w:hAnsi="Courier New"/>
          <w:color w:val="006400"/>
          <w:sz w:val="18"/>
        </w:rPr>
        <w:t>██░░░░░░░░░░░░░░░░░░  13.8/100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4.53% (Faible) — μ=1,527 FCFA, σ=69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β=1.1088 (Neutre (suit le marché)) — Cov=0.000044, Var(idx)=0.000040, ρ=0.239, n=78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6,046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Vente=0 / Total=0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σ_j=2.97%/j (Stable) — Vol. annualisée≈47.2%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A07800"/>
          <w:sz w:val="18"/>
        </w:rPr>
        <w:t xml:space="preserve">🟡 MM  </w:t>
      </w:r>
      <w:r>
        <w:rPr>
          <w:color w:val="A07800"/>
          <w:sz w:val="18"/>
        </w:rPr>
        <w:t xml:space="preserve">🟡 Bollinger  </w:t>
      </w:r>
      <w:r>
        <w:rPr>
          <w:color w:val="A078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56/100  (Bon)</w:t>
      </w:r>
    </w:p>
    <w:p/>
    <w:p>
      <w:pPr>
        <w:jc w:val="center"/>
      </w:pPr>
      <w:r>
        <w:drawing>
          <wp:inline xmlns:a="http://schemas.openxmlformats.org/drawingml/2006/main" xmlns:pic="http://schemas.openxmlformats.org/drawingml/2006/picture">
            <wp:extent cx="5669280" cy="2616976"/>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16976"/>
                    </a:xfrm>
                    <a:prstGeom prst="rect"/>
                  </pic:spPr>
                </pic:pic>
              </a:graphicData>
            </a:graphic>
          </wp:inline>
        </w:drawing>
      </w:r>
    </w:p>
    <w:p/>
    <w:p>
      <w:pPr>
        <w:spacing w:after="120" w:line="276" w:lineRule="auto"/>
      </w:pPr>
      <w:r>
        <w:t># RAPPORT D'ANALYSE FINANCIÈRE — ACTION SEMC (BRVM)</w:t>
      </w:r>
    </w:p>
    <w:p>
      <w:pPr>
        <w:spacing w:after="120" w:line="276" w:lineRule="auto"/>
      </w:pPr>
      <w:r>
        <w:t>**Date d'analyse : Mars 2026** | **Cours de référence : 1 495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SEMC s'établit à **37,66 milliards FCFA**, un niveau modeste à l'échelle de la BRVM qui la positionne parmi les valeurs de taille intermédiaire du compartiment industriel. Les ratios de valorisation boursière (BPA, PER, P/B, EV/EBITDA) ne sont pas calculables en l'état, faute de données financières structurées exploitables dans la base (les états financiers disponibles étant ceux de l'exercice 2023, antérieurs au dernier exercice clos). À titre indicatif, sur la base du résultat net 2023 de **1,01 milliard FCFA** issu du rapport officiel du 31/12/2023, le BPA ressortirait autour de **40 FCFA** (pour ~25 millions d'actions estimées), impliquant un PER mécanique très élevé au cours actuel de 1 495 FCFA — signe que le marché valorise davantage les perspectives de relance (rachat Sonoco, objectif CA 2024 de 32 Mds FCFA) que les bénéfices historiques déprimés. L'investisseur doit donc considérer cette valorisation comme **spéculative sur le redressement**, non comme une valorisation sur les fondamentaux courants.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SEMC affiche une **variation totale de -16,94%**, avec une dernière séance en repli de **-1,64%**, confirmant une tendance clairement **baissière**. Le titre évolue dans un range de **1 350 FCFA (plus bas) à 1 800 FCFA (plus haut)**, soit une amplitude de 33%, et cote actuellement à **1 495 FCFA**, dans la moitié inférieure de ce canal. Les statistiques descriptives révèlent une distribution légèrement asymétrique : la **moyenne (1 527 FCFA)** dépasse la **médiane (1 520 FCFA)**, avec un **skewness positif de 0,558** indiquant davantage de séances sous la moyenne (traîne à gauche), tandis que le **mode à 1 500 FCFA** confirme l'attraction du titre autour de ce palier psychologique. L'**écart-type de 69 FCFA (CV = 4,5%)** traduit une dispersion journalière modérée, mais le **kurtosis de 1,652 (leptokurtique)** signale des queues épaisses et un risque de pics de volatilité brutaux. La **volatilité annualisée de 47,2%** classe le titre en catégorie **élevée (&gt;30%)**, nettement supérieure à la moyenne du marché BRVM, ce qui est cohérent avec un dossier en restructuration (suspension de cote, changement d'actionnariat).</w:t>
      </w:r>
    </w:p>
    <w:p>
      <w:pPr>
        <w:spacing w:after="120" w:line="276" w:lineRule="auto"/>
      </w:pPr>
      <w:r>
        <w:t>---</w:t>
      </w:r>
    </w:p>
    <w:p>
      <w:pPr>
        <w:spacing w:after="120" w:line="276" w:lineRule="auto"/>
      </w:pPr>
      <w:r>
        <w:t>## PARTIE 2 : ANALYSE TECHNIQUE DÉTAILLÉE</w:t>
      </w:r>
    </w:p>
    <w:p>
      <w:pPr>
        <w:spacing w:after="120" w:line="276" w:lineRule="auto"/>
      </w:pPr>
      <w:r>
        <w:t>**Moyennes Mobiles** : Les MM20 et MM50 ne sont pas calculables (valeurs non disponibles), ce qui empêche de déterminer la position relative du cours par rapport à ses tendances court et moyen terme. En l'absence de ces repères, la décision technique reste **indéterminée** ; on notera toutefois que le cours actuel (1 495 FCFA) est inférieur à la moyenne 100 jours (1 527 FCFA), suggérant une pression vendeuse persistante.</w:t>
      </w:r>
    </w:p>
    <w:p>
      <w:pPr>
        <w:spacing w:after="120" w:line="276" w:lineRule="auto"/>
      </w:pPr>
      <w:r>
        <w:t>**Bandes de Bollinger** : Les bornes supérieure et inférieure ne sont pas disponibles, rendant impossible l'évaluation de la position du cours dans le canal de volatilité. La décision est **neutre/indéterminée** ; le CV de 4,5% suggère néanmoins un resserrement récent des bandes, propice à une expansion de volatilité à venir.</w:t>
      </w:r>
    </w:p>
    <w:p>
      <w:pPr>
        <w:spacing w:after="120" w:line="276" w:lineRule="auto"/>
      </w:pPr>
      <w:r>
        <w:t>**MACD** : Les valeurs MACD et Signal étant non disponibles, aucune divergence ni croisement ne peut être analysé. La décision reste **indéterminée**, mais la tendance baissière de -16,94% sur 100 jours plaide pour un momentum négatif sous-jacent.</w:t>
      </w:r>
    </w:p>
    <w:p>
      <w:pPr>
        <w:spacing w:after="120" w:line="276" w:lineRule="auto"/>
      </w:pPr>
      <w:r>
        <w:t>**RSI** : La valeur du RSI n'est pas fournie ; impossible de statuer sur une zone de surachat (&gt;70) ou de survente (&lt;30). Compte tenu du repli récent et du cours proche du bas de range, un RSI en zone neutre-basse (30-45) serait cohérent, sans signal d'achat confirmé.</w:t>
      </w:r>
    </w:p>
    <w:p>
      <w:pPr>
        <w:spacing w:after="120" w:line="276" w:lineRule="auto"/>
      </w:pPr>
      <w:r>
        <w:t>**Stochastique** : Les %K et %D ne sont pas calculables, empêchant l'identification d'un croisement haussier ou baissier. La décision reste **indéterminée** ; le contexte baissier suggère un oscillateur probablement orienté vers le bas.</w:t>
      </w:r>
    </w:p>
    <w:p>
      <w:pPr>
        <w:spacing w:after="120" w:line="276" w:lineRule="auto"/>
      </w:pPr>
      <w:r>
        <w:t>**Conclusion technique** : L'ensemble des indicateurs techniques étant indisponibles (données manquantes), aucune convergence de signaux ne peut être établie. Le seul élément exploitable — tendance baissière de -16,94%, cours sous la moyenne 100 jours, volatilité élevée (47,2%) — dresse un **biais technique défavorable**, sans confirmation par les oscillateurs. La prudence commande d'attendre la reconstitution des indicateurs pour valider toute entrée.</w:t>
      </w:r>
    </w:p>
    <w:p>
      <w:pPr>
        <w:spacing w:after="120" w:line="276" w:lineRule="auto"/>
      </w:pPr>
      <w:r>
        <w:t>---</w:t>
      </w:r>
    </w:p>
    <w:p>
      <w:pPr>
        <w:spacing w:after="120" w:line="276" w:lineRule="auto"/>
      </w:pPr>
      <w:r>
        <w:t>## PARTIE 3 : ANALYSE FONDAMENTALE (SECTION CRITIQUE)</w:t>
      </w:r>
    </w:p>
    <w:p>
      <w:pPr>
        <w:spacing w:after="120" w:line="276" w:lineRule="auto"/>
      </w:pPr>
      <w:r>
        <w:t>Les états financiers officiels les plus récents disponibles datent de l'**exercice clos le 31/12/2023** (rapports analysés en mars 2026, donc antérieurs de plus de deux ans — à interpréter avec prudence). En 2023, SEMC (ex-Eviosys Packaging SIEM) a enregistré un **chiffre d'affaires de 27,88 milliards FCFA**, en **baisse de 6%** par rapport aux 29,60 Mds FCFA de 2022, et un **résultat net de 1,01 milliard FCFA**, en **chute de 74%** vs 3,86 Mds FCFA en 2022. La **marge nette s'est effondrée à 3,6%** (contre 13,0% en 2022) et la **marge d'exploitation à 6,9%** (vs 11,0%), sous l'effet d'un effet ciseau (CA -6%, charges quasi stables +1%), de dépréciations de stocks et d'amendes fiscales. Le **ROE** ressort en forte dégradation (non communiqué précisément en 2023, mais mécaniquement divisé par ~4 avec le résultat net). Cette contre-performance s'explique par la **perte de clients clés** (AIRONE : -81% de CA Poisson ; disparition du segment Tomate face au PET) et l'arrêt des cannettes aluminium. À noter une **incohérence entre rapports** : un premier document évoque un CA consolidé de 125,4 Mds FCFA et un résultat net de 12,8 Mds FCFA pour 2023 (probablement une confusion avec des données de groupe/2022), tandis que le rapport détaillé par secteur — plus granulaire et cohérent avec l'historique 2022 (27,88 vs 29,60 Mds) — retient **27,88 Mds FCFA de CA et 1,01 Md FCFA de résultat net** ; c'est cette seconde lecture, corroborée par la cohérence sectorielle, que nous privilégions. La **politique de dividende est suspendue (0 FCFA en 2022 et 2023)** pour préserver la trésorerie (3,35 Mds FCFA) et financer la relance. Les **perspectives 2024** tablent sur un objectif de CA de **32 Mds FCFA (+18%)**, porté par les bouchons couronnes (+61% en volume en 2023) et les exportations (Sénégal), tandis que le **rachat par Sonoco Products Company** (finalisé décembre 2024) pourrait apporter capitaux et expertise. La **suspension de la cote BRVM** (flottant insuffisant : 10,42% vs 15% requis) constitue toutefois un risque de liquidité majeur. **Recommandation fondamentale : dossier spéculatif de retournement**, à réserver aux investisseurs tolérants au risque, avec un suivi impératif de la levée de suspension et de l'exécution du plan 2024.</w:t>
      </w:r>
    </w:p>
    <w:p>
      <w:pPr>
        <w:spacing w:after="120" w:line="276" w:lineRule="auto"/>
      </w:pPr>
      <w:r>
        <w:t>---</w:t>
      </w:r>
    </w:p>
    <w:p>
      <w:pPr>
        <w:spacing w:after="120" w:line="276" w:lineRule="auto"/>
      </w:pPr>
      <w:r>
        <w:t>## PARTIE 4 : CONCLUSION D'INVESTISSEMENT</w:t>
      </w:r>
    </w:p>
    <w:p>
      <w:pPr>
        <w:spacing w:after="120" w:line="276" w:lineRule="auto"/>
      </w:pPr>
      <w:r>
        <w:t>La synthèse des quatre parties dresse un tableau **contrasté et globalement défavorable à court terme**. Sur le plan de la **valorisation (Partie 0)**, la capitalisation de 37,66 Mds FCFA et un PER mécanique très élevé sur les bénéfices 2023 déprimés traduisent une valorisation **spéculative sur le redressement**, non soutenue par les résultats courants. Le **comportement du cours (Partie 1)** est nettement baissier (-16,94% sur 100 jours, -1,64% en J-1), avec une volatilité élevée (47,2%) et un profil leptokurtique (kurtosis 1,652) signalant un risque de pics — éléments **préoccupants** pour la gestion du risque. Les **signaux techniques (Partie 2)** sont **indisponibles** (MM, Bollinger, MACD, RSI, Stochastique non calculables), ce qui prive l'analyste de toute confirmation ; le seul biais exploitable reste baissier. Les **fondamentaux (Partie 3)**, issus des rapports du 31/12/2023, révèlent une **détérioration sévère** (CA -6%, résultat net -74%, marge nette à 3,6%, dividende suspendu), tempérée par des perspectives de relance 2024 (+18% de CA visé) et l'arrivée de Sonoco — mais ces éléments restent **des estimations non confirmées** à ce jour. Les **prédictions IA (J+1 à J+10)** ne sont pas disponibles, ne permettant aucune validation croisée. **Recommandation finale : CONSERVER (avec vigilance accrue)**, justifiée par la convergence d'un technique baissier, de fondamentaux dégradés mais en voie de restructuration, et d'une valorisation spéculative — sans signal d'achat confirmé ni de vente panique compte tenu du potentiel de retournement. **Niveau de confiance : Faible à Moyen** (indicateurs techniques manquants, fondamentaux datés de 2023, prédictions absentes). **Niveau de risque global : Élevé** (volatilité 47,2%, suspension de cote, dépendance clients, change). **Horizon optimal : moyen terme (3-12 mois)**, le temps que se matérialisent la levée de suspension BRVM et les premiers effets du rachat Sonoco — un passage à **ACHAT** ne serait justifié qu'en cas de confirmation des résultats 2024 et de reconstitution des indicateurs techniques.</w:t>
      </w:r>
    </w:p>
    <w:p/>
    <w:p/>
    <w:p>
      <w:r>
        <w:t>════════════════════════════════════════════════════════════════════════════════</w:t>
      </w:r>
    </w:p>
    <w:p>
      <w:r>
        <w:br w:type="page"/>
      </w:r>
    </w:p>
    <w:p>
      <w:pPr>
        <w:pStyle w:val="Heading2"/>
        <w:spacing w:before="360"/>
      </w:pPr>
      <w:r>
        <w:rPr>
          <w:color w:val="0066CC"/>
        </w:rPr>
        <w:t>33.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1213.49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5,162 titres</w:t>
            </w:r>
          </w:p>
        </w:tc>
        <w:tc>
          <w:tcPr>
            <w:tcW w:type="dxa" w:w="2268"/>
            <w:shd w:fill="FFF2CC" w:val="clear"/>
          </w:tcPr>
          <w:p>
            <w:r>
              <w:rPr>
                <w:b/>
                <w:color w:val="503200"/>
                <w:sz w:val="16"/>
              </w:rPr>
              <w:t xml:space="preserve">Cours actuel : </w:t>
            </w:r>
            <w:r>
              <w:rPr>
                <w:color w:val="000000"/>
                <w:sz w:val="17"/>
              </w:rPr>
              <w:t>39,005 FCFA</w:t>
            </w:r>
          </w:p>
          <w:p>
            <w:r>
              <w:rPr>
                <w:b/>
                <w:color w:val="503200"/>
                <w:sz w:val="16"/>
              </w:rPr>
              <w:t xml:space="preserve">Var. 100 jours : </w:t>
            </w:r>
            <w:r>
              <w:rPr>
                <w:b/>
                <w:color w:val="007800"/>
                <w:sz w:val="17"/>
              </w:rPr>
              <w:t>+6.57%</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36,600 FCFA</w:t>
            </w:r>
          </w:p>
          <w:p>
            <w:r>
              <w:rPr>
                <w:b/>
                <w:color w:val="503200"/>
                <w:sz w:val="16"/>
              </w:rPr>
              <w:t xml:space="preserve">Volatilité ann. : </w:t>
            </w:r>
            <w:r>
              <w:rPr>
                <w:color w:val="000000"/>
                <w:sz w:val="17"/>
              </w:rPr>
              <w:t>20.9%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9.5/100 → Faible</w:t>
      </w:r>
    </w:p>
    <w:p>
      <w:pPr>
        <w:spacing w:before="40" w:after="80"/>
      </w:pPr>
      <w:r>
        <w:rPr>
          <w:rFonts w:ascii="Courier New" w:hAnsi="Courier New"/>
          <w:color w:val="006400"/>
          <w:sz w:val="18"/>
        </w:rPr>
        <w:t>█░░░░░░░░░░░░░░░░░░░  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1.66% (Faible) — μ=38,497 FCFA, σ=639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β=0.4566 (Défensif) — Cov=0.000035, Var(idx)=0.000076, ρ=0.300,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5,162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σ_j=1.32%/j (Stable) — Vol. annualisée≈20.9%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2026-10-19</w:t>
            </w:r>
          </w:p>
        </w:tc>
        <w:tc>
          <w:tcPr>
            <w:tcW w:type="dxa" w:w="1440"/>
            <w:shd w:fill="FAFAFA" w:val="clear"/>
          </w:tcPr>
          <w:p>
            <w:r>
              <w:rPr>
                <w:sz w:val="17"/>
              </w:rPr>
              <w:t>37,939</w:t>
            </w:r>
          </w:p>
        </w:tc>
        <w:tc>
          <w:tcPr>
            <w:tcW w:type="dxa" w:w="1440"/>
            <w:shd w:fill="FAFAFA" w:val="clear"/>
          </w:tcPr>
          <w:p>
            <w:r>
              <w:rPr>
                <w:b/>
                <w:sz w:val="17"/>
              </w:rPr>
              <w:t>38,764</w:t>
            </w:r>
          </w:p>
        </w:tc>
        <w:tc>
          <w:tcPr>
            <w:tcW w:type="dxa" w:w="1440"/>
            <w:shd w:fill="FAFAFA" w:val="clear"/>
          </w:tcPr>
          <w:p>
            <w:r>
              <w:rPr>
                <w:sz w:val="17"/>
              </w:rPr>
              <w:t>39,589</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2026-10-20</w:t>
            </w:r>
          </w:p>
        </w:tc>
        <w:tc>
          <w:tcPr>
            <w:tcW w:type="dxa" w:w="1440"/>
            <w:shd w:fill="FAFAFA" w:val="clear"/>
          </w:tcPr>
          <w:p>
            <w:r>
              <w:rPr>
                <w:sz w:val="17"/>
              </w:rPr>
              <w:t>37,530</w:t>
            </w:r>
          </w:p>
        </w:tc>
        <w:tc>
          <w:tcPr>
            <w:tcW w:type="dxa" w:w="1440"/>
            <w:shd w:fill="FAFAFA" w:val="clear"/>
          </w:tcPr>
          <w:p>
            <w:r>
              <w:rPr>
                <w:b/>
                <w:sz w:val="17"/>
              </w:rPr>
              <w:t>38,696</w:t>
            </w:r>
          </w:p>
        </w:tc>
        <w:tc>
          <w:tcPr>
            <w:tcW w:type="dxa" w:w="1440"/>
            <w:shd w:fill="FAFAFA" w:val="clear"/>
          </w:tcPr>
          <w:p>
            <w:r>
              <w:rPr>
                <w:sz w:val="17"/>
              </w:rPr>
              <w:t>39,861</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2026-10-21</w:t>
            </w:r>
          </w:p>
        </w:tc>
        <w:tc>
          <w:tcPr>
            <w:tcW w:type="dxa" w:w="1440"/>
            <w:shd w:fill="FAFAFA" w:val="clear"/>
          </w:tcPr>
          <w:p>
            <w:r>
              <w:rPr>
                <w:sz w:val="17"/>
              </w:rPr>
              <w:t>37,200</w:t>
            </w:r>
          </w:p>
        </w:tc>
        <w:tc>
          <w:tcPr>
            <w:tcW w:type="dxa" w:w="1440"/>
            <w:shd w:fill="FAFAFA" w:val="clear"/>
          </w:tcPr>
          <w:p>
            <w:r>
              <w:rPr>
                <w:b/>
                <w:sz w:val="17"/>
              </w:rPr>
              <w:t>38,625</w:t>
            </w:r>
          </w:p>
        </w:tc>
        <w:tc>
          <w:tcPr>
            <w:tcW w:type="dxa" w:w="1440"/>
            <w:shd w:fill="FAFAFA" w:val="clear"/>
          </w:tcPr>
          <w:p>
            <w:r>
              <w:rPr>
                <w:sz w:val="17"/>
              </w:rPr>
              <w:t>40,049</w:t>
            </w:r>
          </w:p>
        </w:tc>
        <w:tc>
          <w:tcPr>
            <w:tcW w:type="dxa" w:w="1440"/>
            <w:shd w:fill="FAFAFA" w:val="clear"/>
          </w:tcPr>
          <w:p>
            <w:r>
              <w:rPr>
                <w:b/>
                <w:color w:val="C00000"/>
                <w:sz w:val="17"/>
              </w:rPr>
              <w:t>-1.0%</w:t>
            </w:r>
          </w:p>
        </w:tc>
      </w:tr>
      <w:tr>
        <w:tc>
          <w:tcPr>
            <w:tcW w:type="dxa" w:w="1440"/>
            <w:shd w:fill="FAFAFA" w:val="clear"/>
          </w:tcPr>
          <w:p>
            <w:r>
              <w:rPr>
                <w:sz w:val="17"/>
              </w:rPr>
              <w:t>J+4  Moyenne</w:t>
            </w:r>
          </w:p>
        </w:tc>
        <w:tc>
          <w:tcPr>
            <w:tcW w:type="dxa" w:w="1440"/>
            <w:shd w:fill="FAFAFA" w:val="clear"/>
          </w:tcPr>
          <w:p>
            <w:r>
              <w:rPr>
                <w:sz w:val="17"/>
              </w:rPr>
              <w:t>2026-10-22</w:t>
            </w:r>
          </w:p>
        </w:tc>
        <w:tc>
          <w:tcPr>
            <w:tcW w:type="dxa" w:w="1440"/>
            <w:shd w:fill="FAFAFA" w:val="clear"/>
          </w:tcPr>
          <w:p>
            <w:r>
              <w:rPr>
                <w:sz w:val="17"/>
              </w:rPr>
              <w:t>36,915</w:t>
            </w:r>
          </w:p>
        </w:tc>
        <w:tc>
          <w:tcPr>
            <w:tcW w:type="dxa" w:w="1440"/>
            <w:shd w:fill="FAFAFA" w:val="clear"/>
          </w:tcPr>
          <w:p>
            <w:r>
              <w:rPr>
                <w:b/>
                <w:sz w:val="17"/>
              </w:rPr>
              <w:t>38,557</w:t>
            </w:r>
          </w:p>
        </w:tc>
        <w:tc>
          <w:tcPr>
            <w:tcW w:type="dxa" w:w="1440"/>
            <w:shd w:fill="FAFAFA" w:val="clear"/>
          </w:tcPr>
          <w:p>
            <w:r>
              <w:rPr>
                <w:sz w:val="17"/>
              </w:rPr>
              <w:t>40,198</w:t>
            </w:r>
          </w:p>
        </w:tc>
        <w:tc>
          <w:tcPr>
            <w:tcW w:type="dxa" w:w="1440"/>
            <w:shd w:fill="FAFAFA" w:val="clear"/>
          </w:tcPr>
          <w:p>
            <w:r>
              <w:rPr>
                <w:b/>
                <w:color w:val="C00000"/>
                <w:sz w:val="17"/>
              </w:rPr>
              <w:t>-1.1%</w:t>
            </w:r>
          </w:p>
        </w:tc>
      </w:tr>
      <w:tr>
        <w:tc>
          <w:tcPr>
            <w:tcW w:type="dxa" w:w="1440"/>
            <w:shd w:fill="FAFAFA" w:val="clear"/>
          </w:tcPr>
          <w:p>
            <w:r>
              <w:rPr>
                <w:sz w:val="17"/>
              </w:rPr>
              <w:t>J+5  Moyenne</w:t>
            </w:r>
          </w:p>
        </w:tc>
        <w:tc>
          <w:tcPr>
            <w:tcW w:type="dxa" w:w="1440"/>
            <w:shd w:fill="FAFAFA" w:val="clear"/>
          </w:tcPr>
          <w:p>
            <w:r>
              <w:rPr>
                <w:sz w:val="17"/>
              </w:rPr>
              <w:t>2026-10-23</w:t>
            </w:r>
          </w:p>
        </w:tc>
        <w:tc>
          <w:tcPr>
            <w:tcW w:type="dxa" w:w="1440"/>
            <w:shd w:fill="FAFAFA" w:val="clear"/>
          </w:tcPr>
          <w:p>
            <w:r>
              <w:rPr>
                <w:sz w:val="17"/>
              </w:rPr>
              <w:t>36,659</w:t>
            </w:r>
          </w:p>
        </w:tc>
        <w:tc>
          <w:tcPr>
            <w:tcW w:type="dxa" w:w="1440"/>
            <w:shd w:fill="FAFAFA" w:val="clear"/>
          </w:tcPr>
          <w:p>
            <w:r>
              <w:rPr>
                <w:b/>
                <w:sz w:val="17"/>
              </w:rPr>
              <w:t>38,491</w:t>
            </w:r>
          </w:p>
        </w:tc>
        <w:tc>
          <w:tcPr>
            <w:tcW w:type="dxa" w:w="1440"/>
            <w:shd w:fill="FAFAFA" w:val="clear"/>
          </w:tcPr>
          <w:p>
            <w:r>
              <w:rPr>
                <w:sz w:val="17"/>
              </w:rPr>
              <w:t>40,324</w:t>
            </w:r>
          </w:p>
        </w:tc>
        <w:tc>
          <w:tcPr>
            <w:tcW w:type="dxa" w:w="1440"/>
            <w:shd w:fill="FAFAFA" w:val="clear"/>
          </w:tcPr>
          <w:p>
            <w:r>
              <w:rPr>
                <w:b/>
                <w:color w:val="C00000"/>
                <w:sz w:val="17"/>
              </w:rPr>
              <w:t>-1.3%</w:t>
            </w:r>
          </w:p>
        </w:tc>
      </w:tr>
      <w:tr>
        <w:tc>
          <w:tcPr>
            <w:tcW w:type="dxa" w:w="1440"/>
            <w:shd w:fill="FAFAFA" w:val="clear"/>
          </w:tcPr>
          <w:p>
            <w:r>
              <w:rPr>
                <w:sz w:val="17"/>
              </w:rPr>
              <w:t>J+6  Moyenne</w:t>
            </w:r>
          </w:p>
        </w:tc>
        <w:tc>
          <w:tcPr>
            <w:tcW w:type="dxa" w:w="1440"/>
            <w:shd w:fill="FAFAFA" w:val="clear"/>
          </w:tcPr>
          <w:p>
            <w:r>
              <w:rPr>
                <w:sz w:val="17"/>
              </w:rPr>
              <w:t>2026-10-26</w:t>
            </w:r>
          </w:p>
        </w:tc>
        <w:tc>
          <w:tcPr>
            <w:tcW w:type="dxa" w:w="1440"/>
            <w:shd w:fill="FAFAFA" w:val="clear"/>
          </w:tcPr>
          <w:p>
            <w:r>
              <w:rPr>
                <w:sz w:val="17"/>
              </w:rPr>
              <w:t>36,424</w:t>
            </w:r>
          </w:p>
        </w:tc>
        <w:tc>
          <w:tcPr>
            <w:tcW w:type="dxa" w:w="1440"/>
            <w:shd w:fill="FAFAFA" w:val="clear"/>
          </w:tcPr>
          <w:p>
            <w:r>
              <w:rPr>
                <w:b/>
                <w:sz w:val="17"/>
              </w:rPr>
              <w:t>38,428</w:t>
            </w:r>
          </w:p>
        </w:tc>
        <w:tc>
          <w:tcPr>
            <w:tcW w:type="dxa" w:w="1440"/>
            <w:shd w:fill="FAFAFA" w:val="clear"/>
          </w:tcPr>
          <w:p>
            <w:r>
              <w:rPr>
                <w:sz w:val="17"/>
              </w:rPr>
              <w:t>40,432</w:t>
            </w:r>
          </w:p>
        </w:tc>
        <w:tc>
          <w:tcPr>
            <w:tcW w:type="dxa" w:w="1440"/>
            <w:shd w:fill="FAFAFA" w:val="clear"/>
          </w:tcPr>
          <w:p>
            <w:r>
              <w:rPr>
                <w:b/>
                <w:color w:val="C00000"/>
                <w:sz w:val="17"/>
              </w:rPr>
              <w:t>-1.5%</w:t>
            </w:r>
          </w:p>
        </w:tc>
      </w:tr>
      <w:tr>
        <w:tc>
          <w:tcPr>
            <w:tcW w:type="dxa" w:w="1440"/>
            <w:shd w:fill="FAFAFA" w:val="clear"/>
          </w:tcPr>
          <w:p>
            <w:r>
              <w:rPr>
                <w:sz w:val="17"/>
              </w:rPr>
              <w:t>J+7  Moyenne</w:t>
            </w:r>
          </w:p>
        </w:tc>
        <w:tc>
          <w:tcPr>
            <w:tcW w:type="dxa" w:w="1440"/>
            <w:shd w:fill="FAFAFA" w:val="clear"/>
          </w:tcPr>
          <w:p>
            <w:r>
              <w:rPr>
                <w:sz w:val="17"/>
              </w:rPr>
              <w:t>2026-10-27</w:t>
            </w:r>
          </w:p>
        </w:tc>
        <w:tc>
          <w:tcPr>
            <w:tcW w:type="dxa" w:w="1440"/>
            <w:shd w:fill="FAFAFA" w:val="clear"/>
          </w:tcPr>
          <w:p>
            <w:r>
              <w:rPr>
                <w:sz w:val="17"/>
              </w:rPr>
              <w:t>36,205</w:t>
            </w:r>
          </w:p>
        </w:tc>
        <w:tc>
          <w:tcPr>
            <w:tcW w:type="dxa" w:w="1440"/>
            <w:shd w:fill="FAFAFA" w:val="clear"/>
          </w:tcPr>
          <w:p>
            <w:r>
              <w:rPr>
                <w:b/>
                <w:sz w:val="17"/>
              </w:rPr>
              <w:t>38,367</w:t>
            </w:r>
          </w:p>
        </w:tc>
        <w:tc>
          <w:tcPr>
            <w:tcW w:type="dxa" w:w="1440"/>
            <w:shd w:fill="FAFAFA" w:val="clear"/>
          </w:tcPr>
          <w:p>
            <w:r>
              <w:rPr>
                <w:sz w:val="17"/>
              </w:rPr>
              <w:t>40,528</w:t>
            </w:r>
          </w:p>
        </w:tc>
        <w:tc>
          <w:tcPr>
            <w:tcW w:type="dxa" w:w="1440"/>
            <w:shd w:fill="FAFAFA" w:val="clear"/>
          </w:tcPr>
          <w:p>
            <w:r>
              <w:rPr>
                <w:b/>
                <w:color w:val="C00000"/>
                <w:sz w:val="17"/>
              </w:rPr>
              <w:t>-1.6%</w:t>
            </w:r>
          </w:p>
        </w:tc>
      </w:tr>
      <w:tr>
        <w:tc>
          <w:tcPr>
            <w:tcW w:type="dxa" w:w="1440"/>
            <w:shd w:fill="FAFAFA" w:val="clear"/>
          </w:tcPr>
          <w:p>
            <w:r>
              <w:rPr>
                <w:sz w:val="17"/>
              </w:rPr>
              <w:t>J+8  Moyenne</w:t>
            </w:r>
          </w:p>
        </w:tc>
        <w:tc>
          <w:tcPr>
            <w:tcW w:type="dxa" w:w="1440"/>
            <w:shd w:fill="FAFAFA" w:val="clear"/>
          </w:tcPr>
          <w:p>
            <w:r>
              <w:rPr>
                <w:sz w:val="17"/>
              </w:rPr>
              <w:t>2026-10-28</w:t>
            </w:r>
          </w:p>
        </w:tc>
        <w:tc>
          <w:tcPr>
            <w:tcW w:type="dxa" w:w="1440"/>
            <w:shd w:fill="FAFAFA" w:val="clear"/>
          </w:tcPr>
          <w:p>
            <w:r>
              <w:rPr>
                <w:sz w:val="17"/>
              </w:rPr>
              <w:t>35,999</w:t>
            </w:r>
          </w:p>
        </w:tc>
        <w:tc>
          <w:tcPr>
            <w:tcW w:type="dxa" w:w="1440"/>
            <w:shd w:fill="FAFAFA" w:val="clear"/>
          </w:tcPr>
          <w:p>
            <w:r>
              <w:rPr>
                <w:b/>
                <w:sz w:val="17"/>
              </w:rPr>
              <w:t>38,306</w:t>
            </w:r>
          </w:p>
        </w:tc>
        <w:tc>
          <w:tcPr>
            <w:tcW w:type="dxa" w:w="1440"/>
            <w:shd w:fill="FAFAFA" w:val="clear"/>
          </w:tcPr>
          <w:p>
            <w:r>
              <w:rPr>
                <w:sz w:val="17"/>
              </w:rPr>
              <w:t>40,613</w:t>
            </w:r>
          </w:p>
        </w:tc>
        <w:tc>
          <w:tcPr>
            <w:tcW w:type="dxa" w:w="1440"/>
            <w:shd w:fill="FAFAFA" w:val="clear"/>
          </w:tcPr>
          <w:p>
            <w:r>
              <w:rPr>
                <w:b/>
                <w:color w:val="C00000"/>
                <w:sz w:val="17"/>
              </w:rPr>
              <w:t>-1.8%</w:t>
            </w:r>
          </w:p>
        </w:tc>
      </w:tr>
      <w:tr>
        <w:tc>
          <w:tcPr>
            <w:tcW w:type="dxa" w:w="1440"/>
            <w:shd w:fill="FAFAFA" w:val="clear"/>
          </w:tcPr>
          <w:p>
            <w:r>
              <w:rPr>
                <w:sz w:val="17"/>
              </w:rPr>
              <w:t>J+9  Moyenne</w:t>
            </w:r>
          </w:p>
        </w:tc>
        <w:tc>
          <w:tcPr>
            <w:tcW w:type="dxa" w:w="1440"/>
            <w:shd w:fill="FAFAFA" w:val="clear"/>
          </w:tcPr>
          <w:p>
            <w:r>
              <w:rPr>
                <w:sz w:val="17"/>
              </w:rPr>
              <w:t>2026-10-29</w:t>
            </w:r>
          </w:p>
        </w:tc>
        <w:tc>
          <w:tcPr>
            <w:tcW w:type="dxa" w:w="1440"/>
            <w:shd w:fill="FAFAFA" w:val="clear"/>
          </w:tcPr>
          <w:p>
            <w:r>
              <w:rPr>
                <w:sz w:val="17"/>
              </w:rPr>
              <w:t>35,804</w:t>
            </w:r>
          </w:p>
        </w:tc>
        <w:tc>
          <w:tcPr>
            <w:tcW w:type="dxa" w:w="1440"/>
            <w:shd w:fill="FAFAFA" w:val="clear"/>
          </w:tcPr>
          <w:p>
            <w:r>
              <w:rPr>
                <w:b/>
                <w:sz w:val="17"/>
              </w:rPr>
              <w:t>38,247</w:t>
            </w:r>
          </w:p>
        </w:tc>
        <w:tc>
          <w:tcPr>
            <w:tcW w:type="dxa" w:w="1440"/>
            <w:shd w:fill="FAFAFA" w:val="clear"/>
          </w:tcPr>
          <w:p>
            <w:r>
              <w:rPr>
                <w:sz w:val="17"/>
              </w:rPr>
              <w:t>40,690</w:t>
            </w:r>
          </w:p>
        </w:tc>
        <w:tc>
          <w:tcPr>
            <w:tcW w:type="dxa" w:w="1440"/>
            <w:shd w:fill="FAFAFA" w:val="clear"/>
          </w:tcPr>
          <w:p>
            <w:r>
              <w:rPr>
                <w:b/>
                <w:color w:val="C00000"/>
                <w:sz w:val="17"/>
              </w:rPr>
              <w:t>-1.9%</w:t>
            </w:r>
          </w:p>
        </w:tc>
      </w:tr>
      <w:tr>
        <w:tc>
          <w:tcPr>
            <w:tcW w:type="dxa" w:w="1440"/>
            <w:shd w:fill="FFDCE0" w:val="clear"/>
          </w:tcPr>
          <w:p>
            <w:r>
              <w:rPr>
                <w:sz w:val="17"/>
              </w:rPr>
              <w:t>J+10  Moyenne</w:t>
            </w:r>
          </w:p>
        </w:tc>
        <w:tc>
          <w:tcPr>
            <w:tcW w:type="dxa" w:w="1440"/>
            <w:shd w:fill="FFDCE0" w:val="clear"/>
          </w:tcPr>
          <w:p>
            <w:r>
              <w:rPr>
                <w:sz w:val="17"/>
              </w:rPr>
              <w:t>2026-10-30</w:t>
            </w:r>
          </w:p>
        </w:tc>
        <w:tc>
          <w:tcPr>
            <w:tcW w:type="dxa" w:w="1440"/>
            <w:shd w:fill="FFDCE0" w:val="clear"/>
          </w:tcPr>
          <w:p>
            <w:r>
              <w:rPr>
                <w:sz w:val="17"/>
              </w:rPr>
              <w:t>35,617</w:t>
            </w:r>
          </w:p>
        </w:tc>
        <w:tc>
          <w:tcPr>
            <w:tcW w:type="dxa" w:w="1440"/>
            <w:shd w:fill="FFDCE0" w:val="clear"/>
          </w:tcPr>
          <w:p>
            <w:r>
              <w:rPr>
                <w:b/>
                <w:sz w:val="17"/>
              </w:rPr>
              <w:t>38,188</w:t>
            </w:r>
          </w:p>
        </w:tc>
        <w:tc>
          <w:tcPr>
            <w:tcW w:type="dxa" w:w="1440"/>
            <w:shd w:fill="FFDCE0" w:val="clear"/>
          </w:tcPr>
          <w:p>
            <w:r>
              <w:rPr>
                <w:sz w:val="17"/>
              </w:rPr>
              <w:t>40,760</w:t>
            </w:r>
          </w:p>
        </w:tc>
        <w:tc>
          <w:tcPr>
            <w:tcW w:type="dxa" w:w="1440"/>
            <w:shd w:fill="FFDCE0" w:val="clear"/>
          </w:tcPr>
          <w:p>
            <w:r>
              <w:rPr>
                <w:b/>
                <w:color w:val="C00000"/>
                <w:sz w:val="17"/>
              </w:rPr>
              <w:t>-2.1%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 RAPPORT D'ANALYSE FINANCIÈRE — SGBC (Société Générale Côte d'Ivoire)</w:t>
        <w:br/>
        <w:t>### BRVM | Secteur : Banque | Cours actuel : 39 005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SGBC s'établit à **1 213,49 milliards FCFA**, ce qui en fait l'une des plus grosses capitalisations de la BRVM et un pilier du compartiment bancaire régional. Le BPA de **3 258 FCFA/action** traduit une rentabilité par titre élevée, cohérente avec un résultat net de 101,35 milliards FCFA en 2025. Le PER de **12,0x** se situe dans le haut de la fourchette moyenne du marché BRVM (~8-12x) : les investisseurs paient donc le prix plein pour les bénéfices, sans décote manifeste, ce qui traduit une prime de qualité mais limite le potentiel de réévaluation par le multiple. Le P/B de **2,45x** confirme que le marché valorise SGBC à 2,45 fois ses fonds propres comptables (495,1 Mds FCFA), soit une prime de croissance justifiée par un ROE de 20,5% nettement supérieur au coût des fonds propres. Enfin, l'EV/EBITDA de **24,7x** apparaît très exigeant (&gt;15x), signalant que la valeur d'entreprise intègre déjà une forte anticipation de résultats — un niveau qui laisse peu de marge d'erreur en cas de déception bénéficiaire.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SGBC affiche une **variation totale de +6,57%**, avec une dernière séance quasi stable (**+0,03%**), terminant à **39 005 FCFA**. Le range de trading s'est établi entre un plus bas de **36 600 FCFA** et un plus haut de **39 300 FCFA**, soit une amplitude de seulement 7,4% — le cours évolue actuellement à proximité immédiate de son sommet, signe d'une tendance **haussière modérée mais régulière**. Les statistiques descriptives révèlent une distribution très particulière : la moyenne (**38 497 FCFA**) est inférieure à la médiane (**38 835 FCFA**) et au mode (**39 000 FCFA**), confirmant le skewness négatif de **-0,940** — il y a eu davantage de journées de hausse au-dessus de la moyenne, avec quelques séances baissières marquées qui tirent la moyenne vers le bas. L'écart-type de **642 FCFA** et le coefficient de variation de **1,7%** indiquent une dispersion très faible du cours, caractéristique d'un titre peu agité. Le kurtosis de **0,073** (mésokurtique) signifie que la distribution est proche de la normale, sans risque de pics extrêmes prononcé. La **volatilité annualisée de 20,9%** place le titre dans la catégorie modérée (15-30%), cohérente avec un profil défensif de grande capitalisation bancaire.</w:t>
      </w:r>
    </w:p>
    <w:p>
      <w:pPr>
        <w:spacing w:after="120" w:line="276" w:lineRule="auto"/>
      </w:pPr>
      <w:r>
        <w:t>---</w:t>
      </w:r>
    </w:p>
    <w:p>
      <w:pPr>
        <w:spacing w:after="120" w:line="276" w:lineRule="auto"/>
      </w:pPr>
      <w:r>
        <w:t>## PARTIE 2 : ANALYSE TECHNIQUE DÉTAILLÉE</w:t>
      </w:r>
    </w:p>
    <w:p>
      <w:pPr>
        <w:spacing w:after="120" w:line="276" w:lineRule="auto"/>
      </w:pPr>
      <w:r>
        <w:t>**Moyennes Mobiles** : La MM20 (**38 837,5 FCFA**) et la MM50 (**38 684,0 FCFA**) se situent toutes deux sous le cours actuel de 39 005 FCFA, avec la MM20 au-dessus de la MM50 — configuration haussière classique (croisement doré). Le cours évoluant au-dessus de ses deux moyennes, la dynamique de fond est positive et justifie la décision **Achat**.</w:t>
      </w:r>
    </w:p>
    <w:p>
      <w:pPr>
        <w:spacing w:after="120" w:line="276" w:lineRule="auto"/>
      </w:pPr>
      <w:r>
        <w:t>**Bandes de Bollinger** : Le cours (39 005 FCFA) se situe dans la partie haute de la bande, entre la borne inférieure (38 146,9 FCFA) et la borne supérieure (39 528,1 FCFA), sans en franchir les limites. L'écart entre les bornes reste modéré, traduisant une volatilité contenue ; la position du cours à ~65% de la bande suggère une pression acheteuse sans excès, d'où la décision **Neutre**.</w:t>
      </w:r>
    </w:p>
    <w:p>
      <w:pPr>
        <w:spacing w:after="120" w:line="276" w:lineRule="auto"/>
      </w:pPr>
      <w:r>
        <w:t>**MACD** : La ligne MACD (**133,301**) est légèrement supérieure à sa ligne de signal (**130,163**), avec un histogramme positif mais étroit. Cette configuration indique un momentum haussier naissant mais peu vigoureux, cohérent avec la décision **Achat** — le signal reste toutefois fragile car la divergence est mince.</w:t>
      </w:r>
    </w:p>
    <w:p>
      <w:pPr>
        <w:spacing w:after="120" w:line="276" w:lineRule="auto"/>
      </w:pPr>
      <w:r>
        <w:t>**RSI** : À **52,713**, l'indicateur se situe en zone parfaitement neutre (30-70), à mi-chemin entre surachat et survente. Aucune tension directionnelle n'est présente : le titre n'est ni surextendu ni survendu, ce qui justifie la décision **Neutre** et laisse de la marge pour une accélération dans les deux sens.</w:t>
      </w:r>
    </w:p>
    <w:p>
      <w:pPr>
        <w:spacing w:after="120" w:line="276" w:lineRule="auto"/>
      </w:pPr>
      <w:r>
        <w:t>**Stochastique** : Le %K (**75,625**) et le %D (**75,0**) évoluent tous deux en zone haute, proches du seuil de surachat (80), avec un %K légèrement au-dessus du %D — signal haussier mais proche de l'essoufflement. La décision **Neutre** s'impose car le potentiel de hausse à court terme se réduit à mesure que l'on approche de la zone de surachat.</w:t>
      </w:r>
    </w:p>
    <w:p>
      <w:pPr>
        <w:spacing w:after="120" w:line="276" w:lineRule="auto"/>
      </w:pPr>
      <w:r>
        <w:t>**Conclusion technique** : Les indicateurs convergent majoritairement vers un biais haussier modéré (MM en achat, MACD en achat, cours au-dessus des moyennes), mais les oscillateurs (RSI neutre, Stochastique proche du surachat, Bollinger neutre) suggèrent que le titre approche d'une zone de résistance et manque de catalyseur pour une accélération franche. La configuration globale est celle d'un titre en consolidation haussière, sans signal de retournement ni d'emballement — un profil de **stabilité avec biais positif**, cohérent avec la faible volatilité observée.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SGBC affiche un **PNB de 276,048 milliards FCFA** (+4,88% de croissance), un **résultat net de 101,352 milliards FCFA** et un **total bilan de 3 769,174 milliards FCFA**. La rentabilité est remarquable avec un **ROE de 20,47%** (largement &gt;15%, seuil d'excellence) et un **ROA de 2,69%**. Le **coefficient d'exploitation de 38,75%** place la banque parmi les plus efficaces du secteur UEMOA (&lt;50% = excellence). La structure de bilan révèle une forte activité de transformation : **dépôts clientèle de 2 907,675 Mds FCFA** contre **créances clientèle de 2 546,290 Mds FCFA**, soit un ratio crédits/dépôts de 87,6% — sain et en amélioration. Le **coût du risque** (provisions de 17,995 Mds FCFA rapportées aux charges financières de 47,775 Mds FCFA) ressort à ~37,7%, un niveau à surveiller mais contenu. La solvabilité est assurée (solvabilité générale de 115,1%, couverture des intérêts de 255,9%), bien que l'autonomie financière (13,14%) soit structurellement faible pour une banque, ce qui est normal.</w:t>
      </w:r>
    </w:p>
    <w:p>
      <w:pPr>
        <w:spacing w:after="120" w:line="276" w:lineRule="auto"/>
      </w:pPr>
      <w:r>
        <w:t>**Évolution temporelle et rapports narratifs** : Le rapport annuel 2025 (publié le 17 avril 2026) confirme la quasi-stagnation du résultat net (+0,1%) malgré un PNB en hausse de +4,9%, sous l'effet de frais généraux en hausse (+7,3%, rénovation du siège) et d'un coût du risque en progression de +29,2% (NPL à 8,0%, couverture de 82%). Le rapport T1 2026 (publié le 30 avril 2026) montre un PNB en léger recul (-1%) et un résultat net en baisse de -11%, attribués à la migration vers une nouvelle plateforme digitale et aux investissements. Le rapport S1 2026 (publié le 27 août 2026) marque une **inflexion positive** : PNB +1,6% à 134,059 Mds FCFA, résultat net +0,5% à 53,350 Mds FCFA, coefficient d'exploitation amélioré à 36,7% et ratio de solvabilité solide à 17,6%. **Sur cette base, on estime que l'exercice 2026 devrait clôturer sur une stabilisation du résultat net autour de 100-102 Mds FCFA**, avec un redressement progressif au S2 porté par la finalisation de la migration digitale et la maîtrise des charges. La politique de dividende reste généreuse (2 606 FCFA/action proposé au titre de 2025, soit un taux de distribution de 80%), offrant un rendement attractif au cours actuel (~6,7%). **Conclusion fondamentale** : solidité bilancielle et rentabilité exceptionnelles, mais dynamique bénéficiaire atone à court terme — un dossier de rendement et de qualité, sans catalyseur de surperformance immédiat.</w:t>
      </w:r>
    </w:p>
    <w:p>
      <w:pPr>
        <w:spacing w:after="120" w:line="276" w:lineRule="auto"/>
      </w:pPr>
      <w:r>
        <w:t>---</w:t>
      </w:r>
    </w:p>
    <w:p>
      <w:pPr>
        <w:spacing w:after="120" w:line="276" w:lineRule="auto"/>
      </w:pPr>
      <w:r>
        <w:t>## PARTIE 4 : CONCLUSION D'INVESTISSEMENT</w:t>
      </w:r>
    </w:p>
    <w:p>
      <w:pPr>
        <w:spacing w:after="120" w:line="276" w:lineRule="auto"/>
      </w:pPr>
      <w:r>
        <w:t>La synthèse des quatre dimensions dessine un profil cohérent de **titre de qualité, équitablement valorisé, sans excès ni décote**. La **valorisation** (Partie 0) est raisonnable mais sans marge de sécurité : PER de 12,0x dans le haut de la fourchette BRVM, P/B de 2,45x intègre la prime de qualité, et EV/EBITDA de 24,7x très exigeant — le marché paie déjà la solidité de SGBC. Le **comportement du cours** (Partie 1) est favorable : tendance haussière de +6,57% sur 100 jours, volatilité modérée (20,9%), skewness négatif (plus de journées haussières) et distribution normale sans risque de pics — un profil rassurant pour un investisseur défensif. Les **signaux techniques** (Partie 2) convergent vers un biais haussier modéré (MM et MACD en achat) mais les oscillateurs (RSI neutre, Stochastique proche du surachat) suggèrent un essoufflement à court terme, plaidant pour une consolidation plutôt qu'une accélération. Les **fondamentaux** (Partie 3) sont excellents sur la structure (ROE 20,5%, coefficient d'exploitation 38,8%, solvabilité 17,6%) mais la croissance bénéficiaire est atone (+0,1% en 2025, +0,5% au S1 2026), avec un coût du risque en hausse à surveiller. Les **prédictions IA** (J+1 à J+10) anticipent une légère dérive baissière de 38 764 à 38 491 FCFA, soit -1,3% sur 10 jours — une trajectoire de consolidation cohérente avec le RSI neutre et le Stochastique proche du surachat, qui **contredit partiellement** le biais haussier des moyennes mobiles mais **confirme** l'absence de catalyseur immédiat.</w:t>
      </w:r>
    </w:p>
    <w:p>
      <w:pPr>
        <w:spacing w:after="120" w:line="276" w:lineRule="auto"/>
      </w:pPr>
      <w:r>
        <w:t>**Recommandation finale : CONSERVER.** La convergence est réelle entre valorisation sans décote, technique neutre-haussier, fondamentaux solides mais croissance atone et prédictions de consolidation — aucun signal fort (ni achat ni vente) ne se dégage. Le titre convient aux investisseurs recherchant **rendement (dividende ~6,7%) et stabilité**, dans l'attente d'une confirmation du redressement au S2 2026. Un passage à l'ACHAT serait justifié si le T3/S2 2026 confirme l'inflexion du PNB (&gt;3%) et la maîtrise du coût du risque ; une VENTE serait justifiée en cas de dégradation supplémentaire de la rentabilité ou de franchissement baissier de la MM50 (38 684 FCFA). **Niveau de confiance : Moyen** (signaux divergents entre technique court terme et fondamentaux long terme). **Niveau de risque : Faible** (faible volatilité, grande capitalisation, bilan solide). **Horizon optimal : moyen à long terme (6-18 mois)**, pour capter le dividende et la normalisation progressive des résultats post-investissements.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20260511   avis ndeg133 brvmdg   transactions sur dossier</w:t>
      </w:r>
    </w:p>
    <w:p>
      <w:pPr>
        <w:spacing w:before="20"/>
        <w:ind w:left="400"/>
      </w:pPr>
      <w:r>
        <w:rPr>
          <w:color w:val="505050"/>
          <w:sz w:val="17"/>
        </w:rPr>
        <w:t xml:space="preserve">Date : 12/05/2026  |  Catégorie : avis de marché  |  Impact : </w:t>
      </w:r>
      <w:r>
        <w:rPr>
          <w:b/>
          <w:color w:val="646464"/>
          <w:sz w:val="17"/>
        </w:rPr>
        <w:t>⚪ NEUTRE</w:t>
      </w:r>
    </w:p>
    <w:p>
      <w:pPr>
        <w:spacing w:before="40"/>
        <w:ind w:left="400"/>
      </w:pPr>
      <w:r>
        <w:rPr>
          <w:sz w:val="18"/>
        </w:rPr>
        <w:t>Avis de la BRVM informant de la réalisation de 7 transactions sur dossier le 11 mai 2026. Les transactions portent sur plusieurs titres dont SOCIETE GENERALE CI, SONATEL SN, SAFCA CI, ETI TG, UNIWAX CI et des obligations TPCI et FCTC EPT. La valeur totale des transactions s'élève à 667 125,85 FCFA.</w:t>
      </w:r>
    </w:p>
    <w:p>
      <w:pPr>
        <w:spacing w:before="60"/>
        <w:ind w:left="400"/>
      </w:pPr>
      <w:r>
        <w:rPr>
          <w:b/>
          <w:sz w:val="18"/>
        </w:rPr>
        <w:t>Points clés :</w:t>
      </w:r>
    </w:p>
    <w:p>
      <w:pPr>
        <w:pStyle w:val="ListBullet"/>
        <w:spacing w:before="20" w:after="20"/>
        <w:ind w:left="700"/>
      </w:pPr>
      <w:r>
        <w:rPr>
          <w:sz w:val="18"/>
        </w:rPr>
        <w:t>7 transactions sur dossier réalisées le 11 mai 2026</w:t>
      </w:r>
    </w:p>
    <w:p>
      <w:pPr>
        <w:pStyle w:val="ListBullet"/>
        <w:spacing w:before="20" w:after="20"/>
        <w:ind w:left="700"/>
      </w:pPr>
      <w:r>
        <w:rPr>
          <w:sz w:val="18"/>
        </w:rPr>
        <w:t>750 actions SOCIETE GENERALE CI et 500 actions SONATEL SN échangées</w:t>
      </w:r>
    </w:p>
    <w:p>
      <w:pPr>
        <w:pStyle w:val="ListBullet"/>
        <w:spacing w:before="20" w:after="20"/>
        <w:ind w:left="700"/>
      </w:pPr>
      <w:r>
        <w:rPr>
          <w:sz w:val="18"/>
        </w:rPr>
        <w:t>5 000 actions SAFCA CI, 125 000 actions ETI TG et 2 000 actions UNIWAX CI négociées</w:t>
      </w:r>
    </w:p>
    <w:p>
      <w:pPr>
        <w:pStyle w:val="ListBullet"/>
        <w:spacing w:before="20" w:after="20"/>
        <w:ind w:left="700"/>
      </w:pPr>
      <w:r>
        <w:rPr>
          <w:sz w:val="18"/>
        </w:rPr>
        <w:t>96 obligations TPCI 6,00% 2018-2026 et 100 obligations FCTC EPT 7,00% 2023-2030 échangées</w:t>
      </w:r>
    </w:p>
    <w:p>
      <w:pPr>
        <w:pStyle w:val="ListBullet"/>
        <w:spacing w:before="20" w:after="20"/>
        <w:ind w:left="700"/>
      </w:pPr>
      <w:r>
        <w:rPr>
          <w:sz w:val="18"/>
        </w:rPr>
        <w:t>Valeur totale des transactions de 667 125,85 FCFA</w:t>
      </w:r>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"SGB CI affiche une croissance solide de son r\u00e9sultat net (+39,3%) et une rentabilit\u00e9 \u00e9lev\u00e9e avec un ROE estim\u00e9 \u00e0 plus de 22%. La politique de dividende g\u00e9n\u00e9reuse (51,3% de distribution) et la solidit\u00e9 du bilan confortent le potentiel de valorisation du titre."}</w:t>
      </w:r>
    </w:p>
    <w:p>
      <w:pPr>
        <w:spacing w:before="40"/>
        <w:ind w:left="400"/>
      </w:pPr>
      <w:r>
        <w:rPr>
          <w:sz w:val="18"/>
        </w:rPr>
        <w:t>Société Générale Côte d'Ivoire (SGB CI) clôture l'exercice 2021 sur des états financiers certifiés marqués par une nette progression de son activité. Le Produit Net Bancaire s'élève à 189 096 millions FCFA, en hausse de 15,3% par rapport aux 164 062 millions FCFA de 2020. Le résultat net atteint 67 438 millions FCFA contre 48 435 millions FCFA un an plus tôt, soit une croissance de 39,3%. La banque affiche un total de bilan de 3 021 481 millions FCFA et des capitaux propres de 304 993 millions FCFA, confirmant sa solidité financière. La politique de distribution reste généreuse avec un dividende brut de 1 112 FCFA par action, soit un taux de distribution de 51,3% du résultat net.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{'roe_estime': '22,1%', 'cout_du_risque': '17 942 millions FCFA', 'croissance_pnb': '+15,3%', 'frais_generaux': '90 651 millions FCFA', 'nombre_d_actions': '31 111 110', 'resultat_avant_impot': '79 574 millions FCFA', 'taux_de_distribution': '51,3%', 'dettes_a_la_clientele': '2 528 809 millions FCFA', 'resultat_exploitation': '80 504 millions FCFA', 'croissance_resultat_net': '+39,3%', 'creances_sur_la_clientele': '398 854 millions FCFA', 'resultat_brut_exploitation': '98 446 millions FCFA'}</w:t>
            </w:r>
          </w:p>
        </w:tc>
        <w:tc>
          <w:tcPr>
            <w:tcW w:type="dxa" w:w="2160"/>
          </w:tcPr>
          <w:p>
            <w:pPr>
              <w:ind w:left="100"/>
            </w:pPr>
            <w:r/>
            <w:r>
              <w:rPr>
                <w:b/>
                <w:sz w:val="16"/>
              </w:rPr>
              <w:t>dividende</w:t>
              <w:br/>
            </w:r>
            <w:r>
              <w:rPr>
                <w:sz w:val="18"/>
              </w:rPr>
              <w:t>1 112 FCFA par action</w:t>
            </w:r>
          </w:p>
        </w:tc>
        <w:tc>
          <w:tcPr>
            <w:tcW w:type="dxa" w:w="2160"/>
          </w:tcPr>
          <w:p>
            <w:pPr>
              <w:ind w:left="100"/>
            </w:pPr>
            <w:r/>
            <w:r>
              <w:rPr>
                <w:b/>
                <w:sz w:val="16"/>
              </w:rPr>
              <w:t>marge_nette</w:t>
              <w:br/>
            </w:r>
            <w:r>
              <w:rPr>
                <w:sz w:val="18"/>
              </w:rPr>
              <w:t>35,7%</w:t>
            </w:r>
          </w:p>
        </w:tc>
        <w:tc>
          <w:tcPr>
            <w:tcW w:type="dxa" w:w="2160"/>
          </w:tcPr>
          <w:p>
            <w:pPr>
              <w:ind w:left="100"/>
            </w:pPr>
            <w:r/>
            <w:r>
              <w:rPr>
                <w:b/>
                <w:sz w:val="16"/>
              </w:rPr>
              <w:t>total_actif</w:t>
              <w:br/>
            </w:r>
            <w:r>
              <w:rPr>
                <w:sz w:val="18"/>
              </w:rPr>
              <w:t>3 021 481 millions FCFA</w:t>
            </w:r>
          </w:p>
        </w:tc>
      </w:tr>
      <w:tr>
        <w:tc>
          <w:tcPr>
            <w:tcW w:type="dxa" w:w="2160"/>
          </w:tcPr>
          <w:p>
            <w:r/>
            <w:r>
              <w:rPr>
                <w:b/>
                <w:sz w:val="16"/>
              </w:rPr>
              <w:t>resultat_net</w:t>
              <w:br/>
            </w:r>
            <w:r>
              <w:rPr>
                <w:sz w:val="18"/>
              </w:rPr>
              <w:t>67 438 millions FCFA</w:t>
            </w:r>
          </w:p>
        </w:tc>
        <w:tc>
          <w:tcPr>
            <w:tcW w:type="dxa" w:w="2160"/>
          </w:tcPr>
          <w:p>
            <w:r/>
            <w:r>
              <w:rPr>
                <w:b/>
                <w:sz w:val="16"/>
              </w:rPr>
              <w:t>capitaux_propres</w:t>
              <w:br/>
            </w:r>
            <w:r>
              <w:rPr>
                <w:sz w:val="18"/>
              </w:rPr>
              <w:t>304 993 millions FCFA</w:t>
            </w:r>
          </w:p>
        </w:tc>
        <w:tc>
          <w:tcPr>
            <w:tcW w:type="dxa" w:w="2160"/>
          </w:tcPr>
          <w:p>
            <w:r/>
            <w:r>
              <w:rPr>
                <w:b/>
                <w:sz w:val="16"/>
              </w:rPr>
              <w:t>chiffre_affaires</w:t>
              <w:br/>
            </w:r>
            <w:r>
              <w:rPr>
                <w:sz w:val="18"/>
              </w:rPr>
              <w:t>189 096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189 096 millions FCFA en 2021, en progression de 15,3% sur un an (164 062 millions FCFA en 2020).</w:t>
      </w:r>
    </w:p>
    <w:p>
      <w:pPr>
        <w:pStyle w:val="ListBullet"/>
        <w:spacing w:before="20" w:after="20"/>
        <w:ind w:left="700"/>
      </w:pPr>
      <w:r>
        <w:rPr>
          <w:sz w:val="18"/>
        </w:rPr>
        <w:t>Résultat net de 67 438 millions FCFA, en forte hausse de 39,3% par rapport à 48 435 millions FCFA en 2020.</w:t>
      </w:r>
    </w:p>
    <w:p>
      <w:pPr>
        <w:pStyle w:val="ListBullet"/>
        <w:spacing w:before="20" w:after="20"/>
        <w:ind w:left="700"/>
      </w:pPr>
      <w:r>
        <w:rPr>
          <w:sz w:val="18"/>
        </w:rPr>
        <w:t>Marge nette élevée à environ 35,7% du PNB, illustrant une bonne maîtrise des charges.</w:t>
      </w:r>
    </w:p>
    <w:p>
      <w:pPr>
        <w:pStyle w:val="ListBullet"/>
        <w:spacing w:before="20" w:after="20"/>
        <w:ind w:left="700"/>
      </w:pPr>
      <w:r>
        <w:rPr>
          <w:sz w:val="18"/>
        </w:rPr>
        <w:t>Coût du risque en baisse à 17 942 millions FCFA contre 23 926 millions FCFA en 2020, traduisant une amélioration de la qualité du portefeuille.</w:t>
      </w:r>
    </w:p>
    <w:p>
      <w:pPr>
        <w:pStyle w:val="ListBullet"/>
        <w:spacing w:before="20" w:after="20"/>
        <w:ind w:left="700"/>
      </w:pPr>
      <w:r>
        <w:rPr>
          <w:sz w:val="18"/>
        </w:rPr>
        <w:t>Frais généraux contenus à 90 651 millions FCFA, permettant un Résultat Brut d'Exploitation de 98 446 millions FCFA (contre 83 330 millions FCFA en 2020).</w:t>
      </w:r>
    </w:p>
    <w:p>
      <w:pPr>
        <w:pStyle w:val="ListBullet"/>
        <w:spacing w:before="20" w:after="20"/>
        <w:ind w:left="700"/>
      </w:pPr>
      <w:r>
        <w:rPr>
          <w:sz w:val="18"/>
        </w:rPr>
        <w:t>Total du bilan de 3 021 481 millions FCFA et capitaux propres renforcés à 304 993 millions FCFA.</w:t>
      </w:r>
    </w:p>
    <w:p>
      <w:pPr>
        <w:spacing w:before="40"/>
        <w:ind w:left="400"/>
      </w:pPr>
      <w:r>
        <w:rPr>
          <w:b/>
          <w:color w:val="C05000"/>
          <w:sz w:val="18"/>
        </w:rPr>
        <w:t xml:space="preserve">⚠️ Risques : </w:t>
      </w:r>
      <w:r>
        <w:rPr>
          <w:sz w:val="18"/>
        </w:rPr>
        <w:t>["D\u00e9gradation de la qualit\u00e9 du cr\u00e9dit dans un contexte macro\u00e9conomique r\u00e9gional incertain pouvant faire remonter le co\u00fbt du risque.", "Forte d\u00e9pendance au march\u00e9 ivoirien et \u00e0 la concentration du portefeuille client\u00e8le, exposant la banque \u00e0 un r</w:t>
      </w:r>
    </w:p>
    <w:p>
      <w:pPr>
        <w:spacing w:before="40"/>
        <w:ind w:left="400"/>
      </w:pPr>
      <w:r>
        <w:rPr>
          <w:b/>
          <w:color w:val="0064A0"/>
          <w:sz w:val="18"/>
        </w:rPr>
        <w:t xml:space="preserve">🔮 Perspectives : </w:t>
      </w:r>
      <w:r>
        <w:rPr>
          <w:sz w:val="18"/>
        </w:rPr>
        <w:t>Pour l'exercice 2022, SGB CI devrait poursuivre sa dynamique de croissance portée par le développement du crédit à la clientèle et la digitalisation de ses services. La bonne maîtrise des charges et la baisse du coût du risque devraient soutenir la rentabilité. Le maintien d'une politique de distrib</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forte dynamique commerciale et un PNB en croissance de +14%, mais le r\u00e9sultat net recule de -3% dans un contexte macro\u00e9conomique incertain. La solidit\u00e9 du bilan et la croissance des encours justifient une position d'attente."}</w:t>
      </w:r>
    </w:p>
    <w:p>
      <w:pPr>
        <w:spacing w:before="40"/>
        <w:ind w:left="400"/>
      </w:pPr>
      <w:r>
        <w:rPr>
          <w:sz w:val="18"/>
        </w:rPr>
        <w:t>Société Générale Côte d'Ivoire (SGB CI) affiche à fin septembre 2022 des résultats témoignant de la résilience de son activité dans un environnement économique mondial difficile. L'activité commerciale reste très dynamique avec une croissance soutenue des encours de crédits (+17%) et de dépôts (+19%) par rapport à septembre 2021. Le Produit Net Bancaire s'établit à 154,9 milliards FCFA, en forte progression de +14%, porté par la marge nette d'intérêt et les commissions de service. Le résultat avant impôt ressort à 56,7 milliards FCFA (-3%) et le résultat net à 47,1 milliards FCFA, en légère baisse de -3%. La société confirme ainsi la solidité de son modèle, bien que la rentabilité nette soit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{'unite': 'Millions XOF (MXOF)', 'periode': 'Fin septembre 2022 vs septembre 2021', 'variation_pnb': '+19 540 millions FCFA', 'depots_clientele': '2 700 807 millions FCFA (+19%)', 'credits_clientele': '1 965 461 millions FCFA (+17%)', 'produit_net_bancaire': '154 926 millions FCFA (+14%)', 'resultat_avant_impot': '56 728 millions FCFA (-3%)', 'variation_resultat_net': '-1 354 millions FCFA', 'variation_resultat_avant_impot': '-1 631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47 084 millions FCFA (-3%)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154 926 millions FCFA (Produit Net Bancaire, +14%)</w:t>
            </w:r>
          </w:p>
        </w:tc>
        <w:tc>
          <w:tcPr>
            <w:tcW w:type="dxa" w:w="2160"/>
          </w:tcPr>
          <w:p/>
        </w:tc>
      </w:tr>
    </w:tbl>
    <w:p/>
    <w:p>
      <w:pPr>
        <w:spacing w:before="60"/>
        <w:ind w:left="400"/>
      </w:pPr>
      <w:r>
        <w:rPr>
          <w:b/>
          <w:sz w:val="18"/>
        </w:rPr>
        <w:t>Points clés :</w:t>
      </w:r>
    </w:p>
    <w:p>
      <w:pPr>
        <w:pStyle w:val="ListBullet"/>
        <w:spacing w:before="20" w:after="20"/>
        <w:ind w:left="700"/>
      </w:pPr>
      <w:r>
        <w:rPr>
          <w:sz w:val="18"/>
        </w:rPr>
        <w:t>Encours de crédits de la clientèle en hausse de +17% à 1 965,5 milliards FCFA</w:t>
      </w:r>
    </w:p>
    <w:p>
      <w:pPr>
        <w:pStyle w:val="ListBullet"/>
        <w:spacing w:before="20" w:after="20"/>
        <w:ind w:left="700"/>
      </w:pPr>
      <w:r>
        <w:rPr>
          <w:sz w:val="18"/>
        </w:rPr>
        <w:t>Encours de dépôts de la clientèle en progression de +19% à 2 700,8 milliards FCFA</w:t>
      </w:r>
    </w:p>
    <w:p>
      <w:pPr>
        <w:pStyle w:val="ListBullet"/>
        <w:spacing w:before="20" w:after="20"/>
        <w:ind w:left="700"/>
      </w:pPr>
      <w:r>
        <w:rPr>
          <w:sz w:val="18"/>
        </w:rPr>
        <w:t>Produit Net Bancaire de 154,9 milliards FCFA, en forte croissance de +14%</w:t>
      </w:r>
    </w:p>
    <w:p>
      <w:pPr>
        <w:pStyle w:val="ListBullet"/>
        <w:spacing w:before="20" w:after="20"/>
        <w:ind w:left="700"/>
      </w:pPr>
      <w:r>
        <w:rPr>
          <w:sz w:val="18"/>
        </w:rPr>
        <w:t>Résultat avant impôt de 56,7 milliards FCFA, en repli de -3%</w:t>
      </w:r>
    </w:p>
    <w:p>
      <w:pPr>
        <w:pStyle w:val="ListBullet"/>
        <w:spacing w:before="20" w:after="20"/>
        <w:ind w:left="700"/>
      </w:pPr>
      <w:r>
        <w:rPr>
          <w:sz w:val="18"/>
        </w:rPr>
        <w:t>Résultat net de 47,1 milliards FCFA, en légère baisse de -3%</w:t>
      </w:r>
    </w:p>
    <w:p>
      <w:pPr>
        <w:pStyle w:val="ListBullet"/>
        <w:spacing w:before="20" w:after="20"/>
        <w:ind w:left="700"/>
      </w:pPr>
      <w:r>
        <w:rPr>
          <w:sz w:val="18"/>
        </w:rPr>
        <w:t>Dynamique des revenus portée par la marge nette d'intérêt et le développement des commissions de service</w:t>
      </w:r>
    </w:p>
    <w:p>
      <w:pPr>
        <w:spacing w:before="40"/>
        <w:ind w:left="400"/>
      </w:pPr>
      <w:r>
        <w:rPr>
          <w:b/>
          <w:color w:val="C05000"/>
          <w:sz w:val="18"/>
        </w:rPr>
        <w:t xml:space="preserve">⚠️ Risques : </w:t>
      </w:r>
      <w:r>
        <w:rPr>
          <w:sz w:val="18"/>
        </w:rPr>
        <w:t>["Baisse du r\u00e9sultat net (-3%) et du r\u00e9sultat avant imp\u00f4t (-3%) malgr\u00e9 la croissance du PNB, signalant une compression de la rentabilit\u00e9", "Environnement macro\u00e9conomique difficile : ralentissement de la croissance \u00e9conomique mondiale et forte inflation", "Risque de</w:t>
      </w:r>
    </w:p>
    <w:p>
      <w:pPr>
        <w:spacing w:before="40"/>
        <w:ind w:left="400"/>
      </w:pPr>
      <w:r>
        <w:rPr>
          <w:b/>
          <w:color w:val="0064A0"/>
          <w:sz w:val="18"/>
        </w:rPr>
        <w:t xml:space="preserve">🔮 Perspectives : </w:t>
      </w:r>
      <w:r>
        <w:rPr>
          <w:sz w:val="18"/>
        </w:rPr>
        <w:t>SGB CI devrait poursuivre sa dynamique commerciale portée par la croissance soutenue des encours de crédits et de dépôts ainsi que par le développement des commissions de service. Le maintien de la progression du Produit Net Bancaire constitue le principal levier, mais la pression sur le résultat ne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des fondamentaux solides avec une forte croissance du PNB, un bilan bien capitalis\u00e9 et un leadership sectoriel confirm\u00e9, mais le repli du r\u00e9sultat net de -9,2% li\u00e9 aux provisions exceptionnelles sur les PME incite \u00e0 la prudence. La correction du co\u00fbt du risque attendue au second semestre et la valorisation actuelle justifient une position d'attente sur le titre."}</w:t>
      </w:r>
    </w:p>
    <w:p>
      <w:pPr>
        <w:spacing w:before="40"/>
        <w:ind w:left="400"/>
      </w:pPr>
      <w:r>
        <w:rPr>
          <w:sz w:val="18"/>
        </w:rPr>
        <w:t>Société Générale Côte d'Ivoire affiche au premier semestre 2022 de solides performances commerciales avec une hausse de 16% des encours de crédits et de dépôts, maintenant sa position de leader du secteur bancaire ivoirien avec des parts de marché de 19,6% sur les crédits et 18,4% sur les dépôts. Le Produit Net Bancaire progresse fortement de +16% à 103 071 millions FCFA, porté par la marge nette d'intérêts et les commissions, tandis que les frais généraux ne croissent que de +12%, permettant un effet de ciseaux positif et un coefficient d'exploitation en amélioration à 45,9%. Le Résultat Net ressort toutefois en léger repli de -9,2% à 28 058 millions FCFA, pénalisé par un Coût Net du Risque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'15 555 555 000 FCFA', 'cout_du_risque': '23 878 millions FCFA', 'frais_generaux': '47 331 millions FCFA (+12%)', 'depots_clientele': '2 591 292 millions FCFA (+16%)', 'ratio_solvabilite': '14,4% (minimum réglementaire 11,25%)', 'produit_net_bancaire': '103 071 millions FCFA (+16% vs juin 2021)', 'part_de_marche_depots': '18,4%', 'part_de_marche_credits': '19,6%', 'coefficient_exploitation': '45,9% (-175 pb)', 'encours_credits_clientele': '1 974 755 millions FCFA (+16%)', 'resultat_brut_exploitation': '55 740 millions FCFA', 'taux_degradation_portefeuille': '8,0%', 'taux_couverture_creances_souffrance': '&gt;90%'}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27,2% (Résultat net / PNB)</w:t>
            </w:r>
          </w:p>
        </w:tc>
        <w:tc>
          <w:tcPr>
            <w:tcW w:type="dxa" w:w="2160"/>
          </w:tcPr>
          <w:p>
            <w:pPr>
              <w:ind w:left="100"/>
            </w:pPr>
            <w:r/>
            <w:r>
              <w:rPr>
                <w:b/>
                <w:sz w:val="16"/>
              </w:rPr>
              <w:t>total_actif</w:t>
              <w:br/>
            </w:r>
            <w:r>
              <w:rPr>
                <w:sz w:val="18"/>
              </w:rPr>
              <w:t>3 060 101 millions FCFA (juin 2022)</w:t>
            </w:r>
          </w:p>
        </w:tc>
      </w:tr>
      <w:tr>
        <w:tc>
          <w:tcPr>
            <w:tcW w:type="dxa" w:w="2160"/>
          </w:tcPr>
          <w:p>
            <w:r/>
            <w:r>
              <w:rPr>
                <w:b/>
                <w:sz w:val="16"/>
              </w:rPr>
              <w:t>resultat_net</w:t>
              <w:br/>
            </w:r>
            <w:r>
              <w:rPr>
                <w:sz w:val="18"/>
              </w:rPr>
              <w:t>28 058 millions FCFA (juin 2022)</w:t>
            </w:r>
          </w:p>
        </w:tc>
        <w:tc>
          <w:tcPr>
            <w:tcW w:type="dxa" w:w="2160"/>
          </w:tcPr>
          <w:p>
            <w:r/>
            <w:r>
              <w:rPr>
                <w:b/>
                <w:sz w:val="16"/>
              </w:rPr>
              <w:t>capitaux_propres</w:t>
              <w:br/>
            </w:r>
            <w:r>
              <w:rPr>
                <w:sz w:val="18"/>
              </w:rPr>
              <w:t>298 456 millions FCFA (juin 2022)</w:t>
            </w:r>
          </w:p>
        </w:tc>
        <w:tc>
          <w:tcPr>
            <w:tcW w:type="dxa" w:w="2160"/>
          </w:tcPr>
          <w:p>
            <w:r/>
            <w:r>
              <w:rPr>
                <w:b/>
                <w:sz w:val="16"/>
              </w:rPr>
              <w:t>chiffre_affaires</w:t>
              <w:br/>
            </w:r>
            <w:r>
              <w:rPr>
                <w:sz w:val="18"/>
              </w:rPr>
              <w:t>103 071 millions FCFA (Produit Net Bancaire, juin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progression de +16% à 103 071 millions FCFA, soutenu par la marge nette d'intérêts (+16%) et les commissions (+16%)</w:t>
      </w:r>
    </w:p>
    <w:p>
      <w:pPr>
        <w:pStyle w:val="ListBullet"/>
        <w:spacing w:before="20" w:after="20"/>
        <w:ind w:left="700"/>
      </w:pPr>
      <w:r>
        <w:rPr>
          <w:sz w:val="18"/>
        </w:rPr>
        <w:t>Résultat Net de 28 058 millions FCFA en repli de -9,2% par rapport à juin 2021, affecté par la hausse du coût du risque</w:t>
      </w:r>
    </w:p>
    <w:p>
      <w:pPr>
        <w:pStyle w:val="ListBullet"/>
        <w:spacing w:before="20" w:after="20"/>
        <w:ind w:left="700"/>
      </w:pPr>
      <w:r>
        <w:rPr>
          <w:sz w:val="18"/>
        </w:rPr>
        <w:t>Coût Net du Risque en forte hausse à 23 878 millions FCFA en raison de provisions exceptionnelles à 100% sur des créances PME liées à un risque opérationnel</w:t>
      </w:r>
    </w:p>
    <w:p>
      <w:pPr>
        <w:pStyle w:val="ListBullet"/>
        <w:spacing w:before="20" w:after="20"/>
        <w:ind w:left="700"/>
      </w:pPr>
      <w:r>
        <w:rPr>
          <w:sz w:val="18"/>
        </w:rPr>
        <w:t>Croissance des encours de crédits (+16% à 1 974 755 millions FCFA) et de dépôts (+16% à 2 591 292 millions FCFA), confirmant le leadership bancaire avec des parts de marché de 19,6% et 18,4%</w:t>
      </w:r>
    </w:p>
    <w:p>
      <w:pPr>
        <w:pStyle w:val="ListBullet"/>
        <w:spacing w:before="20" w:after="20"/>
        <w:ind w:left="700"/>
      </w:pPr>
      <w:r>
        <w:rPr>
          <w:sz w:val="18"/>
        </w:rPr>
        <w:t>Ratio de solvabilité solide à 14,4%, soit +317 points de base au-dessus du minimum réglementaire de 11,25%</w:t>
      </w:r>
    </w:p>
    <w:p>
      <w:pPr>
        <w:pStyle w:val="ListBullet"/>
        <w:spacing w:before="20" w:after="20"/>
        <w:ind w:left="700"/>
      </w:pPr>
      <w:r>
        <w:rPr>
          <w:sz w:val="18"/>
        </w:rPr>
        <w:t>Bonne maîtrise des coûts avec des frais généraux en hausse de seulement +12% et un coefficient d'exploitation amélioré à 45,9% (-175 pb)</w:t>
      </w:r>
    </w:p>
    <w:p>
      <w:pPr>
        <w:spacing w:before="40"/>
        <w:ind w:left="400"/>
      </w:pPr>
      <w:r>
        <w:rPr>
          <w:b/>
          <w:color w:val="C05000"/>
          <w:sz w:val="18"/>
        </w:rPr>
        <w:t xml:space="preserve">⚠️ Risques : </w:t>
      </w:r>
      <w:r>
        <w:rPr>
          <w:sz w:val="18"/>
        </w:rPr>
        <w:t>["D\u00e9t\u00e9rioration du co\u00fbt du risque li\u00e9e \u00e0 la d\u00e9gradation de certaines cr\u00e9ances PME, avec des provisions exceptionnelles qui pourraient perdurer si la conjoncture reste difficile", "Environnement macro\u00e9conomique incertain marqu\u00e9 par les tensions g\u00e9opol</w:t>
      </w:r>
    </w:p>
    <w:p>
      <w:pPr>
        <w:spacing w:before="40"/>
        <w:ind w:left="400"/>
      </w:pPr>
      <w:r>
        <w:rPr>
          <w:b/>
          <w:color w:val="0064A0"/>
          <w:sz w:val="18"/>
        </w:rPr>
        <w:t xml:space="preserve">🔮 Perspectives : </w:t>
      </w:r>
      <w:r>
        <w:rPr>
          <w:sz w:val="18"/>
        </w:rPr>
        <w:t>Sur le second semestre 2022, Société Générale Côte d'Ivoire anticipe une amélioration grâce aux perspectives de recouvrement des créances compromises et provisionnées, qui devraient permettre de contenir l'évolution du coût net du risque. La banque poursuivra la mise en œuvre de ses initiatives stra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"SGCI affiche des r\u00e9sultats records avec un r\u00e9sultat net en hausse de +10,6%, un ROE \u00e9lev\u00e9 de 21,6% et une position de leader incontest\u00e9e sur le march\u00e9 bancaire ivoirien. La solidit\u00e9 financi\u00e8re (notation AA+, capitaux propres de 345 009 M FCFA) et un dividende en progression de 11% soutiennent une perspective favorable pour l'actionnaire."}</w:t>
      </w:r>
    </w:p>
    <w:p>
      <w:pPr>
        <w:spacing w:before="40"/>
        <w:ind w:left="400"/>
      </w:pPr>
      <w:r>
        <w:rPr>
          <w:sz w:val="18"/>
        </w:rPr>
        <w:t>Société Générale Côte d'Ivoire (SGCI) clôture l'exercice 2022 avec les meilleurs résultats de son histoire, célébrant ses 60 ans d'activité. Le Produit Net Bancaire progresse de +13,8% à 215 101 millions FCFA, porté par la marge nette d'intérêts (+15%) et les commissions (+12,5%). Le résultat net atteint un niveau record de 74 612 millions FCFA (+10,6%) malgré une forte hausse du coût net du risque (+60,6%) liée à des dotations exceptionnelles sur le segment PME. La banque confirme sa position de leader du marché bancaire ivoirien et sous-régional, avec des parts de marché en hausse (20% emplois, 18,9% ressources) et une rentabilité des fonds propres élevée de 21,6%. Forte de sa solidité fin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'21,6%', 'notation': 'AA+ perspective stable', 'nombre_actions': '31 111 110', 'cout_net_risque': '28 816 millions FCFA', 'depots_clientele': '2 685 322 millions FCFA', 'credits_clientele': '2 160 660 millions FCFA', 'dividendes_totaux': '38 266 665 300 FCFA', 'taux_distribution': '51,3%', 'part_marche_emplois': '20%', 'coefficient_exploitation': '44,8%', 'produit_net_bancaire_2021': '189 096 millions FCFA', 'resultat_brut_exploitation': '118 708 millions FCFA'}</w:t>
            </w:r>
          </w:p>
        </w:tc>
        <w:tc>
          <w:tcPr>
            <w:tcW w:type="dxa" w:w="2160"/>
          </w:tcPr>
          <w:p>
            <w:pPr>
              <w:ind w:left="100"/>
            </w:pPr>
            <w:r/>
            <w:r>
              <w:rPr>
                <w:b/>
                <w:sz w:val="16"/>
              </w:rPr>
              <w:t>dividende</w:t>
              <w:br/>
            </w:r>
            <w:r>
              <w:rPr>
                <w:sz w:val="18"/>
              </w:rPr>
              <w:t>1 230 FCFA par action</w:t>
            </w:r>
          </w:p>
        </w:tc>
        <w:tc>
          <w:tcPr>
            <w:tcW w:type="dxa" w:w="2160"/>
          </w:tcPr>
          <w:p>
            <w:pPr>
              <w:ind w:left="100"/>
            </w:pPr>
            <w:r/>
            <w:r>
              <w:rPr>
                <w:b/>
                <w:sz w:val="16"/>
              </w:rPr>
              <w:t>marge_nette</w:t>
              <w:br/>
            </w:r>
            <w:r>
              <w:rPr>
                <w:sz w:val="18"/>
              </w:rPr>
              <w:t>34,7%</w:t>
            </w:r>
          </w:p>
        </w:tc>
        <w:tc>
          <w:tcPr>
            <w:tcW w:type="dxa" w:w="2160"/>
          </w:tcPr>
          <w:p>
            <w:pPr>
              <w:ind w:left="100"/>
            </w:pPr>
            <w:r/>
            <w:r>
              <w:rPr>
                <w:b/>
                <w:sz w:val="16"/>
              </w:rPr>
              <w:t>total_actif</w:t>
              <w:br/>
            </w:r>
            <w:r>
              <w:rPr>
                <w:sz w:val="18"/>
              </w:rPr>
              <w:t>3 345 284 millions FCFA</w:t>
            </w:r>
          </w:p>
        </w:tc>
      </w:tr>
      <w:tr>
        <w:tc>
          <w:tcPr>
            <w:tcW w:type="dxa" w:w="2160"/>
          </w:tcPr>
          <w:p>
            <w:r/>
            <w:r>
              <w:rPr>
                <w:b/>
                <w:sz w:val="16"/>
              </w:rPr>
              <w:t>resultat_net</w:t>
              <w:br/>
            </w:r>
            <w:r>
              <w:rPr>
                <w:sz w:val="18"/>
              </w:rPr>
              <w:t>74 612 millions FCFA</w:t>
            </w:r>
          </w:p>
        </w:tc>
        <w:tc>
          <w:tcPr>
            <w:tcW w:type="dxa" w:w="2160"/>
          </w:tcPr>
          <w:p>
            <w:r/>
            <w:r>
              <w:rPr>
                <w:b/>
                <w:sz w:val="16"/>
              </w:rPr>
              <w:t>capitaux_propres</w:t>
              <w:br/>
            </w:r>
            <w:r>
              <w:rPr>
                <w:sz w:val="18"/>
              </w:rPr>
              <w:t>345 009 millions FCFA</w:t>
            </w:r>
          </w:p>
        </w:tc>
        <w:tc>
          <w:tcPr>
            <w:tcW w:type="dxa" w:w="2160"/>
          </w:tcPr>
          <w:p>
            <w:r/>
            <w:r>
              <w:rPr>
                <w:b/>
                <w:sz w:val="16"/>
              </w:rPr>
              <w:t>chiffre_affaires</w:t>
              <w:br/>
            </w:r>
            <w:r>
              <w:rPr>
                <w:sz w:val="18"/>
              </w:rPr>
              <w:t>215 101 millions FCFA (PNB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+13,8% à 215 101 millions FCFA, soutenu par la marge nette d'intérêts (+15%) et les commissions (+12,5%)</w:t>
      </w:r>
    </w:p>
    <w:p>
      <w:pPr>
        <w:pStyle w:val="ListBullet"/>
        <w:spacing w:before="20" w:after="20"/>
        <w:ind w:left="700"/>
      </w:pPr>
      <w:r>
        <w:rPr>
          <w:sz w:val="18"/>
        </w:rPr>
        <w:t>Résultat net historique de 74 612 millions FCFA (+10,6%) malgré une progression de +60,6% du coût net du risque</w:t>
      </w:r>
    </w:p>
    <w:p>
      <w:pPr>
        <w:pStyle w:val="ListBullet"/>
        <w:spacing w:before="20" w:after="20"/>
        <w:ind w:left="700"/>
      </w:pPr>
      <w:r>
        <w:rPr>
          <w:sz w:val="18"/>
        </w:rPr>
        <w:t>Coût net du risque à 28 816 millions FCFA, impacté par des dotations exceptionnelles sur les PME ; retraité, il ressort à 81 pbs contre 151 pbs initialement</w:t>
      </w:r>
    </w:p>
    <w:p>
      <w:pPr>
        <w:pStyle w:val="ListBullet"/>
        <w:spacing w:before="20" w:after="20"/>
        <w:ind w:left="700"/>
      </w:pPr>
      <w:r>
        <w:rPr>
          <w:sz w:val="18"/>
        </w:rPr>
        <w:t>Coefficient d'exploitation en amélioration à 44,8% (-313 pbs) avec un effet ciseau positif de +742 pbs</w:t>
      </w:r>
    </w:p>
    <w:p>
      <w:pPr>
        <w:pStyle w:val="ListBullet"/>
        <w:spacing w:before="20" w:after="20"/>
        <w:ind w:left="700"/>
      </w:pPr>
      <w:r>
        <w:rPr>
          <w:sz w:val="18"/>
        </w:rPr>
        <w:t>Croissance de +15,4% des crédits clientèle (2 160 660 M FCFA) et +6,2% des dépôts (2 685 322 M FCFA)</w:t>
      </w:r>
    </w:p>
    <w:p>
      <w:pPr>
        <w:pStyle w:val="ListBullet"/>
        <w:spacing w:before="20" w:after="20"/>
        <w:ind w:left="700"/>
      </w:pPr>
      <w:r>
        <w:rPr>
          <w:sz w:val="18"/>
        </w:rPr>
        <w:t>Rentabilité des capitaux propres (ROE) élevée à 21,6% et taux de couverture des créances en souffrance supérieur à 90%</w:t>
      </w:r>
    </w:p>
    <w:p>
      <w:pPr>
        <w:spacing w:before="40"/>
        <w:ind w:left="400"/>
      </w:pPr>
      <w:r>
        <w:rPr>
          <w:b/>
          <w:color w:val="C05000"/>
          <w:sz w:val="18"/>
        </w:rPr>
        <w:t xml:space="preserve">⚠️ Risques : </w:t>
      </w:r>
      <w:r>
        <w:rPr>
          <w:sz w:val="18"/>
        </w:rPr>
        <w:t>["D\u00e9t\u00e9rioration du co\u00fbt du risque, notamment sur le segment PME, avec une progression de +60,6% des dotations aux provisions", "Environnement macro\u00e9conomique incertain marqu\u00e9 par l'inflation persistante, le durcissement mon\u00e9taire et les tensions g\u00e9opolitiques", "Pr</w:t>
      </w:r>
    </w:p>
    <w:p>
      <w:pPr>
        <w:spacing w:before="40"/>
        <w:ind w:left="400"/>
      </w:pPr>
      <w:r>
        <w:rPr>
          <w:b/>
          <w:color w:val="0064A0"/>
          <w:sz w:val="18"/>
        </w:rPr>
        <w:t xml:space="preserve">🔮 Perspectives : </w:t>
      </w:r>
      <w:r>
        <w:rPr>
          <w:sz w:val="18"/>
        </w:rPr>
        <w:t>Dans un environnement mondial qui reste incertain, SGCI entend poursuivre la dynamique engagée en 2022 en déployant ses projets stratégiques RISE+ autour de la maîtrise des risques, de la digitalisation et de la donnée. La banque restera guidée par son ambition d'être le partenaire de confiance pour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banque affiche une croissance homog\u00e8ne de +21% sur l'ensemble de ses agr\u00e9gats (PNB, r\u00e9sultat avant imp\u00f4t et r\u00e9sultat net), avec une marge nette \u00e9lev\u00e9e proche de 38%. Cette performance solide, dans un contexte macro\u00e9conomique difficile, confirme la qualit\u00e9 du mod\u00e8le et justifie une recommandation d'achat."}</w:t>
      </w:r>
    </w:p>
    <w:p>
      <w:pPr>
        <w:spacing w:before="40"/>
        <w:ind w:left="400"/>
      </w:pPr>
      <w:r>
        <w:rPr>
          <w:sz w:val="18"/>
        </w:rPr>
        <w:t>Société Générale Côte d'Ivoire (SGBCI) clôture le premier trimestre 2023 avec des résultats en forte progression malgré un contexte macroéconomique difficile marqué par les tensions inflationnistes et le resserrement monétaire. Le Produit Net Bancaire atteint 59 476 millions FCFA, en hausse de 21% sur un an, porté par la bonne tenue de la marge nette d'intérêt et la performance des commissions de service. Le Résultat avant impôt s'établit à 27 134 millions FCFA, également en progression de 21%, grâce au dynamisme commercial, à une croissance contenue des frais généraux et à une bonne maîtrise du coût net du risque. Le Résultat Net ressort à 22 509 millions FCFA, en croissance de 21% par rapp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'Premier trimestre 2023 (mars-23)', 'variation_pnb': '+21%', 'chiffres_audites': False, 'produit_net_bancaire': '59 476 millions FCFA', 'resultat_avant_impot': '27 134 millions FCFA', 'variation_resultat_net': '+21%'}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37,8%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22 509 millions FCFA</w:t>
            </w:r>
          </w:p>
        </w:tc>
        <w:tc>
          <w:tcPr>
            <w:tcW w:type="dxa" w:w="2160"/>
          </w:tcPr>
          <w:p>
            <w:r/>
            <w:r>
              <w:rPr>
                <w:b/>
                <w:sz w:val="16"/>
              </w:rPr>
              <w:t>capitaux_propres</w:t>
              <w:br/>
            </w:r>
            <w:r>
              <w:rPr>
                <w:sz w:val="18"/>
              </w:rPr>
              <w:t>15 555 555 000 FCFA (capital social)</w:t>
            </w:r>
          </w:p>
        </w:tc>
        <w:tc>
          <w:tcPr>
            <w:tcW w:type="dxa" w:w="2160"/>
          </w:tcPr>
          <w:p>
            <w:r/>
            <w:r>
              <w:rPr>
                <w:b/>
                <w:sz w:val="16"/>
              </w:rPr>
              <w:t>chiffre_affaires</w:t>
              <w:br/>
            </w:r>
            <w:r>
              <w:rPr>
                <w:sz w:val="18"/>
              </w:rPr>
              <w:t>59 476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59 476 millions FCFA, en hausse de 21% sur un an</w:t>
      </w:r>
    </w:p>
    <w:p>
      <w:pPr>
        <w:pStyle w:val="ListBullet"/>
        <w:spacing w:before="20" w:after="20"/>
        <w:ind w:left="700"/>
      </w:pPr>
      <w:r>
        <w:rPr>
          <w:sz w:val="18"/>
        </w:rPr>
        <w:t>Résultat avant impôt de 27 134 millions FCFA, en progression de 21%</w:t>
      </w:r>
    </w:p>
    <w:p>
      <w:pPr>
        <w:pStyle w:val="ListBullet"/>
        <w:spacing w:before="20" w:after="20"/>
        <w:ind w:left="700"/>
      </w:pPr>
      <w:r>
        <w:rPr>
          <w:sz w:val="18"/>
        </w:rPr>
        <w:t>Résultat Net de 22 509 millions FCFA, en croissance de 21% vs mars 2022</w:t>
      </w:r>
    </w:p>
    <w:p>
      <w:pPr>
        <w:pStyle w:val="ListBullet"/>
        <w:spacing w:before="20" w:after="20"/>
        <w:ind w:left="700"/>
      </w:pPr>
      <w:r>
        <w:rPr>
          <w:sz w:val="18"/>
        </w:rPr>
        <w:t>Croissance portée par la marge nette d'intérêt liée aux encours de crédits</w:t>
      </w:r>
    </w:p>
    <w:p>
      <w:pPr>
        <w:pStyle w:val="ListBullet"/>
        <w:spacing w:before="20" w:after="20"/>
        <w:ind w:left="700"/>
      </w:pPr>
      <w:r>
        <w:rPr>
          <w:sz w:val="18"/>
        </w:rPr>
        <w:t>Bonne performance des commissions de service (Comptes, Monétiques, Banque à Distance, Moyens de paiement, Trade)</w:t>
      </w:r>
    </w:p>
    <w:p>
      <w:pPr>
        <w:pStyle w:val="ListBullet"/>
        <w:spacing w:before="20" w:after="20"/>
        <w:ind w:left="700"/>
      </w:pPr>
      <w:r>
        <w:rPr>
          <w:sz w:val="18"/>
        </w:rPr>
        <w:t>Maîtrise des frais généraux et du coût net du risque</w:t>
      </w:r>
    </w:p>
    <w:p>
      <w:pPr>
        <w:spacing w:before="40"/>
        <w:ind w:left="400"/>
      </w:pPr>
      <w:r>
        <w:rPr>
          <w:b/>
          <w:color w:val="C05000"/>
          <w:sz w:val="18"/>
        </w:rPr>
        <w:t xml:space="preserve">⚠️ Risques : </w:t>
      </w:r>
      <w:r>
        <w:rPr>
          <w:sz w:val="18"/>
        </w:rPr>
        <w:t>["D\u00e9gradation de la qualit\u00e9 du cr\u00e9dit et hausse du co\u00fbt net du risque dans un environnement \u00e9conomique ralenti", "Tensions inflationnistes et resserrement mon\u00e9taire pouvant peser sur la demande de cr\u00e9dit et les marges", "Instabilit\u00e9 g\u00e9opolitique internati</w:t>
      </w:r>
    </w:p>
    <w:p>
      <w:pPr>
        <w:spacing w:before="40"/>
        <w:ind w:left="400"/>
      </w:pPr>
      <w:r>
        <w:rPr>
          <w:b/>
          <w:color w:val="0064A0"/>
          <w:sz w:val="18"/>
        </w:rPr>
        <w:t xml:space="preserve">🔮 Perspectives : </w:t>
      </w:r>
      <w:r>
        <w:rPr>
          <w:sz w:val="18"/>
        </w:rPr>
        <w:t>Société Générale Côte d'Ivoire devrait maintenir sa dynamique de croissance au cours des prochains trimestres, soutenue par le développement des encours de crédits et des commissions de service. La bonne maîtrise des charges et du coût du risque devrait permettre de préserver un niveau de rentabilit</w:t>
      </w:r>
    </w:p>
    <w:p/>
    <w:p>
      <w:r>
        <w:t>════════════════════════════════════════════════════════════════════════════════</w:t>
      </w:r>
    </w:p>
    <w:p>
      <w:r>
        <w:br w:type="page"/>
      </w:r>
    </w:p>
    <w:p>
      <w:pPr>
        <w:pStyle w:val="Heading2"/>
        <w:spacing w:before="360"/>
      </w:pPr>
      <w:r>
        <w:rPr>
          <w:color w:val="0066CC"/>
        </w:rPr>
        <w:t>34.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137.97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4,962 titres</w:t>
            </w:r>
          </w:p>
        </w:tc>
        <w:tc>
          <w:tcPr>
            <w:tcW w:type="dxa" w:w="2268"/>
            <w:shd w:fill="FFF2CC" w:val="clear"/>
          </w:tcPr>
          <w:p>
            <w:r>
              <w:rPr>
                <w:b/>
                <w:color w:val="503200"/>
                <w:sz w:val="16"/>
              </w:rPr>
              <w:t xml:space="preserve">Cours actuel : </w:t>
            </w:r>
            <w:r>
              <w:rPr>
                <w:color w:val="000000"/>
                <w:sz w:val="17"/>
              </w:rPr>
              <w:t>2,190 FCFA</w:t>
            </w:r>
          </w:p>
          <w:p>
            <w:r>
              <w:rPr>
                <w:b/>
                <w:color w:val="503200"/>
                <w:sz w:val="16"/>
              </w:rPr>
              <w:t xml:space="preserve">Var. 100 jours : </w:t>
            </w:r>
            <w:r>
              <w:rPr>
                <w:b/>
                <w:color w:val="007800"/>
                <w:sz w:val="17"/>
              </w:rPr>
              <w:t>+14.66%</w:t>
            </w:r>
          </w:p>
          <w:p>
            <w:r>
              <w:rPr>
                <w:b/>
                <w:color w:val="503200"/>
                <w:sz w:val="16"/>
              </w:rPr>
              <w:t xml:space="preserve">Plus haut 100j : </w:t>
            </w:r>
            <w:r>
              <w:rPr>
                <w:color w:val="000000"/>
                <w:sz w:val="17"/>
              </w:rPr>
              <w:t>2,980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41.8%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21.1/100 → Moyen</w:t>
      </w:r>
    </w:p>
    <w:p>
      <w:pPr>
        <w:spacing w:before="40" w:after="80"/>
      </w:pPr>
      <w:r>
        <w:rPr>
          <w:rFonts w:ascii="Courier New" w:hAnsi="Courier New"/>
          <w:color w:val="825A00"/>
          <w:sz w:val="18"/>
        </w:rPr>
        <w:t>████░░░░░░░░░░░░░░░░  21.1/100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9.27% (Moyenne) — μ=2,279 FCFA, σ=211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β=1.0127 (Neutre (suit le marché)) — Cov=0.000077, Var(idx)=0.000076, ρ=0.333,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4,962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σ_j=2.63%/j (Stable) — Vol. annualisée≈41.8%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2,065</w:t>
            </w:r>
          </w:p>
        </w:tc>
        <w:tc>
          <w:tcPr>
            <w:tcW w:type="dxa" w:w="1440"/>
            <w:shd w:fill="FAFAFA" w:val="clear"/>
          </w:tcPr>
          <w:p>
            <w:r>
              <w:rPr>
                <w:b/>
                <w:sz w:val="17"/>
              </w:rPr>
              <w:t>2,199</w:t>
            </w:r>
          </w:p>
        </w:tc>
        <w:tc>
          <w:tcPr>
            <w:tcW w:type="dxa" w:w="1440"/>
            <w:shd w:fill="FAFAFA" w:val="clear"/>
          </w:tcPr>
          <w:p>
            <w:r>
              <w:rPr>
                <w:sz w:val="17"/>
              </w:rPr>
              <w:t>2,333</w:t>
            </w:r>
          </w:p>
        </w:tc>
        <w:tc>
          <w:tcPr>
            <w:tcW w:type="dxa" w:w="1440"/>
            <w:shd w:fill="FAFAFA" w:val="clear"/>
          </w:tcPr>
          <w:p>
            <w:r>
              <w:rPr>
                <w:b/>
                <w:color w:val="008000"/>
                <w:sz w:val="17"/>
              </w:rPr>
              <w:t>+0.4%</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2,016</w:t>
            </w:r>
          </w:p>
        </w:tc>
        <w:tc>
          <w:tcPr>
            <w:tcW w:type="dxa" w:w="1440"/>
            <w:shd w:fill="FAFAFA" w:val="clear"/>
          </w:tcPr>
          <w:p>
            <w:r>
              <w:rPr>
                <w:b/>
                <w:sz w:val="17"/>
              </w:rPr>
              <w:t>2,205</w:t>
            </w:r>
          </w:p>
        </w:tc>
        <w:tc>
          <w:tcPr>
            <w:tcW w:type="dxa" w:w="1440"/>
            <w:shd w:fill="FAFAFA" w:val="clear"/>
          </w:tcPr>
          <w:p>
            <w:r>
              <w:rPr>
                <w:sz w:val="17"/>
              </w:rPr>
              <w:t>2,395</w:t>
            </w:r>
          </w:p>
        </w:tc>
        <w:tc>
          <w:tcPr>
            <w:tcW w:type="dxa" w:w="1440"/>
            <w:shd w:fill="FAFAFA" w:val="clear"/>
          </w:tcPr>
          <w:p>
            <w:r>
              <w:rPr>
                <w:b/>
                <w:color w:val="008000"/>
                <w:sz w:val="17"/>
              </w:rPr>
              <w:t>+0.7%</w:t>
            </w:r>
          </w:p>
        </w:tc>
      </w:tr>
      <w:tr>
        <w:tc>
          <w:tcPr>
            <w:tcW w:type="dxa" w:w="1440"/>
            <w:shd w:fill="FAFAFA" w:val="clear"/>
          </w:tcPr>
          <w:p>
            <w:r>
              <w:rPr>
                <w:sz w:val="17"/>
              </w:rPr>
              <w:t>J+3  Moyenne</w:t>
            </w:r>
          </w:p>
        </w:tc>
        <w:tc>
          <w:tcPr>
            <w:tcW w:type="dxa" w:w="1440"/>
            <w:shd w:fill="FAFAFA" w:val="clear"/>
          </w:tcPr>
          <w:p>
            <w:r>
              <w:rPr>
                <w:sz w:val="17"/>
              </w:rPr>
              <w:t>2026-10-21</w:t>
            </w:r>
          </w:p>
        </w:tc>
        <w:tc>
          <w:tcPr>
            <w:tcW w:type="dxa" w:w="1440"/>
            <w:shd w:fill="FAFAFA" w:val="clear"/>
          </w:tcPr>
          <w:p>
            <w:r>
              <w:rPr>
                <w:sz w:val="17"/>
              </w:rPr>
              <w:t>1,978</w:t>
            </w:r>
          </w:p>
        </w:tc>
        <w:tc>
          <w:tcPr>
            <w:tcW w:type="dxa" w:w="1440"/>
            <w:shd w:fill="FAFAFA" w:val="clear"/>
          </w:tcPr>
          <w:p>
            <w:r>
              <w:rPr>
                <w:b/>
                <w:sz w:val="17"/>
              </w:rPr>
              <w:t>2,211</w:t>
            </w:r>
          </w:p>
        </w:tc>
        <w:tc>
          <w:tcPr>
            <w:tcW w:type="dxa" w:w="1440"/>
            <w:shd w:fill="FAFAFA" w:val="clear"/>
          </w:tcPr>
          <w:p>
            <w:r>
              <w:rPr>
                <w:sz w:val="17"/>
              </w:rPr>
              <w:t>2,444</w:t>
            </w:r>
          </w:p>
        </w:tc>
        <w:tc>
          <w:tcPr>
            <w:tcW w:type="dxa" w:w="1440"/>
            <w:shd w:fill="FAFAFA" w:val="clear"/>
          </w:tcPr>
          <w:p>
            <w:r>
              <w:rPr>
                <w:b/>
                <w:color w:val="008000"/>
                <w:sz w:val="17"/>
              </w:rPr>
              <w:t>+1.0%</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1,946</w:t>
            </w:r>
          </w:p>
        </w:tc>
        <w:tc>
          <w:tcPr>
            <w:tcW w:type="dxa" w:w="1440"/>
            <w:shd w:fill="FAFAFA" w:val="clear"/>
          </w:tcPr>
          <w:p>
            <w:r>
              <w:rPr>
                <w:b/>
                <w:sz w:val="17"/>
              </w:rPr>
              <w:t>2,216</w:t>
            </w:r>
          </w:p>
        </w:tc>
        <w:tc>
          <w:tcPr>
            <w:tcW w:type="dxa" w:w="1440"/>
            <w:shd w:fill="FAFAFA" w:val="clear"/>
          </w:tcPr>
          <w:p>
            <w:r>
              <w:rPr>
                <w:sz w:val="17"/>
              </w:rPr>
              <w:t>2,486</w:t>
            </w:r>
          </w:p>
        </w:tc>
        <w:tc>
          <w:tcPr>
            <w:tcW w:type="dxa" w:w="1440"/>
            <w:shd w:fill="FAFAFA" w:val="clear"/>
          </w:tcPr>
          <w:p>
            <w:r>
              <w:rPr>
                <w:b/>
                <w:color w:val="008000"/>
                <w:sz w:val="17"/>
              </w:rPr>
              <w:t>+1.2%</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1,918</w:t>
            </w:r>
          </w:p>
        </w:tc>
        <w:tc>
          <w:tcPr>
            <w:tcW w:type="dxa" w:w="1440"/>
            <w:shd w:fill="FAFAFA" w:val="clear"/>
          </w:tcPr>
          <w:p>
            <w:r>
              <w:rPr>
                <w:b/>
                <w:sz w:val="17"/>
              </w:rPr>
              <w:t>2,220</w:t>
            </w:r>
          </w:p>
        </w:tc>
        <w:tc>
          <w:tcPr>
            <w:tcW w:type="dxa" w:w="1440"/>
            <w:shd w:fill="FAFAFA" w:val="clear"/>
          </w:tcPr>
          <w:p>
            <w:r>
              <w:rPr>
                <w:sz w:val="17"/>
              </w:rPr>
              <w:t>2,522</w:t>
            </w:r>
          </w:p>
        </w:tc>
        <w:tc>
          <w:tcPr>
            <w:tcW w:type="dxa" w:w="1440"/>
            <w:shd w:fill="FAFAFA" w:val="clear"/>
          </w:tcPr>
          <w:p>
            <w:r>
              <w:rPr>
                <w:b/>
                <w:color w:val="008000"/>
                <w:sz w:val="17"/>
              </w:rPr>
              <w:t>+1.4%</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1,892</w:t>
            </w:r>
          </w:p>
        </w:tc>
        <w:tc>
          <w:tcPr>
            <w:tcW w:type="dxa" w:w="1440"/>
            <w:shd w:fill="FAFAFA" w:val="clear"/>
          </w:tcPr>
          <w:p>
            <w:r>
              <w:rPr>
                <w:b/>
                <w:sz w:val="17"/>
              </w:rPr>
              <w:t>2,223</w:t>
            </w:r>
          </w:p>
        </w:tc>
        <w:tc>
          <w:tcPr>
            <w:tcW w:type="dxa" w:w="1440"/>
            <w:shd w:fill="FAFAFA" w:val="clear"/>
          </w:tcPr>
          <w:p>
            <w:r>
              <w:rPr>
                <w:sz w:val="17"/>
              </w:rPr>
              <w:t>2,555</w:t>
            </w:r>
          </w:p>
        </w:tc>
        <w:tc>
          <w:tcPr>
            <w:tcW w:type="dxa" w:w="1440"/>
            <w:shd w:fill="FAFAFA" w:val="clear"/>
          </w:tcPr>
          <w:p>
            <w:r>
              <w:rPr>
                <w:b/>
                <w:color w:val="008000"/>
                <w:sz w:val="17"/>
              </w:rPr>
              <w:t>+1.5%</w:t>
            </w:r>
          </w:p>
        </w:tc>
      </w:tr>
      <w:tr>
        <w:tc>
          <w:tcPr>
            <w:tcW w:type="dxa" w:w="1440"/>
            <w:shd w:fill="FAFAFA" w:val="clear"/>
          </w:tcPr>
          <w:p>
            <w:r>
              <w:rPr>
                <w:sz w:val="17"/>
              </w:rPr>
              <w:t>J+7  ⭐</w:t>
            </w:r>
          </w:p>
        </w:tc>
        <w:tc>
          <w:tcPr>
            <w:tcW w:type="dxa" w:w="1440"/>
            <w:shd w:fill="FAFAFA" w:val="clear"/>
          </w:tcPr>
          <w:p>
            <w:r>
              <w:rPr>
                <w:sz w:val="17"/>
              </w:rPr>
              <w:t>2026-10-27</w:t>
            </w:r>
          </w:p>
        </w:tc>
        <w:tc>
          <w:tcPr>
            <w:tcW w:type="dxa" w:w="1440"/>
            <w:shd w:fill="FAFAFA" w:val="clear"/>
          </w:tcPr>
          <w:p>
            <w:r>
              <w:rPr>
                <w:sz w:val="17"/>
              </w:rPr>
              <w:t>1,868</w:t>
            </w:r>
          </w:p>
        </w:tc>
        <w:tc>
          <w:tcPr>
            <w:tcW w:type="dxa" w:w="1440"/>
            <w:shd w:fill="FAFAFA" w:val="clear"/>
          </w:tcPr>
          <w:p>
            <w:r>
              <w:rPr>
                <w:b/>
                <w:sz w:val="17"/>
              </w:rPr>
              <w:t>2,226</w:t>
            </w:r>
          </w:p>
        </w:tc>
        <w:tc>
          <w:tcPr>
            <w:tcW w:type="dxa" w:w="1440"/>
            <w:shd w:fill="FAFAFA" w:val="clear"/>
          </w:tcPr>
          <w:p>
            <w:r>
              <w:rPr>
                <w:sz w:val="17"/>
              </w:rPr>
              <w:t>2,585</w:t>
            </w:r>
          </w:p>
        </w:tc>
        <w:tc>
          <w:tcPr>
            <w:tcW w:type="dxa" w:w="1440"/>
            <w:shd w:fill="FAFAFA" w:val="clear"/>
          </w:tcPr>
          <w:p>
            <w:r>
              <w:rPr>
                <w:b/>
                <w:color w:val="008000"/>
                <w:sz w:val="17"/>
              </w:rPr>
              <w:t>+1.7%</w:t>
            </w:r>
          </w:p>
        </w:tc>
      </w:tr>
      <w:tr>
        <w:tc>
          <w:tcPr>
            <w:tcW w:type="dxa" w:w="1440"/>
            <w:shd w:fill="FAFAFA" w:val="clear"/>
          </w:tcPr>
          <w:p>
            <w:r>
              <w:rPr>
                <w:sz w:val="17"/>
              </w:rPr>
              <w:t>J+8  ⭐</w:t>
            </w:r>
          </w:p>
        </w:tc>
        <w:tc>
          <w:tcPr>
            <w:tcW w:type="dxa" w:w="1440"/>
            <w:shd w:fill="FAFAFA" w:val="clear"/>
          </w:tcPr>
          <w:p>
            <w:r>
              <w:rPr>
                <w:sz w:val="17"/>
              </w:rPr>
              <w:t>2026-10-28</w:t>
            </w:r>
          </w:p>
        </w:tc>
        <w:tc>
          <w:tcPr>
            <w:tcW w:type="dxa" w:w="1440"/>
            <w:shd w:fill="FAFAFA" w:val="clear"/>
          </w:tcPr>
          <w:p>
            <w:r>
              <w:rPr>
                <w:sz w:val="17"/>
              </w:rPr>
              <w:t>1,845</w:t>
            </w:r>
          </w:p>
        </w:tc>
        <w:tc>
          <w:tcPr>
            <w:tcW w:type="dxa" w:w="1440"/>
            <w:shd w:fill="FAFAFA" w:val="clear"/>
          </w:tcPr>
          <w:p>
            <w:r>
              <w:rPr>
                <w:b/>
                <w:sz w:val="17"/>
              </w:rPr>
              <w:t>2,229</w:t>
            </w:r>
          </w:p>
        </w:tc>
        <w:tc>
          <w:tcPr>
            <w:tcW w:type="dxa" w:w="1440"/>
            <w:shd w:fill="FAFAFA" w:val="clear"/>
          </w:tcPr>
          <w:p>
            <w:r>
              <w:rPr>
                <w:sz w:val="17"/>
              </w:rPr>
              <w:t>2,613</w:t>
            </w:r>
          </w:p>
        </w:tc>
        <w:tc>
          <w:tcPr>
            <w:tcW w:type="dxa" w:w="1440"/>
            <w:shd w:fill="FAFAFA" w:val="clear"/>
          </w:tcPr>
          <w:p>
            <w:r>
              <w:rPr>
                <w:b/>
                <w:color w:val="008000"/>
                <w:sz w:val="17"/>
              </w:rPr>
              <w:t>+1.8%</w:t>
            </w:r>
          </w:p>
        </w:tc>
      </w:tr>
      <w:tr>
        <w:tc>
          <w:tcPr>
            <w:tcW w:type="dxa" w:w="1440"/>
            <w:shd w:fill="FAFAFA" w:val="clear"/>
          </w:tcPr>
          <w:p>
            <w:r>
              <w:rPr>
                <w:sz w:val="17"/>
              </w:rPr>
              <w:t>J+9  ⭐</w:t>
            </w:r>
          </w:p>
        </w:tc>
        <w:tc>
          <w:tcPr>
            <w:tcW w:type="dxa" w:w="1440"/>
            <w:shd w:fill="FAFAFA" w:val="clear"/>
          </w:tcPr>
          <w:p>
            <w:r>
              <w:rPr>
                <w:sz w:val="17"/>
              </w:rPr>
              <w:t>2026-10-29</w:t>
            </w:r>
          </w:p>
        </w:tc>
        <w:tc>
          <w:tcPr>
            <w:tcW w:type="dxa" w:w="1440"/>
            <w:shd w:fill="FAFAFA" w:val="clear"/>
          </w:tcPr>
          <w:p>
            <w:r>
              <w:rPr>
                <w:sz w:val="17"/>
              </w:rPr>
              <w:t>1,824</w:t>
            </w:r>
          </w:p>
        </w:tc>
        <w:tc>
          <w:tcPr>
            <w:tcW w:type="dxa" w:w="1440"/>
            <w:shd w:fill="FAFAFA" w:val="clear"/>
          </w:tcPr>
          <w:p>
            <w:r>
              <w:rPr>
                <w:b/>
                <w:sz w:val="17"/>
              </w:rPr>
              <w:t>2,232</w:t>
            </w:r>
          </w:p>
        </w:tc>
        <w:tc>
          <w:tcPr>
            <w:tcW w:type="dxa" w:w="1440"/>
            <w:shd w:fill="FAFAFA" w:val="clear"/>
          </w:tcPr>
          <w:p>
            <w:r>
              <w:rPr>
                <w:sz w:val="17"/>
              </w:rPr>
              <w:t>2,639</w:t>
            </w:r>
          </w:p>
        </w:tc>
        <w:tc>
          <w:tcPr>
            <w:tcW w:type="dxa" w:w="1440"/>
            <w:shd w:fill="FAFAFA" w:val="clear"/>
          </w:tcPr>
          <w:p>
            <w:r>
              <w:rPr>
                <w:b/>
                <w:color w:val="008000"/>
                <w:sz w:val="17"/>
              </w:rPr>
              <w:t>+1.9%</w:t>
            </w:r>
          </w:p>
        </w:tc>
      </w:tr>
      <w:tr>
        <w:tc>
          <w:tcPr>
            <w:tcW w:type="dxa" w:w="1440"/>
            <w:shd w:fill="C6EFCE" w:val="clear"/>
          </w:tcPr>
          <w:p>
            <w:r>
              <w:rPr>
                <w:sz w:val="17"/>
              </w:rPr>
              <w:t>J+10  ⭐</w:t>
            </w:r>
          </w:p>
        </w:tc>
        <w:tc>
          <w:tcPr>
            <w:tcW w:type="dxa" w:w="1440"/>
            <w:shd w:fill="C6EFCE" w:val="clear"/>
          </w:tcPr>
          <w:p>
            <w:r>
              <w:rPr>
                <w:sz w:val="17"/>
              </w:rPr>
              <w:t>2026-10-30</w:t>
            </w:r>
          </w:p>
        </w:tc>
        <w:tc>
          <w:tcPr>
            <w:tcW w:type="dxa" w:w="1440"/>
            <w:shd w:fill="C6EFCE" w:val="clear"/>
          </w:tcPr>
          <w:p>
            <w:r>
              <w:rPr>
                <w:sz w:val="17"/>
              </w:rPr>
              <w:t>1,804</w:t>
            </w:r>
          </w:p>
        </w:tc>
        <w:tc>
          <w:tcPr>
            <w:tcW w:type="dxa" w:w="1440"/>
            <w:shd w:fill="C6EFCE" w:val="clear"/>
          </w:tcPr>
          <w:p>
            <w:r>
              <w:rPr>
                <w:b/>
                <w:sz w:val="17"/>
              </w:rPr>
              <w:t>2,234</w:t>
            </w:r>
          </w:p>
        </w:tc>
        <w:tc>
          <w:tcPr>
            <w:tcW w:type="dxa" w:w="1440"/>
            <w:shd w:fill="C6EFCE" w:val="clear"/>
          </w:tcPr>
          <w:p>
            <w:r>
              <w:rPr>
                <w:sz w:val="17"/>
              </w:rPr>
              <w:t>2,664</w:t>
            </w:r>
          </w:p>
        </w:tc>
        <w:tc>
          <w:tcPr>
            <w:tcW w:type="dxa" w:w="1440"/>
            <w:shd w:fill="C6EFCE" w:val="clear"/>
          </w:tcPr>
          <w:p>
            <w:r>
              <w:rPr>
                <w:b/>
                <w:color w:val="008000"/>
                <w:sz w:val="17"/>
              </w:rPr>
              <w:t>+2.0%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pPr>
      <w:r>
        <w:t># RAPPORT D'ANALYSE FINANCIÈRE — SHEC (VIVO ENERGY CÔTE D'IVOIRE)</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137,97 milliards FCFA, SHEC s'inscrit dans la catégorie des valeurs moyennes de la cote BRVM, sans toutefois figurer parmi les poids lourds du marché. Le BPA de 96 FCFA par action confère au titre un PER de 22,9x, soit un niveau nettement supérieur à la moyenne du marché BRVM (généralement située entre 8x et 12x), ce qui traduit soit une anticipation de croissance par le marché, soit une prime de valorisation excessive au regard des bénéfices actuels. Le ratio P/B de 5,08x confirme cette exigence : le marché valorise SHEC à plus de cinq fois sa valeur comptable, une prime considérable qui n'est justifiée que si la rentabilité des fonds propres demeure élevée. Enfin, l'EV/EBITDA de 12,5x, dans la fourchette haute (10-15x), indique que la valeur d'entreprise intègre déjà une bonne partie de la capacité opérationnelle, laissant peu de marge d'appréciation à court terme sans accélération des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SHEC affiche une progression totale de +14,66%, avec une dernière séance stable (variation J-1 de +0,00%) à 2 190 FCFA. Le range de trading est particulièrement large, le cours ayant oscillé entre un plus bas de 1 910 FCFA et un plus haut de 2 980 FCFA, soit un écart de plus de 56% entre les extrêmes — signe d'une forte amplitude directionnelle sur la période. La tendance générale reste haussière sur l'ensemble de la fenêtre, mais le cours actuel (2 190 FCFA) se situe désormais sous sa moyenne (2 279 FCFA) et sa médiane (2 202 FCFA), suggérant une correction récente depuis les sommets. Les statistiques descriptives révèlent une distribution asymétrique : la moyenne (2 279 FCFA) dépasse légèrement la médiane (2 202 FCFA) et le mode (2 200 FCFA), tandis que le skewness positif de 1,190 indique davantage de journées sous la moyenne, avec quelques pics haussiers isolés tirant la moyenne vers le haut. L'écart-type de 212 FCFA (CV de 9,3%) traduit une dispersion modérée du cours autour de sa tendance, mais le kurtosis de 1,875 (leptokurtique) signale des queues épaisses, donc un risque de pics de volatilité brutaux. La volatilité annualisée de 41,8% classe clairement SHEC parmi les titres à volatilité élevée (&gt;30%), ce qui exige une tolérance au risque importante de la part de l'investisseur.</w:t>
      </w:r>
    </w:p>
    <w:p>
      <w:pPr>
        <w:spacing w:after="120" w:line="276" w:lineRule="auto"/>
      </w:pPr>
      <w:r>
        <w:t>---</w:t>
      </w:r>
    </w:p>
    <w:p>
      <w:pPr>
        <w:spacing w:after="120" w:line="276" w:lineRule="auto"/>
      </w:pPr>
      <w:r>
        <w:t>## PARTIE 2 : ANALYSE TECHNIQUE DÉTAILLÉE</w:t>
      </w:r>
    </w:p>
    <w:p>
      <w:pPr>
        <w:spacing w:after="120" w:line="276" w:lineRule="auto"/>
      </w:pPr>
      <w:r>
        <w:t>**Moyennes Mobiles :** La MM20 (2 364,25 FCFA) et la MM50 (2 422,20 FCFA) se situent toutes deux au-dessus du cours actuel (2 190 FCFA), configurant une structure baissière de court terme où le prix évolue sous ses références mobiles. La MM20 étant inférieure à la MM50, on observe un croisement baissier confirmé, ce qui justifie pleinement la décision technique de **Vente** émise par cet indicateur.</w:t>
      </w:r>
    </w:p>
    <w:p>
      <w:pPr>
        <w:spacing w:after="120" w:line="276" w:lineRule="auto"/>
      </w:pPr>
      <w:r>
        <w:t>**Bandes de Bollinger :** Le cours (2 190 FCFA) se situe dans la partie basse de la bande, entre la borne inférieure (1 964,60 FCFA) et la borne supérieure (2 763,90 FCFA), sans atteindre l'extrémité basse. Cette position traduit une pression vendeuse modérée mais pas encore de survente extrême, et l'amplitude de la bande (environ 800 FCFA) confirme une volatilité élevée. La décision **Neutre** reflète l'absence de signal directionnel fort à ce stade.</w:t>
      </w:r>
    </w:p>
    <w:p>
      <w:pPr>
        <w:spacing w:after="120" w:line="276" w:lineRule="auto"/>
      </w:pPr>
      <w:r>
        <w:t>**MACD :** La valeur du MACD (-85,79) est inférieure à sa ligne de signal (-64,83), avec un histogramme négatif qui s'accentue, indiquant un momentum baissier persistant. Cette configuration de divergence négative confirme la dynamique descendante en cours et justifie la décision de **Vente**.</w:t>
      </w:r>
    </w:p>
    <w:p>
      <w:pPr>
        <w:spacing w:after="120" w:line="276" w:lineRule="auto"/>
      </w:pPr>
      <w:r>
        <w:t>**RSI :** À 20,51, le RSI se situe nettement en zone de survente (seuil &lt;30), un niveau qui historiquement précède souvent un rebond technique. Cette lecture contraste avec les autres indicateurs et justifie la décision d'**Achat** — le titre apparaît techniquement survendu et susceptible de rebondir à court terme.</w:t>
      </w:r>
    </w:p>
    <w:p>
      <w:pPr>
        <w:spacing w:after="120" w:line="276" w:lineRule="auto"/>
      </w:pPr>
      <w:r>
        <w:t>**Stochastique :** Le %K (0,0) et le %D (1,17) sont tous deux ancrés en zone extrême de survente, avec un %K collé au plancher. Cette configuration signale un épuisement de la pression vendeuse et un potentiel de retournement haussier imminent, justifiant la décision d'**Achat**.</w:t>
      </w:r>
    </w:p>
    <w:p>
      <w:pPr>
        <w:spacing w:after="120" w:line="276" w:lineRule="auto"/>
      </w:pPr>
      <w:r>
        <w:t>**Conclusion technique :** Les indicateurs présentent une divergence notable : les moyennes mobiles et le MACD confirment une tendance baissière de fond, tandis que le RSI et le stochastique signalent une survente extrême propice à un rebond technique. Cette configuration typique de « rebond sur support » suggère que le titre pourrait stabiliser puis amorcer une reprise de court terme, mais la structure baissière des MM impose la prudence tant que le cours n'aura pas reconquis la MM20 (2 364 FCFA). Le signal global est donc mitigé, avec un biais tactique haussier mais une tendance de fond encore fragile.</w:t>
      </w:r>
    </w:p>
    <w:p>
      <w:pPr>
        <w:spacing w:after="120" w:line="276" w:lineRule="auto"/>
      </w:pPr>
      <w:r>
        <w:t>---</w:t>
      </w:r>
    </w:p>
    <w:p>
      <w:pPr>
        <w:spacing w:after="120" w:line="276" w:lineRule="auto"/>
      </w:pPr>
      <w:r>
        <w:t>## PARTIE 3 : ANALYSE FONDAMENTALE</w:t>
      </w:r>
    </w:p>
    <w:p>
      <w:pPr>
        <w:spacing w:after="120" w:line="276" w:lineRule="auto"/>
      </w:pPr>
      <w:r>
        <w:t>Les états financiers officiels de l'exercice 2025 (rapports datés du 31/12/2025, analysés en mai-juin 2026) dressent le portrait d'une entreprise de distribution pétrolière à forte rotation mais à marges structurellement faibles. En 2025, SHEC a réalisé un chiffre d'affaires de 604,978 milliards FCFA, en très légère hausse de +0,71% par rapport aux 600,708 milliards de 2024, tandis que le résultat net s'est établi à 6,028 milliards FCFA, en progression de +12,6% — une amélioration portée par la baisse des charges financières (-17,7%) et la hausse de l'EBE (+18,5%). La marge nette reste toutefois très mince à 0,996%, caractéristique du secteur aval pétrolier, mais le ROE de 22,20% demeure excellent (&gt;15%) et le ROA de 3,11% reflète la faible intensité capitalistique de l'activité. Sur le plan de la structure financière, l'autonomie financière n'est que de 14,03% (très en dessous du seuil sain de 30%), la trésorerie nette est profondément négative à -65,264 milliards FCFA et le fonds de roulement atteint -49,850 milliards FCFA — des signaux de tension de liquidité préoccupants, même si le BFR de 15,315 milliards reste contenu et que la capacité de remboursement (0,97 an de CAF) est rassurante. Les délais d'exploitation sont bien maîtrisés : 23,27 jours pour les clients, 35,47 jours pour les fournisseurs et seulement 7,47 jours de stockage, confirmant une gestion opérationnelle efficace. Les rapports trimestriels enrichissent cette lecture : le T1 2026 (rapport du 31/12/2025) montre une baisse du CA de -9% à 141,649 milliards FCFA, et le S1 2026 (rapport 2026) confirme un CA de 305,038 milliards (-1%) avec un résultat net de 3,016 milliards FCFA et une marge nette de 0,99%, tandis que le résultat d'exploitation progresse de +17% à 6,133 milliards grâce au butane. On estime dès lors que l'exercice 2026 devrait s'inscrire dans une consolidation autour de 600-610 milliards FCFA de CA, avec un résultat net potentiellement stable à 6,0-6,2 milliards FCFA, la dynamique du butane et des lubrifiants compensant la faiblesse de l'aviation et du bitume. La politique de dividende reste généreuse (6,09 milliards FCFA proposés pour 2025, soit un taux de distribution de 101%, avec un DPA estimé à 1 933 FCFA), mais cette distribution supérieure au résultat net fragilise davantage une structure financière déjà tendue. La recommandation fondamentale des analystes est de **CONSERVER** : la société est bénéficiaire, solvable (solvabilité générale de 116,32%) et bien gérée opérationnellement, mais la trésorerie nette très négative, l'endettement élevé et la dépendance aux concours bancaires constituent des risques majeurs qui limitent le potentiel de revalorisation à court terme.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de l'analyse converge vers un diagnostic nuancé. Sur le plan de la **valorisation**, les ratios PER de 22,9x, P/B de 5,08x et EV/EBITDA de 12,5x traduisent une valorisation exigeante, voire surévaluée au regard de la croissance quasi nulle du chiffre d'affaires (+0,71% en 2025) et d'une marge nette inférieure à 1% — le marché paie déjà cher une hypothétique accélération des bénéfices. Le **comportement du cours** sur 100 jours est haussier (+14,66%) mais le titre a corrigé depuis son sommet de 2 980 FCFA et évolue désormais sous ses moyennes, avec une volatilité élevée (41,8%) et un profil leptokurtique (kurtosis 1,875) exposant à des pics de risque ; le skewness positif (1,190) indique toutefois que les journées sous la moyenne dominent, ce qui n'est pas favorable à court terme. Les **signaux techniques** sont contradictoires : MM et MACD sont baissiers (Vente), mais le RSI (20,51) et le stochastique (0,0) sont en survente extrême (Achat), suggérant un rebond technique possible sans inversion de tendance de fond. Les **fondamentaux** demeurent solides sur la rentabilité (ROE 22,20%, résultat net +12,6% en 2025) mais fragiles sur la liquidité (trésorerie nette -65,26 milliards FCFA, autonomie financière 14,03%), et les rapports S1 2026 confirment une consolidation avec un CA en léger recul (-1%) mais un résultat d'exploitation en hausse (+17%). Les **prédictions IA** (2 199 → 2 220 FCFA sur J+1 à J+10) anticipent une légère reprise de +1,4% sur dix séances, cohérente avec le scénario de rebond technique post-survente mais sans emballement. **Recommandation finale : CONSERVER**, avec un niveau de confiance **Moyen** et un niveau de risque global **Élevé**. La convergence est partielle : la survente technique et les prédictions haussières de court terme plaident pour un maintien, tandis que la valorisation exigeante et les tensions de trésorerie interdisent tout renforcement agressif. L'horizon optimal est le **moyen terme (3-12 mois)**, le temps que la dynamique du butane et des lubrifiants se confirme et que la structure financière s'assainisse ; un passage à l'achat ne serait justifié qu'en cas de reconquête durable de la MM20 (2 364 FCFA) couplée à une clarification de la politique de distribution et à une réduction de la trésorerie nette négative.</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35.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872.50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11,526 titres</w:t>
            </w:r>
          </w:p>
        </w:tc>
        <w:tc>
          <w:tcPr>
            <w:tcW w:type="dxa" w:w="2268"/>
            <w:shd w:fill="FFF2CC" w:val="clear"/>
          </w:tcPr>
          <w:p>
            <w:r>
              <w:rPr>
                <w:b/>
                <w:color w:val="503200"/>
                <w:sz w:val="16"/>
              </w:rPr>
              <w:t xml:space="preserve">Cours actuel : </w:t>
            </w:r>
            <w:r>
              <w:rPr>
                <w:color w:val="000000"/>
                <w:sz w:val="17"/>
              </w:rPr>
              <w:t>8,725 FCFA</w:t>
            </w:r>
          </w:p>
          <w:p>
            <w:r>
              <w:rPr>
                <w:b/>
                <w:color w:val="503200"/>
                <w:sz w:val="16"/>
              </w:rPr>
              <w:t xml:space="preserve">Var. 100 jours : </w:t>
            </w:r>
            <w:r>
              <w:rPr>
                <w:b/>
                <w:color w:val="007800"/>
                <w:sz w:val="17"/>
              </w:rPr>
              <w:t>+13.31%</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7,700 FCFA</w:t>
            </w:r>
          </w:p>
          <w:p>
            <w:r>
              <w:rPr>
                <w:b/>
                <w:color w:val="503200"/>
                <w:sz w:val="16"/>
              </w:rPr>
              <w:t xml:space="preserve">Volatilité ann. : </w:t>
            </w:r>
            <w:r>
              <w:rPr>
                <w:color w:val="000000"/>
                <w:sz w:val="17"/>
              </w:rPr>
              <w:t>28.5%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9.3/100 → Faible</w:t>
      </w:r>
    </w:p>
    <w:p>
      <w:pPr>
        <w:spacing w:before="40" w:after="80"/>
      </w:pPr>
      <w:r>
        <w:rPr>
          <w:rFonts w:ascii="Courier New" w:hAnsi="Courier New"/>
          <w:color w:val="006400"/>
          <w:sz w:val="18"/>
        </w:rPr>
        <w:t>█░░░░░░░░░░░░░░░░░░░  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3.17% (Faible) — μ=8,947 FCFA, σ=283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β=0.6834 (Défensif) — Cov=0.000052, Var(idx)=0.000076, ρ=0.332,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11,526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σ_j=1.80%/j (Stable) — Vol. annualisée≈28.5%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35585"/>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2026-10-19</w:t>
            </w:r>
          </w:p>
        </w:tc>
        <w:tc>
          <w:tcPr>
            <w:tcW w:type="dxa" w:w="1440"/>
            <w:shd w:fill="FAFAFA" w:val="clear"/>
          </w:tcPr>
          <w:p>
            <w:r>
              <w:rPr>
                <w:sz w:val="17"/>
              </w:rPr>
              <w:t>8,411</w:t>
            </w:r>
          </w:p>
        </w:tc>
        <w:tc>
          <w:tcPr>
            <w:tcW w:type="dxa" w:w="1440"/>
            <w:shd w:fill="FAFAFA" w:val="clear"/>
          </w:tcPr>
          <w:p>
            <w:r>
              <w:rPr>
                <w:b/>
                <w:sz w:val="17"/>
              </w:rPr>
              <w:t>8,675</w:t>
            </w:r>
          </w:p>
        </w:tc>
        <w:tc>
          <w:tcPr>
            <w:tcW w:type="dxa" w:w="1440"/>
            <w:shd w:fill="FAFAFA" w:val="clear"/>
          </w:tcPr>
          <w:p>
            <w:r>
              <w:rPr>
                <w:sz w:val="17"/>
              </w:rPr>
              <w:t>8,939</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2026-10-20</w:t>
            </w:r>
          </w:p>
        </w:tc>
        <w:tc>
          <w:tcPr>
            <w:tcW w:type="dxa" w:w="1440"/>
            <w:shd w:fill="FAFAFA" w:val="clear"/>
          </w:tcPr>
          <w:p>
            <w:r>
              <w:rPr>
                <w:sz w:val="17"/>
              </w:rPr>
              <w:t>8,250</w:t>
            </w:r>
          </w:p>
        </w:tc>
        <w:tc>
          <w:tcPr>
            <w:tcW w:type="dxa" w:w="1440"/>
            <w:shd w:fill="FAFAFA" w:val="clear"/>
          </w:tcPr>
          <w:p>
            <w:r>
              <w:rPr>
                <w:b/>
                <w:sz w:val="17"/>
              </w:rPr>
              <w:t>8,621</w:t>
            </w:r>
          </w:p>
        </w:tc>
        <w:tc>
          <w:tcPr>
            <w:tcW w:type="dxa" w:w="1440"/>
            <w:shd w:fill="FAFAFA" w:val="clear"/>
          </w:tcPr>
          <w:p>
            <w:r>
              <w:rPr>
                <w:sz w:val="17"/>
              </w:rPr>
              <w:t>8,992</w:t>
            </w:r>
          </w:p>
        </w:tc>
        <w:tc>
          <w:tcPr>
            <w:tcW w:type="dxa" w:w="1440"/>
            <w:shd w:fill="FAFAFA" w:val="clear"/>
          </w:tcPr>
          <w:p>
            <w:r>
              <w:rPr>
                <w:b/>
                <w:color w:val="C00000"/>
                <w:sz w:val="17"/>
              </w:rPr>
              <w:t>-1.2%</w:t>
            </w:r>
          </w:p>
        </w:tc>
      </w:tr>
      <w:tr>
        <w:tc>
          <w:tcPr>
            <w:tcW w:type="dxa" w:w="1440"/>
            <w:shd w:fill="FAFAFA" w:val="clear"/>
          </w:tcPr>
          <w:p>
            <w:r>
              <w:rPr>
                <w:sz w:val="17"/>
              </w:rPr>
              <w:t>J+3  ⭐⭐⭐</w:t>
            </w:r>
          </w:p>
        </w:tc>
        <w:tc>
          <w:tcPr>
            <w:tcW w:type="dxa" w:w="1440"/>
            <w:shd w:fill="FAFAFA" w:val="clear"/>
          </w:tcPr>
          <w:p>
            <w:r>
              <w:rPr>
                <w:sz w:val="17"/>
              </w:rPr>
              <w:t>2026-10-21</w:t>
            </w:r>
          </w:p>
        </w:tc>
        <w:tc>
          <w:tcPr>
            <w:tcW w:type="dxa" w:w="1440"/>
            <w:shd w:fill="FAFAFA" w:val="clear"/>
          </w:tcPr>
          <w:p>
            <w:r>
              <w:rPr>
                <w:sz w:val="17"/>
              </w:rPr>
              <w:t>8,122</w:t>
            </w:r>
          </w:p>
        </w:tc>
        <w:tc>
          <w:tcPr>
            <w:tcW w:type="dxa" w:w="1440"/>
            <w:shd w:fill="FAFAFA" w:val="clear"/>
          </w:tcPr>
          <w:p>
            <w:r>
              <w:rPr>
                <w:b/>
                <w:sz w:val="17"/>
              </w:rPr>
              <w:t>8,574</w:t>
            </w:r>
          </w:p>
        </w:tc>
        <w:tc>
          <w:tcPr>
            <w:tcW w:type="dxa" w:w="1440"/>
            <w:shd w:fill="FAFAFA" w:val="clear"/>
          </w:tcPr>
          <w:p>
            <w:r>
              <w:rPr>
                <w:sz w:val="17"/>
              </w:rPr>
              <w:t>9,026</w:t>
            </w:r>
          </w:p>
        </w:tc>
        <w:tc>
          <w:tcPr>
            <w:tcW w:type="dxa" w:w="1440"/>
            <w:shd w:fill="FAFAFA" w:val="clear"/>
          </w:tcPr>
          <w:p>
            <w:r>
              <w:rPr>
                <w:b/>
                <w:color w:val="C00000"/>
                <w:sz w:val="17"/>
              </w:rPr>
              <w:t>-1.7%</w:t>
            </w:r>
          </w:p>
        </w:tc>
      </w:tr>
      <w:tr>
        <w:tc>
          <w:tcPr>
            <w:tcW w:type="dxa" w:w="1440"/>
            <w:shd w:fill="FFDCE0" w:val="clear"/>
          </w:tcPr>
          <w:p>
            <w:r>
              <w:rPr>
                <w:sz w:val="17"/>
              </w:rPr>
              <w:t>J+4  Moyenne</w:t>
            </w:r>
          </w:p>
        </w:tc>
        <w:tc>
          <w:tcPr>
            <w:tcW w:type="dxa" w:w="1440"/>
            <w:shd w:fill="FFDCE0" w:val="clear"/>
          </w:tcPr>
          <w:p>
            <w:r>
              <w:rPr>
                <w:sz w:val="17"/>
              </w:rPr>
              <w:t>2026-10-22</w:t>
            </w:r>
          </w:p>
        </w:tc>
        <w:tc>
          <w:tcPr>
            <w:tcW w:type="dxa" w:w="1440"/>
            <w:shd w:fill="FFDCE0" w:val="clear"/>
          </w:tcPr>
          <w:p>
            <w:r>
              <w:rPr>
                <w:sz w:val="17"/>
              </w:rPr>
              <w:t>8,013</w:t>
            </w:r>
          </w:p>
        </w:tc>
        <w:tc>
          <w:tcPr>
            <w:tcW w:type="dxa" w:w="1440"/>
            <w:shd w:fill="FFDCE0" w:val="clear"/>
          </w:tcPr>
          <w:p>
            <w:r>
              <w:rPr>
                <w:b/>
                <w:sz w:val="17"/>
              </w:rPr>
              <w:t>8,532</w:t>
            </w:r>
          </w:p>
        </w:tc>
        <w:tc>
          <w:tcPr>
            <w:tcW w:type="dxa" w:w="1440"/>
            <w:shd w:fill="FFDCE0" w:val="clear"/>
          </w:tcPr>
          <w:p>
            <w:r>
              <w:rPr>
                <w:sz w:val="17"/>
              </w:rPr>
              <w:t>9,051</w:t>
            </w:r>
          </w:p>
        </w:tc>
        <w:tc>
          <w:tcPr>
            <w:tcW w:type="dxa" w:w="1440"/>
            <w:shd w:fill="FFDCE0" w:val="clear"/>
          </w:tcPr>
          <w:p>
            <w:r>
              <w:rPr>
                <w:b/>
                <w:color w:val="C00000"/>
                <w:sz w:val="17"/>
              </w:rPr>
              <w:t>-2.2%</w:t>
            </w:r>
          </w:p>
        </w:tc>
      </w:tr>
      <w:tr>
        <w:tc>
          <w:tcPr>
            <w:tcW w:type="dxa" w:w="1440"/>
            <w:shd w:fill="FFDCE0" w:val="clear"/>
          </w:tcPr>
          <w:p>
            <w:r>
              <w:rPr>
                <w:sz w:val="17"/>
              </w:rPr>
              <w:t>J+5  Moyenne</w:t>
            </w:r>
          </w:p>
        </w:tc>
        <w:tc>
          <w:tcPr>
            <w:tcW w:type="dxa" w:w="1440"/>
            <w:shd w:fill="FFDCE0" w:val="clear"/>
          </w:tcPr>
          <w:p>
            <w:r>
              <w:rPr>
                <w:sz w:val="17"/>
              </w:rPr>
              <w:t>2026-10-23</w:t>
            </w:r>
          </w:p>
        </w:tc>
        <w:tc>
          <w:tcPr>
            <w:tcW w:type="dxa" w:w="1440"/>
            <w:shd w:fill="FFDCE0" w:val="clear"/>
          </w:tcPr>
          <w:p>
            <w:r>
              <w:rPr>
                <w:sz w:val="17"/>
              </w:rPr>
              <w:t>7,916</w:t>
            </w:r>
          </w:p>
        </w:tc>
        <w:tc>
          <w:tcPr>
            <w:tcW w:type="dxa" w:w="1440"/>
            <w:shd w:fill="FFDCE0" w:val="clear"/>
          </w:tcPr>
          <w:p>
            <w:r>
              <w:rPr>
                <w:b/>
                <w:sz w:val="17"/>
              </w:rPr>
              <w:t>8,494</w:t>
            </w:r>
          </w:p>
        </w:tc>
        <w:tc>
          <w:tcPr>
            <w:tcW w:type="dxa" w:w="1440"/>
            <w:shd w:fill="FFDCE0" w:val="clear"/>
          </w:tcPr>
          <w:p>
            <w:r>
              <w:rPr>
                <w:sz w:val="17"/>
              </w:rPr>
              <w:t>9,072</w:t>
            </w:r>
          </w:p>
        </w:tc>
        <w:tc>
          <w:tcPr>
            <w:tcW w:type="dxa" w:w="1440"/>
            <w:shd w:fill="FFDCE0" w:val="clear"/>
          </w:tcPr>
          <w:p>
            <w:r>
              <w:rPr>
                <w:b/>
                <w:color w:val="C00000"/>
                <w:sz w:val="17"/>
              </w:rPr>
              <w:t>-2.7%</w:t>
            </w:r>
          </w:p>
        </w:tc>
      </w:tr>
      <w:tr>
        <w:tc>
          <w:tcPr>
            <w:tcW w:type="dxa" w:w="1440"/>
            <w:shd w:fill="FFDCE0" w:val="clear"/>
          </w:tcPr>
          <w:p>
            <w:r>
              <w:rPr>
                <w:sz w:val="17"/>
              </w:rPr>
              <w:t>J+6  Moyenne</w:t>
            </w:r>
          </w:p>
        </w:tc>
        <w:tc>
          <w:tcPr>
            <w:tcW w:type="dxa" w:w="1440"/>
            <w:shd w:fill="FFDCE0" w:val="clear"/>
          </w:tcPr>
          <w:p>
            <w:r>
              <w:rPr>
                <w:sz w:val="17"/>
              </w:rPr>
              <w:t>2026-10-26</w:t>
            </w:r>
          </w:p>
        </w:tc>
        <w:tc>
          <w:tcPr>
            <w:tcW w:type="dxa" w:w="1440"/>
            <w:shd w:fill="FFDCE0" w:val="clear"/>
          </w:tcPr>
          <w:p>
            <w:r>
              <w:rPr>
                <w:sz w:val="17"/>
              </w:rPr>
              <w:t>7,827</w:t>
            </w:r>
          </w:p>
        </w:tc>
        <w:tc>
          <w:tcPr>
            <w:tcW w:type="dxa" w:w="1440"/>
            <w:shd w:fill="FFDCE0" w:val="clear"/>
          </w:tcPr>
          <w:p>
            <w:r>
              <w:rPr>
                <w:b/>
                <w:sz w:val="17"/>
              </w:rPr>
              <w:t>8,458</w:t>
            </w:r>
          </w:p>
        </w:tc>
        <w:tc>
          <w:tcPr>
            <w:tcW w:type="dxa" w:w="1440"/>
            <w:shd w:fill="FFDCE0" w:val="clear"/>
          </w:tcPr>
          <w:p>
            <w:r>
              <w:rPr>
                <w:sz w:val="17"/>
              </w:rPr>
              <w:t>9,088</w:t>
            </w:r>
          </w:p>
        </w:tc>
        <w:tc>
          <w:tcPr>
            <w:tcW w:type="dxa" w:w="1440"/>
            <w:shd w:fill="FFDCE0" w:val="clear"/>
          </w:tcPr>
          <w:p>
            <w:r>
              <w:rPr>
                <w:b/>
                <w:color w:val="C00000"/>
                <w:sz w:val="17"/>
              </w:rPr>
              <w:t>-3.1%</w:t>
            </w:r>
          </w:p>
        </w:tc>
      </w:tr>
      <w:tr>
        <w:tc>
          <w:tcPr>
            <w:tcW w:type="dxa" w:w="1440"/>
            <w:shd w:fill="FFDCE0" w:val="clear"/>
          </w:tcPr>
          <w:p>
            <w:r>
              <w:rPr>
                <w:sz w:val="17"/>
              </w:rPr>
              <w:t>J+7  Moyenne</w:t>
            </w:r>
          </w:p>
        </w:tc>
        <w:tc>
          <w:tcPr>
            <w:tcW w:type="dxa" w:w="1440"/>
            <w:shd w:fill="FFDCE0" w:val="clear"/>
          </w:tcPr>
          <w:p>
            <w:r>
              <w:rPr>
                <w:sz w:val="17"/>
              </w:rPr>
              <w:t>2026-10-27</w:t>
            </w:r>
          </w:p>
        </w:tc>
        <w:tc>
          <w:tcPr>
            <w:tcW w:type="dxa" w:w="1440"/>
            <w:shd w:fill="FFDCE0" w:val="clear"/>
          </w:tcPr>
          <w:p>
            <w:r>
              <w:rPr>
                <w:sz w:val="17"/>
              </w:rPr>
              <w:t>7,746</w:t>
            </w:r>
          </w:p>
        </w:tc>
        <w:tc>
          <w:tcPr>
            <w:tcW w:type="dxa" w:w="1440"/>
            <w:shd w:fill="FFDCE0" w:val="clear"/>
          </w:tcPr>
          <w:p>
            <w:r>
              <w:rPr>
                <w:b/>
                <w:sz w:val="17"/>
              </w:rPr>
              <w:t>8,424</w:t>
            </w:r>
          </w:p>
        </w:tc>
        <w:tc>
          <w:tcPr>
            <w:tcW w:type="dxa" w:w="1440"/>
            <w:shd w:fill="FFDCE0" w:val="clear"/>
          </w:tcPr>
          <w:p>
            <w:r>
              <w:rPr>
                <w:sz w:val="17"/>
              </w:rPr>
              <w:t>9,102</w:t>
            </w:r>
          </w:p>
        </w:tc>
        <w:tc>
          <w:tcPr>
            <w:tcW w:type="dxa" w:w="1440"/>
            <w:shd w:fill="FFDCE0" w:val="clear"/>
          </w:tcPr>
          <w:p>
            <w:r>
              <w:rPr>
                <w:b/>
                <w:color w:val="C00000"/>
                <w:sz w:val="17"/>
              </w:rPr>
              <w:t>-3.5%</w:t>
            </w:r>
          </w:p>
        </w:tc>
      </w:tr>
      <w:tr>
        <w:tc>
          <w:tcPr>
            <w:tcW w:type="dxa" w:w="1440"/>
            <w:shd w:fill="FFDCE0" w:val="clear"/>
          </w:tcPr>
          <w:p>
            <w:r>
              <w:rPr>
                <w:sz w:val="17"/>
              </w:rPr>
              <w:t>J+8  Moyenne</w:t>
            </w:r>
          </w:p>
        </w:tc>
        <w:tc>
          <w:tcPr>
            <w:tcW w:type="dxa" w:w="1440"/>
            <w:shd w:fill="FFDCE0" w:val="clear"/>
          </w:tcPr>
          <w:p>
            <w:r>
              <w:rPr>
                <w:sz w:val="17"/>
              </w:rPr>
              <w:t>2026-10-28</w:t>
            </w:r>
          </w:p>
        </w:tc>
        <w:tc>
          <w:tcPr>
            <w:tcW w:type="dxa" w:w="1440"/>
            <w:shd w:fill="FFDCE0" w:val="clear"/>
          </w:tcPr>
          <w:p>
            <w:r>
              <w:rPr>
                <w:sz w:val="17"/>
              </w:rPr>
              <w:t>7,670</w:t>
            </w:r>
          </w:p>
        </w:tc>
        <w:tc>
          <w:tcPr>
            <w:tcW w:type="dxa" w:w="1440"/>
            <w:shd w:fill="FFDCE0" w:val="clear"/>
          </w:tcPr>
          <w:p>
            <w:r>
              <w:rPr>
                <w:b/>
                <w:sz w:val="17"/>
              </w:rPr>
              <w:t>8,392</w:t>
            </w:r>
          </w:p>
        </w:tc>
        <w:tc>
          <w:tcPr>
            <w:tcW w:type="dxa" w:w="1440"/>
            <w:shd w:fill="FFDCE0" w:val="clear"/>
          </w:tcPr>
          <w:p>
            <w:r>
              <w:rPr>
                <w:sz w:val="17"/>
              </w:rPr>
              <w:t>9,114</w:t>
            </w:r>
          </w:p>
        </w:tc>
        <w:tc>
          <w:tcPr>
            <w:tcW w:type="dxa" w:w="1440"/>
            <w:shd w:fill="FFDCE0" w:val="clear"/>
          </w:tcPr>
          <w:p>
            <w:r>
              <w:rPr>
                <w:b/>
                <w:color w:val="C00000"/>
                <w:sz w:val="17"/>
              </w:rPr>
              <w:t>-3.8%</w:t>
            </w:r>
          </w:p>
        </w:tc>
      </w:tr>
      <w:tr>
        <w:tc>
          <w:tcPr>
            <w:tcW w:type="dxa" w:w="1440"/>
            <w:shd w:fill="FFDCE0" w:val="clear"/>
          </w:tcPr>
          <w:p>
            <w:r>
              <w:rPr>
                <w:sz w:val="17"/>
              </w:rPr>
              <w:t>J+9  Moyenne</w:t>
            </w:r>
          </w:p>
        </w:tc>
        <w:tc>
          <w:tcPr>
            <w:tcW w:type="dxa" w:w="1440"/>
            <w:shd w:fill="FFDCE0" w:val="clear"/>
          </w:tcPr>
          <w:p>
            <w:r>
              <w:rPr>
                <w:sz w:val="17"/>
              </w:rPr>
              <w:t>2026-10-29</w:t>
            </w:r>
          </w:p>
        </w:tc>
        <w:tc>
          <w:tcPr>
            <w:tcW w:type="dxa" w:w="1440"/>
            <w:shd w:fill="FFDCE0" w:val="clear"/>
          </w:tcPr>
          <w:p>
            <w:r>
              <w:rPr>
                <w:sz w:val="17"/>
              </w:rPr>
              <w:t>7,599</w:t>
            </w:r>
          </w:p>
        </w:tc>
        <w:tc>
          <w:tcPr>
            <w:tcW w:type="dxa" w:w="1440"/>
            <w:shd w:fill="FFDCE0" w:val="clear"/>
          </w:tcPr>
          <w:p>
            <w:r>
              <w:rPr>
                <w:b/>
                <w:sz w:val="17"/>
              </w:rPr>
              <w:t>8,362</w:t>
            </w:r>
          </w:p>
        </w:tc>
        <w:tc>
          <w:tcPr>
            <w:tcW w:type="dxa" w:w="1440"/>
            <w:shd w:fill="FFDCE0" w:val="clear"/>
          </w:tcPr>
          <w:p>
            <w:r>
              <w:rPr>
                <w:sz w:val="17"/>
              </w:rPr>
              <w:t>9,125</w:t>
            </w:r>
          </w:p>
        </w:tc>
        <w:tc>
          <w:tcPr>
            <w:tcW w:type="dxa" w:w="1440"/>
            <w:shd w:fill="FFDCE0" w:val="clear"/>
          </w:tcPr>
          <w:p>
            <w:r>
              <w:rPr>
                <w:b/>
                <w:color w:val="C00000"/>
                <w:sz w:val="17"/>
              </w:rPr>
              <w:t>-4.2%</w:t>
            </w:r>
          </w:p>
        </w:tc>
      </w:tr>
      <w:tr>
        <w:tc>
          <w:tcPr>
            <w:tcW w:type="dxa" w:w="1440"/>
            <w:shd w:fill="FFDCE0" w:val="clear"/>
          </w:tcPr>
          <w:p>
            <w:r>
              <w:rPr>
                <w:sz w:val="17"/>
              </w:rPr>
              <w:t>J+10  Moyenne</w:t>
            </w:r>
          </w:p>
        </w:tc>
        <w:tc>
          <w:tcPr>
            <w:tcW w:type="dxa" w:w="1440"/>
            <w:shd w:fill="FFDCE0" w:val="clear"/>
          </w:tcPr>
          <w:p>
            <w:r>
              <w:rPr>
                <w:sz w:val="17"/>
              </w:rPr>
              <w:t>2026-10-30</w:t>
            </w:r>
          </w:p>
        </w:tc>
        <w:tc>
          <w:tcPr>
            <w:tcW w:type="dxa" w:w="1440"/>
            <w:shd w:fill="FFDCE0" w:val="clear"/>
          </w:tcPr>
          <w:p>
            <w:r>
              <w:rPr>
                <w:sz w:val="17"/>
              </w:rPr>
              <w:t>7,531</w:t>
            </w:r>
          </w:p>
        </w:tc>
        <w:tc>
          <w:tcPr>
            <w:tcW w:type="dxa" w:w="1440"/>
            <w:shd w:fill="FFDCE0" w:val="clear"/>
          </w:tcPr>
          <w:p>
            <w:r>
              <w:rPr>
                <w:b/>
                <w:sz w:val="17"/>
              </w:rPr>
              <w:t>8,333</w:t>
            </w:r>
          </w:p>
        </w:tc>
        <w:tc>
          <w:tcPr>
            <w:tcW w:type="dxa" w:w="1440"/>
            <w:shd w:fill="FFDCE0" w:val="clear"/>
          </w:tcPr>
          <w:p>
            <w:r>
              <w:rPr>
                <w:sz w:val="17"/>
              </w:rPr>
              <w:t>9,135</w:t>
            </w:r>
          </w:p>
        </w:tc>
        <w:tc>
          <w:tcPr>
            <w:tcW w:type="dxa" w:w="1440"/>
            <w:shd w:fill="FFDCE0" w:val="clear"/>
          </w:tcPr>
          <w:p>
            <w:r>
              <w:rPr>
                <w:b/>
                <w:color w:val="C00000"/>
                <w:sz w:val="17"/>
              </w:rPr>
              <w:t>-4.5%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 RAPPORT D'ANALYSE FINANCIÈRE — SIBC (Société Ivoirienne de Banque)</w:t>
        <w:br/>
        <w:t>### 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872,50 milliards FCFA, la SIBC figure parmi les valeurs les plus capitalisées de la BRVM, ce qui témoigne de son statut de pilier du secteur bancaire sous-régional. Le BPA de 556 FCFA/action indique le bénéfice net généré par chaque titre détenu, tandis que le PER de 15,7x traduit une valorisation modérée mais supérieure à la moyenne du marché BRVM (généralement 8-12x), les investisseurs acceptant de payer une prime pour la qualité des bénéfices. Le P/B de 4,26x, nettement supérieur à 4x, révèle une forte prime par rapport à la valeur comptable, signe d'une valorisation exigeante qui intègre déjà la rentabilité supérieure de la banque (ROE de 27,16%). Enfin, l'EV/EBITDA de 14,6x, dans la fourchette haute (10-15x), confirme que la valeur d'entreprise rapportée à la capacité opérationnelle est tendue, laissant peu de marge d'erreur aux investisseurs.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SIBC affiche une progression totale de +13,31%, malgré un repli de -1,97% lors de la dernière séance, portant le cours actuel à 8 725 FCFA. Le range de trading s'étend de 7 700 FCFA (plus bas) à 9 500 FCFA (plus haut), soit une amplitude de 23,4% qui traduit une tendance générale haussière mais avec des phases de correction. La moyenne de 8 947 FCFA se situe légèrement au-dessus de la médiane de 8 995 FCFA — un écart marginal qui suggère une distribution quasi-symétrique, bien que le mode à 9 000 FCFA indique que ce niveau a été le plus fréquemment testé. L'écart-type de 285 FCFA avec un coefficient de variation de 3,2% révèle une dispersion relativement contenue du cours autour de sa moyenne, caractéristique d'un titre peu agité. Le kurtosis de 4,649 (leptokurtique) signale des queues épaisses, c'est-à-dire un risque de pics de volatilité brutaux, tandis que le skewness de -1,523 (asymétrie négative) indique que les journées de hausse ont été plus nombreuses mais moins amples que les journées de baisse. La volatilité annualisée de 28,5%, dans la fourchette modérée (15-30%), positionne le titre comme relativement stable pour une valeur bancaire, avec un volume moyen de 11 526 titres/jour assurant une liquidité correcte.</w:t>
      </w:r>
    </w:p>
    <w:p>
      <w:pPr>
        <w:spacing w:after="120" w:line="276" w:lineRule="auto"/>
      </w:pPr>
      <w:r>
        <w:t>---</w:t>
      </w:r>
    </w:p>
    <w:p>
      <w:pPr>
        <w:spacing w:after="120" w:line="276" w:lineRule="auto"/>
      </w:pPr>
      <w:r>
        <w:t>## PARTIE 2 : ANALYSE TECHNIQUE DÉTAILLÉE</w:t>
      </w:r>
    </w:p>
    <w:p>
      <w:pPr>
        <w:spacing w:after="120" w:line="276" w:lineRule="auto"/>
      </w:pPr>
      <w:r>
        <w:t>**Moyennes Mobiles :** La MM20 (8 934,75 FCFA) et la MM50 (9 098,0 FCFA) se situent toutes deux au-dessus du cours actuel (8 725 FCFA), la MM50 étant supérieure à la MM20 — configuration baissière caractéristique. Le cours évoluant sous ses deux moyennes mobiles, la pression vendeuse domine, justifiant la décision **Vente**.</w:t>
      </w:r>
    </w:p>
    <w:p>
      <w:pPr>
        <w:spacing w:after="120" w:line="276" w:lineRule="auto"/>
      </w:pPr>
      <w:r>
        <w:t>**Bandes de Bollinger :** Le cours (8 725 FCFA) se situe dans la moitié inférieure de la bande, entre la borne inférieure (8 531,376 FCFA) et la borne supérieure (9 338,124 FCFA), sans atteindre les extrêmes. Cette position centrale avec un écartement modéré des bornes traduit une volatilité normale sans signal directionnel fort, d'où la décision **Neutre**.</w:t>
      </w:r>
    </w:p>
    <w:p>
      <w:pPr>
        <w:spacing w:after="120" w:line="276" w:lineRule="auto"/>
      </w:pPr>
      <w:r>
        <w:t>**MACD :** La valeur du MACD (-93,733) est inférieure à son signal (-76,741), confirmant une divergence baissière et un momentum négatif. L'histogramme négatif indique que la pression vendeuse persiste, justifiant la décision **Vente**.</w:t>
      </w:r>
    </w:p>
    <w:p>
      <w:pPr>
        <w:spacing w:after="120" w:line="276" w:lineRule="auto"/>
      </w:pPr>
      <w:r>
        <w:t>**RSI :** À 37,443, le RSI se situe dans la zone neutre basse (30-70), sans atteindre la zone de survente (&lt;30). Le titre n'est ni suracheté ni survendu, mais la tendance baissière récente maintient la pression, d'où la décision **Neutre**.</w:t>
      </w:r>
    </w:p>
    <w:p>
      <w:pPr>
        <w:spacing w:after="120" w:line="276" w:lineRule="auto"/>
      </w:pPr>
      <w:r>
        <w:t>**Stochastique :** Le %K (5,435) est très inférieur au %D (23,551), signalant une forte survente avec un potentiel rebond technique. Ce croisement en zone extrême basse suggère une opportunité d'achat contrarian, justifiant la décision **Achat**.</w:t>
      </w:r>
    </w:p>
    <w:p>
      <w:pPr>
        <w:spacing w:after="120" w:line="276" w:lineRule="auto"/>
      </w:pPr>
      <w:r>
        <w:t>**Conclusion technique :** Les indicateurs présentent une divergence notable : les moyennes mobiles et le MACD confirment une tendance baissière de court terme, tandis que le stochastique en survente extrême et le RSI en zone neutre basse suggèrent un possible rebond technique. Les bandes de Bollinger ne donnent pas de signal directionnel clair. Cette configuration mixte plaide pour une prudence à court terme, avec une surveillance du niveau de support à 8 531 FCFA (borne inférieure de Bollinger) qui pourrait servir de point d'entrée si un rebond se confirme.</w:t>
      </w:r>
    </w:p>
    <w:p>
      <w:pPr>
        <w:spacing w:after="120" w:line="276" w:lineRule="auto"/>
      </w:pPr>
      <w:r>
        <w:t>---</w:t>
      </w:r>
    </w:p>
    <w:p>
      <w:pPr>
        <w:spacing w:after="120" w:line="276" w:lineRule="auto"/>
      </w:pPr>
      <w:r>
        <w:t>## PARTIE 3 : ANALYSE FONDAMENTALE</w:t>
      </w:r>
    </w:p>
    <w:p>
      <w:pPr>
        <w:spacing w:after="120" w:line="276" w:lineRule="auto"/>
      </w:pPr>
      <w:r>
        <w:t>Les états financiers de l'exercice 2025 (données structurées officielles) révèlent une banque solide et rentable : le Produit Net Bancaire s'établit à 108,663 milliards FCFA, le résultat net à 55,623 milliards FCFA, avec un ROE exceptionnel de 27,16% (largement supérieur au seuil de 15% considéré comme excellent) et un ROA de 2,96%. Le coefficient d'exploitation de 38,59% — très inférieur au seuil de 60% — témoigne d'une efficacité opérationnelle remarquable, tandis que la marge nette de 51,19% confirme une excellente conversion du PNB en bénéfice. Le bilan affiche des dépôts clientèle de 1 503,441 milliards FCFA face à des créances clientèle de 1 226,720 milliards FCFA, soit un ratio de transformation de 81,6% — sain pour une banque commerciale. Le portefeuille de titres d'État (375,561 milliards FCFA) et la caisse (98,820 milliards FCFA) assurent une liquidité confortable, tandis que le ratio de solvabilité dépasse largement le minimum réglementaire de 11,5%. Les rapports trimestriels récents confirment cette dynamique : le rapport du T1 2026 (publié en 2026) affiche un PNB de 27,7 milliards FCFA (+4%) et un résultat net de 15,2 milliards FCFA (+11%), tandis que le rapport du S1 2026 (analysé le 29/09/2026) montre un PNB de 56,592 milliards FCFA (+4,2%) et un résultat net de 32,140 milliards FCFA (+9,3%), avec un coût du risque quasi nul (287 millions FCFA, -75,3%) et un coefficient d'exploitation de ~55,6%. Sur la base de ces tendances, on estime que l'exercice 2026 devrait clôturer avec un résultat net d'environ 62-65 milliards FCFA (extrapolation du S1 à 32,14 Mds + croissance modérée au S2), confirmant la trajectoire de croissance régulière. Le principal risque identifié est la hausse des charges d'exploitation (+36% au S1 2026) et la baisse des commissions (-6%), qui pourraient comprimer les marges si la tendance se poursuit. La recommandation fondamentale est **CONSERVER avec biais positif** : la solidité financière, la rentabilité exceptionnelle et la croissance à deux chiffres de l'activité justifient une position de long terme, mais l'absence d'information sur la politique de dividende et la valorisation exigeante limitent le potentiel de hausse immédiat.</w:t>
      </w:r>
    </w:p>
    <w:p>
      <w:pPr>
        <w:spacing w:after="120" w:line="276" w:lineRule="auto"/>
      </w:pPr>
      <w:r>
        <w:t>---</w:t>
      </w:r>
    </w:p>
    <w:p>
      <w:pPr>
        <w:spacing w:after="120" w:line="276" w:lineRule="auto"/>
      </w:pPr>
      <w:r>
        <w:t>## PARTIE 4 : CONCLUSION D'INVESTISSEMENT</w:t>
      </w:r>
    </w:p>
    <w:p>
      <w:pPr>
        <w:spacing w:after="120" w:line="276" w:lineRule="auto"/>
      </w:pPr>
      <w:r>
        <w:t>La synthèse des quatre piliers d'analyse révèle un profil contrasté. **Sur le plan de la valorisation (Partie 0)**, le PER de 15,7x et le P/B de 4,26x indiquent une valorisation exigeante, supérieure aux standards du marché BRVM, intégrant déjà la prime de qualité de la banque — le titre n'est donc pas sous-évalué. **Le comportement du cours (Partie 1)** montre une tendance haussière sur 100 jours (+13,31%) mais avec des signes de faiblesse récente (-1,97% en J-1), une volatilité modérée (28,5%) et un kurtosis élevé (4,649) signalant un risque de pics baissiers — les statistiques ne sont ni franchement favorables ni préoccupantes. **Les signaux techniques (Partie 2)** sont divergents : les moyennes mobiles et le MACD confirment une tendance baissière de court terme (décisions Vente), tandis que le stochastique en survente extrême (%K=5,435) suggère un rebond imminent — cette configuration mixte plaide pour une certaine prudence. **Les fondamentaux (Partie 3)** restent le point d'ancrage solide : ROE de 27,16%, coefficient d'exploitation de 38,59%, croissance du résultat net de +9,3% au S1 2026 et coût du risque quasi nul — la banque est intrinsèquement saine et rentable. **Les prédictions IA (J+1 à J+10)** anticipent une poursuite de la correction baissière, avec un cours passant de 8 675 FCFA (19/10) à 8 494 FCFA (23/10), soit une baisse supplémentaire de -2,1% — cette trajectoire confirme les signaux techniques baissiers de court terme mais contredit le potentiel de rebond du stochastique. **Recommandation finale : CONSERVER**, avec un niveau de confiance **Moyen** et un niveau de risque **Moyen**. La convergence entre la valorisation exigeante, les signaux techniques baissiers de court terme et les prédictions IA négatives suggère d'éviter un achat immédiat, mais la solidité fondamentale et la rentabilité exceptionnelle justifient de conserver les positions existantes. **Horizon d'investissement optimal : moyen terme (3-12 mois)**, en attendant la publication des résultats annuels 2026 (prévue début 2027) qui pourrait clarifier la politique de dividende et confirmer la trajectoire de croissance, avec un point d'entrée opportuniste envisageable sous 8 500 FCFA si la correction se matérialise.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"La SIB affiche une croissance solide de ses r\u00e9sultats et une solidit\u00e9 financi\u00e8re confirm\u00e9e, avec un ratio de solvabilit\u00e9 confortable. Toutefois, l'absence d'information sur le dividende et la valorisation limite le potentiel d'achat \u00e0 court terme."}</w:t>
      </w:r>
    </w:p>
    <w:p>
      <w:pPr>
        <w:spacing w:before="40"/>
        <w:ind w:left="400"/>
      </w:pPr>
      <w:r>
        <w:rPr>
          <w:sz w:val="18"/>
        </w:rPr>
        <w:t>La Société Ivoirienne de Banque (SIB) a réalisé une performance solide au premier semestre 2026, avec un Produit Net Bancaire de 56,6 milliards FCFA en hausse de 4% et un Résultat Net de 32,1 milliards FCFA en progression de 9%. La dynamique commerciale est confirmée par une croissance de 12% des crédits à la clientèle (1 169 milliards FCFA) et des dépôts (1 581 milliards FCFA). La banque maintient une solidité financière avec un ratio de solvabilité bien supérieur au minimum réglementaire de 11,5%. Ces résultats ont été salués par une double distinction internationale aux International Banker Awards 2026. Pour le second semestre, la SIB entend poursuivre son plan stratégique en accélérant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'1 581 milliards FCFA', 'credits_clientele': '1 169 milliards FCFA', 'ratio_solvabilite': '&gt; 11,5%', 'produit_net_bancaire': '56,6 milliards FCFA', 'resultat_brut_exploitation': '36,6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1 968 296 millions FCFA</w:t>
            </w:r>
          </w:p>
        </w:tc>
      </w:tr>
      <w:tr>
        <w:tc>
          <w:tcPr>
            <w:tcW w:type="dxa" w:w="2160"/>
          </w:tcPr>
          <w:p>
            <w:r/>
            <w:r>
              <w:rPr>
                <w:b/>
                <w:sz w:val="16"/>
              </w:rPr>
              <w:t>resultat_net</w:t>
              <w:br/>
            </w:r>
            <w:r>
              <w:rPr>
                <w:sz w:val="18"/>
              </w:rPr>
              <w:t>32,1 milliards FCFA</w:t>
            </w:r>
          </w:p>
        </w:tc>
        <w:tc>
          <w:tcPr>
            <w:tcW w:type="dxa" w:w="2160"/>
          </w:tcPr>
          <w:p>
            <w:r/>
            <w:r>
              <w:rPr>
                <w:b/>
                <w:sz w:val="16"/>
              </w:rPr>
              <w:t>capitaux_propres</w:t>
              <w:br/>
            </w:r>
            <w:r>
              <w:rPr>
                <w:sz w:val="18"/>
              </w:rPr>
              <w:t>204 764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4% à 56,6 milliards FCFA</w:t>
      </w:r>
    </w:p>
    <w:p>
      <w:pPr>
        <w:pStyle w:val="ListBullet"/>
        <w:spacing w:before="20" w:after="20"/>
        <w:ind w:left="700"/>
      </w:pPr>
      <w:r>
        <w:rPr>
          <w:sz w:val="18"/>
        </w:rPr>
        <w:t>Résultat Net en progression de 9% à 32,1 milliards FCFA</w:t>
      </w:r>
    </w:p>
    <w:p>
      <w:pPr>
        <w:pStyle w:val="ListBullet"/>
        <w:spacing w:before="20" w:after="20"/>
        <w:ind w:left="700"/>
      </w:pPr>
      <w:r>
        <w:rPr>
          <w:sz w:val="18"/>
        </w:rPr>
        <w:t>Crédits à la clientèle en croissance de 12% à 1 169 milliards FCFA</w:t>
      </w:r>
    </w:p>
    <w:p>
      <w:pPr>
        <w:pStyle w:val="ListBullet"/>
        <w:spacing w:before="20" w:after="20"/>
        <w:ind w:left="700"/>
      </w:pPr>
      <w:r>
        <w:rPr>
          <w:sz w:val="18"/>
        </w:rPr>
        <w:t>Dépôts de la clientèle en hausse de 12% à 1 581 milliards FCFA</w:t>
      </w:r>
    </w:p>
    <w:p>
      <w:pPr>
        <w:pStyle w:val="ListBullet"/>
        <w:spacing w:before="20" w:after="20"/>
        <w:ind w:left="700"/>
      </w:pPr>
      <w:r>
        <w:rPr>
          <w:sz w:val="18"/>
        </w:rPr>
        <w:t>Résultat Brut d'Exploitation en augmentation de 6% à 36,6 milliards FCFA</w:t>
      </w:r>
    </w:p>
    <w:p>
      <w:pPr>
        <w:pStyle w:val="ListBullet"/>
        <w:spacing w:before="20" w:after="20"/>
        <w:ind w:left="700"/>
      </w:pPr>
      <w:r>
        <w:rPr>
          <w:sz w:val="18"/>
        </w:rPr>
        <w:t>Ratio de solvabilité largement supérieur au seuil réglementaire de 11,5%</w:t>
      </w:r>
    </w:p>
    <w:p>
      <w:pPr>
        <w:spacing w:before="40"/>
        <w:ind w:left="400"/>
      </w:pPr>
      <w:r>
        <w:rPr>
          <w:b/>
          <w:color w:val="C05000"/>
          <w:sz w:val="18"/>
        </w:rPr>
        <w:t xml:space="preserve">⚠️ Risques : </w:t>
      </w:r>
      <w:r>
        <w:rPr>
          <w:sz w:val="18"/>
        </w:rPr>
        <w:t>["Concurrence bancaire accrue dans un environnement de march\u00e9 exigeant", "Renforcement des standards r\u00e9glementaires pouvant impacter les co\u00fbts de conformit\u00e9", "Exposition \u00e0 des chocs exog\u00e8nes majeurs dans un environnement r\u00e9gional incertain"]</w:t>
      </w:r>
    </w:p>
    <w:p>
      <w:pPr>
        <w:spacing w:before="40"/>
        <w:ind w:left="400"/>
      </w:pPr>
      <w:r>
        <w:rPr>
          <w:b/>
          <w:color w:val="0064A0"/>
          <w:sz w:val="18"/>
        </w:rPr>
        <w:t xml:space="preserve">🔮 Perspectives : </w:t>
      </w:r>
      <w:r>
        <w:rPr>
          <w:sz w:val="18"/>
        </w:rPr>
        <w:t xml:space="preserve">Pour le second semestre 2026, la SIB poursuivra l'exécution de son plan stratégique en accélérant la modernisation de ses services et en renforçant ses standards de gouvernance. La banque bénéficie d'un environnement régional globalement porteur, sous réserve de l'absence de chocs exogènes majeurs.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
      <w:r>
        <w:t>════════════════════════════════════════════════════════════════════════════════</w:t>
      </w:r>
    </w:p>
    <w:p>
      <w:r>
        <w:br w:type="page"/>
      </w:r>
    </w:p>
    <w:p>
      <w:pPr>
        <w:pStyle w:val="Heading2"/>
        <w:spacing w:before="360"/>
      </w:pPr>
      <w:r>
        <w:rPr>
          <w:color w:val="0066CC"/>
        </w:rPr>
        <w:t>36.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5.04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120 titres</w:t>
            </w:r>
          </w:p>
        </w:tc>
        <w:tc>
          <w:tcPr>
            <w:tcW w:type="dxa" w:w="2268"/>
            <w:shd w:fill="FFF2CC" w:val="clear"/>
          </w:tcPr>
          <w:p>
            <w:r>
              <w:rPr>
                <w:b/>
                <w:color w:val="503200"/>
                <w:sz w:val="16"/>
              </w:rPr>
              <w:t xml:space="preserve">Cours actuel : </w:t>
            </w:r>
            <w:r>
              <w:rPr>
                <w:color w:val="000000"/>
                <w:sz w:val="17"/>
              </w:rPr>
              <w:t>N/D</w:t>
            </w:r>
          </w:p>
          <w:p>
            <w:r>
              <w:rPr>
                <w:b/>
                <w:color w:val="503200"/>
                <w:sz w:val="16"/>
              </w:rPr>
              <w:t xml:space="preserve">Var. 100 jours : </w:t>
            </w:r>
            <w:r>
              <w:rPr>
                <w:b/>
                <w:color w:val="007800"/>
                <w:sz w:val="17"/>
              </w:rPr>
              <w:t>+95.35%</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3,985 FCFA</w:t>
            </w:r>
          </w:p>
          <w:p>
            <w:r>
              <w:rPr>
                <w:b/>
                <w:color w:val="503200"/>
                <w:sz w:val="16"/>
              </w:rPr>
              <w:t xml:space="preserve">Volatilité ann. : </w:t>
            </w:r>
            <w:r>
              <w:rPr>
                <w:color w:val="000000"/>
                <w:sz w:val="17"/>
              </w:rPr>
              <w:t>58.2%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34.2/100 → Moyen</w:t>
      </w:r>
    </w:p>
    <w:p>
      <w:pPr>
        <w:spacing w:before="40" w:after="80"/>
      </w:pPr>
      <w:r>
        <w:rPr>
          <w:rFonts w:ascii="Courier New" w:hAnsi="Courier New"/>
          <w:color w:val="825A00"/>
          <w:sz w:val="18"/>
        </w:rPr>
        <w:t>██████░░░░░░░░░░░░░░  34.2/100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31.02% (Élevée) — μ=5,815 FCFA, σ=1,804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β=-1.1839 (Contre-cyclique) — Cov=-0.000047, Var(idx)=0.000040, ρ=-0.193, n=78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120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C6EFCE" w:val="clear"/>
          </w:tcPr>
          <w:p>
            <w:r>
              <w:rPr>
                <w:b/>
                <w:sz w:val="15"/>
              </w:rPr>
              <w:t>Achat=0 / Vente=0 / Total=0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σ_j=3.67%/j (Modérée) — Vol. annualisée≈58.2%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A07800"/>
          <w:sz w:val="18"/>
        </w:rPr>
        <w:t xml:space="preserve">🟡 MM  </w:t>
      </w:r>
      <w:r>
        <w:rPr>
          <w:color w:val="A07800"/>
          <w:sz w:val="18"/>
        </w:rPr>
        <w:t xml:space="preserve">🟡 Bollinger  </w:t>
      </w:r>
      <w:r>
        <w:rPr>
          <w:color w:val="A078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52/100  (Moyen)</w:t>
      </w:r>
    </w:p>
    <w:p/>
    <w:p>
      <w:pPr>
        <w:jc w:val="center"/>
      </w:pPr>
      <w:r>
        <w:drawing>
          <wp:inline xmlns:a="http://schemas.openxmlformats.org/drawingml/2006/main" xmlns:pic="http://schemas.openxmlformats.org/drawingml/2006/picture">
            <wp:extent cx="5669280" cy="2598627"/>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598627"/>
                    </a:xfrm>
                    <a:prstGeom prst="rect"/>
                  </pic:spPr>
                </pic:pic>
              </a:graphicData>
            </a:graphic>
          </wp:inline>
        </w:drawing>
      </w:r>
    </w:p>
    <w:p/>
    <w:p>
      <w:pPr>
        <w:spacing w:after="120" w:line="276" w:lineRule="auto"/>
      </w:pPr>
      <w:r>
        <w:t># RAPPORT D'ANALYSE FINANCIÈRE — SICOR (SICC)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SICOR s'établit à **5,04 milliards FCFA**, un niveau modeste à l'échelle de la BRVM qui la classe parmi les petites capitalisations du compartiment agro-industriel, avec une liquidité structurellement faible (120 titres échangés en moyenne par jour). Les ratios de valorisation classiques (BPA, PER, P/B, EV/EBITDA) ne sont pas calculables en l'état : les données financières structurées de la base BRVM sont manquantes pour cet émetteur, et les états financiers disponibles les plus récents (exercice 2023, résultat net de +19,25 M FCFA) sont trop anciens pour être croisés de manière fiable avec le cours actuel de 8 400 FCFA. À titre indicatif, si l'on rapportait le résultat net 2023 (+19,25 M FCFA) au nombre d'actions implicite (capital social de 1,5 Md FCFA), le BPA resterait très faible et le PER implicite très élevé — signe que le marché valorise aujourd'hui davantage un **potentiel de redressement** qu'une rentabilité présente. L'investisseur doit donc considérer que la valorisation boursière de SICOR n'est pas ancrée sur des fondamentaux actuels solides, mais sur des anticipations spéculatives.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SICOR affiche une performance spectaculaire de **+95,35%**, portant le cours à **8 400 FCFA**, malgré un repli de **-1,12%** lors de la dernière séance. Le range de trading est très large, du plus bas à **3 985 FCFA** au plus haut à **10 200 FCFA**, soit un écart de plus de 150% entre les extrêmes — signature d'un titre en forte tendance haussière mais sujet à des corrections violentes. Les statistiques descriptives confirment cette asymétrie : la moyenne (**5 815 FCFA**) est nettement supérieure à la médiane (**5 022 FCFA**), et le mode se situe à **4 380 FCFA**, indiquant que le cours a passé davantage de séances dans la partie basse de sa distribution avant une accélération récente vers les sommets. Le skewness positif (**0,913**) traduit effectivement une prépondérance de journées sous la moyenne, avec quelques séances de forte hausse tirant la distribution vers le haut. L'écart-type de **1 813 FCFA** (CV = **31,2%**) révèle une dispersion élevée, cohérente avec une volatilité annualisée de **58,2%** — le titre se situe donc dans la catégorie **volatilité élevée** (&gt;30%), ce qui implique un risque de correction significatif. Le kurtosis de **-0,630** (mésokurtique) suggère l'absence de pics extrêmes fréquents, mais la combinaison skewness positif + volatilité élevée appelle à la prudence : le titre a déjà intégré une large part de son potentiel haussier.</w:t>
      </w:r>
    </w:p>
    <w:p>
      <w:pPr>
        <w:spacing w:after="120" w:line="276" w:lineRule="auto"/>
      </w:pPr>
      <w:r>
        <w:t>---</w:t>
      </w:r>
    </w:p>
    <w:p>
      <w:pPr>
        <w:spacing w:after="120" w:line="276" w:lineRule="auto"/>
      </w:pPr>
      <w:r>
        <w:t>## PARTIE 2 : ANALYSE TECHNIQUE DÉTAILLÉE</w:t>
      </w:r>
    </w:p>
    <w:p>
      <w:pPr>
        <w:spacing w:after="120" w:line="276" w:lineRule="auto"/>
      </w:pPr>
      <w:r>
        <w:t>**Moyennes Mobiles** : Les MM20 et MM50 ne sont pas calculables (valeurs NaN), ce qui empêche toute lecture de la position relative du cours par rapport à ses tendances de court et moyen terme. En l'absence de ces repères, la décision technique reste indéterminée et l'analyste doit s'appuyer sur les autres indicateurs ou sur la lecture directe du range de trading.</w:t>
      </w:r>
    </w:p>
    <w:p>
      <w:pPr>
        <w:spacing w:after="120" w:line="276" w:lineRule="auto"/>
      </w:pPr>
      <w:r>
        <w:t>**Bandes de Bollinger** : Les bornes supérieure et inférieure sont indisponibles (NaN), rendant impossible l'évaluation de la position du cours par rapport à sa volatilité normale. Compte tenu de la volatilité annualisée de 58,2%, on peut néanmoins inférer que les bandes seraient très larges, ce qui limiterait leur pouvoir signalétique.</w:t>
      </w:r>
    </w:p>
    <w:p>
      <w:pPr>
        <w:spacing w:after="120" w:line="276" w:lineRule="auto"/>
      </w:pPr>
      <w:r>
        <w:t>**MACD** : La valeur du MACD et sa ligne de signal sont manquantes (NaN), empêchant l'analyse de la divergence et du momentum. La décision reste donc neutre par défaut, sans confirmation d'un croisement haussier ou baissier.</w:t>
      </w:r>
    </w:p>
    <w:p>
      <w:pPr>
        <w:spacing w:after="120" w:line="276" w:lineRule="auto"/>
      </w:pPr>
      <w:r>
        <w:t>**RSI** : Le RSI n'est pas disponible (NaN), ce qui prive l'analyste d'un indicateur clé pour détecter une éventuelle situation de surachat (&gt;70) après la hausse de +95% sur 100 jours. Compte tenu de l'ampleur du mouvement, un RSI élevé serait hautement probable, suggérant un risque de consolidation.</w:t>
      </w:r>
    </w:p>
    <w:p>
      <w:pPr>
        <w:spacing w:after="120" w:line="276" w:lineRule="auto"/>
      </w:pPr>
      <w:r>
        <w:t>**Stochastique** : Les %K et %D sont indisponibles (NaN), rendant impossible l'identification d'un croisement ou d'une zone de survente/surachat. La décision reste non concluante.</w:t>
      </w:r>
    </w:p>
    <w:p>
      <w:pPr>
        <w:spacing w:after="120" w:line="276" w:lineRule="auto"/>
      </w:pPr>
      <w:r>
        <w:t>**Conclusion technique** : L'ensemble des indicateurs techniques étant indisponibles (NaN), aucune convergence ou divergence ne peut être formellement établie. Toutefois, la lecture des statistiques de cours (variation de +95% en 100 jours, cours proche du plus haut historique de 10 200 FCFA, volatilité de 58,2%) suggère un **risque élevé de correction technique** après un rallye aussi vertical. L'absence de confirmation par les oscillateurs (RSI, Stochastique) et les moyennes mobiles constitue un angle mort majeur qui doit inciter à la prudence.</w:t>
      </w:r>
    </w:p>
    <w:p>
      <w:pPr>
        <w:spacing w:after="120" w:line="276" w:lineRule="auto"/>
      </w:pPr>
      <w:r>
        <w:t>---</w:t>
      </w:r>
    </w:p>
    <w:p>
      <w:pPr>
        <w:spacing w:after="120" w:line="276" w:lineRule="auto"/>
      </w:pPr>
      <w:r>
        <w:t>## PARTIE 3 : ANALYSE FONDAMENTALE (SECTION CRITIQUE)</w:t>
      </w:r>
    </w:p>
    <w:p>
      <w:pPr>
        <w:spacing w:after="120" w:line="276" w:lineRule="auto"/>
      </w:pPr>
      <w:r>
        <w:t>Les états financiers officiels les plus récents disponibles pour SICOR (Société Ivoirienne de Coco Râpé) remontent à l'**exercice 2023** (rapport analysé le 15/03/2026) : le chiffre d'affaires s'est établi à **701,09 millions FCFA**, en chute de **38,4%** par rapport aux **1 138,17 millions FCFA** de 2022, tandis que le résultat net est revenu à **+19,25 millions FCFA** (marge nette de **2,75%**), après une perte de **-39,95 millions FCFA** en 2022 (marge de -3,51%). Cette amélioration, bien que fragile, marque un retour à la profitabilité après deux exercices déficitaires, portée par une réduction drastique des charges (-43,68%) et un transfert de 50% du personnel vers la filiale SIPAL. L'évolution historique sur cinq ans (rapports 2022 et 2023) montre une grande instabilité : résultat net de **+989,4 M FCFA en 2018**, **+2,35 M en 2019**, **+109,8 M en 2020**, **+119,2 M en 2021**, **-39,9 M en 2022**, puis **+19,25 M en 2023** — soit une volatilité extrême des résultats, caractéristique d'une entreprise dépendante des cours mondiaux du coprah et de la noix de coco. Les **pertes cumulées** atteignent **689,86 millions FCFA** à fin 2023, ce qui, conformément à l'Acte Uniforme OHADA, **interdit toute distribution de dividende** avant apurement complet — la SICOR n'a d'ailleurs versé aucun dividende depuis 2017 (dernier DPA de 50 FCFA). Les risques opérationnels restent élevés : vols de noix de coco sur les sites de Boulay et Gliké (arrêt du site de Boulay en 2023), découverts bancaires multipliés par 14 (+1 319%), et dépendance à l'actionnaire majoritaire DEVACO (70,44%) et au compte courant de Hussein Sayegh. **En synthèse, la situation fondamentale demeure fragile** : la rentabilité 2023 est marginale (ROE implicite très faible sur des capitaux propres probablement encore négatifs ou proches de zéro), la trésorerie est tendue, et la reprise dépend de la maîtrise des coûts et de la sécurisation des approvisionnements. La recommandation fondamentale est **CONSERVER avec vigilance**, sans enthousiasme, en attendant la publication des comptes 2024 (AG convoquée le 22 mai 2026 pour approbation).</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une **divergence majeure** entre le comportement boursier et les fondamentaux. Sur le plan de la **valorisation (Partie 0)**, les ratios sont indisponibles mais la capitalisation de 5,04 Mds FCFA pour un résultat net 2023 de seulement 19,25 M FCFA implique un PER implicite très élevé (&gt;250x), signalant une **surévaluation manifeste** au regard des bénéfices actuels. Le **comportement du cours (Partie 1)** est spectaculaire (+95,35% en 100 jours) mais préoccupant : volatilité de 58,2%, skewness positif et cours proche du plus haut de 10 200 FCFA suggèrent un rallye spéculatif vulnérable à une correction. Les **signaux techniques (Partie 2)** sont tous indisponibles (NaN), ce qui prive l'analyste de toute confirmation ou infirmation de la tendance — un angle mort qui renforce la prudence. Les **fondamentaux (Partie 3)** demeurent fragiles : CA 2023 en chute de 38,4%, marge nette de 2,75%, pertes cumulées de 689,86 M FCFA, aucun dividende depuis 2017, trésorerie tendue — la rentabilité retrouvée est marginale et non pérenne. Les **prédictions IA** ne sont pas disponibles, ce qui empêche toute validation algorithmique de la trajectoire. **En conséquence, la recommandation finale est CONSERVER (avec vigilance accrue)**, voire **VENTE PARTIELLE** pour les investisseurs ayant réalisé des plus-values latentes importantes après le rallye de +95%. La convergence entre surévaluation boursière, fondamentaux fragiles et absence de confirmation technique plaide contre un achat à 8 400 FCFA. Le **niveau de confiance est Moyen** (données techniques manquantes), le **niveau de risque global est Élevé** (volatilité 58,2%, liquidité faible, fondamentaux instables), et l'**horizon d'investissement optimal est le moyen terme (3-12 mois)**, en attendant la publication des comptes 2024 et la clarification de la trajectoire bénéficiaire. Un point d'entrée plus attractif se situerait vers 5 000-6 000 FCFA (zone de la médiane statistique), offrant une meilleure marge de sécurité.</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"vendre", "justification": "La soci\u00e9t\u00e9 affiche une perte nette importante et des capitaux propres n\u00e9gatifs, avec une tr\u00e9sorerie n\u00e9gative. La situation financi\u00e8re est tr\u00e8s d\u00e9grad\u00e9e et pr\u00e9sente un risque \u00e9lev\u00e9 pour les investisseurs."}</w:t>
      </w:r>
    </w:p>
    <w:p>
      <w:pPr>
        <w:spacing w:before="40"/>
        <w:ind w:left="400"/>
      </w:pPr>
      <w:r>
        <w:rPr>
          <w:sz w:val="18"/>
        </w:rPr>
        <w:t>SICOR a réalisé un chiffre d'affaires de 1 936 644 069 FCFA en 2016, en hausse par rapport à 1 753 708 684 FCFA en 2015. Malgré cette croissance, la société a enregistré une perte nette de 348 996 972 FCFA en 2016, contre un bénéfice de 200 831 393 FCFA en 2015. La situation financière s'est dégradée avec des capitaux propres négatifs de -2 324 836 575 FCFA et un total bilan de 1 521 953 318 FCFA. La trésorerie est négative à -182 935 385 FCFA, et la capacité d'autofinancement est négative à -216 841 179 FCFA. Les commissaires aux comptes ont certifié les comptes, mais la société fait face à des difficultés financières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'-216 841 179 FCFA', 'tresorerie_actif': '-182 935 385 FCFA', 'resultat_financier': '-35 460 457 FCFA', 'resultat_exploitation': '-198 429 842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-18,02%</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-348 996 972 FCFA</w:t>
            </w:r>
          </w:p>
        </w:tc>
        <w:tc>
          <w:tcPr>
            <w:tcW w:type="dxa" w:w="2160"/>
          </w:tcPr>
          <w:p>
            <w:r/>
            <w:r>
              <w:rPr>
                <w:b/>
                <w:sz w:val="16"/>
              </w:rPr>
              <w:t>capitaux_propres</w:t>
              <w:br/>
            </w:r>
            <w:r>
              <w:rPr>
                <w:sz w:val="18"/>
              </w:rPr>
              <w:t>-2 324 836 575 FCFA</w:t>
            </w:r>
          </w:p>
        </w:tc>
        <w:tc>
          <w:tcPr>
            <w:tcW w:type="dxa" w:w="2160"/>
          </w:tcPr>
          <w:p>
            <w:r/>
            <w:r>
              <w:rPr>
                <w:b/>
                <w:sz w:val="16"/>
              </w:rPr>
              <w:t>chiffre_affaires</w:t>
              <w:br/>
            </w:r>
            <w:r>
              <w:rPr>
                <w:sz w:val="18"/>
              </w:rPr>
              <w:t>1 936 644 069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1 936 644 069 FCFA en 2016.</w:t>
      </w:r>
    </w:p>
    <w:p>
      <w:pPr>
        <w:pStyle w:val="ListBullet"/>
        <w:spacing w:before="20" w:after="20"/>
        <w:ind w:left="700"/>
      </w:pPr>
      <w:r>
        <w:rPr>
          <w:sz w:val="18"/>
        </w:rPr>
        <w:t>Résultat net négatif de -348 996 972 FCFA contre un bénéfice de 200 831 393 FCFA en 2015.</w:t>
      </w:r>
    </w:p>
    <w:p>
      <w:pPr>
        <w:pStyle w:val="ListBullet"/>
        <w:spacing w:before="20" w:after="20"/>
        <w:ind w:left="700"/>
      </w:pPr>
      <w:r>
        <w:rPr>
          <w:sz w:val="18"/>
        </w:rPr>
        <w:t>Capitaux propres négatifs de -2 324 836 575 FCFA.</w:t>
      </w:r>
    </w:p>
    <w:p>
      <w:pPr>
        <w:pStyle w:val="ListBullet"/>
        <w:spacing w:before="20" w:after="20"/>
        <w:ind w:left="700"/>
      </w:pPr>
      <w:r>
        <w:rPr>
          <w:sz w:val="18"/>
        </w:rPr>
        <w:t>Total bilan de 1 521 953 318 FCFA en 2016 contre 3 576 424 374 FCFA en 2015.</w:t>
      </w:r>
    </w:p>
    <w:p>
      <w:pPr>
        <w:pStyle w:val="ListBullet"/>
        <w:spacing w:before="20" w:after="20"/>
        <w:ind w:left="700"/>
      </w:pPr>
      <w:r>
        <w:rPr>
          <w:sz w:val="18"/>
        </w:rPr>
        <w:t>Trésorerie négative de -182 935 385 FCFA.</w:t>
      </w:r>
    </w:p>
    <w:p>
      <w:pPr>
        <w:pStyle w:val="ListBullet"/>
        <w:spacing w:before="20" w:after="20"/>
        <w:ind w:left="700"/>
      </w:pPr>
      <w:r>
        <w:rPr>
          <w:sz w:val="18"/>
        </w:rPr>
        <w:t>Capacité d'autofinancement négative de -216 841 179 FCFA.</w:t>
      </w:r>
    </w:p>
    <w:p>
      <w:pPr>
        <w:spacing w:before="40"/>
        <w:ind w:left="400"/>
      </w:pPr>
      <w:r>
        <w:rPr>
          <w:b/>
          <w:color w:val="C05000"/>
          <w:sz w:val="18"/>
        </w:rPr>
        <w:t xml:space="preserve">⚠️ Risques : </w:t>
      </w:r>
      <w:r>
        <w:rPr>
          <w:sz w:val="18"/>
        </w:rPr>
        <w:t>["Risque de faillite ou de liquidation en raison de capitaux propres n\u00e9gatifs.", "Risque de liquidit\u00e9 avec une tr\u00e9sorerie n\u00e9gative et une capacit\u00e9 d'autofinancement n\u00e9gative.", "Risque op\u00e9rationnel avec une perte nette malgr\u00e9 la croissance du chiffre d'affaire</w:t>
      </w:r>
    </w:p>
    <w:p>
      <w:pPr>
        <w:spacing w:before="40"/>
        <w:ind w:left="400"/>
      </w:pPr>
      <w:r>
        <w:rPr>
          <w:b/>
          <w:color w:val="0064A0"/>
          <w:sz w:val="18"/>
        </w:rPr>
        <w:t xml:space="preserve">🔮 Perspectives : </w:t>
      </w:r>
      <w:r>
        <w:rPr>
          <w:sz w:val="18"/>
        </w:rPr>
        <w:t>Les perspectives pour 2017 sont incertaines. La société doit restaurer sa rentabilité et sa structure financière pour éviter la cessation de paiement. Une recapitalisation ou une restructuration pourrait être nécessaire.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
      <w:r>
        <w:t>════════════════════════════════════════════════════════════════════════════════</w:t>
      </w:r>
    </w:p>
    <w:p>
      <w:r>
        <w:br w:type="page"/>
      </w:r>
    </w:p>
    <w:p>
      <w:pPr>
        <w:pStyle w:val="Heading2"/>
        <w:spacing w:before="360"/>
      </w:pPr>
      <w:r>
        <w:rPr>
          <w:color w:val="0066CC"/>
        </w:rPr>
        <w:t>37.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15.63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5,345 titres</w:t>
            </w:r>
          </w:p>
        </w:tc>
        <w:tc>
          <w:tcPr>
            <w:tcW w:type="dxa" w:w="2268"/>
            <w:shd w:fill="FFF2CC" w:val="clear"/>
          </w:tcPr>
          <w:p>
            <w:r>
              <w:rPr>
                <w:b/>
                <w:color w:val="503200"/>
                <w:sz w:val="16"/>
              </w:rPr>
              <w:t xml:space="preserve">Cours actuel : </w:t>
            </w:r>
            <w:r>
              <w:rPr>
                <w:color w:val="000000"/>
                <w:sz w:val="17"/>
              </w:rPr>
              <w:t>1,790 FCFA</w:t>
            </w:r>
          </w:p>
          <w:p>
            <w:r>
              <w:rPr>
                <w:b/>
                <w:color w:val="503200"/>
                <w:sz w:val="16"/>
              </w:rPr>
              <w:t xml:space="preserve">Var. 100 jours : </w:t>
            </w:r>
            <w:r>
              <w:rPr>
                <w:b/>
                <w:color w:val="B40000"/>
                <w:sz w:val="17"/>
              </w:rPr>
              <w:t>-37.74%</w:t>
            </w:r>
          </w:p>
          <w:p>
            <w:r>
              <w:rPr>
                <w:b/>
                <w:color w:val="503200"/>
                <w:sz w:val="16"/>
              </w:rPr>
              <w:t xml:space="preserve">Plus haut 100j : </w:t>
            </w:r>
            <w:r>
              <w:rPr>
                <w:color w:val="000000"/>
                <w:sz w:val="17"/>
              </w:rPr>
              <w:t>2,875 FCFA</w:t>
            </w:r>
          </w:p>
          <w:p>
            <w:r>
              <w:rPr>
                <w:b/>
                <w:color w:val="503200"/>
                <w:sz w:val="16"/>
              </w:rPr>
              <w:t xml:space="preserve">Plus bas 100j : </w:t>
            </w:r>
            <w:r>
              <w:rPr>
                <w:color w:val="000000"/>
                <w:sz w:val="17"/>
              </w:rPr>
              <w:t>1,790 FCFA</w:t>
            </w:r>
          </w:p>
          <w:p>
            <w:r>
              <w:rPr>
                <w:b/>
                <w:color w:val="503200"/>
                <w:sz w:val="16"/>
              </w:rPr>
              <w:t xml:space="preserve">Volatilité ann. : </w:t>
            </w:r>
            <w:r>
              <w:rPr>
                <w:color w:val="000000"/>
                <w:sz w:val="17"/>
              </w:rPr>
              <w:t>54.3%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12.30% (Moyenne) — μ=2,347 FCFA, σ=289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β=0.5304 (Défensif) — Cov=0.000040, Var(idx)=0.000076, ρ=0.134,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5,345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σ_j=3.42%/j (Modérée) — Vol. annualisée≈54.3%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2026-10-19</w:t>
            </w:r>
          </w:p>
        </w:tc>
        <w:tc>
          <w:tcPr>
            <w:tcW w:type="dxa" w:w="1440"/>
            <w:shd w:fill="C6EFCE" w:val="clear"/>
          </w:tcPr>
          <w:p>
            <w:r>
              <w:rPr>
                <w:sz w:val="17"/>
              </w:rPr>
              <w:t>1,757</w:t>
            </w:r>
          </w:p>
        </w:tc>
        <w:tc>
          <w:tcPr>
            <w:tcW w:type="dxa" w:w="1440"/>
            <w:shd w:fill="C6EFCE" w:val="clear"/>
          </w:tcPr>
          <w:p>
            <w:r>
              <w:rPr>
                <w:b/>
                <w:sz w:val="17"/>
              </w:rPr>
              <w:t>1,849</w:t>
            </w:r>
          </w:p>
        </w:tc>
        <w:tc>
          <w:tcPr>
            <w:tcW w:type="dxa" w:w="1440"/>
            <w:shd w:fill="C6EFCE" w:val="clear"/>
          </w:tcPr>
          <w:p>
            <w:r>
              <w:rPr>
                <w:sz w:val="17"/>
              </w:rPr>
              <w:t>1,941</w:t>
            </w:r>
          </w:p>
        </w:tc>
        <w:tc>
          <w:tcPr>
            <w:tcW w:type="dxa" w:w="1440"/>
            <w:shd w:fill="C6EFCE" w:val="clear"/>
          </w:tcPr>
          <w:p>
            <w:r>
              <w:rPr>
                <w:b/>
                <w:color w:val="008000"/>
                <w:sz w:val="17"/>
              </w:rPr>
              <w:t>+3.3%</w:t>
            </w:r>
          </w:p>
        </w:tc>
      </w:tr>
      <w:tr>
        <w:tc>
          <w:tcPr>
            <w:tcW w:type="dxa" w:w="1440"/>
            <w:shd w:fill="C6EFCE" w:val="clear"/>
          </w:tcPr>
          <w:p>
            <w:r>
              <w:rPr>
                <w:sz w:val="17"/>
              </w:rPr>
              <w:t>J+2  ⭐</w:t>
            </w:r>
          </w:p>
        </w:tc>
        <w:tc>
          <w:tcPr>
            <w:tcW w:type="dxa" w:w="1440"/>
            <w:shd w:fill="C6EFCE" w:val="clear"/>
          </w:tcPr>
          <w:p>
            <w:r>
              <w:rPr>
                <w:sz w:val="17"/>
              </w:rPr>
              <w:t>2026-10-20</w:t>
            </w:r>
          </w:p>
        </w:tc>
        <w:tc>
          <w:tcPr>
            <w:tcW w:type="dxa" w:w="1440"/>
            <w:shd w:fill="C6EFCE" w:val="clear"/>
          </w:tcPr>
          <w:p>
            <w:r>
              <w:rPr>
                <w:sz w:val="17"/>
              </w:rPr>
              <w:t>1,714</w:t>
            </w:r>
          </w:p>
        </w:tc>
        <w:tc>
          <w:tcPr>
            <w:tcW w:type="dxa" w:w="1440"/>
            <w:shd w:fill="C6EFCE" w:val="clear"/>
          </w:tcPr>
          <w:p>
            <w:r>
              <w:rPr>
                <w:b/>
                <w:sz w:val="17"/>
              </w:rPr>
              <w:t>1,844</w:t>
            </w:r>
          </w:p>
        </w:tc>
        <w:tc>
          <w:tcPr>
            <w:tcW w:type="dxa" w:w="1440"/>
            <w:shd w:fill="C6EFCE" w:val="clear"/>
          </w:tcPr>
          <w:p>
            <w:r>
              <w:rPr>
                <w:sz w:val="17"/>
              </w:rPr>
              <w:t>1,975</w:t>
            </w:r>
          </w:p>
        </w:tc>
        <w:tc>
          <w:tcPr>
            <w:tcW w:type="dxa" w:w="1440"/>
            <w:shd w:fill="C6EFCE" w:val="clear"/>
          </w:tcPr>
          <w:p>
            <w:r>
              <w:rPr>
                <w:b/>
                <w:color w:val="008000"/>
                <w:sz w:val="17"/>
              </w:rPr>
              <w:t>+3.0%</w:t>
            </w:r>
          </w:p>
        </w:tc>
      </w:tr>
      <w:tr>
        <w:tc>
          <w:tcPr>
            <w:tcW w:type="dxa" w:w="1440"/>
            <w:shd w:fill="C6EFCE" w:val="clear"/>
          </w:tcPr>
          <w:p>
            <w:r>
              <w:rPr>
                <w:sz w:val="17"/>
              </w:rPr>
              <w:t>J+3  ⭐</w:t>
            </w:r>
          </w:p>
        </w:tc>
        <w:tc>
          <w:tcPr>
            <w:tcW w:type="dxa" w:w="1440"/>
            <w:shd w:fill="C6EFCE" w:val="clear"/>
          </w:tcPr>
          <w:p>
            <w:r>
              <w:rPr>
                <w:sz w:val="17"/>
              </w:rPr>
              <w:t>2026-10-21</w:t>
            </w:r>
          </w:p>
        </w:tc>
        <w:tc>
          <w:tcPr>
            <w:tcW w:type="dxa" w:w="1440"/>
            <w:shd w:fill="C6EFCE" w:val="clear"/>
          </w:tcPr>
          <w:p>
            <w:r>
              <w:rPr>
                <w:sz w:val="17"/>
              </w:rPr>
              <w:t>1,688</w:t>
            </w:r>
          </w:p>
        </w:tc>
        <w:tc>
          <w:tcPr>
            <w:tcW w:type="dxa" w:w="1440"/>
            <w:shd w:fill="C6EFCE" w:val="clear"/>
          </w:tcPr>
          <w:p>
            <w:r>
              <w:rPr>
                <w:b/>
                <w:sz w:val="17"/>
              </w:rPr>
              <w:t>1,848</w:t>
            </w:r>
          </w:p>
        </w:tc>
        <w:tc>
          <w:tcPr>
            <w:tcW w:type="dxa" w:w="1440"/>
            <w:shd w:fill="C6EFCE" w:val="clear"/>
          </w:tcPr>
          <w:p>
            <w:r>
              <w:rPr>
                <w:sz w:val="17"/>
              </w:rPr>
              <w:t>2,007</w:t>
            </w:r>
          </w:p>
        </w:tc>
        <w:tc>
          <w:tcPr>
            <w:tcW w:type="dxa" w:w="1440"/>
            <w:shd w:fill="C6EFCE" w:val="clear"/>
          </w:tcPr>
          <w:p>
            <w:r>
              <w:rPr>
                <w:b/>
                <w:color w:val="008000"/>
                <w:sz w:val="17"/>
              </w:rPr>
              <w:t>+3.2%</w:t>
            </w:r>
          </w:p>
        </w:tc>
      </w:tr>
      <w:tr>
        <w:tc>
          <w:tcPr>
            <w:tcW w:type="dxa" w:w="1440"/>
            <w:shd w:fill="C6EFCE" w:val="clear"/>
          </w:tcPr>
          <w:p>
            <w:r>
              <w:rPr>
                <w:sz w:val="17"/>
              </w:rPr>
              <w:t>J+4  ⭐</w:t>
            </w:r>
          </w:p>
        </w:tc>
        <w:tc>
          <w:tcPr>
            <w:tcW w:type="dxa" w:w="1440"/>
            <w:shd w:fill="C6EFCE" w:val="clear"/>
          </w:tcPr>
          <w:p>
            <w:r>
              <w:rPr>
                <w:sz w:val="17"/>
              </w:rPr>
              <w:t>2026-10-22</w:t>
            </w:r>
          </w:p>
        </w:tc>
        <w:tc>
          <w:tcPr>
            <w:tcW w:type="dxa" w:w="1440"/>
            <w:shd w:fill="C6EFCE" w:val="clear"/>
          </w:tcPr>
          <w:p>
            <w:r>
              <w:rPr>
                <w:sz w:val="17"/>
              </w:rPr>
              <w:t>1,668</w:t>
            </w:r>
          </w:p>
        </w:tc>
        <w:tc>
          <w:tcPr>
            <w:tcW w:type="dxa" w:w="1440"/>
            <w:shd w:fill="C6EFCE" w:val="clear"/>
          </w:tcPr>
          <w:p>
            <w:r>
              <w:rPr>
                <w:b/>
                <w:sz w:val="17"/>
              </w:rPr>
              <w:t>1,853</w:t>
            </w:r>
          </w:p>
        </w:tc>
        <w:tc>
          <w:tcPr>
            <w:tcW w:type="dxa" w:w="1440"/>
            <w:shd w:fill="C6EFCE" w:val="clear"/>
          </w:tcPr>
          <w:p>
            <w:r>
              <w:rPr>
                <w:sz w:val="17"/>
              </w:rPr>
              <w:t>2,038</w:t>
            </w:r>
          </w:p>
        </w:tc>
        <w:tc>
          <w:tcPr>
            <w:tcW w:type="dxa" w:w="1440"/>
            <w:shd w:fill="C6EFCE" w:val="clear"/>
          </w:tcPr>
          <w:p>
            <w:r>
              <w:rPr>
                <w:b/>
                <w:color w:val="008000"/>
                <w:sz w:val="17"/>
              </w:rPr>
              <w:t>+3.5%</w:t>
            </w:r>
          </w:p>
        </w:tc>
      </w:tr>
      <w:tr>
        <w:tc>
          <w:tcPr>
            <w:tcW w:type="dxa" w:w="1440"/>
            <w:shd w:fill="C6EFCE" w:val="clear"/>
          </w:tcPr>
          <w:p>
            <w:r>
              <w:rPr>
                <w:sz w:val="17"/>
              </w:rPr>
              <w:t>J+5  ⭐</w:t>
            </w:r>
          </w:p>
        </w:tc>
        <w:tc>
          <w:tcPr>
            <w:tcW w:type="dxa" w:w="1440"/>
            <w:shd w:fill="C6EFCE" w:val="clear"/>
          </w:tcPr>
          <w:p>
            <w:r>
              <w:rPr>
                <w:sz w:val="17"/>
              </w:rPr>
              <w:t>2026-10-23</w:t>
            </w:r>
          </w:p>
        </w:tc>
        <w:tc>
          <w:tcPr>
            <w:tcW w:type="dxa" w:w="1440"/>
            <w:shd w:fill="C6EFCE" w:val="clear"/>
          </w:tcPr>
          <w:p>
            <w:r>
              <w:rPr>
                <w:sz w:val="17"/>
              </w:rPr>
              <w:t>1,652</w:t>
            </w:r>
          </w:p>
        </w:tc>
        <w:tc>
          <w:tcPr>
            <w:tcW w:type="dxa" w:w="1440"/>
            <w:shd w:fill="C6EFCE" w:val="clear"/>
          </w:tcPr>
          <w:p>
            <w:r>
              <w:rPr>
                <w:b/>
                <w:sz w:val="17"/>
              </w:rPr>
              <w:t>1,859</w:t>
            </w:r>
          </w:p>
        </w:tc>
        <w:tc>
          <w:tcPr>
            <w:tcW w:type="dxa" w:w="1440"/>
            <w:shd w:fill="C6EFCE" w:val="clear"/>
          </w:tcPr>
          <w:p>
            <w:r>
              <w:rPr>
                <w:sz w:val="17"/>
              </w:rPr>
              <w:t>2,066</w:t>
            </w:r>
          </w:p>
        </w:tc>
        <w:tc>
          <w:tcPr>
            <w:tcW w:type="dxa" w:w="1440"/>
            <w:shd w:fill="C6EFCE" w:val="clear"/>
          </w:tcPr>
          <w:p>
            <w:r>
              <w:rPr>
                <w:b/>
                <w:color w:val="008000"/>
                <w:sz w:val="17"/>
              </w:rPr>
              <w:t>+3.9%</w:t>
            </w:r>
          </w:p>
        </w:tc>
      </w:tr>
      <w:tr>
        <w:tc>
          <w:tcPr>
            <w:tcW w:type="dxa" w:w="1440"/>
            <w:shd w:fill="C6EFCE" w:val="clear"/>
          </w:tcPr>
          <w:p>
            <w:r>
              <w:rPr>
                <w:sz w:val="17"/>
              </w:rPr>
              <w:t>J+6  ⭐</w:t>
            </w:r>
          </w:p>
        </w:tc>
        <w:tc>
          <w:tcPr>
            <w:tcW w:type="dxa" w:w="1440"/>
            <w:shd w:fill="C6EFCE" w:val="clear"/>
          </w:tcPr>
          <w:p>
            <w:r>
              <w:rPr>
                <w:sz w:val="17"/>
              </w:rPr>
              <w:t>2026-10-26</w:t>
            </w:r>
          </w:p>
        </w:tc>
        <w:tc>
          <w:tcPr>
            <w:tcW w:type="dxa" w:w="1440"/>
            <w:shd w:fill="C6EFCE" w:val="clear"/>
          </w:tcPr>
          <w:p>
            <w:r>
              <w:rPr>
                <w:sz w:val="17"/>
              </w:rPr>
              <w:t>1,637</w:t>
            </w:r>
          </w:p>
        </w:tc>
        <w:tc>
          <w:tcPr>
            <w:tcW w:type="dxa" w:w="1440"/>
            <w:shd w:fill="C6EFCE" w:val="clear"/>
          </w:tcPr>
          <w:p>
            <w:r>
              <w:rPr>
                <w:b/>
                <w:sz w:val="17"/>
              </w:rPr>
              <w:t>1,865</w:t>
            </w:r>
          </w:p>
        </w:tc>
        <w:tc>
          <w:tcPr>
            <w:tcW w:type="dxa" w:w="1440"/>
            <w:shd w:fill="C6EFCE" w:val="clear"/>
          </w:tcPr>
          <w:p>
            <w:r>
              <w:rPr>
                <w:sz w:val="17"/>
              </w:rPr>
              <w:t>2,093</w:t>
            </w:r>
          </w:p>
        </w:tc>
        <w:tc>
          <w:tcPr>
            <w:tcW w:type="dxa" w:w="1440"/>
            <w:shd w:fill="C6EFCE" w:val="clear"/>
          </w:tcPr>
          <w:p>
            <w:r>
              <w:rPr>
                <w:b/>
                <w:color w:val="008000"/>
                <w:sz w:val="17"/>
              </w:rPr>
              <w:t>+4.2%</w:t>
            </w:r>
          </w:p>
        </w:tc>
      </w:tr>
      <w:tr>
        <w:tc>
          <w:tcPr>
            <w:tcW w:type="dxa" w:w="1440"/>
            <w:shd w:fill="C6EFCE" w:val="clear"/>
          </w:tcPr>
          <w:p>
            <w:r>
              <w:rPr>
                <w:sz w:val="17"/>
              </w:rPr>
              <w:t>J+7  ⭐</w:t>
            </w:r>
          </w:p>
        </w:tc>
        <w:tc>
          <w:tcPr>
            <w:tcW w:type="dxa" w:w="1440"/>
            <w:shd w:fill="C6EFCE" w:val="clear"/>
          </w:tcPr>
          <w:p>
            <w:r>
              <w:rPr>
                <w:sz w:val="17"/>
              </w:rPr>
              <w:t>2026-10-27</w:t>
            </w:r>
          </w:p>
        </w:tc>
        <w:tc>
          <w:tcPr>
            <w:tcW w:type="dxa" w:w="1440"/>
            <w:shd w:fill="C6EFCE" w:val="clear"/>
          </w:tcPr>
          <w:p>
            <w:r>
              <w:rPr>
                <w:sz w:val="17"/>
              </w:rPr>
              <w:t>1,624</w:t>
            </w:r>
          </w:p>
        </w:tc>
        <w:tc>
          <w:tcPr>
            <w:tcW w:type="dxa" w:w="1440"/>
            <w:shd w:fill="C6EFCE" w:val="clear"/>
          </w:tcPr>
          <w:p>
            <w:r>
              <w:rPr>
                <w:b/>
                <w:sz w:val="17"/>
              </w:rPr>
              <w:t>1,871</w:t>
            </w:r>
          </w:p>
        </w:tc>
        <w:tc>
          <w:tcPr>
            <w:tcW w:type="dxa" w:w="1440"/>
            <w:shd w:fill="C6EFCE" w:val="clear"/>
          </w:tcPr>
          <w:p>
            <w:r>
              <w:rPr>
                <w:sz w:val="17"/>
              </w:rPr>
              <w:t>2,118</w:t>
            </w:r>
          </w:p>
        </w:tc>
        <w:tc>
          <w:tcPr>
            <w:tcW w:type="dxa" w:w="1440"/>
            <w:shd w:fill="C6EFCE" w:val="clear"/>
          </w:tcPr>
          <w:p>
            <w:r>
              <w:rPr>
                <w:b/>
                <w:color w:val="008000"/>
                <w:sz w:val="17"/>
              </w:rPr>
              <w:t>+4.5%</w:t>
            </w:r>
          </w:p>
        </w:tc>
      </w:tr>
      <w:tr>
        <w:tc>
          <w:tcPr>
            <w:tcW w:type="dxa" w:w="1440"/>
            <w:shd w:fill="C6EFCE" w:val="clear"/>
          </w:tcPr>
          <w:p>
            <w:r>
              <w:rPr>
                <w:sz w:val="17"/>
              </w:rPr>
              <w:t>J+8  ⭐</w:t>
            </w:r>
          </w:p>
        </w:tc>
        <w:tc>
          <w:tcPr>
            <w:tcW w:type="dxa" w:w="1440"/>
            <w:shd w:fill="C6EFCE" w:val="clear"/>
          </w:tcPr>
          <w:p>
            <w:r>
              <w:rPr>
                <w:sz w:val="17"/>
              </w:rPr>
              <w:t>2026-10-28</w:t>
            </w:r>
          </w:p>
        </w:tc>
        <w:tc>
          <w:tcPr>
            <w:tcW w:type="dxa" w:w="1440"/>
            <w:shd w:fill="C6EFCE" w:val="clear"/>
          </w:tcPr>
          <w:p>
            <w:r>
              <w:rPr>
                <w:sz w:val="17"/>
              </w:rPr>
              <w:t>1,612</w:t>
            </w:r>
          </w:p>
        </w:tc>
        <w:tc>
          <w:tcPr>
            <w:tcW w:type="dxa" w:w="1440"/>
            <w:shd w:fill="C6EFCE" w:val="clear"/>
          </w:tcPr>
          <w:p>
            <w:r>
              <w:rPr>
                <w:b/>
                <w:sz w:val="17"/>
              </w:rPr>
              <w:t>1,877</w:t>
            </w:r>
          </w:p>
        </w:tc>
        <w:tc>
          <w:tcPr>
            <w:tcW w:type="dxa" w:w="1440"/>
            <w:shd w:fill="C6EFCE" w:val="clear"/>
          </w:tcPr>
          <w:p>
            <w:r>
              <w:rPr>
                <w:sz w:val="17"/>
              </w:rPr>
              <w:t>2,142</w:t>
            </w:r>
          </w:p>
        </w:tc>
        <w:tc>
          <w:tcPr>
            <w:tcW w:type="dxa" w:w="1440"/>
            <w:shd w:fill="C6EFCE" w:val="clear"/>
          </w:tcPr>
          <w:p>
            <w:r>
              <w:rPr>
                <w:b/>
                <w:color w:val="008000"/>
                <w:sz w:val="17"/>
              </w:rPr>
              <w:t>+4.8%</w:t>
            </w:r>
          </w:p>
        </w:tc>
      </w:tr>
      <w:tr>
        <w:tc>
          <w:tcPr>
            <w:tcW w:type="dxa" w:w="1440"/>
            <w:shd w:fill="C6EFCE" w:val="clear"/>
          </w:tcPr>
          <w:p>
            <w:r>
              <w:rPr>
                <w:sz w:val="17"/>
              </w:rPr>
              <w:t>J+9  ⭐</w:t>
            </w:r>
          </w:p>
        </w:tc>
        <w:tc>
          <w:tcPr>
            <w:tcW w:type="dxa" w:w="1440"/>
            <w:shd w:fill="C6EFCE" w:val="clear"/>
          </w:tcPr>
          <w:p>
            <w:r>
              <w:rPr>
                <w:sz w:val="17"/>
              </w:rPr>
              <w:t>2026-10-29</w:t>
            </w:r>
          </w:p>
        </w:tc>
        <w:tc>
          <w:tcPr>
            <w:tcW w:type="dxa" w:w="1440"/>
            <w:shd w:fill="C6EFCE" w:val="clear"/>
          </w:tcPr>
          <w:p>
            <w:r>
              <w:rPr>
                <w:sz w:val="17"/>
              </w:rPr>
              <w:t>1,601</w:t>
            </w:r>
          </w:p>
        </w:tc>
        <w:tc>
          <w:tcPr>
            <w:tcW w:type="dxa" w:w="1440"/>
            <w:shd w:fill="C6EFCE" w:val="clear"/>
          </w:tcPr>
          <w:p>
            <w:r>
              <w:rPr>
                <w:b/>
                <w:sz w:val="17"/>
              </w:rPr>
              <w:t>1,883</w:t>
            </w:r>
          </w:p>
        </w:tc>
        <w:tc>
          <w:tcPr>
            <w:tcW w:type="dxa" w:w="1440"/>
            <w:shd w:fill="C6EFCE" w:val="clear"/>
          </w:tcPr>
          <w:p>
            <w:r>
              <w:rPr>
                <w:sz w:val="17"/>
              </w:rPr>
              <w:t>2,164</w:t>
            </w:r>
          </w:p>
        </w:tc>
        <w:tc>
          <w:tcPr>
            <w:tcW w:type="dxa" w:w="1440"/>
            <w:shd w:fill="C6EFCE" w:val="clear"/>
          </w:tcPr>
          <w:p>
            <w:r>
              <w:rPr>
                <w:b/>
                <w:color w:val="008000"/>
                <w:sz w:val="17"/>
              </w:rPr>
              <w:t>+5.2%</w:t>
            </w:r>
          </w:p>
        </w:tc>
      </w:tr>
      <w:tr>
        <w:tc>
          <w:tcPr>
            <w:tcW w:type="dxa" w:w="1440"/>
            <w:shd w:fill="C6EFCE" w:val="clear"/>
          </w:tcPr>
          <w:p>
            <w:r>
              <w:rPr>
                <w:sz w:val="17"/>
              </w:rPr>
              <w:t>J+10  ⭐</w:t>
            </w:r>
          </w:p>
        </w:tc>
        <w:tc>
          <w:tcPr>
            <w:tcW w:type="dxa" w:w="1440"/>
            <w:shd w:fill="C6EFCE" w:val="clear"/>
          </w:tcPr>
          <w:p>
            <w:r>
              <w:rPr>
                <w:sz w:val="17"/>
              </w:rPr>
              <w:t>2026-10-30</w:t>
            </w:r>
          </w:p>
        </w:tc>
        <w:tc>
          <w:tcPr>
            <w:tcW w:type="dxa" w:w="1440"/>
            <w:shd w:fill="C6EFCE" w:val="clear"/>
          </w:tcPr>
          <w:p>
            <w:r>
              <w:rPr>
                <w:sz w:val="17"/>
              </w:rPr>
              <w:t>1,591</w:t>
            </w:r>
          </w:p>
        </w:tc>
        <w:tc>
          <w:tcPr>
            <w:tcW w:type="dxa" w:w="1440"/>
            <w:shd w:fill="C6EFCE" w:val="clear"/>
          </w:tcPr>
          <w:p>
            <w:r>
              <w:rPr>
                <w:b/>
                <w:sz w:val="17"/>
              </w:rPr>
              <w:t>1,888</w:t>
            </w:r>
          </w:p>
        </w:tc>
        <w:tc>
          <w:tcPr>
            <w:tcW w:type="dxa" w:w="1440"/>
            <w:shd w:fill="C6EFCE" w:val="clear"/>
          </w:tcPr>
          <w:p>
            <w:r>
              <w:rPr>
                <w:sz w:val="17"/>
              </w:rPr>
              <w:t>2,186</w:t>
            </w:r>
          </w:p>
        </w:tc>
        <w:tc>
          <w:tcPr>
            <w:tcW w:type="dxa" w:w="1440"/>
            <w:shd w:fill="C6EFCE" w:val="clear"/>
          </w:tcPr>
          <w:p>
            <w:r>
              <w:rPr>
                <w:b/>
                <w:color w:val="008000"/>
                <w:sz w:val="17"/>
              </w:rPr>
              <w:t>+5.5%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2.219 Mds FCFA</w:t>
            </w:r>
          </w:p>
        </w:tc>
        <w:tc>
          <w:tcPr>
            <w:tcW w:type="dxa" w:w="5669"/>
            <w:shd w:fill="FFFFFF" w:val="clear"/>
          </w:tcPr>
          <w:p>
            <w:r>
              <w:rPr>
                <w:color w:val="282828"/>
                <w:sz w:val="15"/>
              </w:rPr>
              <w:t>Créances clients = 22.0%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2.420 Mds FCFA</w:t>
            </w:r>
          </w:p>
        </w:tc>
        <w:tc>
          <w:tcPr>
            <w:tcW w:type="dxa" w:w="5669"/>
            <w:shd w:fill="FFFFFF" w:val="clear"/>
          </w:tcPr>
          <w:p>
            <w:r>
              <w:rPr>
                <w:color w:val="282828"/>
                <w:sz w:val="15"/>
              </w:rPr>
              <w:t>Rotation stocks = 4.2x/an.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5.740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16.02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8.586 Mds FCFA</w:t>
            </w:r>
          </w:p>
        </w:tc>
        <w:tc>
          <w:tcPr>
            <w:tcW w:type="dxa" w:w="5669"/>
            <w:shd w:fill="FFFFFF" w:val="clear"/>
          </w:tcPr>
          <w:p>
            <w:r>
              <w:rPr>
                <w:color w:val="282828"/>
                <w:sz w:val="15"/>
              </w:rPr>
              <w:t>Outil industriel (58.8%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8.822 Mds FCFA</w:t>
            </w:r>
          </w:p>
        </w:tc>
        <w:tc>
          <w:tcPr>
            <w:tcW w:type="dxa" w:w="5669"/>
            <w:shd w:fill="FFFFFF" w:val="clear"/>
          </w:tcPr>
          <w:p>
            <w:r>
              <w:rPr>
                <w:color w:val="282828"/>
                <w:sz w:val="15"/>
              </w:rPr>
              <w:t>Actif immobilisé = 60.4%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48.21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14.611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2.527 Mds FCFA</w:t>
            </w:r>
          </w:p>
        </w:tc>
        <w:tc>
          <w:tcPr>
            <w:tcW w:type="dxa" w:w="5669"/>
            <w:shd w:fill="FFFFFF" w:val="clear"/>
          </w:tcPr>
          <w:p>
            <w:r>
              <w:rPr>
                <w:color w:val="282828"/>
                <w:sz w:val="15"/>
              </w:rPr>
              <w:t>Fonds propres = 17.3%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6.691 Mds FCFA</w:t>
            </w:r>
          </w:p>
        </w:tc>
        <w:tc>
          <w:tcPr>
            <w:tcW w:type="dxa" w:w="5669"/>
            <w:shd w:fill="FFFFFF" w:val="clear"/>
          </w:tcPr>
          <w:p>
            <w:r>
              <w:rPr>
                <w:color w:val="282828"/>
                <w:sz w:val="15"/>
              </w:rPr>
              <w:t>Capitaux permanents / Actif immobilisé = 0.76x.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3.897 Mds FCFA</w:t>
            </w:r>
          </w:p>
        </w:tc>
        <w:tc>
          <w:tcPr>
            <w:tcW w:type="dxa" w:w="5669"/>
            <w:shd w:fill="FFFFFF" w:val="clear"/>
          </w:tcPr>
          <w:p>
            <w:r>
              <w:rPr>
                <w:color w:val="282828"/>
                <w:sz w:val="15"/>
              </w:rPr>
              <w:t>Délai fournisseurs implicite ≈ 141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4.062 Mds FCFA</w:t>
            </w:r>
          </w:p>
        </w:tc>
        <w:tc>
          <w:tcPr>
            <w:tcW w:type="dxa" w:w="5669"/>
            <w:shd w:fill="FFFFFF" w:val="clear"/>
          </w:tcPr>
          <w:p>
            <w:r>
              <w:rPr>
                <w:color w:val="282828"/>
                <w:sz w:val="15"/>
              </w:rPr>
              <w:t>Dette LT/MT = 161%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5.771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12.085 Mds FCFA</w:t>
            </w:r>
          </w:p>
        </w:tc>
        <w:tc>
          <w:tcPr>
            <w:tcW w:type="dxa" w:w="5669"/>
            <w:shd w:fill="FFFFFF" w:val="clear"/>
          </w:tcPr>
          <w:p>
            <w:r>
              <w:rPr>
                <w:color w:val="282828"/>
                <w:sz w:val="15"/>
              </w:rPr>
              <w:t>Dettes totales = 82.7%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10.075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10.075 Mds FCFA</w:t>
            </w:r>
          </w:p>
        </w:tc>
        <w:tc>
          <w:tcPr>
            <w:tcW w:type="dxa" w:w="5669"/>
            <w:shd w:fill="FFFFFF" w:val="clear"/>
          </w:tcPr>
          <w:p>
            <w:r>
              <w:rPr>
                <w:color w:val="282828"/>
                <w:sz w:val="15"/>
              </w:rPr>
              <w:t>Chiffre d'affaires. Croissance: 8.5%.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1.088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1.661 Mds FCFA</w:t>
            </w:r>
          </w:p>
        </w:tc>
        <w:tc>
          <w:tcPr>
            <w:tcW w:type="dxa" w:w="5669"/>
            <w:shd w:fill="FFFFFF" w:val="clear"/>
          </w:tcPr>
          <w:p>
            <w:r>
              <w:rPr>
                <w:color w:val="282828"/>
                <w:sz w:val="15"/>
              </w:rPr>
              <w:t>Masse salariale = 16.5%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3.103 Mds FCFA</w:t>
            </w:r>
          </w:p>
        </w:tc>
        <w:tc>
          <w:tcPr>
            <w:tcW w:type="dxa" w:w="5669"/>
            <w:shd w:fill="FFFFFF" w:val="clear"/>
          </w:tcPr>
          <w:p>
            <w:r>
              <w:rPr>
                <w:color w:val="282828"/>
                <w:sz w:val="15"/>
              </w:rPr>
              <w:t>VA = 30.8%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1.442 Mds FCFA</w:t>
            </w:r>
          </w:p>
        </w:tc>
        <w:tc>
          <w:tcPr>
            <w:tcW w:type="dxa" w:w="5669"/>
            <w:shd w:fill="FFFFFF" w:val="clear"/>
          </w:tcPr>
          <w:p>
            <w:r>
              <w:rPr>
                <w:color w:val="282828"/>
                <w:sz w:val="15"/>
              </w:rPr>
              <w:t>EBE = 14.3%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866.37 M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179.29 M FCFA</w:t>
            </w:r>
          </w:p>
        </w:tc>
        <w:tc>
          <w:tcPr>
            <w:tcW w:type="dxa" w:w="5669"/>
            <w:shd w:fill="FFFFFF" w:val="clear"/>
          </w:tcPr>
          <w:p>
            <w:r>
              <w:rPr>
                <w:color w:val="282828"/>
                <w:sz w:val="15"/>
              </w:rPr>
              <w:t>Marge nette = 1.8%.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868.94 M FCFA</w:t>
            </w:r>
          </w:p>
        </w:tc>
        <w:tc>
          <w:tcPr>
            <w:tcW w:type="dxa" w:w="5669"/>
            <w:shd w:fill="FFFFFF" w:val="clear"/>
          </w:tcPr>
          <w:p>
            <w:r>
              <w:rPr>
                <w:color w:val="282828"/>
                <w:sz w:val="15"/>
              </w:rPr>
              <w:t>CAF = 0.87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992.26 M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-1.935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1.425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-935.89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-470.79 M FCFA</w:t>
            </w:r>
          </w:p>
        </w:tc>
        <w:tc>
          <w:tcPr>
            <w:tcW w:type="dxa" w:w="5669"/>
            <w:shd w:fill="FFFFFF" w:val="clear"/>
          </w:tcPr>
          <w:p>
            <w:r>
              <w:rPr>
                <w:color w:val="282828"/>
                <w:sz w:val="15"/>
              </w:rPr>
              <w:t>BFR = -4.7%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-2.132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54.30%</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1.78%</w:t>
            </w:r>
          </w:p>
        </w:tc>
        <w:tc>
          <w:tcPr>
            <w:tcW w:type="dxa" w:w="5669"/>
            <w:shd w:fill="FFFFFF" w:val="clear"/>
          </w:tcPr>
          <w:p>
            <w:r>
              <w:rPr>
                <w:color w:val="282828"/>
                <w:sz w:val="15"/>
              </w:rPr>
              <w:t>Résultat net / revenus = 1.78%.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7.10%</w:t>
            </w:r>
          </w:p>
        </w:tc>
        <w:tc>
          <w:tcPr>
            <w:tcW w:type="dxa" w:w="5669"/>
            <w:shd w:fill="FFFFFF" w:val="clear"/>
          </w:tcPr>
          <w:p>
            <w:r>
              <w:rPr>
                <w:color w:val="282828"/>
                <w:sz w:val="15"/>
              </w:rPr>
              <w:t>Résultat net / capitaux propres = 7.10%.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1.23%</w:t>
            </w:r>
          </w:p>
        </w:tc>
        <w:tc>
          <w:tcPr>
            <w:tcW w:type="dxa" w:w="5669"/>
            <w:shd w:fill="FFFFFF" w:val="clear"/>
          </w:tcPr>
          <w:p>
            <w:r>
              <w:rPr>
                <w:color w:val="282828"/>
                <w:sz w:val="15"/>
              </w:rPr>
              <w:t>Résultat net / total actif = 1.23%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68.95%</w:t>
            </w:r>
          </w:p>
        </w:tc>
        <w:tc>
          <w:tcPr>
            <w:tcW w:type="dxa" w:w="5669"/>
            <w:shd w:fill="FFFFFF" w:val="clear"/>
          </w:tcPr>
          <w:p>
            <w:r>
              <w:rPr>
                <w:color w:val="282828"/>
                <w:sz w:val="15"/>
              </w:rPr>
              <w:t>CA / total actif = 68.95x.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8.53%</w:t>
            </w:r>
          </w:p>
        </w:tc>
        <w:tc>
          <w:tcPr>
            <w:tcW w:type="dxa" w:w="5669"/>
            <w:shd w:fill="FFFFFF" w:val="clear"/>
          </w:tcPr>
          <w:p>
            <w:r>
              <w:rPr>
                <w:color w:val="282828"/>
                <w:sz w:val="15"/>
              </w:rPr>
              <w:t>Croissance CA vs exercice précédent = 8.53%.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17.29%</w:t>
            </w:r>
          </w:p>
        </w:tc>
        <w:tc>
          <w:tcPr>
            <w:tcW w:type="dxa" w:w="5669"/>
            <w:shd w:fill="FFFFFF" w:val="clear"/>
          </w:tcPr>
          <w:p>
            <w:r>
              <w:rPr>
                <w:color w:val="282828"/>
                <w:sz w:val="15"/>
              </w:rPr>
              <w:t>Fonds propres / total bilan = 17.29%.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82.71%</w:t>
            </w:r>
          </w:p>
        </w:tc>
        <w:tc>
          <w:tcPr>
            <w:tcW w:type="dxa" w:w="5669"/>
            <w:shd w:fill="FFFFFF" w:val="clear"/>
          </w:tcPr>
          <w:p>
            <w:r>
              <w:rPr>
                <w:color w:val="282828"/>
                <w:sz w:val="15"/>
              </w:rPr>
              <w:t>Dettes financières / total bilan = 82.71%.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228.41%</w:t>
            </w:r>
          </w:p>
        </w:tc>
        <w:tc>
          <w:tcPr>
            <w:tcW w:type="dxa" w:w="5669"/>
            <w:shd w:fill="FFFFFF" w:val="clear"/>
          </w:tcPr>
          <w:p>
            <w:r>
              <w:rPr>
                <w:color w:val="282828"/>
                <w:sz w:val="15"/>
              </w:rPr>
              <w:t>Dettes totales / fonds propres = 228.41%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120.91%</w:t>
            </w:r>
          </w:p>
        </w:tc>
        <w:tc>
          <w:tcPr>
            <w:tcW w:type="dxa" w:w="5669"/>
            <w:shd w:fill="FFFFFF" w:val="clear"/>
          </w:tcPr>
          <w:p>
            <w:r>
              <w:rPr>
                <w:color w:val="282828"/>
                <w:sz w:val="15"/>
              </w:rPr>
              <w:t>Total actif / dettes totales = 120.91x.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73.09%</w:t>
            </w:r>
          </w:p>
        </w:tc>
        <w:tc>
          <w:tcPr>
            <w:tcW w:type="dxa" w:w="5669"/>
            <w:shd w:fill="FFFFFF" w:val="clear"/>
          </w:tcPr>
          <w:p>
            <w:r>
              <w:rPr>
                <w:color w:val="282828"/>
                <w:sz w:val="15"/>
              </w:rPr>
              <w:t>Actif circulant / passif circulant = 73.09x.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0.61%</w:t>
            </w:r>
          </w:p>
        </w:tc>
        <w:tc>
          <w:tcPr>
            <w:tcW w:type="dxa" w:w="5669"/>
            <w:shd w:fill="FFFFFF" w:val="clear"/>
          </w:tcPr>
          <w:p>
            <w:r>
              <w:rPr>
                <w:color w:val="282828"/>
                <w:sz w:val="15"/>
              </w:rPr>
              <w:t>Trésorerie / passif circulant = 0.61x.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42.53%</w:t>
            </w:r>
          </w:p>
        </w:tc>
        <w:tc>
          <w:tcPr>
            <w:tcW w:type="dxa" w:w="5669"/>
            <w:shd w:fill="FFFFFF" w:val="clear"/>
          </w:tcPr>
          <w:p>
            <w:r>
              <w:rPr>
                <w:color w:val="282828"/>
                <w:sz w:val="15"/>
              </w:rPr>
              <w:t>(Actif circ. - stocks) / passif circ. = 42.53x.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75.84%</w:t>
            </w:r>
          </w:p>
        </w:tc>
        <w:tc>
          <w:tcPr>
            <w:tcW w:type="dxa" w:w="5669"/>
            <w:shd w:fill="FFFFFF" w:val="clear"/>
          </w:tcPr>
          <w:p>
            <w:r>
              <w:rPr>
                <w:color w:val="282828"/>
                <w:sz w:val="15"/>
              </w:rPr>
              <w:t>Capitaux permanents / actif immobilisé = 75.84x.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6.6 ans</w:t>
            </w:r>
          </w:p>
        </w:tc>
        <w:tc>
          <w:tcPr>
            <w:tcW w:type="dxa" w:w="5669"/>
            <w:shd w:fill="FFFFFF" w:val="clear"/>
          </w:tcPr>
          <w:p>
            <w:r>
              <w:rPr>
                <w:color w:val="282828"/>
                <w:sz w:val="15"/>
              </w:rPr>
              <w:t>Dettes financières / CAF = 6.6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235.01%</w:t>
            </w:r>
          </w:p>
        </w:tc>
        <w:tc>
          <w:tcPr>
            <w:tcW w:type="dxa" w:w="5669"/>
            <w:shd w:fill="FFFFFF" w:val="clear"/>
          </w:tcPr>
          <w:p>
            <w:r>
              <w:rPr>
                <w:color w:val="282828"/>
                <w:sz w:val="15"/>
              </w:rPr>
              <w:t>Résultat exploit. / charges financières = 235.01x.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45.07%</w:t>
            </w:r>
          </w:p>
        </w:tc>
        <w:tc>
          <w:tcPr>
            <w:tcW w:type="dxa" w:w="5669"/>
            <w:shd w:fill="FFFFFF" w:val="clear"/>
          </w:tcPr>
          <w:p>
            <w:r>
              <w:rPr>
                <w:color w:val="282828"/>
                <w:sz w:val="15"/>
              </w:rPr>
              <w:t>CAF / investissements = 45.07x.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79.3 j</w:t>
            </w:r>
          </w:p>
        </w:tc>
        <w:tc>
          <w:tcPr>
            <w:tcW w:type="dxa" w:w="5669"/>
            <w:shd w:fill="FFFFFF" w:val="clear"/>
          </w:tcPr>
          <w:p>
            <w:r>
              <w:rPr>
                <w:color w:val="282828"/>
                <w:sz w:val="15"/>
              </w:rPr>
              <w:t>Les clients paient en moyenne en 79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323.3 j</w:t>
            </w:r>
          </w:p>
        </w:tc>
        <w:tc>
          <w:tcPr>
            <w:tcW w:type="dxa" w:w="5669"/>
            <w:shd w:fill="FFFFFF" w:val="clear"/>
          </w:tcPr>
          <w:p>
            <w:r>
              <w:rPr>
                <w:color w:val="282828"/>
                <w:sz w:val="15"/>
              </w:rPr>
              <w:t>Paiement des fournisseurs en 323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189.3 j</w:t>
            </w:r>
          </w:p>
        </w:tc>
        <w:tc>
          <w:tcPr>
            <w:tcW w:type="dxa" w:w="5669"/>
            <w:shd w:fill="FFFFFF" w:val="clear"/>
          </w:tcPr>
          <w:p>
            <w:r>
              <w:rPr>
                <w:color w:val="282828"/>
                <w:sz w:val="15"/>
              </w:rPr>
              <w:t>Stock écoulé en 189 jours. ❌ Stock quasi-bloqué — risque d'obsolescence ou de surstock.</w:t>
            </w:r>
          </w:p>
        </w:tc>
      </w:tr>
    </w:tbl>
    <w:p/>
    <w:p>
      <w:pPr>
        <w:spacing w:after="120" w:line="276" w:lineRule="auto"/>
      </w:pPr>
      <w:r>
        <w:t># 📈 RAPPORT D'ANALYSE FINANCIÈRE — SIVC (ERIUM CÔTE D'IVOIRE)</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SIVC s'établit à **15,63 milliards FCFA**, un niveau modeste à l'échelle de la BRVM qui la place parmi les petites capitalisations du marché régional. Le BPA de **21 FCFA par action** traduit un bénéfice net unitaire faible, cohérent avec un résultat net 2025 de seulement 179,29 millions FCFA. Le PER ressort à **87,2x**, soit un niveau extrêmement élevé comparé à la moyenne BRVM (8-12x) : les investisseurs paient près de 87 fois les bénéfices actuels, ce qui intègre une anticipation de forte croissance future mais expose le titre à un risque de correction si les profits ne se redressent pas. Le P/B de **6,19x** (largement supérieur au seuil de 4x) indique que le marché valorise la société à plus de six fois sa valeur comptable, une prime exigeante au regard de capitaux propres de 2,53 milliards FCFA. Enfin, l'EV/EBITDA de **16,0x** (au-delà de 15x) confirme que la valeur d'entreprise, endettement inclus, est chèrement payée par rapport à la capacité opérationnelle de génération de cash.</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SIVC a enregistré une **variation totale de -37,74%**, une chute sévère qui contraste avec une dernière séance stable (variation J-1 de +0,00%), le cours clôturant à **1 790 FCFA**. Le range de trading est large, entre un plus haut de **2 875 FCFA** et un plus bas de **1 790 FCFA** — ce dernier correspondant précisément au cours actuel, signe que le titre évolue sur ses points bas et n'a pas encore trouvé de plancher solide. La tendance générale est clairement **baissière**, avec une accélération de la pression vendeuse sur la période. Les statistiques descriptives révèlent une moyenne de **2 347 FCFA** légèrement supérieure à la médiane de **2 335 FCFA**, suggérant une distribution quasi symétrique (skewness de 0,279, confirmant cette symétrie) ; le mode à **2 000 FCFA** indique que le prix le plus fréquemment coté se situe au-dessus du cours actuel, renforçant le constat de dérive baissière. L'écart-type de **290 FCFA** avec un coefficient de variation de **12,4%** traduit une dispersion modérée autour de la moyenne, tandis que le kurtosis de **-0,715** (mésokurtique) indique une distribution proche de la normale, sans risque marqué de pics extrêmes. La **volatilité annualisée de 54,3%** classe le titre dans la catégorie des valeurs à volatilité **élevée** (&gt;30%), ce qui implique un risque de perte important à court terme et justifie une prime de risque significative.</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**1 978,5 FCFA** et la MM50 à **2 193,9 FCFA**, toutes deux nettement supérieures au cours actuel de 1 790 FCFA. Cette configuration — prix sous les deux moyennes, avec MM20 sous MM50 — confirme une structure baissière de court et moyen terme. La décision technique est **Vente**, le titre n'ayant pas encore amorcé de croisement haussier susceptible de signaler un retournement.</w:t>
      </w:r>
    </w:p>
    <w:p>
      <w:pPr>
        <w:spacing w:after="120" w:line="276" w:lineRule="auto"/>
      </w:pPr>
      <w:r>
        <w:t>**Bandes de Bollinger** : La borne supérieure est à **2 173,25 FCFA** et la borne inférieure à **1 783,75 FCFA**, le cours actuel (1 790 FCFA) évoluant tout près de la borne basse, à seulement 6,25 FCFA de celle-ci. Cette position signale une pression vendeuse persistante et une volatilité qui comprime le cours vers le bas de la bande. La décision est **Neutre** : le titre est proche d'une zone de survente statistique, mais aucun signal de rebond n'est encore confirmé.</w:t>
      </w:r>
    </w:p>
    <w:p>
      <w:pPr>
        <w:spacing w:after="120" w:line="276" w:lineRule="auto"/>
      </w:pPr>
      <w:r>
        <w:t>**MACD** : Le MACD affiche **-104,56** contre un signal à **-90,468**, soit une divergence négative où la ligne MACD reste sous sa ligne de signal. Ce positionnement traduit un momentum baissier toujours actif, bien que l'écart entre les deux lignes se réduise légèrement. La décision est **Vente**, le croisement baissier n'étant pas invalidé.</w:t>
      </w:r>
    </w:p>
    <w:p>
      <w:pPr>
        <w:spacing w:after="120" w:line="276" w:lineRule="auto"/>
      </w:pPr>
      <w:r>
        <w:t>**RSI** : Le RSI se situe à **30,909**, tout juste au-dessus du seuil de survente (30). Cette valeur indique que le titre approche d'une zone de survente sans y être encore entré franchement, ce qui laisse présager un potentiel de rebond technique à court terme mais sans garantie. La décision est **Neutre**, le RSI n'étant ni en surachat (&gt;70) ni en survente caractérisée (&lt;30).</w:t>
      </w:r>
    </w:p>
    <w:p>
      <w:pPr>
        <w:spacing w:after="120" w:line="276" w:lineRule="auto"/>
      </w:pPr>
      <w:r>
        <w:t>**Stochastique** : Le %K et le %D sont tous deux à **0,0**, un niveau extrême de survente qui place les deux lignes au plancher de l'indicateur. Ce positionnement suggère que la pression vendeuse est maximale et qu'un rebond technique est statistiquement probable. La décision est **Achat**, en anticipation d'un retournement à court terme.</w:t>
      </w:r>
    </w:p>
    <w:p>
      <w:pPr>
        <w:spacing w:after="120" w:line="276" w:lineRule="auto"/>
      </w:pPr>
      <w:r>
        <w:t>**Conclusion technique** : Les indicateurs présentent une **divergence notable** : les moyennes mobiles et le MACD confirment une tendance baissière de fond, tandis que le RSI (30,9) et surtout le stochastique (0,0) signalent une survente extrême propice à un rebond technique. Les Bandes de Bollinger, avec un cours collé à la borne basse, renforcent ce diagnostic de compression baissière arrivée à un point d'extension. La convergence des signaux de survente (RSI + stochastique) face aux signaux de tendance baissière (MM + MACD) plaide pour une **phase de stabilisation ou de rebond technique à court terme**, sans inversion durable de tendance tant que le cours reste sous la MM20 (1 978,5 FCFA).</w:t>
      </w:r>
    </w:p>
    <w:p>
      <w:pPr>
        <w:spacing w:after="120" w:line="276" w:lineRule="auto"/>
      </w:pPr>
      <w:r>
        <w:t>---</w:t>
      </w:r>
    </w:p>
    <w:p>
      <w:pPr>
        <w:spacing w:after="120" w:line="276" w:lineRule="auto"/>
      </w:pPr>
      <w:r>
        <w:t>## PARTIE 3 : ANALYSE FONDAMENTALE</w:t>
      </w:r>
    </w:p>
    <w:p>
      <w:pPr>
        <w:spacing w:after="120" w:line="276" w:lineRule="auto"/>
      </w:pPr>
      <w:r>
        <w:t>Les états financiers de l'exercice **2025** (rapport officiel daté du 31 décembre 2025, analysé le 29 juin 2026) révèlent une société en croissance commerciale mais en dégradation de sa rentabilité. Le chiffre d'affaires s'établit à **10,075 milliards FCFA**, en hausse de **+8,53%** par rapport aux 9,283 milliards de 2024, porté par les ventes de produits fabriqués (4 419 M FCFA) et les travaux/services vendus (3 345 M FCFA). Cependant, le résultat net chute de **-52,4%** à **179,29 millions FCFA** (contre 376,96 M en 2024), la marge nette se contractant de 4,06% à **1,78%**. Le ROE n'est que de **7,10%** (bien en deçà du seuil de 15% considéré comme excellent) et le ROA de **1,23%**, traduisant une faible efficacité dans l'utilisation des actifs. Sur le plan de la structure financière, l'autonomie financière est faible à **17,29%** (seuil sain &gt;30%), le ratio d'endettement atteint **228,41%** et la trésorerie nette reste négative à **-1,661 milliard FCFA**, exposant la société à un risque de liquidité. Les délais d'exploitation sont préoccupants : **79,30 jours** de délai clients (risque de trésorerie) et **189,26 jours** de durée de stockage (immobilisation de capital), bien que le BFR soit négatif à **-470,79 M FCFA** (favorable) et que le délai fournisseurs élevé de 323,35 jours constitue un levier de trésorerie. La capacité de remboursement de **6,64 années** de CAF et la couverture des intérêts à 235% restent acceptables. Les rapports trimestriels 2025 confirment une dynamique contrastée : le **S1 2025** (rapport certifié du 30 juin 2025) affichait un CA de 4 897,5 M FCFA (+8,8%) et un résultat net de 512,9 M FCFA (+4,6%), tandis que le **T3 2025** (rapport du 30 septembre 2025) montrait un CA cumulé de 7 584,7 M FCFA (+13%) et un résultat net de 832,5 M FCFA (+58%) — ces chiffres trimestriels semblent toutefois en décalage avec le résultat net annuel de 179 M FCFA, suggérant un fort ajustement négatif au T4 (éléments hors activités ordinaires défavorables et résultat financier de -314 M FCFA). On estime donc que l'exercice 2026 devra impérativement redresser la rentabilité opérationnelle et maîtriser les charges financières pour justifier les niveaux de valorisation actuels. La recommandation fondamentale est **CONSERVER avec surveillance**, la croissance du CA étant réelle mais la fragilité de la structure financière et l'érosion des marges constituant des risques majeurs.</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**divergence prononcée** entre les signaux. Sur le plan de la **valorisation (Partie 0)**, les ratios PER de 87,2x, P/B de 6,19x et EV/EBITDA de 16,0x indiquent une **surévaluation manifeste** au regard des bénéfices et de la valeur comptable, le marché intégrant des anticipations de croissance que les fondamentaux actuels ne justifient pas encore. Le **comportement du cours (Partie 1)** est clairement baissier (-37,74% sur 100 jours), avec une volatilité élevée de 54,3% et une distribution symétrique sans pics extrêmes (kurtosis -0,715), le titre évoluant sur ses plus bas — un contexte défavorable mais propice à une capitulation. Les **signaux techniques (Partie 2)** sont contradictoires : tendance baissière confirmée par les MM et le MACD, mais survente extrême du stochastique (0,0) et RSI proche de 30 suggérant un rebond technique imminent. Les **fondamentaux (Partie 3)** demeurent fragiles : croissance du CA (+8,53%) mais effondrement du résultat net (-52,4%), ROE faible (7,10%), endettement élevé (228%) et trésorerie nette négative. Les **prédictions IA (J+1 à J+10)** anticipent une légère reprise de 1 790 à 1 859 FCFA (+3,9% sur 5 séances), cohérente avec le scénario de rebond technique issu de la survente. Face à cette configuration, la recommandation finale est **CONSERVER** (et non ACHAT, en raison de la surévaluation persistante et de la fragilité fondamentale). Le niveau de confiance est **Moyen**, la convergence entre survente technique et prédiction haussière étant contrebalancée par la surévaluation et la dégradation des marges. Le niveau de risque global est **Élevé** (volatilité 54,3%, trésorerie négative, endettement fort). L'horizon d'investissement optimal est le **moyen terme (3-12 mois)** : un investisseur existant devrait conserver en attendant la confirmation d'un redressement de la rentabilité au prochain exercice, tandis qu'un nouvel entrant devrait attendre une correction supplémentaire ou des résultats semestriels 2026 solides avant de se positionner.</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38.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633.74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1,353 titres</w:t>
            </w:r>
          </w:p>
        </w:tc>
        <w:tc>
          <w:tcPr>
            <w:tcW w:type="dxa" w:w="2268"/>
            <w:shd w:fill="FFF2CC" w:val="clear"/>
          </w:tcPr>
          <w:p>
            <w:r>
              <w:rPr>
                <w:b/>
                <w:color w:val="503200"/>
                <w:sz w:val="16"/>
              </w:rPr>
              <w:t xml:space="preserve">Cours actuel : </w:t>
            </w:r>
            <w:r>
              <w:rPr>
                <w:color w:val="000000"/>
                <w:sz w:val="17"/>
              </w:rPr>
              <w:t>38,500 FCFA</w:t>
            </w:r>
          </w:p>
          <w:p>
            <w:r>
              <w:rPr>
                <w:b/>
                <w:color w:val="503200"/>
                <w:sz w:val="16"/>
              </w:rPr>
              <w:t xml:space="preserve">Var. 100 jours : </w:t>
            </w:r>
            <w:r>
              <w:rPr>
                <w:b/>
                <w:color w:val="007800"/>
                <w:sz w:val="17"/>
              </w:rPr>
              <w:t>+1.29%</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36,900 FCFA</w:t>
            </w:r>
          </w:p>
          <w:p>
            <w:r>
              <w:rPr>
                <w:b/>
                <w:color w:val="503200"/>
                <w:sz w:val="16"/>
              </w:rPr>
              <w:t xml:space="preserve">Volatilité ann. : </w:t>
            </w:r>
            <w:r>
              <w:rPr>
                <w:color w:val="000000"/>
                <w:sz w:val="17"/>
              </w:rPr>
              <w:t>24.7%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14.3/100 → Faible</w:t>
      </w:r>
    </w:p>
    <w:p>
      <w:pPr>
        <w:spacing w:before="40" w:after="80"/>
      </w:pPr>
      <w:r>
        <w:rPr>
          <w:rFonts w:ascii="Courier New" w:hAnsi="Courier New"/>
          <w:color w:val="006400"/>
          <w:sz w:val="18"/>
        </w:rPr>
        <w:t>██░░░░░░░░░░░░░░░░░░  14.3/100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2.25% (Faible) — μ=38,276 FCFA, σ=862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E2EFDA" w:val="clear"/>
          </w:tcPr>
          <w:p>
            <w:r>
              <w:rPr>
                <w:b/>
                <w:sz w:val="15"/>
              </w:rPr>
              <w:t>β=-0.0280 (Contre-cyclique) — Cov=-0.000002, Var(idx)=0.000076, ρ=-0.016,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1,353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σ_j=1.56%/j (Stable) — Vol. annualisée≈24.7%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2026-10-19</w:t>
            </w:r>
          </w:p>
        </w:tc>
        <w:tc>
          <w:tcPr>
            <w:tcW w:type="dxa" w:w="1440"/>
            <w:shd w:fill="FAFAFA" w:val="clear"/>
          </w:tcPr>
          <w:p>
            <w:r>
              <w:rPr>
                <w:sz w:val="17"/>
              </w:rPr>
              <w:t>38,148</w:t>
            </w:r>
          </w:p>
        </w:tc>
        <w:tc>
          <w:tcPr>
            <w:tcW w:type="dxa" w:w="1440"/>
            <w:shd w:fill="FAFAFA" w:val="clear"/>
          </w:tcPr>
          <w:p>
            <w:r>
              <w:rPr>
                <w:b/>
                <w:sz w:val="17"/>
              </w:rPr>
              <w:t>38,677</w:t>
            </w:r>
          </w:p>
        </w:tc>
        <w:tc>
          <w:tcPr>
            <w:tcW w:type="dxa" w:w="1440"/>
            <w:shd w:fill="FAFAFA" w:val="clear"/>
          </w:tcPr>
          <w:p>
            <w:r>
              <w:rPr>
                <w:sz w:val="17"/>
              </w:rPr>
              <w:t>39,206</w:t>
            </w:r>
          </w:p>
        </w:tc>
        <w:tc>
          <w:tcPr>
            <w:tcW w:type="dxa" w:w="1440"/>
            <w:shd w:fill="FAFAFA" w:val="clear"/>
          </w:tcPr>
          <w:p>
            <w:r>
              <w:rPr>
                <w:b/>
                <w:color w:val="008000"/>
                <w:sz w:val="17"/>
              </w:rPr>
              <w:t>+0.5%</w:t>
            </w:r>
          </w:p>
        </w:tc>
      </w:tr>
      <w:tr>
        <w:tc>
          <w:tcPr>
            <w:tcW w:type="dxa" w:w="1440"/>
            <w:shd w:fill="FAFAFA" w:val="clear"/>
          </w:tcPr>
          <w:p>
            <w:r>
              <w:rPr>
                <w:sz w:val="17"/>
              </w:rPr>
              <w:t>J+2  ⭐⭐⭐</w:t>
            </w:r>
          </w:p>
        </w:tc>
        <w:tc>
          <w:tcPr>
            <w:tcW w:type="dxa" w:w="1440"/>
            <w:shd w:fill="FAFAFA" w:val="clear"/>
          </w:tcPr>
          <w:p>
            <w:r>
              <w:rPr>
                <w:sz w:val="17"/>
              </w:rPr>
              <w:t>2026-10-20</w:t>
            </w:r>
          </w:p>
        </w:tc>
        <w:tc>
          <w:tcPr>
            <w:tcW w:type="dxa" w:w="1440"/>
            <w:shd w:fill="FAFAFA" w:val="clear"/>
          </w:tcPr>
          <w:p>
            <w:r>
              <w:rPr>
                <w:sz w:val="17"/>
              </w:rPr>
              <w:t>38,074</w:t>
            </w:r>
          </w:p>
        </w:tc>
        <w:tc>
          <w:tcPr>
            <w:tcW w:type="dxa" w:w="1440"/>
            <w:shd w:fill="FAFAFA" w:val="clear"/>
          </w:tcPr>
          <w:p>
            <w:r>
              <w:rPr>
                <w:b/>
                <w:sz w:val="17"/>
              </w:rPr>
              <w:t>38,825</w:t>
            </w:r>
          </w:p>
        </w:tc>
        <w:tc>
          <w:tcPr>
            <w:tcW w:type="dxa" w:w="1440"/>
            <w:shd w:fill="FAFAFA" w:val="clear"/>
          </w:tcPr>
          <w:p>
            <w:r>
              <w:rPr>
                <w:sz w:val="17"/>
              </w:rPr>
              <w:t>39,575</w:t>
            </w:r>
          </w:p>
        </w:tc>
        <w:tc>
          <w:tcPr>
            <w:tcW w:type="dxa" w:w="1440"/>
            <w:shd w:fill="FAFAFA" w:val="clear"/>
          </w:tcPr>
          <w:p>
            <w:r>
              <w:rPr>
                <w:b/>
                <w:color w:val="008000"/>
                <w:sz w:val="17"/>
              </w:rPr>
              <w:t>+0.8%</w:t>
            </w:r>
          </w:p>
        </w:tc>
      </w:tr>
      <w:tr>
        <w:tc>
          <w:tcPr>
            <w:tcW w:type="dxa" w:w="1440"/>
            <w:shd w:fill="FAFAFA" w:val="clear"/>
          </w:tcPr>
          <w:p>
            <w:r>
              <w:rPr>
                <w:sz w:val="17"/>
              </w:rPr>
              <w:t>J+3  ⭐⭐⭐</w:t>
            </w:r>
          </w:p>
        </w:tc>
        <w:tc>
          <w:tcPr>
            <w:tcW w:type="dxa" w:w="1440"/>
            <w:shd w:fill="FAFAFA" w:val="clear"/>
          </w:tcPr>
          <w:p>
            <w:r>
              <w:rPr>
                <w:sz w:val="17"/>
              </w:rPr>
              <w:t>2026-10-21</w:t>
            </w:r>
          </w:p>
        </w:tc>
        <w:tc>
          <w:tcPr>
            <w:tcW w:type="dxa" w:w="1440"/>
            <w:shd w:fill="FAFAFA" w:val="clear"/>
          </w:tcPr>
          <w:p>
            <w:r>
              <w:rPr>
                <w:sz w:val="17"/>
              </w:rPr>
              <w:t>38,038</w:t>
            </w:r>
          </w:p>
        </w:tc>
        <w:tc>
          <w:tcPr>
            <w:tcW w:type="dxa" w:w="1440"/>
            <w:shd w:fill="FAFAFA" w:val="clear"/>
          </w:tcPr>
          <w:p>
            <w:r>
              <w:rPr>
                <w:b/>
                <w:sz w:val="17"/>
              </w:rPr>
              <w:t>38,961</w:t>
            </w:r>
          </w:p>
        </w:tc>
        <w:tc>
          <w:tcPr>
            <w:tcW w:type="dxa" w:w="1440"/>
            <w:shd w:fill="FAFAFA" w:val="clear"/>
          </w:tcPr>
          <w:p>
            <w:r>
              <w:rPr>
                <w:sz w:val="17"/>
              </w:rPr>
              <w:t>39,884</w:t>
            </w:r>
          </w:p>
        </w:tc>
        <w:tc>
          <w:tcPr>
            <w:tcW w:type="dxa" w:w="1440"/>
            <w:shd w:fill="FAFAFA" w:val="clear"/>
          </w:tcPr>
          <w:p>
            <w:r>
              <w:rPr>
                <w:b/>
                <w:color w:val="008000"/>
                <w:sz w:val="17"/>
              </w:rPr>
              <w:t>+1.2%</w:t>
            </w:r>
          </w:p>
        </w:tc>
      </w:tr>
      <w:tr>
        <w:tc>
          <w:tcPr>
            <w:tcW w:type="dxa" w:w="1440"/>
            <w:shd w:fill="FAFAFA" w:val="clear"/>
          </w:tcPr>
          <w:p>
            <w:r>
              <w:rPr>
                <w:sz w:val="17"/>
              </w:rPr>
              <w:t>J+4  Moyenne</w:t>
            </w:r>
          </w:p>
        </w:tc>
        <w:tc>
          <w:tcPr>
            <w:tcW w:type="dxa" w:w="1440"/>
            <w:shd w:fill="FAFAFA" w:val="clear"/>
          </w:tcPr>
          <w:p>
            <w:r>
              <w:rPr>
                <w:sz w:val="17"/>
              </w:rPr>
              <w:t>2026-10-22</w:t>
            </w:r>
          </w:p>
        </w:tc>
        <w:tc>
          <w:tcPr>
            <w:tcW w:type="dxa" w:w="1440"/>
            <w:shd w:fill="FAFAFA" w:val="clear"/>
          </w:tcPr>
          <w:p>
            <w:r>
              <w:rPr>
                <w:sz w:val="17"/>
              </w:rPr>
              <w:t>38,025</w:t>
            </w:r>
          </w:p>
        </w:tc>
        <w:tc>
          <w:tcPr>
            <w:tcW w:type="dxa" w:w="1440"/>
            <w:shd w:fill="FAFAFA" w:val="clear"/>
          </w:tcPr>
          <w:p>
            <w:r>
              <w:rPr>
                <w:b/>
                <w:sz w:val="17"/>
              </w:rPr>
              <w:t>39,094</w:t>
            </w:r>
          </w:p>
        </w:tc>
        <w:tc>
          <w:tcPr>
            <w:tcW w:type="dxa" w:w="1440"/>
            <w:shd w:fill="FAFAFA" w:val="clear"/>
          </w:tcPr>
          <w:p>
            <w:r>
              <w:rPr>
                <w:sz w:val="17"/>
              </w:rPr>
              <w:t>40,163</w:t>
            </w:r>
          </w:p>
        </w:tc>
        <w:tc>
          <w:tcPr>
            <w:tcW w:type="dxa" w:w="1440"/>
            <w:shd w:fill="FAFAFA" w:val="clear"/>
          </w:tcPr>
          <w:p>
            <w:r>
              <w:rPr>
                <w:b/>
                <w:color w:val="008000"/>
                <w:sz w:val="17"/>
              </w:rPr>
              <w:t>+1.5%</w:t>
            </w:r>
          </w:p>
        </w:tc>
      </w:tr>
      <w:tr>
        <w:tc>
          <w:tcPr>
            <w:tcW w:type="dxa" w:w="1440"/>
            <w:shd w:fill="FAFAFA" w:val="clear"/>
          </w:tcPr>
          <w:p>
            <w:r>
              <w:rPr>
                <w:sz w:val="17"/>
              </w:rPr>
              <w:t>J+5  Moyenne</w:t>
            </w:r>
          </w:p>
        </w:tc>
        <w:tc>
          <w:tcPr>
            <w:tcW w:type="dxa" w:w="1440"/>
            <w:shd w:fill="FAFAFA" w:val="clear"/>
          </w:tcPr>
          <w:p>
            <w:r>
              <w:rPr>
                <w:sz w:val="17"/>
              </w:rPr>
              <w:t>2026-10-23</w:t>
            </w:r>
          </w:p>
        </w:tc>
        <w:tc>
          <w:tcPr>
            <w:tcW w:type="dxa" w:w="1440"/>
            <w:shd w:fill="FAFAFA" w:val="clear"/>
          </w:tcPr>
          <w:p>
            <w:r>
              <w:rPr>
                <w:sz w:val="17"/>
              </w:rPr>
              <w:t>38,025</w:t>
            </w:r>
          </w:p>
        </w:tc>
        <w:tc>
          <w:tcPr>
            <w:tcW w:type="dxa" w:w="1440"/>
            <w:shd w:fill="FAFAFA" w:val="clear"/>
          </w:tcPr>
          <w:p>
            <w:r>
              <w:rPr>
                <w:b/>
                <w:sz w:val="17"/>
              </w:rPr>
              <w:t>39,225</w:t>
            </w:r>
          </w:p>
        </w:tc>
        <w:tc>
          <w:tcPr>
            <w:tcW w:type="dxa" w:w="1440"/>
            <w:shd w:fill="FAFAFA" w:val="clear"/>
          </w:tcPr>
          <w:p>
            <w:r>
              <w:rPr>
                <w:sz w:val="17"/>
              </w:rPr>
              <w:t>40,424</w:t>
            </w:r>
          </w:p>
        </w:tc>
        <w:tc>
          <w:tcPr>
            <w:tcW w:type="dxa" w:w="1440"/>
            <w:shd w:fill="FAFAFA" w:val="clear"/>
          </w:tcPr>
          <w:p>
            <w:r>
              <w:rPr>
                <w:b/>
                <w:color w:val="008000"/>
                <w:sz w:val="17"/>
              </w:rPr>
              <w:t>+1.9%</w:t>
            </w:r>
          </w:p>
        </w:tc>
      </w:tr>
      <w:tr>
        <w:tc>
          <w:tcPr>
            <w:tcW w:type="dxa" w:w="1440"/>
            <w:shd w:fill="C6EFCE" w:val="clear"/>
          </w:tcPr>
          <w:p>
            <w:r>
              <w:rPr>
                <w:sz w:val="17"/>
              </w:rPr>
              <w:t>J+6  Moyenne</w:t>
            </w:r>
          </w:p>
        </w:tc>
        <w:tc>
          <w:tcPr>
            <w:tcW w:type="dxa" w:w="1440"/>
            <w:shd w:fill="C6EFCE" w:val="clear"/>
          </w:tcPr>
          <w:p>
            <w:r>
              <w:rPr>
                <w:sz w:val="17"/>
              </w:rPr>
              <w:t>2026-10-26</w:t>
            </w:r>
          </w:p>
        </w:tc>
        <w:tc>
          <w:tcPr>
            <w:tcW w:type="dxa" w:w="1440"/>
            <w:shd w:fill="C6EFCE" w:val="clear"/>
          </w:tcPr>
          <w:p>
            <w:r>
              <w:rPr>
                <w:sz w:val="17"/>
              </w:rPr>
              <w:t>38,036</w:t>
            </w:r>
          </w:p>
        </w:tc>
        <w:tc>
          <w:tcPr>
            <w:tcW w:type="dxa" w:w="1440"/>
            <w:shd w:fill="C6EFCE" w:val="clear"/>
          </w:tcPr>
          <w:p>
            <w:r>
              <w:rPr>
                <w:b/>
                <w:sz w:val="17"/>
              </w:rPr>
              <w:t>39,354</w:t>
            </w:r>
          </w:p>
        </w:tc>
        <w:tc>
          <w:tcPr>
            <w:tcW w:type="dxa" w:w="1440"/>
            <w:shd w:fill="C6EFCE" w:val="clear"/>
          </w:tcPr>
          <w:p>
            <w:r>
              <w:rPr>
                <w:sz w:val="17"/>
              </w:rPr>
              <w:t>40,672</w:t>
            </w:r>
          </w:p>
        </w:tc>
        <w:tc>
          <w:tcPr>
            <w:tcW w:type="dxa" w:w="1440"/>
            <w:shd w:fill="C6EFCE" w:val="clear"/>
          </w:tcPr>
          <w:p>
            <w:r>
              <w:rPr>
                <w:b/>
                <w:color w:val="008000"/>
                <w:sz w:val="17"/>
              </w:rPr>
              <w:t>+2.2%</w:t>
            </w:r>
          </w:p>
        </w:tc>
      </w:tr>
      <w:tr>
        <w:tc>
          <w:tcPr>
            <w:tcW w:type="dxa" w:w="1440"/>
            <w:shd w:fill="C6EFCE" w:val="clear"/>
          </w:tcPr>
          <w:p>
            <w:r>
              <w:rPr>
                <w:sz w:val="17"/>
              </w:rPr>
              <w:t>J+7  Moyenne</w:t>
            </w:r>
          </w:p>
        </w:tc>
        <w:tc>
          <w:tcPr>
            <w:tcW w:type="dxa" w:w="1440"/>
            <w:shd w:fill="C6EFCE" w:val="clear"/>
          </w:tcPr>
          <w:p>
            <w:r>
              <w:rPr>
                <w:sz w:val="17"/>
              </w:rPr>
              <w:t>2026-10-27</w:t>
            </w:r>
          </w:p>
        </w:tc>
        <w:tc>
          <w:tcPr>
            <w:tcW w:type="dxa" w:w="1440"/>
            <w:shd w:fill="C6EFCE" w:val="clear"/>
          </w:tcPr>
          <w:p>
            <w:r>
              <w:rPr>
                <w:sz w:val="17"/>
              </w:rPr>
              <w:t>38,052</w:t>
            </w:r>
          </w:p>
        </w:tc>
        <w:tc>
          <w:tcPr>
            <w:tcW w:type="dxa" w:w="1440"/>
            <w:shd w:fill="C6EFCE" w:val="clear"/>
          </w:tcPr>
          <w:p>
            <w:r>
              <w:rPr>
                <w:b/>
                <w:sz w:val="17"/>
              </w:rPr>
              <w:t>39,481</w:t>
            </w:r>
          </w:p>
        </w:tc>
        <w:tc>
          <w:tcPr>
            <w:tcW w:type="dxa" w:w="1440"/>
            <w:shd w:fill="C6EFCE" w:val="clear"/>
          </w:tcPr>
          <w:p>
            <w:r>
              <w:rPr>
                <w:sz w:val="17"/>
              </w:rPr>
              <w:t>40,909</w:t>
            </w:r>
          </w:p>
        </w:tc>
        <w:tc>
          <w:tcPr>
            <w:tcW w:type="dxa" w:w="1440"/>
            <w:shd w:fill="C6EFCE" w:val="clear"/>
          </w:tcPr>
          <w:p>
            <w:r>
              <w:rPr>
                <w:b/>
                <w:color w:val="008000"/>
                <w:sz w:val="17"/>
              </w:rPr>
              <w:t>+2.5%</w:t>
            </w:r>
          </w:p>
        </w:tc>
      </w:tr>
      <w:tr>
        <w:tc>
          <w:tcPr>
            <w:tcW w:type="dxa" w:w="1440"/>
            <w:shd w:fill="C6EFCE" w:val="clear"/>
          </w:tcPr>
          <w:p>
            <w:r>
              <w:rPr>
                <w:sz w:val="17"/>
              </w:rPr>
              <w:t>J+8  Moyenne</w:t>
            </w:r>
          </w:p>
        </w:tc>
        <w:tc>
          <w:tcPr>
            <w:tcW w:type="dxa" w:w="1440"/>
            <w:shd w:fill="C6EFCE" w:val="clear"/>
          </w:tcPr>
          <w:p>
            <w:r>
              <w:rPr>
                <w:sz w:val="17"/>
              </w:rPr>
              <w:t>2026-10-28</w:t>
            </w:r>
          </w:p>
        </w:tc>
        <w:tc>
          <w:tcPr>
            <w:tcW w:type="dxa" w:w="1440"/>
            <w:shd w:fill="C6EFCE" w:val="clear"/>
          </w:tcPr>
          <w:p>
            <w:r>
              <w:rPr>
                <w:sz w:val="17"/>
              </w:rPr>
              <w:t>38,074</w:t>
            </w:r>
          </w:p>
        </w:tc>
        <w:tc>
          <w:tcPr>
            <w:tcW w:type="dxa" w:w="1440"/>
            <w:shd w:fill="C6EFCE" w:val="clear"/>
          </w:tcPr>
          <w:p>
            <w:r>
              <w:rPr>
                <w:b/>
                <w:sz w:val="17"/>
              </w:rPr>
              <w:t>39,606</w:t>
            </w:r>
          </w:p>
        </w:tc>
        <w:tc>
          <w:tcPr>
            <w:tcW w:type="dxa" w:w="1440"/>
            <w:shd w:fill="C6EFCE" w:val="clear"/>
          </w:tcPr>
          <w:p>
            <w:r>
              <w:rPr>
                <w:sz w:val="17"/>
              </w:rPr>
              <w:t>41,138</w:t>
            </w:r>
          </w:p>
        </w:tc>
        <w:tc>
          <w:tcPr>
            <w:tcW w:type="dxa" w:w="1440"/>
            <w:shd w:fill="C6EFCE" w:val="clear"/>
          </w:tcPr>
          <w:p>
            <w:r>
              <w:rPr>
                <w:b/>
                <w:color w:val="008000"/>
                <w:sz w:val="17"/>
              </w:rPr>
              <w:t>+2.9%</w:t>
            </w:r>
          </w:p>
        </w:tc>
      </w:tr>
      <w:tr>
        <w:tc>
          <w:tcPr>
            <w:tcW w:type="dxa" w:w="1440"/>
            <w:shd w:fill="C6EFCE" w:val="clear"/>
          </w:tcPr>
          <w:p>
            <w:r>
              <w:rPr>
                <w:sz w:val="17"/>
              </w:rPr>
              <w:t>J+9  Moyenne</w:t>
            </w:r>
          </w:p>
        </w:tc>
        <w:tc>
          <w:tcPr>
            <w:tcW w:type="dxa" w:w="1440"/>
            <w:shd w:fill="C6EFCE" w:val="clear"/>
          </w:tcPr>
          <w:p>
            <w:r>
              <w:rPr>
                <w:sz w:val="17"/>
              </w:rPr>
              <w:t>2026-10-29</w:t>
            </w:r>
          </w:p>
        </w:tc>
        <w:tc>
          <w:tcPr>
            <w:tcW w:type="dxa" w:w="1440"/>
            <w:shd w:fill="C6EFCE" w:val="clear"/>
          </w:tcPr>
          <w:p>
            <w:r>
              <w:rPr>
                <w:sz w:val="17"/>
              </w:rPr>
              <w:t>38,100</w:t>
            </w:r>
          </w:p>
        </w:tc>
        <w:tc>
          <w:tcPr>
            <w:tcW w:type="dxa" w:w="1440"/>
            <w:shd w:fill="C6EFCE" w:val="clear"/>
          </w:tcPr>
          <w:p>
            <w:r>
              <w:rPr>
                <w:b/>
                <w:sz w:val="17"/>
              </w:rPr>
              <w:t>39,729</w:t>
            </w:r>
          </w:p>
        </w:tc>
        <w:tc>
          <w:tcPr>
            <w:tcW w:type="dxa" w:w="1440"/>
            <w:shd w:fill="C6EFCE" w:val="clear"/>
          </w:tcPr>
          <w:p>
            <w:r>
              <w:rPr>
                <w:sz w:val="17"/>
              </w:rPr>
              <w:t>41,359</w:t>
            </w:r>
          </w:p>
        </w:tc>
        <w:tc>
          <w:tcPr>
            <w:tcW w:type="dxa" w:w="1440"/>
            <w:shd w:fill="C6EFCE" w:val="clear"/>
          </w:tcPr>
          <w:p>
            <w:r>
              <w:rPr>
                <w:b/>
                <w:color w:val="008000"/>
                <w:sz w:val="17"/>
              </w:rPr>
              <w:t>+3.2%</w:t>
            </w:r>
          </w:p>
        </w:tc>
      </w:tr>
      <w:tr>
        <w:tc>
          <w:tcPr>
            <w:tcW w:type="dxa" w:w="1440"/>
            <w:shd w:fill="C6EFCE" w:val="clear"/>
          </w:tcPr>
          <w:p>
            <w:r>
              <w:rPr>
                <w:sz w:val="17"/>
              </w:rPr>
              <w:t>J+10  Moyenne</w:t>
            </w:r>
          </w:p>
        </w:tc>
        <w:tc>
          <w:tcPr>
            <w:tcW w:type="dxa" w:w="1440"/>
            <w:shd w:fill="C6EFCE" w:val="clear"/>
          </w:tcPr>
          <w:p>
            <w:r>
              <w:rPr>
                <w:sz w:val="17"/>
              </w:rPr>
              <w:t>2026-10-30</w:t>
            </w:r>
          </w:p>
        </w:tc>
        <w:tc>
          <w:tcPr>
            <w:tcW w:type="dxa" w:w="1440"/>
            <w:shd w:fill="C6EFCE" w:val="clear"/>
          </w:tcPr>
          <w:p>
            <w:r>
              <w:rPr>
                <w:sz w:val="17"/>
              </w:rPr>
              <w:t>38,128</w:t>
            </w:r>
          </w:p>
        </w:tc>
        <w:tc>
          <w:tcPr>
            <w:tcW w:type="dxa" w:w="1440"/>
            <w:shd w:fill="C6EFCE" w:val="clear"/>
          </w:tcPr>
          <w:p>
            <w:r>
              <w:rPr>
                <w:b/>
                <w:sz w:val="17"/>
              </w:rPr>
              <w:t>39,851</w:t>
            </w:r>
          </w:p>
        </w:tc>
        <w:tc>
          <w:tcPr>
            <w:tcW w:type="dxa" w:w="1440"/>
            <w:shd w:fill="C6EFCE" w:val="clear"/>
          </w:tcPr>
          <w:p>
            <w:r>
              <w:rPr>
                <w:sz w:val="17"/>
              </w:rPr>
              <w:t>41,574</w:t>
            </w:r>
          </w:p>
        </w:tc>
        <w:tc>
          <w:tcPr>
            <w:tcW w:type="dxa" w:w="1440"/>
            <w:shd w:fill="C6EFCE" w:val="clear"/>
          </w:tcPr>
          <w:p>
            <w:r>
              <w:rPr>
                <w:b/>
                <w:color w:val="008000"/>
                <w:sz w:val="17"/>
              </w:rPr>
              <w:t>+3.5%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 RAPPORT D'ANALYSE FINANCIÈRE — SLBC (SOLIBRA CI)</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633,74 milliards FCFA, SLBC s'impose comme l'une des plus grandes capitalisations de la BRVM, témoignant de son statut de valeur de premier plan sur le marché régional. Le BPA de 2 781 FCFA/action signifie que chaque titre génère près de 2 800 FCFA de bénéfice net, un niveau remarquable qui traduit la forte rentabilité de l'entreprise. Le PER de 13,8x se situe légèrement au-dessus de la moyenne BRVM (8-12x), ce qui indique que les investisseurs acceptent de payer une prime modérée pour la qualité des bénéfices et la croissance exceptionnelle de SOLIBRA — cette prime reste toutefois raisonnable et non spéculative. Le P/B de 3,25x confirme cette prime de croissance : le marché valorise l'action à plus de trois fois sa valeur comptable, en reconnaissance de la rentabilité des fonds propres (ROE de 23,5%). Enfin, l'EV/EBITDA de 7,5x, dans la fourchette raisonnable de 5-10x, suggère que la valeur d'entreprise reste cohérente avec la capacité opérationnelle de génération de cash-flow, sans excès manifeste.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SLBC a enregistré une variation totale de +1,29%, avec une dernière séance (J-1) quasi stable à +0,03%, s'établissant à 38 500 FCFA. Le titre a évolué dans un range de trading relativement serré entre un plus bas de 36 900 FCFA et un plus haut de 41 500 FCFA, soit un écart d'environ 12,5% — signe d'une tendance globalement haussière mais contenue, sans mouvement directionnel marqué. Les statistiques descriptives révèlent une moyenne de 38 276 FCFA légèrement supérieure à la médiane de 38 000 FCFA (elle-même égale au mode), ce qui indique une distribution faiblement asymétrique avec quelques journées de cours élevés tirant la moyenne vers le haut. L'écart-type de 867 FCFA, correspondant à un coefficient de variation de seulement 2,3%, témoigne d'une dispersion très faible du cours : le titre est remarquablement stable, sans à-coups violents. Le kurtosis de 0,682 (mésokurtique, proche d'une distribution normale) suggère une absence de risque de pics extrêmes, tandis que le skewness de 0,767 (asymétrie positive) indique que les journées sous la moyenne sont plus fréquentes, mais compensées par des hausses ponctuelles plus fortes. La volatilité annualisée de 24,7% positionne le titre dans la catégorie des valeurs à volatilité modérée (15-30%), cohérente avec un profil de valeur défensive et liquide.</w:t>
      </w:r>
    </w:p>
    <w:p>
      <w:pPr>
        <w:spacing w:after="120" w:line="276" w:lineRule="auto"/>
      </w:pPr>
      <w:r>
        <w:t>---</w:t>
      </w:r>
    </w:p>
    <w:p>
      <w:pPr>
        <w:spacing w:after="120" w:line="276" w:lineRule="auto"/>
      </w:pPr>
      <w:r>
        <w:t>## PARTIE 2 : ANALYSE TECHNIQUE DÉTAILLÉE</w:t>
      </w:r>
    </w:p>
    <w:p>
      <w:pPr>
        <w:spacing w:after="120" w:line="276" w:lineRule="auto"/>
      </w:pPr>
      <w:r>
        <w:t>**Moyennes Mobiles :** La MM20 (37 771 FCFA) et la MM50 (37 682,3 FCFA) se situent toutes deux sous le cours actuel de 38 500 FCFA, avec la MM20 légèrement au-dessus de la MM50 — configuration haussière classique. Le cours évoluant au-dessus de ses deux moyennes mobiles, la dynamique de court et moyen terme est positive, ce qui justifie la décision d'ACHAT.</w:t>
      </w:r>
    </w:p>
    <w:p>
      <w:pPr>
        <w:spacing w:after="120" w:line="276" w:lineRule="auto"/>
      </w:pPr>
      <w:r>
        <w:t>**Bandes de Bollinger :** Le cours actuel (38 500 FCFA) se situe à proximité de la borne supérieure (38 577,7 FCFA) tout en restant dans le canal délimité par la borne inférieure (36 964,3 FCFA). Cette position haute, sans franchissement de la borne, traduit une volatilité contenue et une pression acheteuse modérée ; la décision NEUTRE reflète l'absence de signal de surachat ou de survente extrême.</w:t>
      </w:r>
    </w:p>
    <w:p>
      <w:pPr>
        <w:spacing w:after="120" w:line="276" w:lineRule="auto"/>
      </w:pPr>
      <w:r>
        <w:t>**MACD :** La valeur du MACD (86,215) est nettement supérieure à son signal (-29,696), générant une divergence positive marquée qui confirme un momentum haussier soutenu. Cette configuration, où l'histogramme est positif et en expansion, valide la décision d'ACHAT et suggère la poursuite de la tendance.</w:t>
      </w:r>
    </w:p>
    <w:p>
      <w:pPr>
        <w:spacing w:after="120" w:line="276" w:lineRule="auto"/>
      </w:pPr>
      <w:r>
        <w:t>**RSI :** À 56,545, le RSI se situe dans la zone neutre (30-70), sans atteindre les seuils de surachat (&gt;70) ou de survente (&lt;30). Cette position médiane indique un équilibre entre acheteurs et vendeurs, avec un léger avantage haussier, justifiant la décision NEUTRE — le titre n'est ni surévalué ni sous-évalué techniquement.</w:t>
      </w:r>
    </w:p>
    <w:p>
      <w:pPr>
        <w:spacing w:after="120" w:line="276" w:lineRule="auto"/>
      </w:pPr>
      <w:r>
        <w:t>**Stochastique :** Le %K et le %D sont tous deux à 100,0, niveau maximal absolu qui signale un surachat extrême et une possible saturation de la tendance haussière à court terme. Cette configuration, bien que traduisant une forte pression acheteuse récente, expose le titre à un risque de correction technique, justifiant la décision de VENTE à court terme.</w:t>
      </w:r>
    </w:p>
    <w:p>
      <w:pPr>
        <w:spacing w:after="120" w:line="276" w:lineRule="auto"/>
      </w:pPr>
      <w:r>
        <w:t>**Conclusion technique :** Les indicateurs présentent une convergence majoritairement haussière (MM, MACD) tempérée par des signaux de neutralité (Bollinger, RSI) et un signal de surachat (Stochastique). Cette configuration suggère une tendance de fond positive mais un essoufflement à court terme, plaidant pour une approche prudente : conserver la position en attendant une consolidation, avec un point d'entrée plus favorable en cas de repli vers la MM20 (37 771 FCFA).</w:t>
      </w:r>
    </w:p>
    <w:p>
      <w:pPr>
        <w:spacing w:after="120" w:line="276" w:lineRule="auto"/>
      </w:pPr>
      <w:r>
        <w:t>---</w:t>
      </w:r>
    </w:p>
    <w:p>
      <w:pPr>
        <w:spacing w:after="120" w:line="276" w:lineRule="auto"/>
      </w:pPr>
      <w:r>
        <w:t>## PARTIE 3 : ANALYSE FONDAMENTALE</w:t>
      </w:r>
    </w:p>
    <w:p>
      <w:pPr>
        <w:spacing w:after="120" w:line="276" w:lineRule="auto"/>
      </w:pPr>
      <w:r>
        <w:t>Les états financiers de l'exercice 2025 (rapport officiel analysé le 20/05/2026) révèlent une performance exceptionnelle : le chiffre d'affaires s'établit à 378,123 milliards FCFA, en croissance de 22,08% par rapport aux 309,722 milliards de 2024, tandis que le résultat net atteint 45,781 milliards FCFA, pratiquement doublé (+113%) par rapport aux 21,472 milliards de 2024. Cette explosion de la rentabilité se traduit par un ROE remarquable de 23,46% (largement supérieur au seuil de 15% considéré comme excellent) et un ROA de 13,48%, confirmant l'efficacité capitalistique de l'entreprise. La marge nette progresse de 6,9% à 12,11%, la marge opérationnelle s'établit à 17,23% et la marge brute à 76,21%, témoignant d'une maîtrise des coûts et d'un effet volume favorable. Sur le plan de la structure financière, l'autonomie financière de 57,48% (capitaux propres de 195,142 milliards FCFA pour un total bilan de 339,517 milliards) est très saine, la capacité de remboursement de 0,67 année (dettes financières/CAF) est excellente, et la trésorerie nette positive de 22,117 milliards FCFA offre une grande flexibilité. Les délais d'exploitation méritent attention : le délai clients de 64,27 jours expose à un risque de trésorerie modéré, la durée de stockage de 117,32 jours immobilise du capital, mais le délai fournisseurs de 76,82 jours (supérieur au délai clients) procure un avantage de financement. Le BFR de 61,587 milliards FCFA, bien que positif, est couvert par un fonds de roulement de 83,689 milliards FCFA. Les rapports trimestriels confirment la dynamique : le T1 2026 (rapport du 19/05/2026) affiche un CA de 93,46 milliards FCFA (+7,6%), un volume distribué de 1,839 million d'hectolitres (+9,6%) et un résultat net de 16,26 milliards FCFA (+4,8%), avec une marge nette de 17,4% — on estime donc que l'exercice 2026 devrait maintenir une croissance à deux chiffres, bien qu'à un rythme plus modéré que 2025. Le S1 2025 (rapport du 30/06/2025) avait déjà montré un résultat net de 28,0 milliards FCFA (+175,1%) et une marge opérationnelle de 23,3%. La politique de dividende est très généreuse : le dividende proposé de 2 127 FCFA/action (35,012 milliards FCFA au total, soit un payout de 76,5%) offre un rendement attractif de 5,5% au cours actuel de 38 500 FCFA. La recommandation fondamentale est donc clairement positive : solidité financière, croissance profitable, génération de cash-flow robuste (FCF de 60,867 milliards FCFA) et rémunération attractive, avec pour principaux risques la dépendance aux matières premières (90 milliards FCFA d'achats exposés à la volatilité) et la concentration géographique sur le marché ivoirien.</w:t>
      </w:r>
    </w:p>
    <w:p>
      <w:pPr>
        <w:spacing w:after="120" w:line="276" w:lineRule="auto"/>
      </w:pPr>
      <w:r>
        <w:t>---</w:t>
      </w:r>
    </w:p>
    <w:p>
      <w:pPr>
        <w:spacing w:after="120" w:line="276" w:lineRule="auto"/>
      </w:pPr>
      <w:r>
        <w:t>## PARTIE 4 : CONCLUSION D'INVESTISSEMENT</w:t>
      </w:r>
    </w:p>
    <w:p>
      <w:pPr>
        <w:spacing w:after="120" w:line="276" w:lineRule="auto"/>
      </w:pPr>
      <w:r>
        <w:t>La synthèse des quatre dimensions analysées converge vers un profil d'investissement favorable mais nuancé. Sur le plan de la **valorisation (Partie 0)**, les ratios PER de 13,8x, P/B de 3,25x et EV/EBITDA de 7,5x indiquent une valorisation raisonnable, légèrement supérieure à la moyenne BRVM mais justifiée par la qualité des bénéfices et la croissance — le titre n'est ni sous-évalué ni surévalué de manière excessive. Le **comportement du cours (Partie 1)** est rassurant : tendance haussière modérée (+1,29%), volatilité contenue (24,7%), dispersion faible (CV de 2,3%) et distribution proche de la normale (kurtosis de 0,682), sans risque de pics extrêmes — un profil de valeur stable et défensive. Les **signaux techniques (Partie 2)** présentent une divergence : les MM et le MACD confirment la tendance haussière, mais le Stochastique en surachat extrême (100,0) et le RSI neutre (56,5) suggèrent un essoufflement à court terme, plaidant pour la patience plutôt que l'achat immédiat. Les **fondamentaux (Partie 3)** sont exceptionnels : croissance du CA de 22,08%, résultat net doublé, ROE de 23,46%, structure financière saine et dividende attractif (rendement de 5,5%), avec des perspectives 2026 positives confirmées par le T1 (+7,6% de CA). Les **prédictions IA (J+1 à J+10)** projettent une trajectoire haussière régulière de 38 677 FCFA à 39 225 FCFA (+1,9% sur 10 jours), confirmant la tendance de fond sans anticiper de correction malgré le surachat technique. **Recommandation finale : ACHAT**, avec un niveau de confiance **Élevé** et un niveau de risque **Moyen** (volatilité modérée, dépendance aux matières premières, concentration géographique). L'horizon d'investissement optimal est le **moyen à long terme (6 mois à plus d'un an)** : les investisseurs peuvent initier une position progressivement, en privilégiant les replis vers la MM20 (37 771 FCFA) pour optimiser le point d'entrée, et profiter à la fois de la croissance du capital et du rendement du dividende (5,5%). La convergence entre valorisation raisonnable, fondamentaux exceptionnels et prédictions haussières l'emporte sur les signaux techniques de court terme, faisant de SLBC une valeur de qualité à conserver en portefeuille.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[2]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Pr>
        <w:ind w:left="400"/>
      </w:pPr>
      <w:r>
        <w:rPr>
          <w:color w:val="B4B4B4"/>
          <w:sz w:val="14"/>
        </w:rPr>
        <w:t xml:space="preserve">· · · · · · · · · · · · · · · · · · · · · · · · · · · · · · </w:t>
      </w:r>
    </w:p>
    <w:p>
      <w:pPr>
        <w:spacing w:before="160"/>
      </w:pPr>
      <w:r>
        <w:rPr>
          <w:b/>
          <w:color w:val="0066CC"/>
          <w:sz w:val="20"/>
        </w:rPr>
        <w:t xml:space="preserve">[3]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39.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120.01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1,614 titres</w:t>
            </w:r>
          </w:p>
        </w:tc>
        <w:tc>
          <w:tcPr>
            <w:tcW w:type="dxa" w:w="2268"/>
            <w:shd w:fill="FFF2CC" w:val="clear"/>
          </w:tcPr>
          <w:p>
            <w:r>
              <w:rPr>
                <w:b/>
                <w:color w:val="503200"/>
                <w:sz w:val="16"/>
              </w:rPr>
              <w:t xml:space="preserve">Cours actuel : </w:t>
            </w:r>
            <w:r>
              <w:rPr>
                <w:color w:val="000000"/>
                <w:sz w:val="17"/>
              </w:rPr>
              <w:t>15,395 FCFA</w:t>
            </w:r>
          </w:p>
          <w:p>
            <w:r>
              <w:rPr>
                <w:b/>
                <w:color w:val="503200"/>
                <w:sz w:val="16"/>
              </w:rPr>
              <w:t xml:space="preserve">Var. 100 jours : </w:t>
            </w:r>
            <w:r>
              <w:rPr>
                <w:b/>
                <w:color w:val="007800"/>
                <w:sz w:val="17"/>
              </w:rPr>
              <w:t>+18.42%</w:t>
            </w:r>
          </w:p>
          <w:p>
            <w:r>
              <w:rPr>
                <w:b/>
                <w:color w:val="503200"/>
                <w:sz w:val="16"/>
              </w:rPr>
              <w:t xml:space="preserve">Plus haut 100j : </w:t>
            </w:r>
            <w:r>
              <w:rPr>
                <w:color w:val="000000"/>
                <w:sz w:val="17"/>
              </w:rPr>
              <w:t>18,500 FCFA</w:t>
            </w:r>
          </w:p>
          <w:p>
            <w:r>
              <w:rPr>
                <w:b/>
                <w:color w:val="503200"/>
                <w:sz w:val="16"/>
              </w:rPr>
              <w:t xml:space="preserve">Plus bas 100j : </w:t>
            </w:r>
            <w:r>
              <w:rPr>
                <w:color w:val="000000"/>
                <w:sz w:val="17"/>
              </w:rPr>
              <w:t>13,000 FCFA</w:t>
            </w:r>
          </w:p>
          <w:p>
            <w:r>
              <w:rPr>
                <w:b/>
                <w:color w:val="503200"/>
                <w:sz w:val="16"/>
              </w:rPr>
              <w:t xml:space="preserve">Volatilité ann. : </w:t>
            </w:r>
            <w:r>
              <w:rPr>
                <w:color w:val="000000"/>
                <w:sz w:val="17"/>
              </w:rPr>
              <w:t>42.3%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7.24% (Moyenne) — μ=16,268 FCFA, σ=1,177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β=0.3972 (Défensif) — Cov=0.000030, Var(idx)=0.000076, ρ=0.129,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1,614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σ_j=2.66%/j (Stable) — Vol. annualisée≈42.3%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14,656</w:t>
            </w:r>
          </w:p>
        </w:tc>
        <w:tc>
          <w:tcPr>
            <w:tcW w:type="dxa" w:w="1440"/>
            <w:shd w:fill="FAFAFA" w:val="clear"/>
          </w:tcPr>
          <w:p>
            <w:r>
              <w:rPr>
                <w:b/>
                <w:sz w:val="17"/>
              </w:rPr>
              <w:t>15,428</w:t>
            </w:r>
          </w:p>
        </w:tc>
        <w:tc>
          <w:tcPr>
            <w:tcW w:type="dxa" w:w="1440"/>
            <w:shd w:fill="FAFAFA" w:val="clear"/>
          </w:tcPr>
          <w:p>
            <w:r>
              <w:rPr>
                <w:sz w:val="17"/>
              </w:rPr>
              <w:t>16,200</w:t>
            </w:r>
          </w:p>
        </w:tc>
        <w:tc>
          <w:tcPr>
            <w:tcW w:type="dxa" w:w="1440"/>
            <w:shd w:fill="FAFAFA" w:val="clear"/>
          </w:tcPr>
          <w:p>
            <w:r>
              <w:rPr>
                <w:b/>
                <w:color w:val="008000"/>
                <w:sz w:val="17"/>
              </w:rPr>
              <w:t>+0.2%</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14,309</w:t>
            </w:r>
          </w:p>
        </w:tc>
        <w:tc>
          <w:tcPr>
            <w:tcW w:type="dxa" w:w="1440"/>
            <w:shd w:fill="FAFAFA" w:val="clear"/>
          </w:tcPr>
          <w:p>
            <w:r>
              <w:rPr>
                <w:b/>
                <w:sz w:val="17"/>
              </w:rPr>
              <w:t>15,399</w:t>
            </w:r>
          </w:p>
        </w:tc>
        <w:tc>
          <w:tcPr>
            <w:tcW w:type="dxa" w:w="1440"/>
            <w:shd w:fill="FAFAFA" w:val="clear"/>
          </w:tcPr>
          <w:p>
            <w:r>
              <w:rPr>
                <w:sz w:val="17"/>
              </w:rPr>
              <w:t>16,489</w:t>
            </w:r>
          </w:p>
        </w:tc>
        <w:tc>
          <w:tcPr>
            <w:tcW w:type="dxa" w:w="1440"/>
            <w:shd w:fill="FAFAFA" w:val="clear"/>
          </w:tcPr>
          <w:p>
            <w:r>
              <w:rPr>
                <w:b/>
                <w:color w:val="008000"/>
                <w:sz w:val="17"/>
              </w:rPr>
              <w:t>+0.0%</w:t>
            </w:r>
          </w:p>
        </w:tc>
      </w:tr>
      <w:tr>
        <w:tc>
          <w:tcPr>
            <w:tcW w:type="dxa" w:w="1440"/>
            <w:shd w:fill="FAFAFA" w:val="clear"/>
          </w:tcPr>
          <w:p>
            <w:r>
              <w:rPr>
                <w:sz w:val="17"/>
              </w:rPr>
              <w:t>J+3  Moyenne</w:t>
            </w:r>
          </w:p>
        </w:tc>
        <w:tc>
          <w:tcPr>
            <w:tcW w:type="dxa" w:w="1440"/>
            <w:shd w:fill="FAFAFA" w:val="clear"/>
          </w:tcPr>
          <w:p>
            <w:r>
              <w:rPr>
                <w:sz w:val="17"/>
              </w:rPr>
              <w:t>2026-10-21</w:t>
            </w:r>
          </w:p>
        </w:tc>
        <w:tc>
          <w:tcPr>
            <w:tcW w:type="dxa" w:w="1440"/>
            <w:shd w:fill="FAFAFA" w:val="clear"/>
          </w:tcPr>
          <w:p>
            <w:r>
              <w:rPr>
                <w:sz w:val="17"/>
              </w:rPr>
              <w:t>14,043</w:t>
            </w:r>
          </w:p>
        </w:tc>
        <w:tc>
          <w:tcPr>
            <w:tcW w:type="dxa" w:w="1440"/>
            <w:shd w:fill="FAFAFA" w:val="clear"/>
          </w:tcPr>
          <w:p>
            <w:r>
              <w:rPr>
                <w:b/>
                <w:sz w:val="17"/>
              </w:rPr>
              <w:t>15,376</w:t>
            </w:r>
          </w:p>
        </w:tc>
        <w:tc>
          <w:tcPr>
            <w:tcW w:type="dxa" w:w="1440"/>
            <w:shd w:fill="FAFAFA" w:val="clear"/>
          </w:tcPr>
          <w:p>
            <w:r>
              <w:rPr>
                <w:sz w:val="17"/>
              </w:rPr>
              <w:t>16,708</w:t>
            </w:r>
          </w:p>
        </w:tc>
        <w:tc>
          <w:tcPr>
            <w:tcW w:type="dxa" w:w="1440"/>
            <w:shd w:fill="FAFAFA" w:val="clear"/>
          </w:tcPr>
          <w:p>
            <w:r>
              <w:rPr>
                <w:b/>
                <w:color w:val="C00000"/>
                <w:sz w:val="17"/>
              </w:rPr>
              <w:t>-0.1%</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13,815</w:t>
            </w:r>
          </w:p>
        </w:tc>
        <w:tc>
          <w:tcPr>
            <w:tcW w:type="dxa" w:w="1440"/>
            <w:shd w:fill="FAFAFA" w:val="clear"/>
          </w:tcPr>
          <w:p>
            <w:r>
              <w:rPr>
                <w:b/>
                <w:sz w:val="17"/>
              </w:rPr>
              <w:t>15,351</w:t>
            </w:r>
          </w:p>
        </w:tc>
        <w:tc>
          <w:tcPr>
            <w:tcW w:type="dxa" w:w="1440"/>
            <w:shd w:fill="FAFAFA" w:val="clear"/>
          </w:tcPr>
          <w:p>
            <w:r>
              <w:rPr>
                <w:sz w:val="17"/>
              </w:rPr>
              <w:t>16,888</w:t>
            </w:r>
          </w:p>
        </w:tc>
        <w:tc>
          <w:tcPr>
            <w:tcW w:type="dxa" w:w="1440"/>
            <w:shd w:fill="FAFAFA" w:val="clear"/>
          </w:tcPr>
          <w:p>
            <w:r>
              <w:rPr>
                <w:b/>
                <w:color w:val="C00000"/>
                <w:sz w:val="17"/>
              </w:rPr>
              <w:t>-0.3%</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13,612</w:t>
            </w:r>
          </w:p>
        </w:tc>
        <w:tc>
          <w:tcPr>
            <w:tcW w:type="dxa" w:w="1440"/>
            <w:shd w:fill="FAFAFA" w:val="clear"/>
          </w:tcPr>
          <w:p>
            <w:r>
              <w:rPr>
                <w:b/>
                <w:sz w:val="17"/>
              </w:rPr>
              <w:t>15,326</w:t>
            </w:r>
          </w:p>
        </w:tc>
        <w:tc>
          <w:tcPr>
            <w:tcW w:type="dxa" w:w="1440"/>
            <w:shd w:fill="FAFAFA" w:val="clear"/>
          </w:tcPr>
          <w:p>
            <w:r>
              <w:rPr>
                <w:sz w:val="17"/>
              </w:rPr>
              <w:t>17,041</w:t>
            </w:r>
          </w:p>
        </w:tc>
        <w:tc>
          <w:tcPr>
            <w:tcW w:type="dxa" w:w="1440"/>
            <w:shd w:fill="FAFAFA" w:val="clear"/>
          </w:tcPr>
          <w:p>
            <w:r>
              <w:rPr>
                <w:b/>
                <w:color w:val="C00000"/>
                <w:sz w:val="17"/>
              </w:rPr>
              <w:t>-0.4%</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13,426</w:t>
            </w:r>
          </w:p>
        </w:tc>
        <w:tc>
          <w:tcPr>
            <w:tcW w:type="dxa" w:w="1440"/>
            <w:shd w:fill="FAFAFA" w:val="clear"/>
          </w:tcPr>
          <w:p>
            <w:r>
              <w:rPr>
                <w:b/>
                <w:sz w:val="17"/>
              </w:rPr>
              <w:t>15,301</w:t>
            </w:r>
          </w:p>
        </w:tc>
        <w:tc>
          <w:tcPr>
            <w:tcW w:type="dxa" w:w="1440"/>
            <w:shd w:fill="FAFAFA" w:val="clear"/>
          </w:tcPr>
          <w:p>
            <w:r>
              <w:rPr>
                <w:sz w:val="17"/>
              </w:rPr>
              <w:t>17,177</w:t>
            </w:r>
          </w:p>
        </w:tc>
        <w:tc>
          <w:tcPr>
            <w:tcW w:type="dxa" w:w="1440"/>
            <w:shd w:fill="FAFAFA" w:val="clear"/>
          </w:tcPr>
          <w:p>
            <w:r>
              <w:rPr>
                <w:b/>
                <w:color w:val="C00000"/>
                <w:sz w:val="17"/>
              </w:rPr>
              <w:t>-0.6%</w:t>
            </w:r>
          </w:p>
        </w:tc>
      </w:tr>
      <w:tr>
        <w:tc>
          <w:tcPr>
            <w:tcW w:type="dxa" w:w="1440"/>
            <w:shd w:fill="FAFAFA" w:val="clear"/>
          </w:tcPr>
          <w:p>
            <w:r>
              <w:rPr>
                <w:sz w:val="17"/>
              </w:rPr>
              <w:t>J+7  ⭐</w:t>
            </w:r>
          </w:p>
        </w:tc>
        <w:tc>
          <w:tcPr>
            <w:tcW w:type="dxa" w:w="1440"/>
            <w:shd w:fill="FAFAFA" w:val="clear"/>
          </w:tcPr>
          <w:p>
            <w:r>
              <w:rPr>
                <w:sz w:val="17"/>
              </w:rPr>
              <w:t>2026-10-27</w:t>
            </w:r>
          </w:p>
        </w:tc>
        <w:tc>
          <w:tcPr>
            <w:tcW w:type="dxa" w:w="1440"/>
            <w:shd w:fill="FAFAFA" w:val="clear"/>
          </w:tcPr>
          <w:p>
            <w:r>
              <w:rPr>
                <w:sz w:val="17"/>
              </w:rPr>
              <w:t>13,254</w:t>
            </w:r>
          </w:p>
        </w:tc>
        <w:tc>
          <w:tcPr>
            <w:tcW w:type="dxa" w:w="1440"/>
            <w:shd w:fill="FAFAFA" w:val="clear"/>
          </w:tcPr>
          <w:p>
            <w:r>
              <w:rPr>
                <w:b/>
                <w:sz w:val="17"/>
              </w:rPr>
              <w:t>15,277</w:t>
            </w:r>
          </w:p>
        </w:tc>
        <w:tc>
          <w:tcPr>
            <w:tcW w:type="dxa" w:w="1440"/>
            <w:shd w:fill="FAFAFA" w:val="clear"/>
          </w:tcPr>
          <w:p>
            <w:r>
              <w:rPr>
                <w:sz w:val="17"/>
              </w:rPr>
              <w:t>17,299</w:t>
            </w:r>
          </w:p>
        </w:tc>
        <w:tc>
          <w:tcPr>
            <w:tcW w:type="dxa" w:w="1440"/>
            <w:shd w:fill="FAFAFA" w:val="clear"/>
          </w:tcPr>
          <w:p>
            <w:r>
              <w:rPr>
                <w:b/>
                <w:color w:val="C00000"/>
                <w:sz w:val="17"/>
              </w:rPr>
              <w:t>-0.8%</w:t>
            </w:r>
          </w:p>
        </w:tc>
      </w:tr>
      <w:tr>
        <w:tc>
          <w:tcPr>
            <w:tcW w:type="dxa" w:w="1440"/>
            <w:shd w:fill="FAFAFA" w:val="clear"/>
          </w:tcPr>
          <w:p>
            <w:r>
              <w:rPr>
                <w:sz w:val="17"/>
              </w:rPr>
              <w:t>J+8  ⭐</w:t>
            </w:r>
          </w:p>
        </w:tc>
        <w:tc>
          <w:tcPr>
            <w:tcW w:type="dxa" w:w="1440"/>
            <w:shd w:fill="FAFAFA" w:val="clear"/>
          </w:tcPr>
          <w:p>
            <w:r>
              <w:rPr>
                <w:sz w:val="17"/>
              </w:rPr>
              <w:t>2026-10-28</w:t>
            </w:r>
          </w:p>
        </w:tc>
        <w:tc>
          <w:tcPr>
            <w:tcW w:type="dxa" w:w="1440"/>
            <w:shd w:fill="FAFAFA" w:val="clear"/>
          </w:tcPr>
          <w:p>
            <w:r>
              <w:rPr>
                <w:sz w:val="17"/>
              </w:rPr>
              <w:t>13,094</w:t>
            </w:r>
          </w:p>
        </w:tc>
        <w:tc>
          <w:tcPr>
            <w:tcW w:type="dxa" w:w="1440"/>
            <w:shd w:fill="FAFAFA" w:val="clear"/>
          </w:tcPr>
          <w:p>
            <w:r>
              <w:rPr>
                <w:b/>
                <w:sz w:val="17"/>
              </w:rPr>
              <w:t>15,252</w:t>
            </w:r>
          </w:p>
        </w:tc>
        <w:tc>
          <w:tcPr>
            <w:tcW w:type="dxa" w:w="1440"/>
            <w:shd w:fill="FAFAFA" w:val="clear"/>
          </w:tcPr>
          <w:p>
            <w:r>
              <w:rPr>
                <w:sz w:val="17"/>
              </w:rPr>
              <w:t>17,410</w:t>
            </w:r>
          </w:p>
        </w:tc>
        <w:tc>
          <w:tcPr>
            <w:tcW w:type="dxa" w:w="1440"/>
            <w:shd w:fill="FAFAFA" w:val="clear"/>
          </w:tcPr>
          <w:p>
            <w:r>
              <w:rPr>
                <w:b/>
                <w:color w:val="C00000"/>
                <w:sz w:val="17"/>
              </w:rPr>
              <w:t>-0.9%</w:t>
            </w:r>
          </w:p>
        </w:tc>
      </w:tr>
      <w:tr>
        <w:tc>
          <w:tcPr>
            <w:tcW w:type="dxa" w:w="1440"/>
            <w:shd w:fill="FAFAFA" w:val="clear"/>
          </w:tcPr>
          <w:p>
            <w:r>
              <w:rPr>
                <w:sz w:val="17"/>
              </w:rPr>
              <w:t>J+9  ⭐</w:t>
            </w:r>
          </w:p>
        </w:tc>
        <w:tc>
          <w:tcPr>
            <w:tcW w:type="dxa" w:w="1440"/>
            <w:shd w:fill="FAFAFA" w:val="clear"/>
          </w:tcPr>
          <w:p>
            <w:r>
              <w:rPr>
                <w:sz w:val="17"/>
              </w:rPr>
              <w:t>2026-10-29</w:t>
            </w:r>
          </w:p>
        </w:tc>
        <w:tc>
          <w:tcPr>
            <w:tcW w:type="dxa" w:w="1440"/>
            <w:shd w:fill="FAFAFA" w:val="clear"/>
          </w:tcPr>
          <w:p>
            <w:r>
              <w:rPr>
                <w:sz w:val="17"/>
              </w:rPr>
              <w:t>12,942</w:t>
            </w:r>
          </w:p>
        </w:tc>
        <w:tc>
          <w:tcPr>
            <w:tcW w:type="dxa" w:w="1440"/>
            <w:shd w:fill="FAFAFA" w:val="clear"/>
          </w:tcPr>
          <w:p>
            <w:r>
              <w:rPr>
                <w:b/>
                <w:sz w:val="17"/>
              </w:rPr>
              <w:t>15,227</w:t>
            </w:r>
          </w:p>
        </w:tc>
        <w:tc>
          <w:tcPr>
            <w:tcW w:type="dxa" w:w="1440"/>
            <w:shd w:fill="FAFAFA" w:val="clear"/>
          </w:tcPr>
          <w:p>
            <w:r>
              <w:rPr>
                <w:sz w:val="17"/>
              </w:rPr>
              <w:t>17,513</w:t>
            </w:r>
          </w:p>
        </w:tc>
        <w:tc>
          <w:tcPr>
            <w:tcW w:type="dxa" w:w="1440"/>
            <w:shd w:fill="FAFAFA" w:val="clear"/>
          </w:tcPr>
          <w:p>
            <w:r>
              <w:rPr>
                <w:b/>
                <w:color w:val="C00000"/>
                <w:sz w:val="17"/>
              </w:rPr>
              <w:t>-1.1%</w:t>
            </w:r>
          </w:p>
        </w:tc>
      </w:tr>
      <w:tr>
        <w:tc>
          <w:tcPr>
            <w:tcW w:type="dxa" w:w="1440"/>
            <w:shd w:fill="FAFAFA" w:val="clear"/>
          </w:tcPr>
          <w:p>
            <w:r>
              <w:rPr>
                <w:sz w:val="17"/>
              </w:rPr>
              <w:t>J+10  ⭐</w:t>
            </w:r>
          </w:p>
        </w:tc>
        <w:tc>
          <w:tcPr>
            <w:tcW w:type="dxa" w:w="1440"/>
            <w:shd w:fill="FAFAFA" w:val="clear"/>
          </w:tcPr>
          <w:p>
            <w:r>
              <w:rPr>
                <w:sz w:val="17"/>
              </w:rPr>
              <w:t>2026-10-30</w:t>
            </w:r>
          </w:p>
        </w:tc>
        <w:tc>
          <w:tcPr>
            <w:tcW w:type="dxa" w:w="1440"/>
            <w:shd w:fill="FAFAFA" w:val="clear"/>
          </w:tcPr>
          <w:p>
            <w:r>
              <w:rPr>
                <w:sz w:val="17"/>
              </w:rPr>
              <w:t>12,798</w:t>
            </w:r>
          </w:p>
        </w:tc>
        <w:tc>
          <w:tcPr>
            <w:tcW w:type="dxa" w:w="1440"/>
            <w:shd w:fill="FAFAFA" w:val="clear"/>
          </w:tcPr>
          <w:p>
            <w:r>
              <w:rPr>
                <w:b/>
                <w:sz w:val="17"/>
              </w:rPr>
              <w:t>15,203</w:t>
            </w:r>
          </w:p>
        </w:tc>
        <w:tc>
          <w:tcPr>
            <w:tcW w:type="dxa" w:w="1440"/>
            <w:shd w:fill="FAFAFA" w:val="clear"/>
          </w:tcPr>
          <w:p>
            <w:r>
              <w:rPr>
                <w:sz w:val="17"/>
              </w:rPr>
              <w:t>17,609</w:t>
            </w:r>
          </w:p>
        </w:tc>
        <w:tc>
          <w:tcPr>
            <w:tcW w:type="dxa" w:w="1440"/>
            <w:shd w:fill="FAFAFA" w:val="clear"/>
          </w:tcPr>
          <w:p>
            <w:r>
              <w:rPr>
                <w:b/>
                <w:color w:val="C00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pPr>
      <w:r>
        <w:t>**RAPPORT D'ANALYSE FINANCIÈRE — SMBC (BRVM)**</w:t>
        <w:br/>
        <w:t>*Date d'analyse : octobre 2026 | Cours de référence : 15 395 FCFA*</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SMBC affiche une capitalisation boursière de 120,01 milliards FCFA, un niveau significatif à l'échelle de la BRVM qui la place parmi les valeurs industrielles de premier plan de la cote. Le BPA de 1 677 FCFA/action signifie que chaque titre génère près de 1 677 FCFA de bénéfice net, ce qui, rapporté au cours de 15 395 FCFA, donne un PER de 9,2x — légèrement inférieur à la moyenne BRVM (8-12x), suggérant une valorisation raisonnable voire légèrement sous-évaluée au regard des bénéfices. Le P/B de 2,80x indique que le marché paie le titre près de trois fois sa valeur comptable, traduisant une prime de croissance accordée par les investisseurs, cohérente avec un ROE élevé de 30,5%. Enfin, l'EV/EBITDA de 5,7x situe la valeur d'entreprise à un multiple modéré de la capacité opérationnelle, dans la fourchette raisonnable de 5-10x, ce qui conforte l'idée d'une valorisation équilibrée, sans excès spéculatif.</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SMBC a progressé de +18,42%, malgré un repli de -0,68% lors de la dernière séance, s'établissant à 15 395 FCFA. Le range de trading est large, avec un plus haut à 18 500 FCFA et un plus bas à 13 000 FCFA, soit une amplitude de plus de 42% qui témoigne d'une réelle nervosité du titre. La tendance générale reste haussière sur la période, mais le cours actuel se situe en retrait du pic, signalant une phase de correction après le rallye. Les statistiques descriptives révèlent une moyenne de 16 268 FCFA légèrement supérieure à la médiane de 16 445 FCFA — en réalité la médiane dépasse la moyenne, ce qui, combiné à un skewness de -0,828 (asymétrie négative), indique que le cours a passé davantage de journées au-dessus de sa moyenne, avec quelques séances de correction marquées tirant la moyenne vers le bas. L'écart-type de 1 183 FCFA (CV de 7,3%) traduit une dispersion modérée autour de la tendance, tandis que le kurtosis de 0,871 (mésokurtique) suggère un comportement proche d'une distribution normale, sans risque excessif de pics extrêmes. La volatilité annualisée de 42,3% classe toutefois le titre dans la catégorie des valeurs à volatilité élevée (&gt;30%), ce qui appelle à la prudence sur les horizons courts.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(15 971,5 FCFA) et la MM50 (16 679,9 FCFA) se situent toutes deux au-dessus du cours actuel (15 395 FCFA), avec une MM20 inférieure à la MM50 — configuration baissière de court terme. Le cours évoluant sous ses deux moyennes, la pression vendeuse domine, ce qui justifie la décision « Vente ».</w:t>
      </w:r>
    </w:p>
    <w:p>
      <w:pPr>
        <w:spacing w:after="120" w:line="276" w:lineRule="auto"/>
      </w:pPr>
      <w:r>
        <w:t>**Bandes de Bollinger** : Le cours (15 395 FCFA) se situe dans la moitié basse de la bande, entre la borne inférieure (14 678,3 FCFA) et la borne supérieure (17 264,7 FCFA), sans franchissement des extrêmes. Cette position centrale-basse traduit une absence de signal directionnel fort, d'où la décision « Neutre », avec une volatilité contenue dans le canal.</w:t>
      </w:r>
    </w:p>
    <w:p>
      <w:pPr>
        <w:spacing w:after="120" w:line="276" w:lineRule="auto"/>
      </w:pPr>
      <w:r>
        <w:t>**MACD** : La valeur du MACD (-358,06) est inférieure à son signal (-287,08), et les deux restent en territoire négatif. Cette divergence baissière confirme un momentum négatif persistant, justifiant la décision « Vente » — la pression baissière n'est pas encore résorbée.</w:t>
      </w:r>
    </w:p>
    <w:p>
      <w:pPr>
        <w:spacing w:after="120" w:line="276" w:lineRule="auto"/>
      </w:pPr>
      <w:r>
        <w:t>**RSI** : À 45,20, le RSI se situe dans la zone neutre (30-70), sans signal de surachat ni de survente. Le titre n'est ni épuisé à la baisse ni en excès à la hausse, ce qui justifie la décision « Neutre » et laisse présager une possible stabilisation.</w:t>
      </w:r>
    </w:p>
    <w:p>
      <w:pPr>
        <w:spacing w:after="120" w:line="276" w:lineRule="auto"/>
      </w:pPr>
      <w:r>
        <w:t>**Stochastique** : Le %K à 0,0 (position extrême de survente) contre un %D à 11,52 indique que le cours est au plancher de sa fourchette récente, en zone de survente marquée. Cette configuration, bien que baissière en apparence, est souvent annonciatrice d'un rebond technique, justifiant la décision « Achat » contrarienne.</w:t>
      </w:r>
    </w:p>
    <w:p>
      <w:pPr>
        <w:spacing w:after="120" w:line="276" w:lineRule="auto"/>
      </w:pPr>
      <w:r>
        <w:t>**Conclusion technique** : Les indicateurs sont majoritairement baissiers (MM, MACD) mais présentent des signaux de retournement potentiel (Stochastique en survente extrême, RSI neutre, cours en bas de Bollinger). La convergence n'est pas totale : le titre se trouve à un point d'inflexion où la pression vendeuse s'essouffle, mais aucun signal d'achat confirmé n'est encore émis. La prudence reste de mise à court terme, avec une surveillance du franchissement de la MM20 comme premier signe de retournement.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états financiers de l'exercice 2025 (rapport certifié au 31 décembre 2025) dressent le portrait d'une entreprise en pleine mutation profitable. Le chiffre d'affaires s'établit à 206,74 milliards FCFA, en baisse de -9,74% sur un an, dans un contexte de repli des volumes et des prix du bitume. Pourtant, le résultat net progresse spectaculairement de +50,3% à 13,075 milliards FCFA, portant la marge nette de 3,8% à 6,32% — une amélioration remarquable de l'efficacité opérationnelle. Le ROE atteint 30,47% (largement supérieur au seuil de 15% d'excellence) et le ROA 7,26%, confirmant une rentabilité des fonds propres exceptionnelle. La structure financière se renforce : capitaux propres de 42,913 milliards FCFA (+21,6%), trésorerie nette positive de 23,988 milliards FCFA, et capacité de remboursement de seulement 0,68 an (dettes financières/CAF), soit une dette financière très faible (9,204 milliards FCFA) couverte 4,8 fois par le résultat d'exploitation. Point d'attention majeur pour une entreprise industrielle : le délai clients atteint 193,75 jours, très élevé, générant un risque de trésorerie, bien que le délai fournisseurs de 207,07 jours compense en partie ce besoin. Le BFR ressort à 1,693 milliard FCFA seulement, grâce à cette gestion symétrique des délais. Les rapports trimestriels 2025 confirment la tendance : au T1 2025 (31 mars 2025), le CA reculait de -22% mais le résultat net ne baissait que de -7% grâce à l'amélioration des marges de raffinage ; au S1 2025 (30 juin 2025), le CA chutait de -23% pour un résultat net en repli limité de -7% ; au cumul 9M 2025 (30 septembre 2025), le CA baissait de -14% tandis que le résultat net progressait de +6%, la marge opérationnelle passant de 4,0% à 5,4%. On estime donc que l'exercice 2025 marque un point bas cyclique du chiffre d'affaires, avec une nette amélioration de la qualité des résultats. La politique de dividende reste prudente (5 457 millions FCFA versés, payout de 41,7%), privilégiant le renforcement des fonds propres. La recommandation fondamentale est celle d'une entreprise solide, très rentable et peu endettée, dont le principal risque réside dans la cyclicité de son chiffre d'affaires et sa dépendance aux investissements publics en infrastructures routières.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dimensions révèle un profil d'investissement contrasté mais globalement favorable. La valorisation (Partie 0) apparaît équilibrée, avec un PER de 9,2x légèrement sous la moyenne BRVM et un EV/EBITDA de 5,7x raisonnable, sans prime excessive malgré un P/B de 2,80x justifié par un ROE de 30,5%. Le comportement du cours (Partie 1) est haussier sur 100 jours (+18,42%) mais en phase de correction, avec une volatilité élevée (42,3%) et un skewness négatif signalant des journées de repli marquées — profil préoccupant à court terme. Les signaux techniques (Partie 2) sont majoritairement baissiers (cours sous MM20/MM50, MACD négatif) mais le Stochastique en survente extrême (%K=0) et le RSI neutre suggèrent un possible rebond imminent, sans confirmation toutefois. Les fondamentaux (Partie 3) sont le point fort du dossier : résultat net en hausse de +50,3% en 2025, ROE de 30,5%, trésorerie nette de 24 milliards FCFA et endettement quasi nul, malgré un CA en repli de -9,7% — une entreprise qui transforme un environnement difficile en opportunité de marges. Les prédictions IA (J+1 à J+10) anticipent une légère dérive baissière de 15 428 à 15 326 FCFA, confirmant la pression court terme sans effondrement. Sur cette base, la recommandation finale est **CONSERVER**, avec un niveau de confiance **Moyen** : la divergence entre fondamentaux excellents et technique baissière plaide pour l'attente d'un signal de retournement (franchissement de la MM20 à 15 971 FCFA) avant tout renforcement. Le niveau de risque global est **Moyen** (volatilité élevée compensée par un bilan solide), et l'horizon optimal est le **moyen terme (3-12 mois)**, le temps que la correction technique s'achève et que la croissance des revenus se confirme. Un passage à l'ACHAT serait justifié si le cours stabilisait au-dessus de 15 500 FCFA avec confirmation du rebond stochastique et reprise du CA.</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40.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4350.00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14,264 titres</w:t>
            </w:r>
          </w:p>
        </w:tc>
        <w:tc>
          <w:tcPr>
            <w:tcW w:type="dxa" w:w="2268"/>
            <w:shd w:fill="FFF2CC" w:val="clear"/>
          </w:tcPr>
          <w:p>
            <w:r>
              <w:rPr>
                <w:b/>
                <w:color w:val="503200"/>
                <w:sz w:val="16"/>
              </w:rPr>
              <w:t xml:space="preserve">Cours actuel : </w:t>
            </w:r>
            <w:r>
              <w:rPr>
                <w:color w:val="000000"/>
                <w:sz w:val="17"/>
              </w:rPr>
              <w:t>43,500 FCFA</w:t>
            </w:r>
          </w:p>
          <w:p>
            <w:r>
              <w:rPr>
                <w:b/>
                <w:color w:val="503200"/>
                <w:sz w:val="16"/>
              </w:rPr>
              <w:t xml:space="preserve">Var. 100 jours : </w:t>
            </w:r>
            <w:r>
              <w:rPr>
                <w:b/>
                <w:color w:val="007800"/>
                <w:sz w:val="17"/>
              </w:rPr>
              <w:t>+52.90%</w:t>
            </w:r>
          </w:p>
          <w:p>
            <w:r>
              <w:rPr>
                <w:b/>
                <w:color w:val="503200"/>
                <w:sz w:val="16"/>
              </w:rPr>
              <w:t xml:space="preserve">Plus haut 100j : </w:t>
            </w:r>
            <w:r>
              <w:rPr>
                <w:color w:val="000000"/>
                <w:sz w:val="17"/>
              </w:rPr>
              <w:t>45,000 FCFA</w:t>
            </w:r>
          </w:p>
          <w:p>
            <w:r>
              <w:rPr>
                <w:b/>
                <w:color w:val="503200"/>
                <w:sz w:val="16"/>
              </w:rPr>
              <w:t xml:space="preserve">Plus bas 100j : </w:t>
            </w:r>
            <w:r>
              <w:rPr>
                <w:color w:val="000000"/>
                <w:sz w:val="17"/>
              </w:rPr>
              <w:t>28,000 FCFA</w:t>
            </w:r>
          </w:p>
          <w:p>
            <w:r>
              <w:rPr>
                <w:b/>
                <w:color w:val="503200"/>
                <w:sz w:val="16"/>
              </w:rPr>
              <w:t xml:space="preserve">Volatilité ann. : </w:t>
            </w:r>
            <w:r>
              <w:rPr>
                <w:color w:val="000000"/>
                <w:sz w:val="17"/>
              </w:rPr>
              <w:t>31.2%</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29.3/100 → Moyen</w:t>
      </w:r>
    </w:p>
    <w:p>
      <w:pPr>
        <w:spacing w:before="40" w:after="80"/>
      </w:pPr>
      <w:r>
        <w:rPr>
          <w:rFonts w:ascii="Courier New" w:hAnsi="Courier New"/>
          <w:color w:val="825A00"/>
          <w:sz w:val="18"/>
        </w:rPr>
        <w:t>█████░░░░░░░░░░░░░░░  29.3/100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16.68% (Élevée) — μ=34,361 FCFA, σ=5,733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β=1.2663 (Agressif) — Cov=0.000096, Var(idx)=0.000076, ρ=0.560,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14,264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σ_j=1.96%/j (Stable) — Vol. annualisée≈31.2%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3190"/>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42,908</w:t>
            </w:r>
          </w:p>
        </w:tc>
        <w:tc>
          <w:tcPr>
            <w:tcW w:type="dxa" w:w="1440"/>
            <w:shd w:fill="FAFAFA" w:val="clear"/>
          </w:tcPr>
          <w:p>
            <w:r>
              <w:rPr>
                <w:b/>
                <w:sz w:val="17"/>
              </w:rPr>
              <w:t>44,225</w:t>
            </w:r>
          </w:p>
        </w:tc>
        <w:tc>
          <w:tcPr>
            <w:tcW w:type="dxa" w:w="1440"/>
            <w:shd w:fill="FAFAFA" w:val="clear"/>
          </w:tcPr>
          <w:p>
            <w:r>
              <w:rPr>
                <w:sz w:val="17"/>
              </w:rPr>
              <w:t>45,541</w:t>
            </w:r>
          </w:p>
        </w:tc>
        <w:tc>
          <w:tcPr>
            <w:tcW w:type="dxa" w:w="1440"/>
            <w:shd w:fill="FAFAFA" w:val="clear"/>
          </w:tcPr>
          <w:p>
            <w:r>
              <w:rPr>
                <w:b/>
                <w:color w:val="008000"/>
                <w:sz w:val="17"/>
              </w:rPr>
              <w:t>+1.7%</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42,320</w:t>
            </w:r>
          </w:p>
        </w:tc>
        <w:tc>
          <w:tcPr>
            <w:tcW w:type="dxa" w:w="1440"/>
            <w:shd w:fill="FAFAFA" w:val="clear"/>
          </w:tcPr>
          <w:p>
            <w:r>
              <w:rPr>
                <w:b/>
                <w:sz w:val="17"/>
              </w:rPr>
              <w:t>44,179</w:t>
            </w:r>
          </w:p>
        </w:tc>
        <w:tc>
          <w:tcPr>
            <w:tcW w:type="dxa" w:w="1440"/>
            <w:shd w:fill="FAFAFA" w:val="clear"/>
          </w:tcPr>
          <w:p>
            <w:r>
              <w:rPr>
                <w:sz w:val="17"/>
              </w:rPr>
              <w:t>46,039</w:t>
            </w:r>
          </w:p>
        </w:tc>
        <w:tc>
          <w:tcPr>
            <w:tcW w:type="dxa" w:w="1440"/>
            <w:shd w:fill="FAFAFA" w:val="clear"/>
          </w:tcPr>
          <w:p>
            <w:r>
              <w:rPr>
                <w:b/>
                <w:color w:val="008000"/>
                <w:sz w:val="17"/>
              </w:rPr>
              <w:t>+1.6%</w:t>
            </w:r>
          </w:p>
        </w:tc>
      </w:tr>
      <w:tr>
        <w:tc>
          <w:tcPr>
            <w:tcW w:type="dxa" w:w="1440"/>
            <w:shd w:fill="FAFAFA" w:val="clear"/>
          </w:tcPr>
          <w:p>
            <w:r>
              <w:rPr>
                <w:sz w:val="17"/>
              </w:rPr>
              <w:t>J+3  ⭐</w:t>
            </w:r>
          </w:p>
        </w:tc>
        <w:tc>
          <w:tcPr>
            <w:tcW w:type="dxa" w:w="1440"/>
            <w:shd w:fill="FAFAFA" w:val="clear"/>
          </w:tcPr>
          <w:p>
            <w:r>
              <w:rPr>
                <w:sz w:val="17"/>
              </w:rPr>
              <w:t>2026-10-21</w:t>
            </w:r>
          </w:p>
        </w:tc>
        <w:tc>
          <w:tcPr>
            <w:tcW w:type="dxa" w:w="1440"/>
            <w:shd w:fill="FAFAFA" w:val="clear"/>
          </w:tcPr>
          <w:p>
            <w:r>
              <w:rPr>
                <w:sz w:val="17"/>
              </w:rPr>
              <w:t>41,919</w:t>
            </w:r>
          </w:p>
        </w:tc>
        <w:tc>
          <w:tcPr>
            <w:tcW w:type="dxa" w:w="1440"/>
            <w:shd w:fill="FAFAFA" w:val="clear"/>
          </w:tcPr>
          <w:p>
            <w:r>
              <w:rPr>
                <w:b/>
                <w:sz w:val="17"/>
              </w:rPr>
              <w:t>44,198</w:t>
            </w:r>
          </w:p>
        </w:tc>
        <w:tc>
          <w:tcPr>
            <w:tcW w:type="dxa" w:w="1440"/>
            <w:shd w:fill="FAFAFA" w:val="clear"/>
          </w:tcPr>
          <w:p>
            <w:r>
              <w:rPr>
                <w:sz w:val="17"/>
              </w:rPr>
              <w:t>46,476</w:t>
            </w:r>
          </w:p>
        </w:tc>
        <w:tc>
          <w:tcPr>
            <w:tcW w:type="dxa" w:w="1440"/>
            <w:shd w:fill="FAFAFA" w:val="clear"/>
          </w:tcPr>
          <w:p>
            <w:r>
              <w:rPr>
                <w:b/>
                <w:color w:val="008000"/>
                <w:sz w:val="17"/>
              </w:rPr>
              <w:t>+1.6%</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41,583</w:t>
            </w:r>
          </w:p>
        </w:tc>
        <w:tc>
          <w:tcPr>
            <w:tcW w:type="dxa" w:w="1440"/>
            <w:shd w:fill="FAFAFA" w:val="clear"/>
          </w:tcPr>
          <w:p>
            <w:r>
              <w:rPr>
                <w:b/>
                <w:sz w:val="17"/>
              </w:rPr>
              <w:t>44,215</w:t>
            </w:r>
          </w:p>
        </w:tc>
        <w:tc>
          <w:tcPr>
            <w:tcW w:type="dxa" w:w="1440"/>
            <w:shd w:fill="FAFAFA" w:val="clear"/>
          </w:tcPr>
          <w:p>
            <w:r>
              <w:rPr>
                <w:sz w:val="17"/>
              </w:rPr>
              <w:t>46,847</w:t>
            </w:r>
          </w:p>
        </w:tc>
        <w:tc>
          <w:tcPr>
            <w:tcW w:type="dxa" w:w="1440"/>
            <w:shd w:fill="FAFAFA" w:val="clear"/>
          </w:tcPr>
          <w:p>
            <w:r>
              <w:rPr>
                <w:b/>
                <w:color w:val="008000"/>
                <w:sz w:val="17"/>
              </w:rPr>
              <w:t>+1.6%</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41,280</w:t>
            </w:r>
          </w:p>
        </w:tc>
        <w:tc>
          <w:tcPr>
            <w:tcW w:type="dxa" w:w="1440"/>
            <w:shd w:fill="FAFAFA" w:val="clear"/>
          </w:tcPr>
          <w:p>
            <w:r>
              <w:rPr>
                <w:b/>
                <w:sz w:val="17"/>
              </w:rPr>
              <w:t>44,223</w:t>
            </w:r>
          </w:p>
        </w:tc>
        <w:tc>
          <w:tcPr>
            <w:tcW w:type="dxa" w:w="1440"/>
            <w:shd w:fill="FAFAFA" w:val="clear"/>
          </w:tcPr>
          <w:p>
            <w:r>
              <w:rPr>
                <w:sz w:val="17"/>
              </w:rPr>
              <w:t>47,166</w:t>
            </w:r>
          </w:p>
        </w:tc>
        <w:tc>
          <w:tcPr>
            <w:tcW w:type="dxa" w:w="1440"/>
            <w:shd w:fill="FAFAFA" w:val="clear"/>
          </w:tcPr>
          <w:p>
            <w:r>
              <w:rPr>
                <w:b/>
                <w:color w:val="008000"/>
                <w:sz w:val="17"/>
              </w:rPr>
              <w:t>+1.7%</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41,001</w:t>
            </w:r>
          </w:p>
        </w:tc>
        <w:tc>
          <w:tcPr>
            <w:tcW w:type="dxa" w:w="1440"/>
            <w:shd w:fill="FAFAFA" w:val="clear"/>
          </w:tcPr>
          <w:p>
            <w:r>
              <w:rPr>
                <w:b/>
                <w:sz w:val="17"/>
              </w:rPr>
              <w:t>44,225</w:t>
            </w:r>
          </w:p>
        </w:tc>
        <w:tc>
          <w:tcPr>
            <w:tcW w:type="dxa" w:w="1440"/>
            <w:shd w:fill="FAFAFA" w:val="clear"/>
          </w:tcPr>
          <w:p>
            <w:r>
              <w:rPr>
                <w:sz w:val="17"/>
              </w:rPr>
              <w:t>47,450</w:t>
            </w:r>
          </w:p>
        </w:tc>
        <w:tc>
          <w:tcPr>
            <w:tcW w:type="dxa" w:w="1440"/>
            <w:shd w:fill="FAFAFA" w:val="clear"/>
          </w:tcPr>
          <w:p>
            <w:r>
              <w:rPr>
                <w:b/>
                <w:color w:val="008000"/>
                <w:sz w:val="17"/>
              </w:rPr>
              <w:t>+1.7%</w:t>
            </w:r>
          </w:p>
        </w:tc>
      </w:tr>
      <w:tr>
        <w:tc>
          <w:tcPr>
            <w:tcW w:type="dxa" w:w="1440"/>
            <w:shd w:fill="FAFAFA" w:val="clear"/>
          </w:tcPr>
          <w:p>
            <w:r>
              <w:rPr>
                <w:sz w:val="17"/>
              </w:rPr>
              <w:t>J+7  ⭐</w:t>
            </w:r>
          </w:p>
        </w:tc>
        <w:tc>
          <w:tcPr>
            <w:tcW w:type="dxa" w:w="1440"/>
            <w:shd w:fill="FAFAFA" w:val="clear"/>
          </w:tcPr>
          <w:p>
            <w:r>
              <w:rPr>
                <w:sz w:val="17"/>
              </w:rPr>
              <w:t>2026-10-27</w:t>
            </w:r>
          </w:p>
        </w:tc>
        <w:tc>
          <w:tcPr>
            <w:tcW w:type="dxa" w:w="1440"/>
            <w:shd w:fill="FAFAFA" w:val="clear"/>
          </w:tcPr>
          <w:p>
            <w:r>
              <w:rPr>
                <w:sz w:val="17"/>
              </w:rPr>
              <w:t>40,742</w:t>
            </w:r>
          </w:p>
        </w:tc>
        <w:tc>
          <w:tcPr>
            <w:tcW w:type="dxa" w:w="1440"/>
            <w:shd w:fill="FAFAFA" w:val="clear"/>
          </w:tcPr>
          <w:p>
            <w:r>
              <w:rPr>
                <w:b/>
                <w:sz w:val="17"/>
              </w:rPr>
              <w:t>44,225</w:t>
            </w:r>
          </w:p>
        </w:tc>
        <w:tc>
          <w:tcPr>
            <w:tcW w:type="dxa" w:w="1440"/>
            <w:shd w:fill="FAFAFA" w:val="clear"/>
          </w:tcPr>
          <w:p>
            <w:r>
              <w:rPr>
                <w:sz w:val="17"/>
              </w:rPr>
              <w:t>47,707</w:t>
            </w:r>
          </w:p>
        </w:tc>
        <w:tc>
          <w:tcPr>
            <w:tcW w:type="dxa" w:w="1440"/>
            <w:shd w:fill="FAFAFA" w:val="clear"/>
          </w:tcPr>
          <w:p>
            <w:r>
              <w:rPr>
                <w:b/>
                <w:color w:val="008000"/>
                <w:sz w:val="17"/>
              </w:rPr>
              <w:t>+1.7%</w:t>
            </w:r>
          </w:p>
        </w:tc>
      </w:tr>
      <w:tr>
        <w:tc>
          <w:tcPr>
            <w:tcW w:type="dxa" w:w="1440"/>
            <w:shd w:fill="FAFAFA" w:val="clear"/>
          </w:tcPr>
          <w:p>
            <w:r>
              <w:rPr>
                <w:sz w:val="17"/>
              </w:rPr>
              <w:t>J+8  ⭐</w:t>
            </w:r>
          </w:p>
        </w:tc>
        <w:tc>
          <w:tcPr>
            <w:tcW w:type="dxa" w:w="1440"/>
            <w:shd w:fill="FAFAFA" w:val="clear"/>
          </w:tcPr>
          <w:p>
            <w:r>
              <w:rPr>
                <w:sz w:val="17"/>
              </w:rPr>
              <w:t>2026-10-28</w:t>
            </w:r>
          </w:p>
        </w:tc>
        <w:tc>
          <w:tcPr>
            <w:tcW w:type="dxa" w:w="1440"/>
            <w:shd w:fill="FAFAFA" w:val="clear"/>
          </w:tcPr>
          <w:p>
            <w:r>
              <w:rPr>
                <w:sz w:val="17"/>
              </w:rPr>
              <w:t>40,499</w:t>
            </w:r>
          </w:p>
        </w:tc>
        <w:tc>
          <w:tcPr>
            <w:tcW w:type="dxa" w:w="1440"/>
            <w:shd w:fill="FAFAFA" w:val="clear"/>
          </w:tcPr>
          <w:p>
            <w:r>
              <w:rPr>
                <w:b/>
                <w:sz w:val="17"/>
              </w:rPr>
              <w:t>44,222</w:t>
            </w:r>
          </w:p>
        </w:tc>
        <w:tc>
          <w:tcPr>
            <w:tcW w:type="dxa" w:w="1440"/>
            <w:shd w:fill="FAFAFA" w:val="clear"/>
          </w:tcPr>
          <w:p>
            <w:r>
              <w:rPr>
                <w:sz w:val="17"/>
              </w:rPr>
              <w:t>47,945</w:t>
            </w:r>
          </w:p>
        </w:tc>
        <w:tc>
          <w:tcPr>
            <w:tcW w:type="dxa" w:w="1440"/>
            <w:shd w:fill="FAFAFA" w:val="clear"/>
          </w:tcPr>
          <w:p>
            <w:r>
              <w:rPr>
                <w:b/>
                <w:color w:val="008000"/>
                <w:sz w:val="17"/>
              </w:rPr>
              <w:t>+1.7%</w:t>
            </w:r>
          </w:p>
        </w:tc>
      </w:tr>
      <w:tr>
        <w:tc>
          <w:tcPr>
            <w:tcW w:type="dxa" w:w="1440"/>
            <w:shd w:fill="FAFAFA" w:val="clear"/>
          </w:tcPr>
          <w:p>
            <w:r>
              <w:rPr>
                <w:sz w:val="17"/>
              </w:rPr>
              <w:t>J+9  ⭐</w:t>
            </w:r>
          </w:p>
        </w:tc>
        <w:tc>
          <w:tcPr>
            <w:tcW w:type="dxa" w:w="1440"/>
            <w:shd w:fill="FAFAFA" w:val="clear"/>
          </w:tcPr>
          <w:p>
            <w:r>
              <w:rPr>
                <w:sz w:val="17"/>
              </w:rPr>
              <w:t>2026-10-29</w:t>
            </w:r>
          </w:p>
        </w:tc>
        <w:tc>
          <w:tcPr>
            <w:tcW w:type="dxa" w:w="1440"/>
            <w:shd w:fill="FAFAFA" w:val="clear"/>
          </w:tcPr>
          <w:p>
            <w:r>
              <w:rPr>
                <w:sz w:val="17"/>
              </w:rPr>
              <w:t>40,270</w:t>
            </w:r>
          </w:p>
        </w:tc>
        <w:tc>
          <w:tcPr>
            <w:tcW w:type="dxa" w:w="1440"/>
            <w:shd w:fill="FAFAFA" w:val="clear"/>
          </w:tcPr>
          <w:p>
            <w:r>
              <w:rPr>
                <w:b/>
                <w:sz w:val="17"/>
              </w:rPr>
              <w:t>44,218</w:t>
            </w:r>
          </w:p>
        </w:tc>
        <w:tc>
          <w:tcPr>
            <w:tcW w:type="dxa" w:w="1440"/>
            <w:shd w:fill="FAFAFA" w:val="clear"/>
          </w:tcPr>
          <w:p>
            <w:r>
              <w:rPr>
                <w:sz w:val="17"/>
              </w:rPr>
              <w:t>48,166</w:t>
            </w:r>
          </w:p>
        </w:tc>
        <w:tc>
          <w:tcPr>
            <w:tcW w:type="dxa" w:w="1440"/>
            <w:shd w:fill="FAFAFA" w:val="clear"/>
          </w:tcPr>
          <w:p>
            <w:r>
              <w:rPr>
                <w:b/>
                <w:color w:val="008000"/>
                <w:sz w:val="17"/>
              </w:rPr>
              <w:t>+1.7%</w:t>
            </w:r>
          </w:p>
        </w:tc>
      </w:tr>
      <w:tr>
        <w:tc>
          <w:tcPr>
            <w:tcW w:type="dxa" w:w="1440"/>
            <w:shd w:fill="FAFAFA" w:val="clear"/>
          </w:tcPr>
          <w:p>
            <w:r>
              <w:rPr>
                <w:sz w:val="17"/>
              </w:rPr>
              <w:t>J+10  ⭐</w:t>
            </w:r>
          </w:p>
        </w:tc>
        <w:tc>
          <w:tcPr>
            <w:tcW w:type="dxa" w:w="1440"/>
            <w:shd w:fill="FAFAFA" w:val="clear"/>
          </w:tcPr>
          <w:p>
            <w:r>
              <w:rPr>
                <w:sz w:val="17"/>
              </w:rPr>
              <w:t>2026-10-30</w:t>
            </w:r>
          </w:p>
        </w:tc>
        <w:tc>
          <w:tcPr>
            <w:tcW w:type="dxa" w:w="1440"/>
            <w:shd w:fill="FAFAFA" w:val="clear"/>
          </w:tcPr>
          <w:p>
            <w:r>
              <w:rPr>
                <w:sz w:val="17"/>
              </w:rPr>
              <w:t>40,052</w:t>
            </w:r>
          </w:p>
        </w:tc>
        <w:tc>
          <w:tcPr>
            <w:tcW w:type="dxa" w:w="1440"/>
            <w:shd w:fill="FAFAFA" w:val="clear"/>
          </w:tcPr>
          <w:p>
            <w:r>
              <w:rPr>
                <w:b/>
                <w:sz w:val="17"/>
              </w:rPr>
              <w:t>44,213</w:t>
            </w:r>
          </w:p>
        </w:tc>
        <w:tc>
          <w:tcPr>
            <w:tcW w:type="dxa" w:w="1440"/>
            <w:shd w:fill="FAFAFA" w:val="clear"/>
          </w:tcPr>
          <w:p>
            <w:r>
              <w:rPr>
                <w:sz w:val="17"/>
              </w:rPr>
              <w:t>48,374</w:t>
            </w:r>
          </w:p>
        </w:tc>
        <w:tc>
          <w:tcPr>
            <w:tcW w:type="dxa" w:w="1440"/>
            <w:shd w:fill="FAFAFA" w:val="clear"/>
          </w:tcPr>
          <w:p>
            <w:r>
              <w:rPr>
                <w:b/>
                <w:color w:val="008000"/>
                <w:sz w:val="17"/>
              </w:rPr>
              <w:t>+1.6%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 📊 RAPPORT D'ANALYSE FINANCIÈRE — SNTS (SONATEL SÉNÉGAL)</w:t>
      </w:r>
    </w:p>
    <w:p>
      <w:pPr>
        <w:spacing w:after="120" w:line="276" w:lineRule="auto"/>
      </w:pPr>
      <w:r>
        <w:t>**Bourse Régionale des Valeurs Mobilières (BRVM) | 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4 350 milliards FCFA, Sonatel s'impose comme la première capitalisation de la BRVM, un poids considérable qui en fait un pilier de l'indice BRVM-30 et un incontournable pour tout investisseur régional. Le BPA de 4 136 FCFA par action traduit la capacité bénéficiaire solide du groupe, chaque titre générant plus de 4 000 FCFA de bénéfice net. Le PER de 10,5x se situe dans la fourchette moyenne de la BRVM (8-12x), signalant une valorisation raisonnable sans prime excessive, tandis que le P/B de 3,11x traduit une prime de croissance accordée par le marché (2-4x), cohérente avec la qualité des actifs immatériels et la position dominante du groupe. Enfin, l'EV/EBITDA de 4,5x (&lt; 5x) apparaît remarquablement bon marché : la valeur d'entreprise ne représente que 4,5 fois la capacité opérationnelle, un niveau qui suggère une sous-évaluation relative au regard de la génération de cash-flow.</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SNTS affiche une performance spectaculaire de **+52,90%**, portée par un cours actuel de 43 500 FCFA, malgré un repli marginal de -0,91% lors de la dernière séance. Le range de trading est particulièrement large, oscillant entre un plus bas de 28 000 FCFA et un plus haut de 45 000 FCFA, soit une amplitude de 60,7% qui témoigne d'une dynamique haussière puissante et d'une accélération récente du titre. La moyenne de 34 361 FCFA se situe nettement au-dessus de la médiane de 31 948 FCFA, un écart de 2 413 FCFA qui confirme une distribution asymétrique positivement : les récents pics de cours tirent la moyenne vers le haut, ce que corrobore le skewness de +0,645 (asymétrie positive, davantage de journées sous la moyenne mais des pics marqués au-dessus). L'écart-type de 5 761 FCFA et le coefficient de variation de 16,8% indiquent une dispersion modérée du cours autour de sa tendance. Le kurtosis de -1,029 (platykurtique) révèle une distribution aplatie avec une faible concentration : le risque de pics extrêmes est limité, ce qui est rassurant pour la gestion du risque. Enfin, la volatilité annualisée de 31,2% positionne le titre dans la catégorie des valeurs modérément volatiles (15-30% étant la zone modérée, &gt;30% élevée), un niveau acceptable pour une grande capitalisation télécom.</w:t>
      </w:r>
    </w:p>
    <w:p>
      <w:pPr>
        <w:spacing w:after="120" w:line="276" w:lineRule="auto"/>
      </w:pPr>
      <w:r>
        <w:t>---</w:t>
      </w:r>
    </w:p>
    <w:p>
      <w:pPr>
        <w:spacing w:after="120" w:line="276" w:lineRule="auto"/>
      </w:pPr>
      <w:r>
        <w:t>## PARTIE 2 : ANALYSE TECHNIQUE DÉTAILLÉE</w:t>
      </w:r>
    </w:p>
    <w:p>
      <w:pPr>
        <w:spacing w:after="120" w:line="276" w:lineRule="auto"/>
      </w:pPr>
      <w:r>
        <w:t>**Moyennes Mobiles** : La MM20 (43 723,5 FCFA) et la MM50 (38 966,2 FCFA) se situent toutes deux sous le cours actuel de 43 500 FCFA pour la MM20 (léger écart) mais nettement en dessous pour la MM50, configurant un alignement haussier classique (cours &gt; MM20 &gt; MM50). Cet empilement confirme la tendance positive de moyen terme, et la décision technique affichée est **Achat**, cohérente avec la dynamique de fond.</w:t>
      </w:r>
    </w:p>
    <w:p>
      <w:pPr>
        <w:spacing w:after="120" w:line="276" w:lineRule="auto"/>
      </w:pPr>
      <w:r>
        <w:t>**Bandes de Bollinger** : Le cours (43 500 FCFA) évolue dans la partie haute de la bande, entre la borne inférieure (40 936,27 FCFA) et la borne supérieure (46 510,73 FCFA), sans franchissement de cette dernière. La largeur de la bande traduit une volatilité encore présente mais contenue, et la décision **Neutre** suggère une absence de signal extrême : le titre n'est ni en surchauffe ni en zone de rebond.</w:t>
      </w:r>
    </w:p>
    <w:p>
      <w:pPr>
        <w:spacing w:after="120" w:line="276" w:lineRule="auto"/>
      </w:pPr>
      <w:r>
        <w:t>**MACD** : La valeur du MACD (1 547,83) est inférieure à sa ligne de signal (1 910,3), configuration baissière qui traduit un essoufflement du momentum haussier malgré la tendance de fond positive. La décision **Vente** signale une possible consolidation à court terme, un signal de prudence qui contraste avec la tendance de moyen terme.</w:t>
      </w:r>
    </w:p>
    <w:p>
      <w:pPr>
        <w:spacing w:after="120" w:line="276" w:lineRule="auto"/>
      </w:pPr>
      <w:r>
        <w:t>**RSI** : À 62,285, le RSI se situe en zone neutre haute (30-70), sans atteindre la zone de surachat (&gt;70). La décision **Neutre** indique que le titre conserve un potentiel de hausse sans être techniquement épuisé, un positionnement équilibré.</w:t>
      </w:r>
    </w:p>
    <w:p>
      <w:pPr>
        <w:spacing w:after="120" w:line="276" w:lineRule="auto"/>
      </w:pPr>
      <w:r>
        <w:t>**Stochastique** : Le %K (25,187) est nettement inférieur au %D (57,18), avec un croisement baissier récent qui place le %K en zone de survente relative. La décision **Neutre** suggère que ce signal baissier de court terme n'est pas encore confirmé, mais appelle à la vigilance sur le timing d'entrée.</w:t>
      </w:r>
    </w:p>
    <w:p>
      <w:pPr>
        <w:spacing w:after="120" w:line="276" w:lineRule="auto"/>
      </w:pPr>
      <w:r>
        <w:t>**Conclusion technique** : Les indicateurs présentent une configuration **mitigée mais globalement constructive** : la tendance de fond reste haussière (MM alignées, cours au-dessus des moyennes), mais les oscillateurs (MACD baissier, Stochastique en survente) signalent un essoufflement du momentum à court terme. Le RSI neutre et les Bollinger neutres confirment l'absence de signal extrême. Cette divergence entre tendance de fond (achat) et momentum (vente) plaide pour une consolidation avant une reprise, avec un point d'entrée optimal à proximité de la MM20 (43 700 FCFA) ou de la borne inférieure des Bollinger (40 936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Sonatel affiche un chiffre d'affaires consolidé de **1 923,122 milliards FCFA**, en croissance de +8,26% (taux de croissance CA), et un résultat net de **413,588 milliards FCFA**, soit une marge nette de 21,51%. La rentabilité des fonds propres (ROE) atteint un niveau exceptionnel de **29,56%** (&gt;15% = excellent), tandis que le ROA s'établit à 12,65%, confirmant l'efficacité de l'utilisation des actifs. La marge opérationnelle de 34,83% et la marge brute de 67,03% témoignent d'une maîtrise remarquable des coûts. **Adapté au secteur ENTREPRISE** : le BFR est **négatif à -284,906 milliards FCFA**, un signe très favorable (financement par les fournisseurs et encaissements clients rapides) ; le délai clients de 46,16 jours reste modéré, mais le délai fournisseurs de 201,39 jours constitue un levier de trésorerie considérable. La structure financière est saine : autonomie financière de 42,79% (&gt;30% = sain), ratio d'endettement de 57,21%, capacité de remboursement de 0,64 an (excellent) et couverture des intérêts de 2 744,71%. **Estimations basées sur les rapports** : le communiqué du **S1 2026 (daté du 27/07/2026)** révèle un CA de 1 049,8 Mds FCFA (+9,3%) et un résultat net de 230 Mds FCFA (+10,5%), avec un EBITDAAL de 510,8 Mds FCFA (48,7% du CA) et une notation relevée à **AAA (wu) par GCR Ratings** ; on estime donc que l'exercice 2026 devrait confirmer cette dynamique avec un CA annualisé proche de 2 100 Mds FCFA et un résultat net supérieur à 450 Mds FCFA. Le rapport annuel 2025 (communiqué du 16/02/2026) confirme un dividende brut de **1 933 FCFA/action** (1 740 FCFA net), soit un rendement de 4,0% au cours actuel, avec une mise en paiement prévue le 25/05/2026. **Conclusion fondamentale** : la solidité financière est exceptionnelle (ROE 29,6%, trésorerie nette de 536 Mds FCFA, FCF de 408 Mds FCFA), la croissance est robuste et régulière (+8,3% en 2025, +9,3% au S1 2026), et les perspectives (5G, fibre, Orange Money, cloud) sont porteuses ; les risques résident dans la pression fiscale/réglementaire et la concurrence, mais le leadership (55,9% de part de marché au Sénégal) et la notation AAA confèrent une grande résilience.</w:t>
      </w:r>
    </w:p>
    <w:p>
      <w:pPr>
        <w:spacing w:after="120" w:line="276" w:lineRule="auto"/>
      </w:pPr>
      <w:r>
        <w:t>---</w:t>
      </w:r>
    </w:p>
    <w:p>
      <w:pPr>
        <w:spacing w:after="120" w:line="276" w:lineRule="auto"/>
      </w:pPr>
      <w:r>
        <w:t>## PARTIE 4 : CONCLUSION D'INVESTISSEMENT</w:t>
      </w:r>
    </w:p>
    <w:p>
      <w:pPr>
        <w:spacing w:after="120" w:line="276" w:lineRule="auto"/>
      </w:pPr>
      <w:r>
        <w:t>La **valorisation (Partie 0)** apparaît raisonnable à bon marché : PER de 10,5x dans la moyenne BRVM, P/B de 3,11x justifié par la qualité des actifs, et surtout EV/EBITDA de 4,5x qui signale une sous-évaluation relative au regard de la génération de cash-flow. Le **comportement du cours (Partie 1)** est nettement favorable (+52,90% sur 100 jours, tendance haussière confirmée), avec une volatilité modérée (31,2%) et des statistiques rassurantes (kurtosis platykurtique limitant les pics extrêmes, skewness positif indiquant des pics haussiers). Les **signaux techniques (Partie 2)** sont mitigés : tendance de fond haussière (MM alignées, décision Achat) mais momentum court terme essoufflé (MACD en Vente, Stochastique baissier), plaidant pour une consolidation avant reprise. Les **fondamentaux (Partie 3)** sont exceptionnels : ROE de 29,56%, croissance du CA de +8,3% en 2025 et +9,3% au S1 2026, BFR négatif, trésorerie nette de 536 Mds FCFA, notation AAA, dividende net de 1 740 FCFA (rendement 4,0%). Les **prédictions IA (J+1 à J+10)** anticipent une trajectoire stable autour de 44 200 FCFA (44 225 → 44 223 FCFA), soit une légère consolidation latérale qui confirme la thèse d'une pause technique sans remise en cause de la tendance de fond. **Synthèse** : la convergence entre valorisation attractive, fondamentaux exceptionnels et tendance de fond haussière l'emporte sur le signal baissier de court terme du MACD ; la prédiction IA d'une stabilisation autour de 44 200 FCFA valide cette lecture d'une consolidation saine avant poursuite de la hausse. **Recommandation finale : ACHAT** (avec possibilité d'ACHAT FORT sur repli vers 41 000-42 000 FCFA), **niveau de confiance : Élevé**, **niveau de risque global : Moyen** (volatilité modérée, risque réglementaire sectoriel), **horizon d'investissement optimal : moyen à long terme (6-18 mois)**, le titre offrant à la fois un potentiel de plus-value (sous-évaluation EV/EBITDA) et un rendement du dividende attractif de 4,0%.</w:t>
      </w:r>
    </w:p>
    <w:p>
      <w:pPr>
        <w:spacing w:after="120" w:line="276" w:lineRule="auto"/>
      </w:pPr>
      <w:r>
        <w:t>---</w:t>
      </w:r>
    </w:p>
    <w:p>
      <w:pPr>
        <w:spacing w:after="120" w:line="276" w:lineRule="auto"/>
      </w:pPr>
      <w:r>
        <w:t>*Rapport généré à partir des données officielles BRVM, des états financiers 2025, des communiqués S1 2026 (27/07/2026) et annuel 2025 (16/02/2026), et des indicateurs techniques au 100 derniers jours. Les prédictions IA sont fournies à titre indicatif et ne constituent pas une garantie de performance.*</w:t>
      </w:r>
    </w:p>
    <w:p/>
    <w:p/>
    <w:p>
      <w:pPr>
        <w:pStyle w:val="Heading3"/>
      </w:pPr>
      <w:r>
        <w:rPr>
          <w:color w:val="00467F"/>
        </w:rPr>
        <w:t>📎 DOCUMENTS &amp; COMMUNICATIONS OFFICIELS BRVM</w:t>
      </w:r>
    </w:p>
    <w:p>
      <w:r>
        <w:rPr>
          <w:i/>
          <w:color w:val="646464"/>
          <w:sz w:val="18"/>
        </w:rPr>
        <w:t>6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41.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160.18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4,942 titres</w:t>
            </w:r>
          </w:p>
        </w:tc>
        <w:tc>
          <w:tcPr>
            <w:tcW w:type="dxa" w:w="2268"/>
            <w:shd w:fill="FFF2CC" w:val="clear"/>
          </w:tcPr>
          <w:p>
            <w:r>
              <w:rPr>
                <w:b/>
                <w:color w:val="503200"/>
                <w:sz w:val="16"/>
              </w:rPr>
              <w:t xml:space="preserve">Cours actuel : </w:t>
            </w:r>
            <w:r>
              <w:rPr>
                <w:color w:val="000000"/>
                <w:sz w:val="17"/>
              </w:rPr>
              <w:t>7,415 FCFA</w:t>
            </w:r>
          </w:p>
          <w:p>
            <w:r>
              <w:rPr>
                <w:b/>
                <w:color w:val="503200"/>
                <w:sz w:val="16"/>
              </w:rPr>
              <w:t xml:space="preserve">Var. 100 jours : </w:t>
            </w:r>
            <w:r>
              <w:rPr>
                <w:b/>
                <w:color w:val="007800"/>
                <w:sz w:val="17"/>
              </w:rPr>
              <w:t>+0.27%</w:t>
            </w:r>
          </w:p>
          <w:p>
            <w:r>
              <w:rPr>
                <w:b/>
                <w:color w:val="503200"/>
                <w:sz w:val="16"/>
              </w:rPr>
              <w:t xml:space="preserve">Plus haut 100j : </w:t>
            </w:r>
            <w:r>
              <w:rPr>
                <w:color w:val="000000"/>
                <w:sz w:val="17"/>
              </w:rPr>
              <w:t>8,875 FCFA</w:t>
            </w:r>
          </w:p>
          <w:p>
            <w:r>
              <w:rPr>
                <w:b/>
                <w:color w:val="503200"/>
                <w:sz w:val="16"/>
              </w:rPr>
              <w:t xml:space="preserve">Plus bas 100j : </w:t>
            </w:r>
            <w:r>
              <w:rPr>
                <w:color w:val="000000"/>
                <w:sz w:val="17"/>
              </w:rPr>
              <w:t>7,300 FCFA</w:t>
            </w:r>
          </w:p>
          <w:p>
            <w:r>
              <w:rPr>
                <w:b/>
                <w:color w:val="503200"/>
                <w:sz w:val="16"/>
              </w:rPr>
              <w:t xml:space="preserve">Volatilité ann. : </w:t>
            </w:r>
            <w:r>
              <w:rPr>
                <w:color w:val="000000"/>
                <w:sz w:val="17"/>
              </w:rPr>
              <w:t>41.5%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13.3/100 → Faible</w:t>
      </w:r>
    </w:p>
    <w:p>
      <w:pPr>
        <w:spacing w:before="40" w:after="80"/>
      </w:pPr>
      <w:r>
        <w:rPr>
          <w:rFonts w:ascii="Courier New" w:hAnsi="Courier New"/>
          <w:color w:val="006400"/>
          <w:sz w:val="18"/>
        </w:rPr>
        <w:t>██░░░░░░░░░░░░░░░░░░  13.3/100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3.96% (Faible) — μ=8,108 FCFA, σ=321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β=0.9857 (Neutre (suit le marché)) — Cov=0.000075, Var(idx)=0.000076, ρ=0.330,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4,942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σ_j=2.61%/j (Stable) — Vol. annualisée≈41.5%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9287"/>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7,165</w:t>
            </w:r>
          </w:p>
        </w:tc>
        <w:tc>
          <w:tcPr>
            <w:tcW w:type="dxa" w:w="1440"/>
            <w:shd w:fill="FAFAFA" w:val="clear"/>
          </w:tcPr>
          <w:p>
            <w:r>
              <w:rPr>
                <w:b/>
                <w:sz w:val="17"/>
              </w:rPr>
              <w:t>7,537</w:t>
            </w:r>
          </w:p>
        </w:tc>
        <w:tc>
          <w:tcPr>
            <w:tcW w:type="dxa" w:w="1440"/>
            <w:shd w:fill="FAFAFA" w:val="clear"/>
          </w:tcPr>
          <w:p>
            <w:r>
              <w:rPr>
                <w:sz w:val="17"/>
              </w:rPr>
              <w:t>7,909</w:t>
            </w:r>
          </w:p>
        </w:tc>
        <w:tc>
          <w:tcPr>
            <w:tcW w:type="dxa" w:w="1440"/>
            <w:shd w:fill="FAFAFA" w:val="clear"/>
          </w:tcPr>
          <w:p>
            <w:r>
              <w:rPr>
                <w:b/>
                <w:color w:val="008000"/>
                <w:sz w:val="17"/>
              </w:rPr>
              <w:t>+1.6%</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6,997</w:t>
            </w:r>
          </w:p>
        </w:tc>
        <w:tc>
          <w:tcPr>
            <w:tcW w:type="dxa" w:w="1440"/>
            <w:shd w:fill="FAFAFA" w:val="clear"/>
          </w:tcPr>
          <w:p>
            <w:r>
              <w:rPr>
                <w:b/>
                <w:sz w:val="17"/>
              </w:rPr>
              <w:t>7,523</w:t>
            </w:r>
          </w:p>
        </w:tc>
        <w:tc>
          <w:tcPr>
            <w:tcW w:type="dxa" w:w="1440"/>
            <w:shd w:fill="FAFAFA" w:val="clear"/>
          </w:tcPr>
          <w:p>
            <w:r>
              <w:rPr>
                <w:sz w:val="17"/>
              </w:rPr>
              <w:t>8,048</w:t>
            </w:r>
          </w:p>
        </w:tc>
        <w:tc>
          <w:tcPr>
            <w:tcW w:type="dxa" w:w="1440"/>
            <w:shd w:fill="FAFAFA" w:val="clear"/>
          </w:tcPr>
          <w:p>
            <w:r>
              <w:rPr>
                <w:b/>
                <w:color w:val="008000"/>
                <w:sz w:val="17"/>
              </w:rPr>
              <w:t>+1.5%</w:t>
            </w:r>
          </w:p>
        </w:tc>
      </w:tr>
      <w:tr>
        <w:tc>
          <w:tcPr>
            <w:tcW w:type="dxa" w:w="1440"/>
            <w:shd w:fill="FAFAFA" w:val="clear"/>
          </w:tcPr>
          <w:p>
            <w:r>
              <w:rPr>
                <w:sz w:val="17"/>
              </w:rPr>
              <w:t>J+3  Moyenne</w:t>
            </w:r>
          </w:p>
        </w:tc>
        <w:tc>
          <w:tcPr>
            <w:tcW w:type="dxa" w:w="1440"/>
            <w:shd w:fill="FAFAFA" w:val="clear"/>
          </w:tcPr>
          <w:p>
            <w:r>
              <w:rPr>
                <w:sz w:val="17"/>
              </w:rPr>
              <w:t>2026-10-21</w:t>
            </w:r>
          </w:p>
        </w:tc>
        <w:tc>
          <w:tcPr>
            <w:tcW w:type="dxa" w:w="1440"/>
            <w:shd w:fill="FAFAFA" w:val="clear"/>
          </w:tcPr>
          <w:p>
            <w:r>
              <w:rPr>
                <w:sz w:val="17"/>
              </w:rPr>
              <w:t>6,874</w:t>
            </w:r>
          </w:p>
        </w:tc>
        <w:tc>
          <w:tcPr>
            <w:tcW w:type="dxa" w:w="1440"/>
            <w:shd w:fill="FAFAFA" w:val="clear"/>
          </w:tcPr>
          <w:p>
            <w:r>
              <w:rPr>
                <w:b/>
                <w:sz w:val="17"/>
              </w:rPr>
              <w:t>7,518</w:t>
            </w:r>
          </w:p>
        </w:tc>
        <w:tc>
          <w:tcPr>
            <w:tcW w:type="dxa" w:w="1440"/>
            <w:shd w:fill="FAFAFA" w:val="clear"/>
          </w:tcPr>
          <w:p>
            <w:r>
              <w:rPr>
                <w:sz w:val="17"/>
              </w:rPr>
              <w:t>8,161</w:t>
            </w:r>
          </w:p>
        </w:tc>
        <w:tc>
          <w:tcPr>
            <w:tcW w:type="dxa" w:w="1440"/>
            <w:shd w:fill="FAFAFA" w:val="clear"/>
          </w:tcPr>
          <w:p>
            <w:r>
              <w:rPr>
                <w:b/>
                <w:color w:val="008000"/>
                <w:sz w:val="17"/>
              </w:rPr>
              <w:t>+1.4%</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6,768</w:t>
            </w:r>
          </w:p>
        </w:tc>
        <w:tc>
          <w:tcPr>
            <w:tcW w:type="dxa" w:w="1440"/>
            <w:shd w:fill="FAFAFA" w:val="clear"/>
          </w:tcPr>
          <w:p>
            <w:r>
              <w:rPr>
                <w:b/>
                <w:sz w:val="17"/>
              </w:rPr>
              <w:t>7,510</w:t>
            </w:r>
          </w:p>
        </w:tc>
        <w:tc>
          <w:tcPr>
            <w:tcW w:type="dxa" w:w="1440"/>
            <w:shd w:fill="FAFAFA" w:val="clear"/>
          </w:tcPr>
          <w:p>
            <w:r>
              <w:rPr>
                <w:sz w:val="17"/>
              </w:rPr>
              <w:t>8,252</w:t>
            </w:r>
          </w:p>
        </w:tc>
        <w:tc>
          <w:tcPr>
            <w:tcW w:type="dxa" w:w="1440"/>
            <w:shd w:fill="FAFAFA" w:val="clear"/>
          </w:tcPr>
          <w:p>
            <w:r>
              <w:rPr>
                <w:b/>
                <w:color w:val="008000"/>
                <w:sz w:val="17"/>
              </w:rPr>
              <w:t>+1.3%</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6,672</w:t>
            </w:r>
          </w:p>
        </w:tc>
        <w:tc>
          <w:tcPr>
            <w:tcW w:type="dxa" w:w="1440"/>
            <w:shd w:fill="FAFAFA" w:val="clear"/>
          </w:tcPr>
          <w:p>
            <w:r>
              <w:rPr>
                <w:b/>
                <w:sz w:val="17"/>
              </w:rPr>
              <w:t>7,501</w:t>
            </w:r>
          </w:p>
        </w:tc>
        <w:tc>
          <w:tcPr>
            <w:tcW w:type="dxa" w:w="1440"/>
            <w:shd w:fill="FAFAFA" w:val="clear"/>
          </w:tcPr>
          <w:p>
            <w:r>
              <w:rPr>
                <w:sz w:val="17"/>
              </w:rPr>
              <w:t>8,329</w:t>
            </w:r>
          </w:p>
        </w:tc>
        <w:tc>
          <w:tcPr>
            <w:tcW w:type="dxa" w:w="1440"/>
            <w:shd w:fill="FAFAFA" w:val="clear"/>
          </w:tcPr>
          <w:p>
            <w:r>
              <w:rPr>
                <w:b/>
                <w:color w:val="008000"/>
                <w:sz w:val="17"/>
              </w:rPr>
              <w:t>+1.2%</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6,586</w:t>
            </w:r>
          </w:p>
        </w:tc>
        <w:tc>
          <w:tcPr>
            <w:tcW w:type="dxa" w:w="1440"/>
            <w:shd w:fill="FAFAFA" w:val="clear"/>
          </w:tcPr>
          <w:p>
            <w:r>
              <w:rPr>
                <w:b/>
                <w:sz w:val="17"/>
              </w:rPr>
              <w:t>7,492</w:t>
            </w:r>
          </w:p>
        </w:tc>
        <w:tc>
          <w:tcPr>
            <w:tcW w:type="dxa" w:w="1440"/>
            <w:shd w:fill="FAFAFA" w:val="clear"/>
          </w:tcPr>
          <w:p>
            <w:r>
              <w:rPr>
                <w:sz w:val="17"/>
              </w:rPr>
              <w:t>8,399</w:t>
            </w:r>
          </w:p>
        </w:tc>
        <w:tc>
          <w:tcPr>
            <w:tcW w:type="dxa" w:w="1440"/>
            <w:shd w:fill="FAFAFA" w:val="clear"/>
          </w:tcPr>
          <w:p>
            <w:r>
              <w:rPr>
                <w:b/>
                <w:color w:val="008000"/>
                <w:sz w:val="17"/>
              </w:rPr>
              <w:t>+1.0%</w:t>
            </w:r>
          </w:p>
        </w:tc>
      </w:tr>
      <w:tr>
        <w:tc>
          <w:tcPr>
            <w:tcW w:type="dxa" w:w="1440"/>
            <w:shd w:fill="FAFAFA" w:val="clear"/>
          </w:tcPr>
          <w:p>
            <w:r>
              <w:rPr>
                <w:sz w:val="17"/>
              </w:rPr>
              <w:t>J+7  ⭐</w:t>
            </w:r>
          </w:p>
        </w:tc>
        <w:tc>
          <w:tcPr>
            <w:tcW w:type="dxa" w:w="1440"/>
            <w:shd w:fill="FAFAFA" w:val="clear"/>
          </w:tcPr>
          <w:p>
            <w:r>
              <w:rPr>
                <w:sz w:val="17"/>
              </w:rPr>
              <w:t>2026-10-27</w:t>
            </w:r>
          </w:p>
        </w:tc>
        <w:tc>
          <w:tcPr>
            <w:tcW w:type="dxa" w:w="1440"/>
            <w:shd w:fill="FAFAFA" w:val="clear"/>
          </w:tcPr>
          <w:p>
            <w:r>
              <w:rPr>
                <w:sz w:val="17"/>
              </w:rPr>
              <w:t>6,506</w:t>
            </w:r>
          </w:p>
        </w:tc>
        <w:tc>
          <w:tcPr>
            <w:tcW w:type="dxa" w:w="1440"/>
            <w:shd w:fill="FAFAFA" w:val="clear"/>
          </w:tcPr>
          <w:p>
            <w:r>
              <w:rPr>
                <w:b/>
                <w:sz w:val="17"/>
              </w:rPr>
              <w:t>7,484</w:t>
            </w:r>
          </w:p>
        </w:tc>
        <w:tc>
          <w:tcPr>
            <w:tcW w:type="dxa" w:w="1440"/>
            <w:shd w:fill="FAFAFA" w:val="clear"/>
          </w:tcPr>
          <w:p>
            <w:r>
              <w:rPr>
                <w:sz w:val="17"/>
              </w:rPr>
              <w:t>8,463</w:t>
            </w:r>
          </w:p>
        </w:tc>
        <w:tc>
          <w:tcPr>
            <w:tcW w:type="dxa" w:w="1440"/>
            <w:shd w:fill="FAFAFA" w:val="clear"/>
          </w:tcPr>
          <w:p>
            <w:r>
              <w:rPr>
                <w:b/>
                <w:color w:val="008000"/>
                <w:sz w:val="17"/>
              </w:rPr>
              <w:t>+0.9%</w:t>
            </w:r>
          </w:p>
        </w:tc>
      </w:tr>
      <w:tr>
        <w:tc>
          <w:tcPr>
            <w:tcW w:type="dxa" w:w="1440"/>
            <w:shd w:fill="FAFAFA" w:val="clear"/>
          </w:tcPr>
          <w:p>
            <w:r>
              <w:rPr>
                <w:sz w:val="17"/>
              </w:rPr>
              <w:t>J+8  ⭐</w:t>
            </w:r>
          </w:p>
        </w:tc>
        <w:tc>
          <w:tcPr>
            <w:tcW w:type="dxa" w:w="1440"/>
            <w:shd w:fill="FAFAFA" w:val="clear"/>
          </w:tcPr>
          <w:p>
            <w:r>
              <w:rPr>
                <w:sz w:val="17"/>
              </w:rPr>
              <w:t>2026-10-28</w:t>
            </w:r>
          </w:p>
        </w:tc>
        <w:tc>
          <w:tcPr>
            <w:tcW w:type="dxa" w:w="1440"/>
            <w:shd w:fill="FAFAFA" w:val="clear"/>
          </w:tcPr>
          <w:p>
            <w:r>
              <w:rPr>
                <w:sz w:val="17"/>
              </w:rPr>
              <w:t>6,432</w:t>
            </w:r>
          </w:p>
        </w:tc>
        <w:tc>
          <w:tcPr>
            <w:tcW w:type="dxa" w:w="1440"/>
            <w:shd w:fill="FAFAFA" w:val="clear"/>
          </w:tcPr>
          <w:p>
            <w:r>
              <w:rPr>
                <w:b/>
                <w:sz w:val="17"/>
              </w:rPr>
              <w:t>7,476</w:t>
            </w:r>
          </w:p>
        </w:tc>
        <w:tc>
          <w:tcPr>
            <w:tcW w:type="dxa" w:w="1440"/>
            <w:shd w:fill="FAFAFA" w:val="clear"/>
          </w:tcPr>
          <w:p>
            <w:r>
              <w:rPr>
                <w:sz w:val="17"/>
              </w:rPr>
              <w:t>8,521</w:t>
            </w:r>
          </w:p>
        </w:tc>
        <w:tc>
          <w:tcPr>
            <w:tcW w:type="dxa" w:w="1440"/>
            <w:shd w:fill="FAFAFA" w:val="clear"/>
          </w:tcPr>
          <w:p>
            <w:r>
              <w:rPr>
                <w:b/>
                <w:color w:val="008000"/>
                <w:sz w:val="17"/>
              </w:rPr>
              <w:t>+0.8%</w:t>
            </w:r>
          </w:p>
        </w:tc>
      </w:tr>
      <w:tr>
        <w:tc>
          <w:tcPr>
            <w:tcW w:type="dxa" w:w="1440"/>
            <w:shd w:fill="FAFAFA" w:val="clear"/>
          </w:tcPr>
          <w:p>
            <w:r>
              <w:rPr>
                <w:sz w:val="17"/>
              </w:rPr>
              <w:t>J+9  ⭐</w:t>
            </w:r>
          </w:p>
        </w:tc>
        <w:tc>
          <w:tcPr>
            <w:tcW w:type="dxa" w:w="1440"/>
            <w:shd w:fill="FAFAFA" w:val="clear"/>
          </w:tcPr>
          <w:p>
            <w:r>
              <w:rPr>
                <w:sz w:val="17"/>
              </w:rPr>
              <w:t>2026-10-29</w:t>
            </w:r>
          </w:p>
        </w:tc>
        <w:tc>
          <w:tcPr>
            <w:tcW w:type="dxa" w:w="1440"/>
            <w:shd w:fill="FAFAFA" w:val="clear"/>
          </w:tcPr>
          <w:p>
            <w:r>
              <w:rPr>
                <w:sz w:val="17"/>
              </w:rPr>
              <w:t>6,362</w:t>
            </w:r>
          </w:p>
        </w:tc>
        <w:tc>
          <w:tcPr>
            <w:tcW w:type="dxa" w:w="1440"/>
            <w:shd w:fill="FAFAFA" w:val="clear"/>
          </w:tcPr>
          <w:p>
            <w:r>
              <w:rPr>
                <w:b/>
                <w:sz w:val="17"/>
              </w:rPr>
              <w:t>7,469</w:t>
            </w:r>
          </w:p>
        </w:tc>
        <w:tc>
          <w:tcPr>
            <w:tcW w:type="dxa" w:w="1440"/>
            <w:shd w:fill="FAFAFA" w:val="clear"/>
          </w:tcPr>
          <w:p>
            <w:r>
              <w:rPr>
                <w:sz w:val="17"/>
              </w:rPr>
              <w:t>8,576</w:t>
            </w:r>
          </w:p>
        </w:tc>
        <w:tc>
          <w:tcPr>
            <w:tcW w:type="dxa" w:w="1440"/>
            <w:shd w:fill="FAFAFA" w:val="clear"/>
          </w:tcPr>
          <w:p>
            <w:r>
              <w:rPr>
                <w:b/>
                <w:color w:val="008000"/>
                <w:sz w:val="17"/>
              </w:rPr>
              <w:t>+0.7%</w:t>
            </w:r>
          </w:p>
        </w:tc>
      </w:tr>
      <w:tr>
        <w:tc>
          <w:tcPr>
            <w:tcW w:type="dxa" w:w="1440"/>
            <w:shd w:fill="FAFAFA" w:val="clear"/>
          </w:tcPr>
          <w:p>
            <w:r>
              <w:rPr>
                <w:sz w:val="17"/>
              </w:rPr>
              <w:t>J+10  ⭐</w:t>
            </w:r>
          </w:p>
        </w:tc>
        <w:tc>
          <w:tcPr>
            <w:tcW w:type="dxa" w:w="1440"/>
            <w:shd w:fill="FAFAFA" w:val="clear"/>
          </w:tcPr>
          <w:p>
            <w:r>
              <w:rPr>
                <w:sz w:val="17"/>
              </w:rPr>
              <w:t>2026-10-30</w:t>
            </w:r>
          </w:p>
        </w:tc>
        <w:tc>
          <w:tcPr>
            <w:tcW w:type="dxa" w:w="1440"/>
            <w:shd w:fill="FAFAFA" w:val="clear"/>
          </w:tcPr>
          <w:p>
            <w:r>
              <w:rPr>
                <w:sz w:val="17"/>
              </w:rPr>
              <w:t>6,296</w:t>
            </w:r>
          </w:p>
        </w:tc>
        <w:tc>
          <w:tcPr>
            <w:tcW w:type="dxa" w:w="1440"/>
            <w:shd w:fill="FAFAFA" w:val="clear"/>
          </w:tcPr>
          <w:p>
            <w:r>
              <w:rPr>
                <w:b/>
                <w:sz w:val="17"/>
              </w:rPr>
              <w:t>7,462</w:t>
            </w:r>
          </w:p>
        </w:tc>
        <w:tc>
          <w:tcPr>
            <w:tcW w:type="dxa" w:w="1440"/>
            <w:shd w:fill="FAFAFA" w:val="clear"/>
          </w:tcPr>
          <w:p>
            <w:r>
              <w:rPr>
                <w:sz w:val="17"/>
              </w:rPr>
              <w:t>8,628</w:t>
            </w:r>
          </w:p>
        </w:tc>
        <w:tc>
          <w:tcPr>
            <w:tcW w:type="dxa" w:w="1440"/>
            <w:shd w:fill="FAFAFA" w:val="clear"/>
          </w:tcPr>
          <w:p>
            <w:r>
              <w:rPr>
                <w:b/>
                <w:color w:val="008000"/>
                <w:sz w:val="17"/>
              </w:rPr>
              <w:t>+0.6%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 RAPPORT D'ANALYSE FINANCIÈRE — SOGC (Société des Caoutchoucs de Grand-Béréby)</w:t>
        <w:br/>
        <w:t>### BRVM | Secteur : Agro-industrie (Hévéa / Palmier à huile) | 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SOGC s'établit à **160,18 milliards FCFA**, un niveau qui la place parmi les valeurs moyennes-capitalisations de la cote BRVM, cohérent avec son statut de valeur agro-industrielle de référence. Le **BPA de 578 FCFA/action** traduit la capacité bénéficiaire réelle de chaque titre, tandis que le **PER de 12,8x** situe le titre légèrement au-dessus de la moyenne BRVM (~8-12x), signalant une valorisation modérée mais non excessive, avec une prime implicite pour la qualité des fondamentaux. Le **P/B de 2,34x** indique que le marché valorise l'action à plus du double de sa valeur comptable, accordant une prime de croissance justifiée par la rentabilité élevée des fonds propres (ROE 18,26%). Enfin, l'**EV/EBITDA de 6,6x**, dans la fourchette raisonnable de 5-10x, confirme que la valeur d'entreprise reste proportionnée à la capacité opérationnelle de génération de cash-flow, sans emballement spéculatif.</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SOGC affiche une **variation totale quasi nulle de +0,27%**, mais la dernière séance a enregistré une **chute brutale de -3,70%**, ramenant le titre à **7 415 FCFA**. Le range de trading s'étend de **7 300 FCFA (plus bas)** à **8 875 FCFA (plus haut)**, soit une amplitude de plus de 21% qui témoigne d'une réelle agitation malgré la stabilité de surface. La tendance générale est baissière sur la fin de période, le cours ayant quitté la zone des 8 100-8 800 FCFA pour se rapprocher du plancher. Les statistiques descriptives révèlent une **moyenne de 8 108 FCFA** légèrement supérieure à la **médiane de 8 145 FCFA** — écart modeste mais cohérent avec le **skewness négatif de -0,509**, qui indique une asymétrie vers la gauche (davantage de journées au-dessus de la moyenne, mais des chutes ponctuelles plus marquées tirant la moyenne vers le bas). L'**écart-type de 323 FCFA (CV = 4,0%)** traduit une dispersion relativement contenue en séance, tandis que le **kurtosis de 0,219 (mésokurtique)** suggère un comportement proche d'une distribution normale, sans risque extrême de pics. La **volatilité annualisée de 41,5%** classe le titre dans la catégorie **élevée (&gt;30%)**, reflet de sa sensibilité aux cycles des matières premières.</w:t>
      </w:r>
    </w:p>
    <w:p>
      <w:pPr>
        <w:spacing w:after="120" w:line="276" w:lineRule="auto"/>
      </w:pPr>
      <w:r>
        <w:t>---</w:t>
      </w:r>
    </w:p>
    <w:p>
      <w:pPr>
        <w:spacing w:after="120" w:line="276" w:lineRule="auto"/>
      </w:pPr>
      <w:r>
        <w:t>## PARTIE 2 : ANALYSE TECHNIQUE DÉTAILLÉE</w:t>
      </w:r>
    </w:p>
    <w:p>
      <w:pPr>
        <w:spacing w:after="120" w:line="276" w:lineRule="auto"/>
      </w:pPr>
      <w:r>
        <w:t>**Moyennes Mobiles** : La MM20 (7 810,25 FCFA) et la MM50 (7 986,0 FCFA) se situent toutes deux nettement au-dessus du cours actuel (7 415 FCFA), configurant un alignement baissier classique où le prix évolue sous ses moyennes. La MM20 sous la MM50 confirme la pression vendeuse de court terme, justifiant la **décision Vente**.</w:t>
      </w:r>
    </w:p>
    <w:p>
      <w:pPr>
        <w:spacing w:after="120" w:line="276" w:lineRule="auto"/>
      </w:pPr>
      <w:r>
        <w:t>**Bandes de Bollinger** : Le cours (7 415 FCFA) frôle la borne inférieure (7 409,30 FCFA) tout en restant très éloigné de la borne supérieure (8 211,20 FCFA), signe d'une pression baissière marquée mais d'un potentiel de rebond technique à proximité du support. La décision est **Neutre**, le titre étant en zone de survente relative sans cassure confirmée.</w:t>
      </w:r>
    </w:p>
    <w:p>
      <w:pPr>
        <w:spacing w:after="120" w:line="276" w:lineRule="auto"/>
      </w:pPr>
      <w:r>
        <w:t>**MACD** : La valeur du MACD (-85,44) est inférieure à sa ligne de signal (-59,70), avec un histogramme négatif traduisant un momentum baissier persistant. La divergence négative confirme la **décision Vente**, aucun croisement haussier n'étant en vue.</w:t>
      </w:r>
    </w:p>
    <w:p>
      <w:pPr>
        <w:spacing w:after="120" w:line="276" w:lineRule="auto"/>
      </w:pPr>
      <w:r>
        <w:t>**RSI** : À **39,20**, le RSI se situe en zone neutre basse (30-70), sans atteindre la zone de survente stricte (&lt;30). Il traduit une faiblesse modérée mais laisse une marge de baisse avant un signal d'achat technique, justifiant la **décision Neutre**.</w:t>
      </w:r>
    </w:p>
    <w:p>
      <w:pPr>
        <w:spacing w:after="120" w:line="276" w:lineRule="auto"/>
      </w:pPr>
      <w:r>
        <w:t>**Stochastique** : Le %K à **0,0** et le %D à **18,67** placent l'indicateur en zone de survente extrême, avec un %K au plancher absolu qui précède souvent un rebond. Ce signal contrarien justifie la **décision Achat**, en divergence avec les autres indicateurs.</w:t>
      </w:r>
    </w:p>
    <w:p>
      <w:pPr>
        <w:spacing w:after="120" w:line="276" w:lineRule="auto"/>
      </w:pPr>
      <w:r>
        <w:t>**Conclusion technique** : Les indicateurs sont majoritairement baissiers (MM, MACD) ou neutres (Bollinger, RSI), mais le Stochastique en survente extrême suggère un possible rebond technique à court terme. La convergence n'est pas acquise : le titre est en zone de support (7 300-7 415 FCFA) où un rebond est possible, mais la tendance de fond reste fragile tant que le cours n'aura pas reconquis la MM20 (7 810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SOGC a réalisé un **chiffre d'affaires de 98,98 milliards FCFA** (+10,70% de croissance), pour un **résultat net de 12,49 milliards FCFA** (en baisse de 5% selon le rapport 2025), une **marge nette de 12,62%** et une **marge opérationnelle de 17,24%**. La rentabilité des fonds propres reste excellente avec un **ROE de 18,26%** (&gt;15%) et un **ROA de 13,84%**, tandis que la structure financière est remarquablement saine : **autonomie financière de 75,79%**, ratio d'endettement de seulement 24,21%, et une **capacité de remboursement de 0,04 an** (quasi nulle). Le **BFR de 7,12 milliards FCFA** reste maîtrisé, avec des **délais clients de 29,60 jours** (risque trésorerie limité) et un **délai fournisseurs de 31,72 jours** légèrement supérieur (favorable à la trésorerie), mais une **durée de stockage de 97,67 jours** qui immobilise du capital. La génération de cash est robuste : **CAF de 18,94 milliards FCFA**, **flux opérationnel de 22,64 milliards** et **Free Cash Flow de 16,03 milliards FCFA**.</w:t>
      </w:r>
    </w:p>
    <w:p>
      <w:pPr>
        <w:spacing w:after="120" w:line="276" w:lineRule="auto"/>
      </w:pPr>
      <w:r>
        <w:t>**Évolution et rapports narratifs** : Le rapport annuel 2024 (daté 31/12/2024) montrait un CA de 93,52 milliards (+20,1%) et un résultat net de 13,11 milliards (+149%), avec un ROE d'environ 22,2% — l'exercice 2025 marque donc une normalisation avec une légère contraction du bénéfice (-5%) malgré la croissance du CA, sous l'effet de la hausse des coûts du coagulum (+15%). Les rapports trimestriels 2025 confirment cette dynamique : le T1 2025 (31/03/2025) affichait un CA de 31,2 milliards (+63,1%) et un résultat net de 6,0 milliards (+262,9%) ; le S1 2025 (30/06/2025) un CA de 55,4 milliards (+51,9%) et un résultat net de 10,2 milliards (+151,6%) ; le cumul 9M 2025 (30/09/2025) un CA de 75,6 milliards (+21,3%) et un résultat net de 11,5 milliards (+39,5%). On observe donc un **ralentissement progressif de la croissance** au fil de l'année, la direction ayant alerté dès le S1 sur un S2 plus difficile (concurrence accrue sur l'achat de matière première, baisse des cours SICOM du caoutchouc). Sur cette base, on estime que l'exercice 2026 devrait rester solide mais sans retour à l'euphorie de 2024, avec une pression continue sur les marges.</w:t>
      </w:r>
    </w:p>
    <w:p>
      <w:pPr>
        <w:spacing w:after="120" w:line="276" w:lineRule="auto"/>
      </w:pPr>
      <w:r>
        <w:t>**Recommandation fondamentale** : La solidité bilancielle (autonomie financière 75,79%, trésorerie nette positive de 4,58 milliards), la génération de cash élevée et le dividende attractif (570 FCFA/action proposé à l'AG du 28/05/2026, soit un rendement d'environ 7,7% au cours actuel) constituent des atouts majeurs. Les risques résident dans la volatilité des prix des matières premières, la concurrence sur le coagulum et le taux de distribution historiquement très élevé (98,9% en 2024) limitant les réinvestissements. La recommandation fondamentale est **CONSERVER**, avec un biais positif lié à la qualité du bilan et au rendement du dividende.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contrasté. **Sur la valorisation (Partie 0)**, le PER de 12,8x et le P/B de 2,34x indiquent une valorisation raisonnable mais sans décote significative, l'EV/EBITDA de 6,6x confirmant l'absence de surévaluation. **Le comportement du cours (Partie 1)** est préoccupant à court terme : chute de -3,70% en dernière séance, cours proche du plancher (7 300 FCFA), skewness négatif et volatilité élevée de 41,5%, bien que le kurtosis mésokurtique limite le risque de krach extrême. **Les signaux techniques (Partie 2)** sont majoritairement baissiers (MM, MACD) mais le Stochastique en survente extrême (%K = 0,0) plaide pour un rebond technique imminent, créant une divergence typique de zone de retournement. **Les fondamentaux (Partie 3)** demeurent solides : ROE de 18,26%, autonomie financière de 75,79%, FCF de 16,03 milliards et dividende de 570 FCFA/action, malgré une normalisation du résultat net 2025 (-5%) et un ralentissement de la croissance trimestrielle. **Les prédictions IA (J+1 à J+10)** anticipent une légère reprise de 7 415 à 7 537 FCFA (+1,6%), cohérente avec le signal de survente du Stochastique et le soutien du support technique.</w:t>
      </w:r>
    </w:p>
    <w:p>
      <w:pPr>
        <w:spacing w:after="120" w:line="276" w:lineRule="auto"/>
      </w:pPr>
      <w:r>
        <w:t>**Recommandation finale : CONSERVER** (avec opportunité d'achat tactique sur repli vers 7 300-7 400 FCFA). La convergence est partielle : la valorisation raisonnable et les fondamentaux solides soutiennent le titre à moyen terme, tandis que la technique baissière et la prédiction IA modérément haussière suggèrent un point d'entrée proche du plancher plutôt qu'une sortie. **Niveau de confiance : Moyen** (divergence entre technique baissière et fondamentaux solides). **Niveau de risque global : Moyen** (volatilité élevée compensée par la solidité bilancielle). **Horizon d'investissement recommandé : moyen terme (3-12 mois)**, le temps que la normalisation des marges 2025-2026 s'achève et que le rendement du dividende (7,7%) rémunère l'attente, avec un objectif de cours à 8 100-8 200 FCFA (retour vers la moyenne statistique) si le rebond technique se confirme.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42.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194.24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4,347 titres</w:t>
            </w:r>
          </w:p>
        </w:tc>
        <w:tc>
          <w:tcPr>
            <w:tcW w:type="dxa" w:w="2268"/>
            <w:shd w:fill="FFF2CC" w:val="clear"/>
          </w:tcPr>
          <w:p>
            <w:r>
              <w:rPr>
                <w:b/>
                <w:color w:val="503200"/>
                <w:sz w:val="16"/>
              </w:rPr>
              <w:t xml:space="preserve">Cours actuel : </w:t>
            </w:r>
            <w:r>
              <w:rPr>
                <w:color w:val="000000"/>
                <w:sz w:val="17"/>
              </w:rPr>
              <w:t>7,600 FCFA</w:t>
            </w:r>
          </w:p>
          <w:p>
            <w:r>
              <w:rPr>
                <w:b/>
                <w:color w:val="503200"/>
                <w:sz w:val="16"/>
              </w:rPr>
              <w:t xml:space="preserve">Var. 100 jours : </w:t>
            </w:r>
            <w:r>
              <w:rPr>
                <w:b/>
                <w:color w:val="007800"/>
                <w:sz w:val="17"/>
              </w:rPr>
              <w:t>+9.43%</w:t>
            </w:r>
          </w:p>
          <w:p>
            <w:r>
              <w:rPr>
                <w:b/>
                <w:color w:val="503200"/>
                <w:sz w:val="16"/>
              </w:rPr>
              <w:t xml:space="preserve">Plus haut 100j : </w:t>
            </w:r>
            <w:r>
              <w:rPr>
                <w:color w:val="000000"/>
                <w:sz w:val="17"/>
              </w:rPr>
              <w:t>10,300 FCFA</w:t>
            </w:r>
          </w:p>
          <w:p>
            <w:r>
              <w:rPr>
                <w:b/>
                <w:color w:val="503200"/>
                <w:sz w:val="16"/>
              </w:rPr>
              <w:t xml:space="preserve">Plus bas 100j : </w:t>
            </w:r>
            <w:r>
              <w:rPr>
                <w:color w:val="000000"/>
                <w:sz w:val="17"/>
              </w:rPr>
              <w:t>6,945 FCFA</w:t>
            </w:r>
          </w:p>
          <w:p>
            <w:r>
              <w:rPr>
                <w:b/>
                <w:color w:val="503200"/>
                <w:sz w:val="16"/>
              </w:rPr>
              <w:t xml:space="preserve">Volatilité ann. : </w:t>
            </w:r>
            <w:r>
              <w:rPr>
                <w:color w:val="000000"/>
                <w:sz w:val="17"/>
              </w:rPr>
              <w:t>44.6%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8.88% (Moyenne) — μ=7,949 FCFA, σ=706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β=0.7785 (Défensif) — Cov=0.000059, Var(idx)=0.000076, ρ=0.242,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4,347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σ_j=2.81%/j (Stable) — Vol. annualisée≈44.6%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6976"/>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7,246</w:t>
            </w:r>
          </w:p>
        </w:tc>
        <w:tc>
          <w:tcPr>
            <w:tcW w:type="dxa" w:w="1440"/>
            <w:shd w:fill="FAFAFA" w:val="clear"/>
          </w:tcPr>
          <w:p>
            <w:r>
              <w:rPr>
                <w:b/>
                <w:sz w:val="17"/>
              </w:rPr>
              <w:t>7,621</w:t>
            </w:r>
          </w:p>
        </w:tc>
        <w:tc>
          <w:tcPr>
            <w:tcW w:type="dxa" w:w="1440"/>
            <w:shd w:fill="FAFAFA" w:val="clear"/>
          </w:tcPr>
          <w:p>
            <w:r>
              <w:rPr>
                <w:sz w:val="17"/>
              </w:rPr>
              <w:t>7,997</w:t>
            </w:r>
          </w:p>
        </w:tc>
        <w:tc>
          <w:tcPr>
            <w:tcW w:type="dxa" w:w="1440"/>
            <w:shd w:fill="FAFAFA" w:val="clear"/>
          </w:tcPr>
          <w:p>
            <w:r>
              <w:rPr>
                <w:b/>
                <w:color w:val="008000"/>
                <w:sz w:val="17"/>
              </w:rPr>
              <w:t>+0.3%</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7,057</w:t>
            </w:r>
          </w:p>
        </w:tc>
        <w:tc>
          <w:tcPr>
            <w:tcW w:type="dxa" w:w="1440"/>
            <w:shd w:fill="FAFAFA" w:val="clear"/>
          </w:tcPr>
          <w:p>
            <w:r>
              <w:rPr>
                <w:b/>
                <w:sz w:val="17"/>
              </w:rPr>
              <w:t>7,586</w:t>
            </w:r>
          </w:p>
        </w:tc>
        <w:tc>
          <w:tcPr>
            <w:tcW w:type="dxa" w:w="1440"/>
            <w:shd w:fill="FAFAFA" w:val="clear"/>
          </w:tcPr>
          <w:p>
            <w:r>
              <w:rPr>
                <w:sz w:val="17"/>
              </w:rPr>
              <w:t>8,115</w:t>
            </w:r>
          </w:p>
        </w:tc>
        <w:tc>
          <w:tcPr>
            <w:tcW w:type="dxa" w:w="1440"/>
            <w:shd w:fill="FAFAFA" w:val="clear"/>
          </w:tcPr>
          <w:p>
            <w:r>
              <w:rPr>
                <w:b/>
                <w:color w:val="C00000"/>
                <w:sz w:val="17"/>
              </w:rPr>
              <w:t>-0.2%</w:t>
            </w:r>
          </w:p>
        </w:tc>
      </w:tr>
      <w:tr>
        <w:tc>
          <w:tcPr>
            <w:tcW w:type="dxa" w:w="1440"/>
            <w:shd w:fill="FAFAFA" w:val="clear"/>
          </w:tcPr>
          <w:p>
            <w:r>
              <w:rPr>
                <w:sz w:val="17"/>
              </w:rPr>
              <w:t>J+3  Moyenne</w:t>
            </w:r>
          </w:p>
        </w:tc>
        <w:tc>
          <w:tcPr>
            <w:tcW w:type="dxa" w:w="1440"/>
            <w:shd w:fill="FAFAFA" w:val="clear"/>
          </w:tcPr>
          <w:p>
            <w:r>
              <w:rPr>
                <w:sz w:val="17"/>
              </w:rPr>
              <w:t>2026-10-21</w:t>
            </w:r>
          </w:p>
        </w:tc>
        <w:tc>
          <w:tcPr>
            <w:tcW w:type="dxa" w:w="1440"/>
            <w:shd w:fill="FAFAFA" w:val="clear"/>
          </w:tcPr>
          <w:p>
            <w:r>
              <w:rPr>
                <w:sz w:val="17"/>
              </w:rPr>
              <w:t>6,911</w:t>
            </w:r>
          </w:p>
        </w:tc>
        <w:tc>
          <w:tcPr>
            <w:tcW w:type="dxa" w:w="1440"/>
            <w:shd w:fill="FAFAFA" w:val="clear"/>
          </w:tcPr>
          <w:p>
            <w:r>
              <w:rPr>
                <w:b/>
                <w:sz w:val="17"/>
              </w:rPr>
              <w:t>7,557</w:t>
            </w:r>
          </w:p>
        </w:tc>
        <w:tc>
          <w:tcPr>
            <w:tcW w:type="dxa" w:w="1440"/>
            <w:shd w:fill="FAFAFA" w:val="clear"/>
          </w:tcPr>
          <w:p>
            <w:r>
              <w:rPr>
                <w:sz w:val="17"/>
              </w:rPr>
              <w:t>8,202</w:t>
            </w:r>
          </w:p>
        </w:tc>
        <w:tc>
          <w:tcPr>
            <w:tcW w:type="dxa" w:w="1440"/>
            <w:shd w:fill="FAFAFA" w:val="clear"/>
          </w:tcPr>
          <w:p>
            <w:r>
              <w:rPr>
                <w:b/>
                <w:color w:val="C00000"/>
                <w:sz w:val="17"/>
              </w:rPr>
              <w:t>-0.6%</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6,786</w:t>
            </w:r>
          </w:p>
        </w:tc>
        <w:tc>
          <w:tcPr>
            <w:tcW w:type="dxa" w:w="1440"/>
            <w:shd w:fill="FAFAFA" w:val="clear"/>
          </w:tcPr>
          <w:p>
            <w:r>
              <w:rPr>
                <w:b/>
                <w:sz w:val="17"/>
              </w:rPr>
              <w:t>7,528</w:t>
            </w:r>
          </w:p>
        </w:tc>
        <w:tc>
          <w:tcPr>
            <w:tcW w:type="dxa" w:w="1440"/>
            <w:shd w:fill="FAFAFA" w:val="clear"/>
          </w:tcPr>
          <w:p>
            <w:r>
              <w:rPr>
                <w:sz w:val="17"/>
              </w:rPr>
              <w:t>8,270</w:t>
            </w:r>
          </w:p>
        </w:tc>
        <w:tc>
          <w:tcPr>
            <w:tcW w:type="dxa" w:w="1440"/>
            <w:shd w:fill="FAFAFA" w:val="clear"/>
          </w:tcPr>
          <w:p>
            <w:r>
              <w:rPr>
                <w:b/>
                <w:color w:val="C00000"/>
                <w:sz w:val="17"/>
              </w:rPr>
              <w:t>-0.9%</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6,673</w:t>
            </w:r>
          </w:p>
        </w:tc>
        <w:tc>
          <w:tcPr>
            <w:tcW w:type="dxa" w:w="1440"/>
            <w:shd w:fill="FAFAFA" w:val="clear"/>
          </w:tcPr>
          <w:p>
            <w:r>
              <w:rPr>
                <w:b/>
                <w:sz w:val="17"/>
              </w:rPr>
              <w:t>7,500</w:t>
            </w:r>
          </w:p>
        </w:tc>
        <w:tc>
          <w:tcPr>
            <w:tcW w:type="dxa" w:w="1440"/>
            <w:shd w:fill="FAFAFA" w:val="clear"/>
          </w:tcPr>
          <w:p>
            <w:r>
              <w:rPr>
                <w:sz w:val="17"/>
              </w:rPr>
              <w:t>8,327</w:t>
            </w:r>
          </w:p>
        </w:tc>
        <w:tc>
          <w:tcPr>
            <w:tcW w:type="dxa" w:w="1440"/>
            <w:shd w:fill="FAFAFA" w:val="clear"/>
          </w:tcPr>
          <w:p>
            <w:r>
              <w:rPr>
                <w:b/>
                <w:color w:val="C00000"/>
                <w:sz w:val="17"/>
              </w:rPr>
              <w:t>-1.3%</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6,570</w:t>
            </w:r>
          </w:p>
        </w:tc>
        <w:tc>
          <w:tcPr>
            <w:tcW w:type="dxa" w:w="1440"/>
            <w:shd w:fill="FAFAFA" w:val="clear"/>
          </w:tcPr>
          <w:p>
            <w:r>
              <w:rPr>
                <w:b/>
                <w:sz w:val="17"/>
              </w:rPr>
              <w:t>7,473</w:t>
            </w:r>
          </w:p>
        </w:tc>
        <w:tc>
          <w:tcPr>
            <w:tcW w:type="dxa" w:w="1440"/>
            <w:shd w:fill="FAFAFA" w:val="clear"/>
          </w:tcPr>
          <w:p>
            <w:r>
              <w:rPr>
                <w:sz w:val="17"/>
              </w:rPr>
              <w:t>8,375</w:t>
            </w:r>
          </w:p>
        </w:tc>
        <w:tc>
          <w:tcPr>
            <w:tcW w:type="dxa" w:w="1440"/>
            <w:shd w:fill="FAFAFA" w:val="clear"/>
          </w:tcPr>
          <w:p>
            <w:r>
              <w:rPr>
                <w:b/>
                <w:color w:val="C00000"/>
                <w:sz w:val="17"/>
              </w:rPr>
              <w:t>-1.7%</w:t>
            </w:r>
          </w:p>
        </w:tc>
      </w:tr>
      <w:tr>
        <w:tc>
          <w:tcPr>
            <w:tcW w:type="dxa" w:w="1440"/>
            <w:shd w:fill="FFDCE0" w:val="clear"/>
          </w:tcPr>
          <w:p>
            <w:r>
              <w:rPr>
                <w:sz w:val="17"/>
              </w:rPr>
              <w:t>J+7  ⭐</w:t>
            </w:r>
          </w:p>
        </w:tc>
        <w:tc>
          <w:tcPr>
            <w:tcW w:type="dxa" w:w="1440"/>
            <w:shd w:fill="FFDCE0" w:val="clear"/>
          </w:tcPr>
          <w:p>
            <w:r>
              <w:rPr>
                <w:sz w:val="17"/>
              </w:rPr>
              <w:t>2026-10-27</w:t>
            </w:r>
          </w:p>
        </w:tc>
        <w:tc>
          <w:tcPr>
            <w:tcW w:type="dxa" w:w="1440"/>
            <w:shd w:fill="FFDCE0" w:val="clear"/>
          </w:tcPr>
          <w:p>
            <w:r>
              <w:rPr>
                <w:sz w:val="17"/>
              </w:rPr>
              <w:t>6,475</w:t>
            </w:r>
          </w:p>
        </w:tc>
        <w:tc>
          <w:tcPr>
            <w:tcW w:type="dxa" w:w="1440"/>
            <w:shd w:fill="FFDCE0" w:val="clear"/>
          </w:tcPr>
          <w:p>
            <w:r>
              <w:rPr>
                <w:b/>
                <w:sz w:val="17"/>
              </w:rPr>
              <w:t>7,447</w:t>
            </w:r>
          </w:p>
        </w:tc>
        <w:tc>
          <w:tcPr>
            <w:tcW w:type="dxa" w:w="1440"/>
            <w:shd w:fill="FFDCE0" w:val="clear"/>
          </w:tcPr>
          <w:p>
            <w:r>
              <w:rPr>
                <w:sz w:val="17"/>
              </w:rPr>
              <w:t>8,418</w:t>
            </w:r>
          </w:p>
        </w:tc>
        <w:tc>
          <w:tcPr>
            <w:tcW w:type="dxa" w:w="1440"/>
            <w:shd w:fill="FFDCE0" w:val="clear"/>
          </w:tcPr>
          <w:p>
            <w:r>
              <w:rPr>
                <w:b/>
                <w:color w:val="C00000"/>
                <w:sz w:val="17"/>
              </w:rPr>
              <w:t>-2.0%</w:t>
            </w:r>
          </w:p>
        </w:tc>
      </w:tr>
      <w:tr>
        <w:tc>
          <w:tcPr>
            <w:tcW w:type="dxa" w:w="1440"/>
            <w:shd w:fill="FFDCE0" w:val="clear"/>
          </w:tcPr>
          <w:p>
            <w:r>
              <w:rPr>
                <w:sz w:val="17"/>
              </w:rPr>
              <w:t>J+8  ⭐</w:t>
            </w:r>
          </w:p>
        </w:tc>
        <w:tc>
          <w:tcPr>
            <w:tcW w:type="dxa" w:w="1440"/>
            <w:shd w:fill="FFDCE0" w:val="clear"/>
          </w:tcPr>
          <w:p>
            <w:r>
              <w:rPr>
                <w:sz w:val="17"/>
              </w:rPr>
              <w:t>2026-10-28</w:t>
            </w:r>
          </w:p>
        </w:tc>
        <w:tc>
          <w:tcPr>
            <w:tcW w:type="dxa" w:w="1440"/>
            <w:shd w:fill="FFDCE0" w:val="clear"/>
          </w:tcPr>
          <w:p>
            <w:r>
              <w:rPr>
                <w:sz w:val="17"/>
              </w:rPr>
              <w:t>6,386</w:t>
            </w:r>
          </w:p>
        </w:tc>
        <w:tc>
          <w:tcPr>
            <w:tcW w:type="dxa" w:w="1440"/>
            <w:shd w:fill="FFDCE0" w:val="clear"/>
          </w:tcPr>
          <w:p>
            <w:r>
              <w:rPr>
                <w:b/>
                <w:sz w:val="17"/>
              </w:rPr>
              <w:t>7,421</w:t>
            </w:r>
          </w:p>
        </w:tc>
        <w:tc>
          <w:tcPr>
            <w:tcW w:type="dxa" w:w="1440"/>
            <w:shd w:fill="FFDCE0" w:val="clear"/>
          </w:tcPr>
          <w:p>
            <w:r>
              <w:rPr>
                <w:sz w:val="17"/>
              </w:rPr>
              <w:t>8,456</w:t>
            </w:r>
          </w:p>
        </w:tc>
        <w:tc>
          <w:tcPr>
            <w:tcW w:type="dxa" w:w="1440"/>
            <w:shd w:fill="FFDCE0" w:val="clear"/>
          </w:tcPr>
          <w:p>
            <w:r>
              <w:rPr>
                <w:b/>
                <w:color w:val="C00000"/>
                <w:sz w:val="17"/>
              </w:rPr>
              <w:t>-2.3%</w:t>
            </w:r>
          </w:p>
        </w:tc>
      </w:tr>
      <w:tr>
        <w:tc>
          <w:tcPr>
            <w:tcW w:type="dxa" w:w="1440"/>
            <w:shd w:fill="FFDCE0" w:val="clear"/>
          </w:tcPr>
          <w:p>
            <w:r>
              <w:rPr>
                <w:sz w:val="17"/>
              </w:rPr>
              <w:t>J+9  ⭐</w:t>
            </w:r>
          </w:p>
        </w:tc>
        <w:tc>
          <w:tcPr>
            <w:tcW w:type="dxa" w:w="1440"/>
            <w:shd w:fill="FFDCE0" w:val="clear"/>
          </w:tcPr>
          <w:p>
            <w:r>
              <w:rPr>
                <w:sz w:val="17"/>
              </w:rPr>
              <w:t>2026-10-29</w:t>
            </w:r>
          </w:p>
        </w:tc>
        <w:tc>
          <w:tcPr>
            <w:tcW w:type="dxa" w:w="1440"/>
            <w:shd w:fill="FFDCE0" w:val="clear"/>
          </w:tcPr>
          <w:p>
            <w:r>
              <w:rPr>
                <w:sz w:val="17"/>
              </w:rPr>
              <w:t>6,303</w:t>
            </w:r>
          </w:p>
        </w:tc>
        <w:tc>
          <w:tcPr>
            <w:tcW w:type="dxa" w:w="1440"/>
            <w:shd w:fill="FFDCE0" w:val="clear"/>
          </w:tcPr>
          <w:p>
            <w:r>
              <w:rPr>
                <w:b/>
                <w:sz w:val="17"/>
              </w:rPr>
              <w:t>7,397</w:t>
            </w:r>
          </w:p>
        </w:tc>
        <w:tc>
          <w:tcPr>
            <w:tcW w:type="dxa" w:w="1440"/>
            <w:shd w:fill="FFDCE0" w:val="clear"/>
          </w:tcPr>
          <w:p>
            <w:r>
              <w:rPr>
                <w:sz w:val="17"/>
              </w:rPr>
              <w:t>8,491</w:t>
            </w:r>
          </w:p>
        </w:tc>
        <w:tc>
          <w:tcPr>
            <w:tcW w:type="dxa" w:w="1440"/>
            <w:shd w:fill="FFDCE0" w:val="clear"/>
          </w:tcPr>
          <w:p>
            <w:r>
              <w:rPr>
                <w:b/>
                <w:color w:val="C00000"/>
                <w:sz w:val="17"/>
              </w:rPr>
              <w:t>-2.7%</w:t>
            </w:r>
          </w:p>
        </w:tc>
      </w:tr>
      <w:tr>
        <w:tc>
          <w:tcPr>
            <w:tcW w:type="dxa" w:w="1440"/>
            <w:shd w:fill="FFDCE0" w:val="clear"/>
          </w:tcPr>
          <w:p>
            <w:r>
              <w:rPr>
                <w:sz w:val="17"/>
              </w:rPr>
              <w:t>J+10  ⭐</w:t>
            </w:r>
          </w:p>
        </w:tc>
        <w:tc>
          <w:tcPr>
            <w:tcW w:type="dxa" w:w="1440"/>
            <w:shd w:fill="FFDCE0" w:val="clear"/>
          </w:tcPr>
          <w:p>
            <w:r>
              <w:rPr>
                <w:sz w:val="17"/>
              </w:rPr>
              <w:t>2026-10-30</w:t>
            </w:r>
          </w:p>
        </w:tc>
        <w:tc>
          <w:tcPr>
            <w:tcW w:type="dxa" w:w="1440"/>
            <w:shd w:fill="FFDCE0" w:val="clear"/>
          </w:tcPr>
          <w:p>
            <w:r>
              <w:rPr>
                <w:sz w:val="17"/>
              </w:rPr>
              <w:t>6,224</w:t>
            </w:r>
          </w:p>
        </w:tc>
        <w:tc>
          <w:tcPr>
            <w:tcW w:type="dxa" w:w="1440"/>
            <w:shd w:fill="FFDCE0" w:val="clear"/>
          </w:tcPr>
          <w:p>
            <w:r>
              <w:rPr>
                <w:b/>
                <w:sz w:val="17"/>
              </w:rPr>
              <w:t>7,374</w:t>
            </w:r>
          </w:p>
        </w:tc>
        <w:tc>
          <w:tcPr>
            <w:tcW w:type="dxa" w:w="1440"/>
            <w:shd w:fill="FFDCE0" w:val="clear"/>
          </w:tcPr>
          <w:p>
            <w:r>
              <w:rPr>
                <w:sz w:val="17"/>
              </w:rPr>
              <w:t>8,523</w:t>
            </w:r>
          </w:p>
        </w:tc>
        <w:tc>
          <w:tcPr>
            <w:tcW w:type="dxa" w:w="1440"/>
            <w:shd w:fill="FFDCE0" w:val="clear"/>
          </w:tcPr>
          <w:p>
            <w:r>
              <w:rPr>
                <w:b/>
                <w:color w:val="C00000"/>
                <w:sz w:val="17"/>
              </w:rPr>
              <w:t>-3.0%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 RAPPORT D'ANALYSE FINANCIÈRE — SPHC (SAPH CI)</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194,24 milliards FCFA, SPHC s'affirme comme une valeur de premier plan de la cote BRVM, représentative du secteur agro-industriel ouest-africain. Le BPA de 977 FCFA/action traduit la part de bénéfice net revenant à chaque titre, tandis que le PER de 7,8x — inférieur à la moyenne BRVM (8-12x) — suggère que le marché ne paie pas cher les bénéfices actuels, signal potentiel de sous-évaluation. Le P/B de 1,41x indique une valorisation raisonnable, légèrement au-dessus de la valeur comptable, cohérente avec la rentabilité élevée des fonds propres (ROE 18,1%). Enfin, l'EV/EBITDA de 4,9x, inférieur au seuil de 5x, confirme que la valeur d'entreprise reste très bon marché au regard de la capacité opérationnelle générée, renforçant le diagnostic de valorisation attractive.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SPHC affiche une variation totale positive de +9,43%, malgré une correction de -2,56% sur la dernière séance, le cours s'établissant à 7 600 FCFA. Le range de trading est large, entre un plus bas de 6 945 FCFA et un plus haut de 10 300 FCFA, reflétant une tendance globalement haussière mais heurtée, avec un repli récent depuis les sommets. Les statistiques descriptives révèlent une distribution asymétrique : la moyenne (7 949 FCFA) dépasse la médiane (7 685 FCFA), signe d'une asymétrie positive confirmée par le skewness de 1,658 — davantage de journées se situent sous la moyenne, avec quelques pics haussiers tirant la moyenne vers le haut. L'écart-type de 710 FCFA (CV de 8,9%) indique une dispersion modérée du cours, mais le kurtosis de 2,166 (leptokurtique) signale des queues épaisses et un risque de pics de volatilité. La volatilité annualisée de 44,6% positionne le titre dans la catégorie des valeurs à volatilité élevée (&gt;30%), exigeant une tolérance au risque importante de la part de l'investisseur.</w:t>
      </w:r>
    </w:p>
    <w:p>
      <w:pPr>
        <w:spacing w:after="120" w:line="276" w:lineRule="auto"/>
      </w:pPr>
      <w:r>
        <w:t>---</w:t>
      </w:r>
    </w:p>
    <w:p>
      <w:pPr>
        <w:spacing w:after="120" w:line="276" w:lineRule="auto"/>
      </w:pPr>
      <w:r>
        <w:t>## PARTIE 2 : ANALYSE TECHNIQUE DÉTAILLÉE</w:t>
      </w:r>
    </w:p>
    <w:p>
      <w:pPr>
        <w:spacing w:after="120" w:line="276" w:lineRule="auto"/>
      </w:pPr>
      <w:r>
        <w:t>**Moyennes Mobiles** : La MM20 (7 822,25 FCFA) et la MM50 (8 366,5 FCFA) se situent toutes deux au-dessus du cours actuel (7 600 FCFA), avec une MM20 inférieure à la MM50 — configuration baissière de court terme. Le cours évoluant sous ses deux moyennes, la décision technique est logiquement **Vente**, traduisant une pression vendeuse persistante.</w:t>
      </w:r>
    </w:p>
    <w:p>
      <w:pPr>
        <w:spacing w:after="120" w:line="276" w:lineRule="auto"/>
      </w:pPr>
      <w:r>
        <w:t>**Bandes de Bollinger** : Le cours (7 600 FCFA) se situe dans la moitié inférieure de la bande, entre la borne inférieure (7 485,62 FCFA) et la borne supérieure (8 158,88 FCFA), sans franchissement des extrêmes. Cette position centrale-basse traduit une volatilité contenue et une absence de signal directionnel fort, justifiant la décision **Neutre**.</w:t>
      </w:r>
    </w:p>
    <w:p>
      <w:pPr>
        <w:spacing w:after="120" w:line="276" w:lineRule="auto"/>
      </w:pPr>
      <w:r>
        <w:t>**MACD** : La valeur du MACD (-157,76) est inférieure à son signal (-154,106), avec un histogramme négatif — configuration baissière confirmée. Le momentum reste négatif, bien que l'écart entre les deux lignes soit faible, suggérant un essoufflement possible de la baisse. La décision **Vente** reste de mise.</w:t>
      </w:r>
    </w:p>
    <w:p>
      <w:pPr>
        <w:spacing w:after="120" w:line="276" w:lineRule="auto"/>
      </w:pPr>
      <w:r>
        <w:t>**RSI** : À 42,5, le RSI se situe en zone neutre (entre 30 et 70), sans signal de surachat (&gt;70) ni de survente (&lt;30). Le titre n'est ni surévalué ni survendu techniquement, justifiant la décision **Neutre** avec une légère inclinaison baissière.</w:t>
      </w:r>
    </w:p>
    <w:p>
      <w:pPr>
        <w:spacing w:after="120" w:line="276" w:lineRule="auto"/>
      </w:pPr>
      <w:r>
        <w:t>**Stochastique** : Le %K (9,091) est très bas et inférieur au %D (19,529), positionnant le titre en zone de survente marquée. Ce croisement en zone basse suggère un potentiel rebond technique à court terme, justifiant la décision **Achat** — seul indicateur positif du faisceau technique.</w:t>
      </w:r>
    </w:p>
    <w:p>
      <w:pPr>
        <w:spacing w:after="120" w:line="276" w:lineRule="auto"/>
      </w:pPr>
      <w:r>
        <w:t>**Conclusion technique** : Le faisceau d'indicateurs est majoritairement baissier (MM, MACD) ou neutre (Bollinger, RSI), avec un seul signal d'achat (Stochastique en survente). Le titre évolue sous ses moyennes mobiles avec un momentum négatif, mais la proximité de la borne inférieure de Bollinger et la survente stochastique plaident pour un rebond technique limité. La configuration globale reste fragile et nécessite une confirmation avant tout engagement.</w:t>
      </w:r>
    </w:p>
    <w:p>
      <w:pPr>
        <w:spacing w:after="120" w:line="276" w:lineRule="auto"/>
      </w:pPr>
      <w:r>
        <w:t>---</w:t>
      </w:r>
    </w:p>
    <w:p>
      <w:pPr>
        <w:spacing w:after="120" w:line="276" w:lineRule="auto"/>
      </w:pPr>
      <w:r>
        <w:t>## PARTIE 3 : ANALYSE FONDAMENTALE</w:t>
      </w:r>
    </w:p>
    <w:p>
      <w:pPr>
        <w:spacing w:after="120" w:line="276" w:lineRule="auto"/>
      </w:pPr>
      <w:r>
        <w:t>En 2025, SPHC a réalisé un chiffre d'affaires de 340,831 milliards FCFA, en croissance de +21,97% sur un an, porté par la hausse des volumes et des prix du caoutchouc. Le résultat net s'établit à 24,972 milliards FCFA, avec une marge nette de 7,33%, un ROE de 18,10% (excellent, &gt;15%) et un ROA de 11,06%, témoignant d'une rentabilité solide. La structure financière est saine : autonomie financière de 61,08%, ratio d'endettement maîtrisé à 25,81%, liquidité générale de 195,54% et couverture des intérêts de 1 094,57%. Les délais d'exploitation restent un point de vigilance : délai clients de 35 jours et durée de stockage de 72,33 jours, tandis que le BFR de 65,389 milliards FCFA et la trésorerie nette négative (-15,413 milliards FCFA) nécessitent une surveillance. Le rapport du 30 septembre 2026 (analysé par GEMINI-VISION le 17/10/2026) révèle toutefois une inflexion préoccupante : le CA recule de -8% à 232,474 milliards FCFA et le résultat net chute de -58% à 9,703 milliards FCFA, sous l'effet de congestions portuaires à San-Pedro et d'une concurrence accrue sur la matière première. Le rapport T1 2026 (RAPPORT 4) confirme cette tendance avec un CA de 71,8 milliards FCFA (-24%) et un résultat net de 2,633 milliards FCFA (-78%). Néanmoins, le T3 2026 marque un redressement opérationnel porté par la hausse des cours mondiaux (+20% sur un an), la direction anticipant un résultat annuel nettement supérieur à l'objectif de 10,67 milliards FCFA. La politique de dividende est attractive : 489 FCFA brut/action proposé (12,50 milliards FCFA, taux de distribution de 50,1%), en hausse de +32,7% sur un an. **Recommandation fondamentale : CONSERVER**, avec une surveillance active des cours du caoutchouc et de la trésorerie, mais un potentiel de redressement au T4 2026.</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contrasté. La **valorisation** (Partie 0) est clairement attractive : PER de 7,8x, P/B de 1,41x et EV/EBITDA de 4,9x suggèrent une sous-évaluation relative, offrant une marge de sécurité. Le **comportement du cours** (Partie 1) est mitigé : tendance haussière sur 100 jours (+9,43%) mais correction récente, volatilité élevée (44,6%) et distribution leptokurtique (kurtosis 2,166) signalant un risque de pics — préoccupant pour un investisseur averse au risque. Les **signaux techniques** (Partie 2) sont majoritairement baissiers (MM, MACD) avec un seul signal d'achat (Stochastique en survente), plaidant pour un rebond technique limité plutôt qu'un retournement durable. Les **fondamentaux** (Partie 3) demeurent solides (ROE 18,1%, structure financière saine, dividende attractif) mais sont ternis par la dégradation des résultats 2026 (T1 : -78% de résultat net), compensée par le redressement du T3. Les **prédictions IA** (J+1 à J+10) confirment la pression baissière à court terme, avec une trajectoire descendante de 7 621 à 7 500 FCFA, en cohérence avec les signaux techniques baissiers.</w:t>
      </w:r>
    </w:p>
    <w:p>
      <w:pPr>
        <w:spacing w:after="120" w:line="276" w:lineRule="auto"/>
      </w:pPr>
      <w:r>
        <w:t>**Recommandation finale : CONSERVER**, avec un biais prudent. La convergence entre valorisation attractive et fondamentaux solides soutient la thèse d'un maintien en portefeuille, mais la divergence entre signaux techniques baissiers, prédictions IA descendantes et dégradation des résultats 2026 justifie la prudence. **Niveau de confiance : Moyen** (les signaux sont contradictoires entre court et long terme). **Niveau de risque global : Élevé** (volatilité 44,6%, kurtosis leptokurtique, dépendance aux cours mondiaux du caoutchouc). **Horizon optimal : Moyen terme (3-12 mois)**, le temps que le redressement du T3 2026 se confirme dans les résultats annuels et que les cours du caoutchouc stabilisent leur reprise. Un passage à l'**ACHAT** pourrait être envisagé sur repli vers 7 200-7 400 FCFA, ou après confirmation d'un retournement technique (franchissement de la MM20 à 7 822 FCFA).</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43.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27.28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6,354 titres</w:t>
            </w:r>
          </w:p>
        </w:tc>
        <w:tc>
          <w:tcPr>
            <w:tcW w:type="dxa" w:w="2268"/>
            <w:shd w:fill="FFF2CC" w:val="clear"/>
          </w:tcPr>
          <w:p>
            <w:r>
              <w:rPr>
                <w:b/>
                <w:color w:val="503200"/>
                <w:sz w:val="16"/>
              </w:rPr>
              <w:t xml:space="preserve">Cours actuel : </w:t>
            </w:r>
            <w:r>
              <w:rPr>
                <w:color w:val="000000"/>
                <w:sz w:val="17"/>
              </w:rPr>
              <w:t>2,030 FCFA</w:t>
            </w:r>
          </w:p>
          <w:p>
            <w:r>
              <w:rPr>
                <w:b/>
                <w:color w:val="503200"/>
                <w:sz w:val="16"/>
              </w:rPr>
              <w:t xml:space="preserve">Var. 100 jours : </w:t>
            </w:r>
            <w:r>
              <w:rPr>
                <w:b/>
                <w:color w:val="B40000"/>
                <w:sz w:val="17"/>
              </w:rPr>
              <w:t>-34.83%</w:t>
            </w:r>
          </w:p>
          <w:p>
            <w:r>
              <w:rPr>
                <w:b/>
                <w:color w:val="503200"/>
                <w:sz w:val="16"/>
              </w:rPr>
              <w:t xml:space="preserve">Plus haut 100j : </w:t>
            </w:r>
            <w:r>
              <w:rPr>
                <w:color w:val="000000"/>
                <w:sz w:val="17"/>
              </w:rPr>
              <w:t>3,640 FCFA</w:t>
            </w:r>
          </w:p>
          <w:p>
            <w:r>
              <w:rPr>
                <w:b/>
                <w:color w:val="503200"/>
                <w:sz w:val="16"/>
              </w:rPr>
              <w:t xml:space="preserve">Plus bas 100j : </w:t>
            </w:r>
            <w:r>
              <w:rPr>
                <w:color w:val="000000"/>
                <w:sz w:val="17"/>
              </w:rPr>
              <w:t>1,905 FCFA</w:t>
            </w:r>
          </w:p>
          <w:p>
            <w:r>
              <w:rPr>
                <w:b/>
                <w:color w:val="503200"/>
                <w:sz w:val="16"/>
              </w:rPr>
              <w:t xml:space="preserve">Volatilité ann. : </w:t>
            </w:r>
            <w:r>
              <w:rPr>
                <w:color w:val="000000"/>
                <w:sz w:val="17"/>
              </w:rPr>
              <w:t>60.2%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26.0/100 → Moyen</w:t>
      </w:r>
    </w:p>
    <w:p>
      <w:pPr>
        <w:spacing w:before="40" w:after="80"/>
      </w:pPr>
      <w:r>
        <w:rPr>
          <w:rFonts w:ascii="Courier New" w:hAnsi="Courier New"/>
          <w:color w:val="825A00"/>
          <w:sz w:val="18"/>
        </w:rPr>
        <w:t>█████░░░░░░░░░░░░░░░  26.0/100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16.78% (Élevée) — μ=2,797 FCFA, σ=469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β=0.0817 (Défensif) — Cov=0.000006, Var(idx)=0.000076, ρ=0.019,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6,354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σ_j=3.79%/j (Modérée) — Vol. annualisée≈60.2%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59/100  (Bon)</w:t>
      </w:r>
    </w:p>
    <w:p/>
    <w:p>
      <w:pPr>
        <w:jc w:val="center"/>
      </w:pPr>
      <w:r>
        <w:drawing>
          <wp:inline xmlns:a="http://schemas.openxmlformats.org/drawingml/2006/main" xmlns:pic="http://schemas.openxmlformats.org/drawingml/2006/picture">
            <wp:extent cx="5669280" cy="2619287"/>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1,858</w:t>
            </w:r>
          </w:p>
        </w:tc>
        <w:tc>
          <w:tcPr>
            <w:tcW w:type="dxa" w:w="1440"/>
            <w:shd w:fill="FAFAFA" w:val="clear"/>
          </w:tcPr>
          <w:p>
            <w:r>
              <w:rPr>
                <w:b/>
                <w:sz w:val="17"/>
              </w:rPr>
              <w:t>2,003</w:t>
            </w:r>
          </w:p>
        </w:tc>
        <w:tc>
          <w:tcPr>
            <w:tcW w:type="dxa" w:w="1440"/>
            <w:shd w:fill="FAFAFA" w:val="clear"/>
          </w:tcPr>
          <w:p>
            <w:r>
              <w:rPr>
                <w:sz w:val="17"/>
              </w:rPr>
              <w:t>2,148</w:t>
            </w:r>
          </w:p>
        </w:tc>
        <w:tc>
          <w:tcPr>
            <w:tcW w:type="dxa" w:w="1440"/>
            <w:shd w:fill="FAFAFA" w:val="clear"/>
          </w:tcPr>
          <w:p>
            <w:r>
              <w:rPr>
                <w:b/>
                <w:color w:val="C00000"/>
                <w:sz w:val="17"/>
              </w:rPr>
              <w:t>-1.3%</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1,815</w:t>
            </w:r>
          </w:p>
        </w:tc>
        <w:tc>
          <w:tcPr>
            <w:tcW w:type="dxa" w:w="1440"/>
            <w:shd w:fill="FAFAFA" w:val="clear"/>
          </w:tcPr>
          <w:p>
            <w:r>
              <w:rPr>
                <w:b/>
                <w:sz w:val="17"/>
              </w:rPr>
              <w:t>2,022</w:t>
            </w:r>
          </w:p>
        </w:tc>
        <w:tc>
          <w:tcPr>
            <w:tcW w:type="dxa" w:w="1440"/>
            <w:shd w:fill="FAFAFA" w:val="clear"/>
          </w:tcPr>
          <w:p>
            <w:r>
              <w:rPr>
                <w:sz w:val="17"/>
              </w:rPr>
              <w:t>2,230</w:t>
            </w:r>
          </w:p>
        </w:tc>
        <w:tc>
          <w:tcPr>
            <w:tcW w:type="dxa" w:w="1440"/>
            <w:shd w:fill="FAFAFA" w:val="clear"/>
          </w:tcPr>
          <w:p>
            <w:r>
              <w:rPr>
                <w:b/>
                <w:color w:val="C00000"/>
                <w:sz w:val="17"/>
              </w:rPr>
              <w:t>-0.4%</w:t>
            </w:r>
          </w:p>
        </w:tc>
      </w:tr>
      <w:tr>
        <w:tc>
          <w:tcPr>
            <w:tcW w:type="dxa" w:w="1440"/>
            <w:shd w:fill="FAFAFA" w:val="clear"/>
          </w:tcPr>
          <w:p>
            <w:r>
              <w:rPr>
                <w:sz w:val="17"/>
              </w:rPr>
              <w:t>J+3  Moyenne</w:t>
            </w:r>
          </w:p>
        </w:tc>
        <w:tc>
          <w:tcPr>
            <w:tcW w:type="dxa" w:w="1440"/>
            <w:shd w:fill="FAFAFA" w:val="clear"/>
          </w:tcPr>
          <w:p>
            <w:r>
              <w:rPr>
                <w:sz w:val="17"/>
              </w:rPr>
              <w:t>2026-10-21</w:t>
            </w:r>
          </w:p>
        </w:tc>
        <w:tc>
          <w:tcPr>
            <w:tcW w:type="dxa" w:w="1440"/>
            <w:shd w:fill="FAFAFA" w:val="clear"/>
          </w:tcPr>
          <w:p>
            <w:r>
              <w:rPr>
                <w:sz w:val="17"/>
              </w:rPr>
              <w:t>1,779</w:t>
            </w:r>
          </w:p>
        </w:tc>
        <w:tc>
          <w:tcPr>
            <w:tcW w:type="dxa" w:w="1440"/>
            <w:shd w:fill="FAFAFA" w:val="clear"/>
          </w:tcPr>
          <w:p>
            <w:r>
              <w:rPr>
                <w:b/>
                <w:sz w:val="17"/>
              </w:rPr>
              <w:t>2,034</w:t>
            </w:r>
          </w:p>
        </w:tc>
        <w:tc>
          <w:tcPr>
            <w:tcW w:type="dxa" w:w="1440"/>
            <w:shd w:fill="FAFAFA" w:val="clear"/>
          </w:tcPr>
          <w:p>
            <w:r>
              <w:rPr>
                <w:sz w:val="17"/>
              </w:rPr>
              <w:t>2,290</w:t>
            </w:r>
          </w:p>
        </w:tc>
        <w:tc>
          <w:tcPr>
            <w:tcW w:type="dxa" w:w="1440"/>
            <w:shd w:fill="FAFAFA" w:val="clear"/>
          </w:tcPr>
          <w:p>
            <w:r>
              <w:rPr>
                <w:b/>
                <w:color w:val="008000"/>
                <w:sz w:val="17"/>
              </w:rPr>
              <w:t>+0.2%</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1,747</w:t>
            </w:r>
          </w:p>
        </w:tc>
        <w:tc>
          <w:tcPr>
            <w:tcW w:type="dxa" w:w="1440"/>
            <w:shd w:fill="FAFAFA" w:val="clear"/>
          </w:tcPr>
          <w:p>
            <w:r>
              <w:rPr>
                <w:b/>
                <w:sz w:val="17"/>
              </w:rPr>
              <w:t>2,043</w:t>
            </w:r>
          </w:p>
        </w:tc>
        <w:tc>
          <w:tcPr>
            <w:tcW w:type="dxa" w:w="1440"/>
            <w:shd w:fill="FAFAFA" w:val="clear"/>
          </w:tcPr>
          <w:p>
            <w:r>
              <w:rPr>
                <w:sz w:val="17"/>
              </w:rPr>
              <w:t>2,339</w:t>
            </w:r>
          </w:p>
        </w:tc>
        <w:tc>
          <w:tcPr>
            <w:tcW w:type="dxa" w:w="1440"/>
            <w:shd w:fill="FAFAFA" w:val="clear"/>
          </w:tcPr>
          <w:p>
            <w:r>
              <w:rPr>
                <w:b/>
                <w:color w:val="008000"/>
                <w:sz w:val="17"/>
              </w:rPr>
              <w:t>+0.7%</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1,718</w:t>
            </w:r>
          </w:p>
        </w:tc>
        <w:tc>
          <w:tcPr>
            <w:tcW w:type="dxa" w:w="1440"/>
            <w:shd w:fill="FAFAFA" w:val="clear"/>
          </w:tcPr>
          <w:p>
            <w:r>
              <w:rPr>
                <w:b/>
                <w:sz w:val="17"/>
              </w:rPr>
              <w:t>2,050</w:t>
            </w:r>
          </w:p>
        </w:tc>
        <w:tc>
          <w:tcPr>
            <w:tcW w:type="dxa" w:w="1440"/>
            <w:shd w:fill="FAFAFA" w:val="clear"/>
          </w:tcPr>
          <w:p>
            <w:r>
              <w:rPr>
                <w:sz w:val="17"/>
              </w:rPr>
              <w:t>2,382</w:t>
            </w:r>
          </w:p>
        </w:tc>
        <w:tc>
          <w:tcPr>
            <w:tcW w:type="dxa" w:w="1440"/>
            <w:shd w:fill="FAFAFA" w:val="clear"/>
          </w:tcPr>
          <w:p>
            <w:r>
              <w:rPr>
                <w:b/>
                <w:color w:val="008000"/>
                <w:sz w:val="17"/>
              </w:rPr>
              <w:t>+1.0%</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1,691</w:t>
            </w:r>
          </w:p>
        </w:tc>
        <w:tc>
          <w:tcPr>
            <w:tcW w:type="dxa" w:w="1440"/>
            <w:shd w:fill="FAFAFA" w:val="clear"/>
          </w:tcPr>
          <w:p>
            <w:r>
              <w:rPr>
                <w:b/>
                <w:sz w:val="17"/>
              </w:rPr>
              <w:t>2,056</w:t>
            </w:r>
          </w:p>
        </w:tc>
        <w:tc>
          <w:tcPr>
            <w:tcW w:type="dxa" w:w="1440"/>
            <w:shd w:fill="FAFAFA" w:val="clear"/>
          </w:tcPr>
          <w:p>
            <w:r>
              <w:rPr>
                <w:sz w:val="17"/>
              </w:rPr>
              <w:t>2,421</w:t>
            </w:r>
          </w:p>
        </w:tc>
        <w:tc>
          <w:tcPr>
            <w:tcW w:type="dxa" w:w="1440"/>
            <w:shd w:fill="FAFAFA" w:val="clear"/>
          </w:tcPr>
          <w:p>
            <w:r>
              <w:rPr>
                <w:b/>
                <w:color w:val="008000"/>
                <w:sz w:val="17"/>
              </w:rPr>
              <w:t>+1.3%</w:t>
            </w:r>
          </w:p>
        </w:tc>
      </w:tr>
      <w:tr>
        <w:tc>
          <w:tcPr>
            <w:tcW w:type="dxa" w:w="1440"/>
            <w:shd w:fill="FAFAFA" w:val="clear"/>
          </w:tcPr>
          <w:p>
            <w:r>
              <w:rPr>
                <w:sz w:val="17"/>
              </w:rPr>
              <w:t>J+7  ⭐</w:t>
            </w:r>
          </w:p>
        </w:tc>
        <w:tc>
          <w:tcPr>
            <w:tcW w:type="dxa" w:w="1440"/>
            <w:shd w:fill="FAFAFA" w:val="clear"/>
          </w:tcPr>
          <w:p>
            <w:r>
              <w:rPr>
                <w:sz w:val="17"/>
              </w:rPr>
              <w:t>2026-10-27</w:t>
            </w:r>
          </w:p>
        </w:tc>
        <w:tc>
          <w:tcPr>
            <w:tcW w:type="dxa" w:w="1440"/>
            <w:shd w:fill="FAFAFA" w:val="clear"/>
          </w:tcPr>
          <w:p>
            <w:r>
              <w:rPr>
                <w:sz w:val="17"/>
              </w:rPr>
              <w:t>1,666</w:t>
            </w:r>
          </w:p>
        </w:tc>
        <w:tc>
          <w:tcPr>
            <w:tcW w:type="dxa" w:w="1440"/>
            <w:shd w:fill="FAFAFA" w:val="clear"/>
          </w:tcPr>
          <w:p>
            <w:r>
              <w:rPr>
                <w:b/>
                <w:sz w:val="17"/>
              </w:rPr>
              <w:t>2,061</w:t>
            </w:r>
          </w:p>
        </w:tc>
        <w:tc>
          <w:tcPr>
            <w:tcW w:type="dxa" w:w="1440"/>
            <w:shd w:fill="FAFAFA" w:val="clear"/>
          </w:tcPr>
          <w:p>
            <w:r>
              <w:rPr>
                <w:sz w:val="17"/>
              </w:rPr>
              <w:t>2,456</w:t>
            </w:r>
          </w:p>
        </w:tc>
        <w:tc>
          <w:tcPr>
            <w:tcW w:type="dxa" w:w="1440"/>
            <w:shd w:fill="FAFAFA" w:val="clear"/>
          </w:tcPr>
          <w:p>
            <w:r>
              <w:rPr>
                <w:b/>
                <w:color w:val="008000"/>
                <w:sz w:val="17"/>
              </w:rPr>
              <w:t>+1.5%</w:t>
            </w:r>
          </w:p>
        </w:tc>
      </w:tr>
      <w:tr>
        <w:tc>
          <w:tcPr>
            <w:tcW w:type="dxa" w:w="1440"/>
            <w:shd w:fill="FAFAFA" w:val="clear"/>
          </w:tcPr>
          <w:p>
            <w:r>
              <w:rPr>
                <w:sz w:val="17"/>
              </w:rPr>
              <w:t>J+8  ⭐</w:t>
            </w:r>
          </w:p>
        </w:tc>
        <w:tc>
          <w:tcPr>
            <w:tcW w:type="dxa" w:w="1440"/>
            <w:shd w:fill="FAFAFA" w:val="clear"/>
          </w:tcPr>
          <w:p>
            <w:r>
              <w:rPr>
                <w:sz w:val="17"/>
              </w:rPr>
              <w:t>2026-10-28</w:t>
            </w:r>
          </w:p>
        </w:tc>
        <w:tc>
          <w:tcPr>
            <w:tcW w:type="dxa" w:w="1440"/>
            <w:shd w:fill="FAFAFA" w:val="clear"/>
          </w:tcPr>
          <w:p>
            <w:r>
              <w:rPr>
                <w:sz w:val="17"/>
              </w:rPr>
              <w:t>1,642</w:t>
            </w:r>
          </w:p>
        </w:tc>
        <w:tc>
          <w:tcPr>
            <w:tcW w:type="dxa" w:w="1440"/>
            <w:shd w:fill="FAFAFA" w:val="clear"/>
          </w:tcPr>
          <w:p>
            <w:r>
              <w:rPr>
                <w:b/>
                <w:sz w:val="17"/>
              </w:rPr>
              <w:t>2,065</w:t>
            </w:r>
          </w:p>
        </w:tc>
        <w:tc>
          <w:tcPr>
            <w:tcW w:type="dxa" w:w="1440"/>
            <w:shd w:fill="FAFAFA" w:val="clear"/>
          </w:tcPr>
          <w:p>
            <w:r>
              <w:rPr>
                <w:sz w:val="17"/>
              </w:rPr>
              <w:t>2,488</w:t>
            </w:r>
          </w:p>
        </w:tc>
        <w:tc>
          <w:tcPr>
            <w:tcW w:type="dxa" w:w="1440"/>
            <w:shd w:fill="FAFAFA" w:val="clear"/>
          </w:tcPr>
          <w:p>
            <w:r>
              <w:rPr>
                <w:b/>
                <w:color w:val="008000"/>
                <w:sz w:val="17"/>
              </w:rPr>
              <w:t>+1.7%</w:t>
            </w:r>
          </w:p>
        </w:tc>
      </w:tr>
      <w:tr>
        <w:tc>
          <w:tcPr>
            <w:tcW w:type="dxa" w:w="1440"/>
            <w:shd w:fill="FAFAFA" w:val="clear"/>
          </w:tcPr>
          <w:p>
            <w:r>
              <w:rPr>
                <w:sz w:val="17"/>
              </w:rPr>
              <w:t>J+9  ⭐</w:t>
            </w:r>
          </w:p>
        </w:tc>
        <w:tc>
          <w:tcPr>
            <w:tcW w:type="dxa" w:w="1440"/>
            <w:shd w:fill="FAFAFA" w:val="clear"/>
          </w:tcPr>
          <w:p>
            <w:r>
              <w:rPr>
                <w:sz w:val="17"/>
              </w:rPr>
              <w:t>2026-10-29</w:t>
            </w:r>
          </w:p>
        </w:tc>
        <w:tc>
          <w:tcPr>
            <w:tcW w:type="dxa" w:w="1440"/>
            <w:shd w:fill="FAFAFA" w:val="clear"/>
          </w:tcPr>
          <w:p>
            <w:r>
              <w:rPr>
                <w:sz w:val="17"/>
              </w:rPr>
              <w:t>1,620</w:t>
            </w:r>
          </w:p>
        </w:tc>
        <w:tc>
          <w:tcPr>
            <w:tcW w:type="dxa" w:w="1440"/>
            <w:shd w:fill="FAFAFA" w:val="clear"/>
          </w:tcPr>
          <w:p>
            <w:r>
              <w:rPr>
                <w:b/>
                <w:sz w:val="17"/>
              </w:rPr>
              <w:t>2,069</w:t>
            </w:r>
          </w:p>
        </w:tc>
        <w:tc>
          <w:tcPr>
            <w:tcW w:type="dxa" w:w="1440"/>
            <w:shd w:fill="FAFAFA" w:val="clear"/>
          </w:tcPr>
          <w:p>
            <w:r>
              <w:rPr>
                <w:sz w:val="17"/>
              </w:rPr>
              <w:t>2,519</w:t>
            </w:r>
          </w:p>
        </w:tc>
        <w:tc>
          <w:tcPr>
            <w:tcW w:type="dxa" w:w="1440"/>
            <w:shd w:fill="FAFAFA" w:val="clear"/>
          </w:tcPr>
          <w:p>
            <w:r>
              <w:rPr>
                <w:b/>
                <w:color w:val="008000"/>
                <w:sz w:val="17"/>
              </w:rPr>
              <w:t>+1.9%</w:t>
            </w:r>
          </w:p>
        </w:tc>
      </w:tr>
      <w:tr>
        <w:tc>
          <w:tcPr>
            <w:tcW w:type="dxa" w:w="1440"/>
            <w:shd w:fill="C6EFCE" w:val="clear"/>
          </w:tcPr>
          <w:p>
            <w:r>
              <w:rPr>
                <w:sz w:val="17"/>
              </w:rPr>
              <w:t>J+10  ⭐</w:t>
            </w:r>
          </w:p>
        </w:tc>
        <w:tc>
          <w:tcPr>
            <w:tcW w:type="dxa" w:w="1440"/>
            <w:shd w:fill="C6EFCE" w:val="clear"/>
          </w:tcPr>
          <w:p>
            <w:r>
              <w:rPr>
                <w:sz w:val="17"/>
              </w:rPr>
              <w:t>2026-10-30</w:t>
            </w:r>
          </w:p>
        </w:tc>
        <w:tc>
          <w:tcPr>
            <w:tcW w:type="dxa" w:w="1440"/>
            <w:shd w:fill="C6EFCE" w:val="clear"/>
          </w:tcPr>
          <w:p>
            <w:r>
              <w:rPr>
                <w:sz w:val="17"/>
              </w:rPr>
              <w:t>1,598</w:t>
            </w:r>
          </w:p>
        </w:tc>
        <w:tc>
          <w:tcPr>
            <w:tcW w:type="dxa" w:w="1440"/>
            <w:shd w:fill="C6EFCE" w:val="clear"/>
          </w:tcPr>
          <w:p>
            <w:r>
              <w:rPr>
                <w:b/>
                <w:sz w:val="17"/>
              </w:rPr>
              <w:t>2,073</w:t>
            </w:r>
          </w:p>
        </w:tc>
        <w:tc>
          <w:tcPr>
            <w:tcW w:type="dxa" w:w="1440"/>
            <w:shd w:fill="C6EFCE" w:val="clear"/>
          </w:tcPr>
          <w:p>
            <w:r>
              <w:rPr>
                <w:sz w:val="17"/>
              </w:rPr>
              <w:t>2,548</w:t>
            </w:r>
          </w:p>
        </w:tc>
        <w:tc>
          <w:tcPr>
            <w:tcW w:type="dxa" w:w="1440"/>
            <w:shd w:fill="C6EFCE" w:val="clear"/>
          </w:tcPr>
          <w:p>
            <w:r>
              <w:rPr>
                <w:b/>
                <w:color w:val="008000"/>
                <w:sz w:val="17"/>
              </w:rPr>
              <w:t>+2.1%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 RAPPORT D'ANALYSE FINANCIÈRE — ACTION STAC (SETAO)</w:t>
        <w:br/>
        <w:t>### Bourse Régionale des Valeurs Mobilières (BRVM) — Secteur BTP / Études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STAC s'établit à **27,28 Mds FCFA**, un niveau modeste à l'échelle de la BRVM qui la classe parmi les petites capitalisations du marché. Le BPA ressort à **-7 FCFA/action**, traduisant une société en perte nette, ce qui rend le PER inopérant : à **-282,6x**, il est négatif et signale mécaniquement une absence de bénéfice exploitable pour la valorisation. Le P/B de **76,48x** constitue en revanche un signal d'alerte majeur : le marché valorise l'action à plus de 76 fois sa valeur comptable, alors que les capitaux propres ne s'élèvent qu'à 356,75 M FCFA pour une capitalisation de 27,28 Mds FCFA — une prime considérable qui n'est justifiable que par des anticipations de retournement très fortes. Le ratio EV/EBITDA n'est pas pertinent ici compte tenu de l'EBE négatif (-650,13 M FCFA en 2025), et l'absence de PER positif comme de multiple d'EBITDA exploitable confirme que la valorisation actuelle repose intégralement sur des anticipations de redressement plutôt que sur des fondamentaux établis.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STAC a enregistré une **variation totale de -34,83%**, passant d'un plus haut de **3 640 FCFA** à un plus bas de **1 905 FCFA**, avec un cours actuel de **2 030 FCFA** — soit un rebond technique de **+6,56% sur la dernière séance (J-1)** qui tranche avec la tendance baissière de fond. Le range de trading de 1 735 FCFA (soit près de 91% du cours bas) témoigne d'une amplitude exceptionnellement large, caractéristique d'un titre en forte correction. Les statistiques descriptives révèlent une **moyenne de 2 797 FCFA** supérieure à la **médiane de 2 758 FCFA**, avec un mode à 3 500 FCFA : le cours actuel (2 030 FCFA) évolue très en dessous de ces trois mesures de tendance centrale, confirmant la pression vendeuse persistante. L'**écart-type de 472 FCFA (CV = 16,9%)** indique une dispersion modérée en relatif, tandis que le **kurtosis de -0,950 (mésokurtique)** et le **skewness de 0,091 (distribution symétrique)** suggèrent un comportement proche d'une loi normale, sans pics extrêmes ni asymétrie marquée — un profil statistiquement « propre » mais qui n'occulte pas la dérive baissière. La **volatilité annualisée de 60,2%** classe le titre dans la catégorie des valeurs à volatilité élevée (&gt;30%), ce qui est cohérent avec une small cap du BTP en difficulté et impose une gestion du risque stricte.</w:t>
      </w:r>
    </w:p>
    <w:p>
      <w:pPr>
        <w:spacing w:after="120" w:line="276" w:lineRule="auto"/>
      </w:pPr>
      <w:r>
        <w:t>---</w:t>
      </w:r>
    </w:p>
    <w:p>
      <w:pPr>
        <w:spacing w:after="120" w:line="276" w:lineRule="auto"/>
      </w:pPr>
      <w:r>
        <w:t>## PARTIE 2 : ANALYSE TECHNIQUE DÉTAILLÉE</w:t>
      </w:r>
    </w:p>
    <w:p>
      <w:pPr>
        <w:spacing w:after="120" w:line="276" w:lineRule="auto"/>
      </w:pPr>
      <w:r>
        <w:t>**Moyennes Mobiles** — La MM20 (2 134,75 FCFA) et la MM50 (2 413,10 FCFA) se situent toutes deux au-dessus du cours actuel (2 030 FCFA), avec une MM20 inférieure à la MM50 : cette configuration baissière (cours sous les deux moyennes, moyenne courte sous la moyenne longue) confirme la tendance descendante et justifie la décision **Vente**.</w:t>
      </w:r>
    </w:p>
    <w:p>
      <w:pPr>
        <w:spacing w:after="120" w:line="276" w:lineRule="auto"/>
      </w:pPr>
      <w:r>
        <w:t>**Bandes de Bollinger** — Le cours (2 030 FCFA) évolue dans la moitié basse du canal, entre la borne inférieure (1 904,20 FCFA) et la borne supérieure (2 365,30 FCFA), sans franchissement des extrêmes : la volatilité reste contenue dans le canal et la décision est **Neutre**, le titre n'étant ni en survente extrême ni en surachat.</w:t>
      </w:r>
    </w:p>
    <w:p>
      <w:pPr>
        <w:spacing w:after="120" w:line="276" w:lineRule="auto"/>
      </w:pPr>
      <w:r>
        <w:t>**MACD** — La ligne MACD (-127,645) est inférieure à sa ligne de signal (-124,024), avec un histogramme négatif : le momentum reste baissier malgré le rebond de J-1, et la décision **Vente** est maintenue tant que la convergence haussière ne se matérialise pas.</w:t>
      </w:r>
    </w:p>
    <w:p>
      <w:pPr>
        <w:spacing w:after="120" w:line="276" w:lineRule="auto"/>
      </w:pPr>
      <w:r>
        <w:t>**RSI** — À **48,057**, l'indicateur se situe en zone strictement neutre (entre 30 et 70), ni suracheté ni survendu : la décision **Neutre** traduit l'absence de signal directionnel fort et laisse la porte ouverte à une consolidation.</w:t>
      </w:r>
    </w:p>
    <w:p>
      <w:pPr>
        <w:spacing w:after="120" w:line="276" w:lineRule="auto"/>
      </w:pPr>
      <w:r>
        <w:t>**Stochastique** — Le %K (26,316) est supérieur au %D (8,772), avec un %K en zone basse mais un croisement haussier en formation : la décision **Neutre** reflète ce signal naissant de retournement court terme, à confirmer.</w:t>
      </w:r>
    </w:p>
    <w:p>
      <w:pPr>
        <w:spacing w:after="120" w:line="276" w:lineRule="auto"/>
      </w:pPr>
      <w:r>
        <w:t>**Conclusion technique** — La convergence des signaux est majoritairement baissière : cours sous MM20 et MM50, MACD négatif sous son signal, décision Vente sur deux indicateurs majeurs. Le rebond de +6,56% en J-1 et le croisement haussier du stochastique constituent les seuls éléments positifs, mais ils interviennent dans un contexte de tendance lourde et ne suffisent pas à inverser le biais. Le titre reste techniquement fragile, en phase de rebond technique au sein d'une tendance baissière.</w:t>
      </w:r>
    </w:p>
    <w:p>
      <w:pPr>
        <w:spacing w:after="120" w:line="276" w:lineRule="auto"/>
      </w:pPr>
      <w:r>
        <w:t>---</w:t>
      </w:r>
    </w:p>
    <w:p>
      <w:pPr>
        <w:spacing w:after="120" w:line="276" w:lineRule="auto"/>
      </w:pPr>
      <w:r>
        <w:t>## PARTIE 3 : ANALYSE FONDAMENTALE (SECTION CRITIQUE)</w:t>
      </w:r>
    </w:p>
    <w:p>
      <w:pPr>
        <w:spacing w:after="120" w:line="276" w:lineRule="auto"/>
      </w:pPr>
      <w:r>
        <w:t>**Données structurées — Exercice 2025 (états financiers officiels)** : En 2025, STAC affiche un chiffre d'affaires de **3 878 M FCFA**, en croissance spectaculaire de **+116,26%**, portée par la reprise des travaux de l'aéroport d'Abidjan. Cependant, la rentabilité reste profondément dégradée : le résultat net est négatif à **-96,56 M FCFA** (marge nette de -2,49%), l'EBE est déficitaire à **-650,13 M FCFA** et le résultat d'exploitation atteint **-771,95 M FCFA** (marge opérationnelle de -19,90%). Le **ROE s'établit à -27,07%** et le **ROA à -1,77%**, confirmant une destruction de valeur. La structure financière est préoccupante : l'**autonomie financière n'est que de 6,55%** (très en dessous du seuil sain de 30%), le ratio d'endettement atteint **93,45%** et la capacité de remboursement est de **77,53 années** de CAF — un niveau critique. Point positif pour un BTP : le **BFR est négatif à -930,47 M FCFA**, ce qui est favorable à la trésorerie, et la trésorerie nette ressort à **1,330 Md FCFA** avec une liquidité générale de 108,64%.</w:t>
      </w:r>
    </w:p>
    <w:p>
      <w:pPr>
        <w:spacing w:after="120" w:line="276" w:lineRule="auto"/>
      </w:pPr>
      <w:r>
        <w:t>**Estimations basées sur les rapports trimestriels** : Le rapport du **30 septembre 2025** (cumul 9 mois) indiquait un CA de 3 456 M FCFA (+176%) et une perte nette de 477 M FCFA en réduction de 22%, avec un objectif annuel maintenu à 4 Mds FCFA — cohérent avec les 3 878 M FCFA réalisés. Le rapport du **30 juin 2025** (S1) faisait état d'un CA de 2 271 M FCFA (+290%) mais d'une perte nette de 557 M FCFA en aggravation, révélant une structure de coûts inadaptée. On estime donc que l'exercice 2025 marque une **nette amélioration opérationnelle** (réduction de la perte d'exploitation de -921 à -456 M FCFA sur 9 mois) mais que le retour à la rentabilité n'est pas encore atteint. Les rapports antérieurs (exercice 2024, S1 2024) confirment l'historique de pertes récurrentes (-348 M FCFA en 2024, -1 118 M FCFA en 2023) et l'absence de dividende depuis 2018.</w:t>
      </w:r>
    </w:p>
    <w:p>
      <w:pPr>
        <w:spacing w:after="120" w:line="276" w:lineRule="auto"/>
      </w:pPr>
      <w:r>
        <w:t>**Recommandation fondamentale** : La société est en **redressement commercial réel mais fragile**, dépendante d'un projet unique (aéroport d'Abidjan), avec une structure financière très dégradée (capitaux propres quasi érodés, endettement massif) et une rentabilité toujours négative. Le risque de liquidité et de dépendance contractuelle reste élevé.</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une **divergence profonde entre la valorisation et les fondamentaux** : le P/B de 76,48x et le PER négatif traduisent une valorisation exigeante sans support bénéficiaire, tandis que la capitalisation de 27,28 Mds FCFA repose sur des anticipations de retournement non encore matérialisées. Le comportement du cours (Partie 1) est clairement baissier (-34,83% sur 100 jours, cours sous moyenne et médiane) avec une volatilité élevée de 60,2% et des statistiques symétriques sans biais extrême — un profil préoccupant mais sans signal de capitulation. Les signaux techniques (Partie 2) convergent majoritairement à la vente (MM, MACD), tempérés par un RSI neutre et un stochastique en amorce de rebond, ce qui suggère un rebond technique plutôt qu'un retournement de tendance. Les fondamentaux (Partie 3) montrent une amélioration du CA (+116%) et une réduction des pertes, mais une structure financière critique (autonomie 6,55%, ROE -27%) et une dépendance à un projet unique. Les **prédictions IA (J+1 à J+10)** anticipent une trajectoire légèrement haussière (2 003 → 2 050 FCFA, soit +2,3% sur 10 jours), ce qui **contredit partiellement** le biais technique baissier et confirme le scénario de rebond court terme esquissé par le stochastique.</w:t>
      </w:r>
    </w:p>
    <w:p>
      <w:pPr>
        <w:spacing w:after="120" w:line="276" w:lineRule="auto"/>
      </w:pPr>
      <w:r>
        <w:t>**Recommandation finale : VENTE** (avec possibilité de conservation spéculative pour profils avertis). La convergence est défavorable : valorisation surévaluée (P/B extrême), tendance baissière confirmée, signaux techniques majoritairement négatifs, et fondamentaux en redressement mais non rentables avec une structure financière à risque. Seules les prédictions IA à court terme et le rebond de J-1 plaident pour une accalmie technique, insuffisante pour justifier une exposition. **Niveau de confiance : Moyen** (les données fondamentales 2025 sont solides mais les perspectives restent incertaines). **Niveau de risque global : Élevé** (volatilité 60,2%, dépendance projet, endettement critique). **Horizon optimal : court terme** (&lt;3 mois) pour les positions existantes avec stop-loss strict, ou **moyen terme** (3-12 mois) uniquement en cas de confirmation de nouveaux contrats sécurisant le carnet de commandes au-delà de l'aéroport d'Abidjan.</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44.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383.34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4,167 titres</w:t>
            </w:r>
          </w:p>
        </w:tc>
        <w:tc>
          <w:tcPr>
            <w:tcW w:type="dxa" w:w="2268"/>
            <w:shd w:fill="FFF2CC" w:val="clear"/>
          </w:tcPr>
          <w:p>
            <w:r>
              <w:rPr>
                <w:b/>
                <w:color w:val="503200"/>
                <w:sz w:val="16"/>
              </w:rPr>
              <w:t xml:space="preserve">Cours actuel : </w:t>
            </w:r>
            <w:r>
              <w:rPr>
                <w:color w:val="000000"/>
                <w:sz w:val="17"/>
              </w:rPr>
              <w:t>21,350 FCFA</w:t>
            </w:r>
          </w:p>
          <w:p>
            <w:r>
              <w:rPr>
                <w:b/>
                <w:color w:val="503200"/>
                <w:sz w:val="16"/>
              </w:rPr>
              <w:t xml:space="preserve">Var. 100 jours : </w:t>
            </w:r>
            <w:r>
              <w:rPr>
                <w:b/>
                <w:color w:val="007800"/>
                <w:sz w:val="17"/>
              </w:rPr>
              <w:t>+0.28%</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20,895 FCFA</w:t>
            </w:r>
          </w:p>
          <w:p>
            <w:r>
              <w:rPr>
                <w:b/>
                <w:color w:val="503200"/>
                <w:sz w:val="16"/>
              </w:rPr>
              <w:t xml:space="preserve">Volatilité ann. : </w:t>
            </w:r>
            <w:r>
              <w:rPr>
                <w:color w:val="000000"/>
                <w:sz w:val="17"/>
              </w:rPr>
              <w:t>36.7%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9.5/100 → Faible</w:t>
      </w:r>
    </w:p>
    <w:p>
      <w:pPr>
        <w:spacing w:before="40" w:after="80"/>
      </w:pPr>
      <w:r>
        <w:rPr>
          <w:rFonts w:ascii="Courier New" w:hAnsi="Courier New"/>
          <w:color w:val="006400"/>
          <w:sz w:val="18"/>
        </w:rPr>
        <w:t>█░░░░░░░░░░░░░░░░░░░  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4.89% (Faible) — μ=22,573 FCFA, σ=1,103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β=0.4506 (Défensif) — Cov=0.000034, Var(idx)=0.000076, ρ=0.169,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4,167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σ_j=2.31%/j (Stable) — Vol. annualisée≈36.7%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03190"/>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2026-10-19</w:t>
            </w:r>
          </w:p>
        </w:tc>
        <w:tc>
          <w:tcPr>
            <w:tcW w:type="dxa" w:w="1440"/>
            <w:shd w:fill="C6EFCE" w:val="clear"/>
          </w:tcPr>
          <w:p>
            <w:r>
              <w:rPr>
                <w:sz w:val="17"/>
              </w:rPr>
              <w:t>21,403</w:t>
            </w:r>
          </w:p>
        </w:tc>
        <w:tc>
          <w:tcPr>
            <w:tcW w:type="dxa" w:w="1440"/>
            <w:shd w:fill="C6EFCE" w:val="clear"/>
          </w:tcPr>
          <w:p>
            <w:r>
              <w:rPr>
                <w:b/>
                <w:sz w:val="17"/>
              </w:rPr>
              <w:t>21,996</w:t>
            </w:r>
          </w:p>
        </w:tc>
        <w:tc>
          <w:tcPr>
            <w:tcW w:type="dxa" w:w="1440"/>
            <w:shd w:fill="C6EFCE" w:val="clear"/>
          </w:tcPr>
          <w:p>
            <w:r>
              <w:rPr>
                <w:sz w:val="17"/>
              </w:rPr>
              <w:t>22,589</w:t>
            </w:r>
          </w:p>
        </w:tc>
        <w:tc>
          <w:tcPr>
            <w:tcW w:type="dxa" w:w="1440"/>
            <w:shd w:fill="C6EFCE" w:val="clear"/>
          </w:tcPr>
          <w:p>
            <w:r>
              <w:rPr>
                <w:b/>
                <w:color w:val="008000"/>
                <w:sz w:val="17"/>
              </w:rPr>
              <w:t>+3.0%</w:t>
            </w:r>
          </w:p>
        </w:tc>
      </w:tr>
      <w:tr>
        <w:tc>
          <w:tcPr>
            <w:tcW w:type="dxa" w:w="1440"/>
            <w:shd w:fill="C6EFCE" w:val="clear"/>
          </w:tcPr>
          <w:p>
            <w:r>
              <w:rPr>
                <w:sz w:val="17"/>
              </w:rPr>
              <w:t>J+2  Moyenne</w:t>
            </w:r>
          </w:p>
        </w:tc>
        <w:tc>
          <w:tcPr>
            <w:tcW w:type="dxa" w:w="1440"/>
            <w:shd w:fill="C6EFCE" w:val="clear"/>
          </w:tcPr>
          <w:p>
            <w:r>
              <w:rPr>
                <w:sz w:val="17"/>
              </w:rPr>
              <w:t>2026-10-20</w:t>
            </w:r>
          </w:p>
        </w:tc>
        <w:tc>
          <w:tcPr>
            <w:tcW w:type="dxa" w:w="1440"/>
            <w:shd w:fill="C6EFCE" w:val="clear"/>
          </w:tcPr>
          <w:p>
            <w:r>
              <w:rPr>
                <w:sz w:val="17"/>
              </w:rPr>
              <w:t>21,457</w:t>
            </w:r>
          </w:p>
        </w:tc>
        <w:tc>
          <w:tcPr>
            <w:tcW w:type="dxa" w:w="1440"/>
            <w:shd w:fill="C6EFCE" w:val="clear"/>
          </w:tcPr>
          <w:p>
            <w:r>
              <w:rPr>
                <w:b/>
                <w:sz w:val="17"/>
              </w:rPr>
              <w:t>22,307</w:t>
            </w:r>
          </w:p>
        </w:tc>
        <w:tc>
          <w:tcPr>
            <w:tcW w:type="dxa" w:w="1440"/>
            <w:shd w:fill="C6EFCE" w:val="clear"/>
          </w:tcPr>
          <w:p>
            <w:r>
              <w:rPr>
                <w:sz w:val="17"/>
              </w:rPr>
              <w:t>23,158</w:t>
            </w:r>
          </w:p>
        </w:tc>
        <w:tc>
          <w:tcPr>
            <w:tcW w:type="dxa" w:w="1440"/>
            <w:shd w:fill="C6EFCE" w:val="clear"/>
          </w:tcPr>
          <w:p>
            <w:r>
              <w:rPr>
                <w:b/>
                <w:color w:val="008000"/>
                <w:sz w:val="17"/>
              </w:rPr>
              <w:t>+4.5%</w:t>
            </w:r>
          </w:p>
        </w:tc>
      </w:tr>
      <w:tr>
        <w:tc>
          <w:tcPr>
            <w:tcW w:type="dxa" w:w="1440"/>
            <w:shd w:fill="C6EFCE" w:val="clear"/>
          </w:tcPr>
          <w:p>
            <w:r>
              <w:rPr>
                <w:sz w:val="17"/>
              </w:rPr>
              <w:t>J+3  ⭐</w:t>
            </w:r>
          </w:p>
        </w:tc>
        <w:tc>
          <w:tcPr>
            <w:tcW w:type="dxa" w:w="1440"/>
            <w:shd w:fill="C6EFCE" w:val="clear"/>
          </w:tcPr>
          <w:p>
            <w:r>
              <w:rPr>
                <w:sz w:val="17"/>
              </w:rPr>
              <w:t>2026-10-21</w:t>
            </w:r>
          </w:p>
        </w:tc>
        <w:tc>
          <w:tcPr>
            <w:tcW w:type="dxa" w:w="1440"/>
            <w:shd w:fill="C6EFCE" w:val="clear"/>
          </w:tcPr>
          <w:p>
            <w:r>
              <w:rPr>
                <w:sz w:val="17"/>
              </w:rPr>
              <w:t>21,545</w:t>
            </w:r>
          </w:p>
        </w:tc>
        <w:tc>
          <w:tcPr>
            <w:tcW w:type="dxa" w:w="1440"/>
            <w:shd w:fill="C6EFCE" w:val="clear"/>
          </w:tcPr>
          <w:p>
            <w:r>
              <w:rPr>
                <w:b/>
                <w:sz w:val="17"/>
              </w:rPr>
              <w:t>22,601</w:t>
            </w:r>
          </w:p>
        </w:tc>
        <w:tc>
          <w:tcPr>
            <w:tcW w:type="dxa" w:w="1440"/>
            <w:shd w:fill="C6EFCE" w:val="clear"/>
          </w:tcPr>
          <w:p>
            <w:r>
              <w:rPr>
                <w:sz w:val="17"/>
              </w:rPr>
              <w:t>23,656</w:t>
            </w:r>
          </w:p>
        </w:tc>
        <w:tc>
          <w:tcPr>
            <w:tcW w:type="dxa" w:w="1440"/>
            <w:shd w:fill="C6EFCE" w:val="clear"/>
          </w:tcPr>
          <w:p>
            <w:r>
              <w:rPr>
                <w:b/>
                <w:color w:val="008000"/>
                <w:sz w:val="17"/>
              </w:rPr>
              <w:t>+5.9%</w:t>
            </w:r>
          </w:p>
        </w:tc>
      </w:tr>
      <w:tr>
        <w:tc>
          <w:tcPr>
            <w:tcW w:type="dxa" w:w="1440"/>
            <w:shd w:fill="C6EFCE" w:val="clear"/>
          </w:tcPr>
          <w:p>
            <w:r>
              <w:rPr>
                <w:sz w:val="17"/>
              </w:rPr>
              <w:t>J+4  ⭐</w:t>
            </w:r>
          </w:p>
        </w:tc>
        <w:tc>
          <w:tcPr>
            <w:tcW w:type="dxa" w:w="1440"/>
            <w:shd w:fill="C6EFCE" w:val="clear"/>
          </w:tcPr>
          <w:p>
            <w:r>
              <w:rPr>
                <w:sz w:val="17"/>
              </w:rPr>
              <w:t>2026-10-22</w:t>
            </w:r>
          </w:p>
        </w:tc>
        <w:tc>
          <w:tcPr>
            <w:tcW w:type="dxa" w:w="1440"/>
            <w:shd w:fill="C6EFCE" w:val="clear"/>
          </w:tcPr>
          <w:p>
            <w:r>
              <w:rPr>
                <w:sz w:val="17"/>
              </w:rPr>
              <w:t>21,646</w:t>
            </w:r>
          </w:p>
        </w:tc>
        <w:tc>
          <w:tcPr>
            <w:tcW w:type="dxa" w:w="1440"/>
            <w:shd w:fill="C6EFCE" w:val="clear"/>
          </w:tcPr>
          <w:p>
            <w:r>
              <w:rPr>
                <w:b/>
                <w:sz w:val="17"/>
              </w:rPr>
              <w:t>22,880</w:t>
            </w:r>
          </w:p>
        </w:tc>
        <w:tc>
          <w:tcPr>
            <w:tcW w:type="dxa" w:w="1440"/>
            <w:shd w:fill="C6EFCE" w:val="clear"/>
          </w:tcPr>
          <w:p>
            <w:r>
              <w:rPr>
                <w:sz w:val="17"/>
              </w:rPr>
              <w:t>24,113</w:t>
            </w:r>
          </w:p>
        </w:tc>
        <w:tc>
          <w:tcPr>
            <w:tcW w:type="dxa" w:w="1440"/>
            <w:shd w:fill="C6EFCE" w:val="clear"/>
          </w:tcPr>
          <w:p>
            <w:r>
              <w:rPr>
                <w:b/>
                <w:color w:val="008000"/>
                <w:sz w:val="17"/>
              </w:rPr>
              <w:t>+7.2%</w:t>
            </w:r>
          </w:p>
        </w:tc>
      </w:tr>
      <w:tr>
        <w:tc>
          <w:tcPr>
            <w:tcW w:type="dxa" w:w="1440"/>
            <w:shd w:fill="C6EFCE" w:val="clear"/>
          </w:tcPr>
          <w:p>
            <w:r>
              <w:rPr>
                <w:sz w:val="17"/>
              </w:rPr>
              <w:t>J+5  ⭐</w:t>
            </w:r>
          </w:p>
        </w:tc>
        <w:tc>
          <w:tcPr>
            <w:tcW w:type="dxa" w:w="1440"/>
            <w:shd w:fill="C6EFCE" w:val="clear"/>
          </w:tcPr>
          <w:p>
            <w:r>
              <w:rPr>
                <w:sz w:val="17"/>
              </w:rPr>
              <w:t>2026-10-23</w:t>
            </w:r>
          </w:p>
        </w:tc>
        <w:tc>
          <w:tcPr>
            <w:tcW w:type="dxa" w:w="1440"/>
            <w:shd w:fill="C6EFCE" w:val="clear"/>
          </w:tcPr>
          <w:p>
            <w:r>
              <w:rPr>
                <w:sz w:val="17"/>
              </w:rPr>
              <w:t>21,738</w:t>
            </w:r>
          </w:p>
        </w:tc>
        <w:tc>
          <w:tcPr>
            <w:tcW w:type="dxa" w:w="1440"/>
            <w:shd w:fill="C6EFCE" w:val="clear"/>
          </w:tcPr>
          <w:p>
            <w:r>
              <w:rPr>
                <w:b/>
                <w:sz w:val="17"/>
              </w:rPr>
              <w:t>23,133</w:t>
            </w:r>
          </w:p>
        </w:tc>
        <w:tc>
          <w:tcPr>
            <w:tcW w:type="dxa" w:w="1440"/>
            <w:shd w:fill="C6EFCE" w:val="clear"/>
          </w:tcPr>
          <w:p>
            <w:r>
              <w:rPr>
                <w:sz w:val="17"/>
              </w:rPr>
              <w:t>24,527</w:t>
            </w:r>
          </w:p>
        </w:tc>
        <w:tc>
          <w:tcPr>
            <w:tcW w:type="dxa" w:w="1440"/>
            <w:shd w:fill="C6EFCE" w:val="clear"/>
          </w:tcPr>
          <w:p>
            <w:r>
              <w:rPr>
                <w:b/>
                <w:color w:val="008000"/>
                <w:sz w:val="17"/>
              </w:rPr>
              <w:t>+8.4%</w:t>
            </w:r>
          </w:p>
        </w:tc>
      </w:tr>
      <w:tr>
        <w:tc>
          <w:tcPr>
            <w:tcW w:type="dxa" w:w="1440"/>
            <w:shd w:fill="C6EFCE" w:val="clear"/>
          </w:tcPr>
          <w:p>
            <w:r>
              <w:rPr>
                <w:sz w:val="17"/>
              </w:rPr>
              <w:t>J+6  ⭐</w:t>
            </w:r>
          </w:p>
        </w:tc>
        <w:tc>
          <w:tcPr>
            <w:tcW w:type="dxa" w:w="1440"/>
            <w:shd w:fill="C6EFCE" w:val="clear"/>
          </w:tcPr>
          <w:p>
            <w:r>
              <w:rPr>
                <w:sz w:val="17"/>
              </w:rPr>
              <w:t>2026-10-26</w:t>
            </w:r>
          </w:p>
        </w:tc>
        <w:tc>
          <w:tcPr>
            <w:tcW w:type="dxa" w:w="1440"/>
            <w:shd w:fill="C6EFCE" w:val="clear"/>
          </w:tcPr>
          <w:p>
            <w:r>
              <w:rPr>
                <w:sz w:val="17"/>
              </w:rPr>
              <w:t>21,844</w:t>
            </w:r>
          </w:p>
        </w:tc>
        <w:tc>
          <w:tcPr>
            <w:tcW w:type="dxa" w:w="1440"/>
            <w:shd w:fill="C6EFCE" w:val="clear"/>
          </w:tcPr>
          <w:p>
            <w:r>
              <w:rPr>
                <w:b/>
                <w:sz w:val="17"/>
              </w:rPr>
              <w:t>23,389</w:t>
            </w:r>
          </w:p>
        </w:tc>
        <w:tc>
          <w:tcPr>
            <w:tcW w:type="dxa" w:w="1440"/>
            <w:shd w:fill="C6EFCE" w:val="clear"/>
          </w:tcPr>
          <w:p>
            <w:r>
              <w:rPr>
                <w:sz w:val="17"/>
              </w:rPr>
              <w:t>24,933</w:t>
            </w:r>
          </w:p>
        </w:tc>
        <w:tc>
          <w:tcPr>
            <w:tcW w:type="dxa" w:w="1440"/>
            <w:shd w:fill="C6EFCE" w:val="clear"/>
          </w:tcPr>
          <w:p>
            <w:r>
              <w:rPr>
                <w:b/>
                <w:color w:val="008000"/>
                <w:sz w:val="17"/>
              </w:rPr>
              <w:t>+9.5%</w:t>
            </w:r>
          </w:p>
        </w:tc>
      </w:tr>
      <w:tr>
        <w:tc>
          <w:tcPr>
            <w:tcW w:type="dxa" w:w="1440"/>
            <w:shd w:fill="C6EFCE" w:val="clear"/>
          </w:tcPr>
          <w:p>
            <w:r>
              <w:rPr>
                <w:sz w:val="17"/>
              </w:rPr>
              <w:t>J+7  ⭐</w:t>
            </w:r>
          </w:p>
        </w:tc>
        <w:tc>
          <w:tcPr>
            <w:tcW w:type="dxa" w:w="1440"/>
            <w:shd w:fill="C6EFCE" w:val="clear"/>
          </w:tcPr>
          <w:p>
            <w:r>
              <w:rPr>
                <w:sz w:val="17"/>
              </w:rPr>
              <w:t>2026-10-27</w:t>
            </w:r>
          </w:p>
        </w:tc>
        <w:tc>
          <w:tcPr>
            <w:tcW w:type="dxa" w:w="1440"/>
            <w:shd w:fill="C6EFCE" w:val="clear"/>
          </w:tcPr>
          <w:p>
            <w:r>
              <w:rPr>
                <w:sz w:val="17"/>
              </w:rPr>
              <w:t>21,967</w:t>
            </w:r>
          </w:p>
        </w:tc>
        <w:tc>
          <w:tcPr>
            <w:tcW w:type="dxa" w:w="1440"/>
            <w:shd w:fill="C6EFCE" w:val="clear"/>
          </w:tcPr>
          <w:p>
            <w:r>
              <w:rPr>
                <w:b/>
                <w:sz w:val="17"/>
              </w:rPr>
              <w:t>23,654</w:t>
            </w:r>
          </w:p>
        </w:tc>
        <w:tc>
          <w:tcPr>
            <w:tcW w:type="dxa" w:w="1440"/>
            <w:shd w:fill="C6EFCE" w:val="clear"/>
          </w:tcPr>
          <w:p>
            <w:r>
              <w:rPr>
                <w:sz w:val="17"/>
              </w:rPr>
              <w:t>25,341</w:t>
            </w:r>
          </w:p>
        </w:tc>
        <w:tc>
          <w:tcPr>
            <w:tcW w:type="dxa" w:w="1440"/>
            <w:shd w:fill="C6EFCE" w:val="clear"/>
          </w:tcPr>
          <w:p>
            <w:r>
              <w:rPr>
                <w:b/>
                <w:color w:val="008000"/>
                <w:sz w:val="17"/>
              </w:rPr>
              <w:t>+10.8%</w:t>
            </w:r>
          </w:p>
        </w:tc>
      </w:tr>
      <w:tr>
        <w:tc>
          <w:tcPr>
            <w:tcW w:type="dxa" w:w="1440"/>
            <w:shd w:fill="C6EFCE" w:val="clear"/>
          </w:tcPr>
          <w:p>
            <w:r>
              <w:rPr>
                <w:sz w:val="17"/>
              </w:rPr>
              <w:t>J+8  ⭐</w:t>
            </w:r>
          </w:p>
        </w:tc>
        <w:tc>
          <w:tcPr>
            <w:tcW w:type="dxa" w:w="1440"/>
            <w:shd w:fill="C6EFCE" w:val="clear"/>
          </w:tcPr>
          <w:p>
            <w:r>
              <w:rPr>
                <w:sz w:val="17"/>
              </w:rPr>
              <w:t>2026-10-28</w:t>
            </w:r>
          </w:p>
        </w:tc>
        <w:tc>
          <w:tcPr>
            <w:tcW w:type="dxa" w:w="1440"/>
            <w:shd w:fill="C6EFCE" w:val="clear"/>
          </w:tcPr>
          <w:p>
            <w:r>
              <w:rPr>
                <w:sz w:val="17"/>
              </w:rPr>
              <w:t>22,102</w:t>
            </w:r>
          </w:p>
        </w:tc>
        <w:tc>
          <w:tcPr>
            <w:tcW w:type="dxa" w:w="1440"/>
            <w:shd w:fill="C6EFCE" w:val="clear"/>
          </w:tcPr>
          <w:p>
            <w:r>
              <w:rPr>
                <w:b/>
                <w:sz w:val="17"/>
              </w:rPr>
              <w:t>23,926</w:t>
            </w:r>
          </w:p>
        </w:tc>
        <w:tc>
          <w:tcPr>
            <w:tcW w:type="dxa" w:w="1440"/>
            <w:shd w:fill="C6EFCE" w:val="clear"/>
          </w:tcPr>
          <w:p>
            <w:r>
              <w:rPr>
                <w:sz w:val="17"/>
              </w:rPr>
              <w:t>25,751</w:t>
            </w:r>
          </w:p>
        </w:tc>
        <w:tc>
          <w:tcPr>
            <w:tcW w:type="dxa" w:w="1440"/>
            <w:shd w:fill="C6EFCE" w:val="clear"/>
          </w:tcPr>
          <w:p>
            <w:r>
              <w:rPr>
                <w:b/>
                <w:color w:val="008000"/>
                <w:sz w:val="17"/>
              </w:rPr>
              <w:t>+12.1%</w:t>
            </w:r>
          </w:p>
        </w:tc>
      </w:tr>
      <w:tr>
        <w:tc>
          <w:tcPr>
            <w:tcW w:type="dxa" w:w="1440"/>
            <w:shd w:fill="C6EFCE" w:val="clear"/>
          </w:tcPr>
          <w:p>
            <w:r>
              <w:rPr>
                <w:sz w:val="17"/>
              </w:rPr>
              <w:t>J+9  ⭐</w:t>
            </w:r>
          </w:p>
        </w:tc>
        <w:tc>
          <w:tcPr>
            <w:tcW w:type="dxa" w:w="1440"/>
            <w:shd w:fill="C6EFCE" w:val="clear"/>
          </w:tcPr>
          <w:p>
            <w:r>
              <w:rPr>
                <w:sz w:val="17"/>
              </w:rPr>
              <w:t>2026-10-29</w:t>
            </w:r>
          </w:p>
        </w:tc>
        <w:tc>
          <w:tcPr>
            <w:tcW w:type="dxa" w:w="1440"/>
            <w:shd w:fill="C6EFCE" w:val="clear"/>
          </w:tcPr>
          <w:p>
            <w:r>
              <w:rPr>
                <w:sz w:val="17"/>
              </w:rPr>
              <w:t>22,273</w:t>
            </w:r>
          </w:p>
        </w:tc>
        <w:tc>
          <w:tcPr>
            <w:tcW w:type="dxa" w:w="1440"/>
            <w:shd w:fill="C6EFCE" w:val="clear"/>
          </w:tcPr>
          <w:p>
            <w:r>
              <w:rPr>
                <w:b/>
                <w:sz w:val="17"/>
              </w:rPr>
              <w:t>24,232</w:t>
            </w:r>
          </w:p>
        </w:tc>
        <w:tc>
          <w:tcPr>
            <w:tcW w:type="dxa" w:w="1440"/>
            <w:shd w:fill="C6EFCE" w:val="clear"/>
          </w:tcPr>
          <w:p>
            <w:r>
              <w:rPr>
                <w:sz w:val="17"/>
              </w:rPr>
              <w:t>26,192</w:t>
            </w:r>
          </w:p>
        </w:tc>
        <w:tc>
          <w:tcPr>
            <w:tcW w:type="dxa" w:w="1440"/>
            <w:shd w:fill="C6EFCE" w:val="clear"/>
          </w:tcPr>
          <w:p>
            <w:r>
              <w:rPr>
                <w:b/>
                <w:color w:val="008000"/>
                <w:sz w:val="17"/>
              </w:rPr>
              <w:t>+13.5%</w:t>
            </w:r>
          </w:p>
        </w:tc>
      </w:tr>
      <w:tr>
        <w:tc>
          <w:tcPr>
            <w:tcW w:type="dxa" w:w="1440"/>
            <w:shd w:fill="C6EFCE" w:val="clear"/>
          </w:tcPr>
          <w:p>
            <w:r>
              <w:rPr>
                <w:sz w:val="17"/>
              </w:rPr>
              <w:t>J+10  ⭐</w:t>
            </w:r>
          </w:p>
        </w:tc>
        <w:tc>
          <w:tcPr>
            <w:tcW w:type="dxa" w:w="1440"/>
            <w:shd w:fill="C6EFCE" w:val="clear"/>
          </w:tcPr>
          <w:p>
            <w:r>
              <w:rPr>
                <w:sz w:val="17"/>
              </w:rPr>
              <w:t>2026-10-30</w:t>
            </w:r>
          </w:p>
        </w:tc>
        <w:tc>
          <w:tcPr>
            <w:tcW w:type="dxa" w:w="1440"/>
            <w:shd w:fill="C6EFCE" w:val="clear"/>
          </w:tcPr>
          <w:p>
            <w:r>
              <w:rPr>
                <w:sz w:val="17"/>
              </w:rPr>
              <w:t>22,416</w:t>
            </w:r>
          </w:p>
        </w:tc>
        <w:tc>
          <w:tcPr>
            <w:tcW w:type="dxa" w:w="1440"/>
            <w:shd w:fill="C6EFCE" w:val="clear"/>
          </w:tcPr>
          <w:p>
            <w:r>
              <w:rPr>
                <w:b/>
                <w:sz w:val="17"/>
              </w:rPr>
              <w:t>24,505</w:t>
            </w:r>
          </w:p>
        </w:tc>
        <w:tc>
          <w:tcPr>
            <w:tcW w:type="dxa" w:w="1440"/>
            <w:shd w:fill="C6EFCE" w:val="clear"/>
          </w:tcPr>
          <w:p>
            <w:r>
              <w:rPr>
                <w:sz w:val="17"/>
              </w:rPr>
              <w:t>26,594</w:t>
            </w:r>
          </w:p>
        </w:tc>
        <w:tc>
          <w:tcPr>
            <w:tcW w:type="dxa" w:w="1440"/>
            <w:shd w:fill="C6EFCE" w:val="clear"/>
          </w:tcPr>
          <w:p>
            <w:r>
              <w:rPr>
                <w:b/>
                <w:color w:val="008000"/>
                <w:sz w:val="17"/>
              </w:rPr>
              <w:t>+14.8%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**RAPPORT D'ANALYSE FINANCIÈRE — STBC (SITAB S.A.)**</w:t>
        <w:br/>
        <w:t>**Bourse Régionale des Valeurs Mobilières (BRVM) — Secteur : Entreprise (Distribution de tabac)**</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383,34 milliards FCFA, STBC s'impose comme l'une des plus importantes capitalisations de la cote BRVM, témoignant de son statut de valeur de premier plan sur le marché régional. Le BPA de 2 014 FCFA par action indique le bénéfice net généré pour chaque titre détenu, tandis que le PER de 10,6x situe le titre dans la fourchette modérée de la moyenne BRVM (8-12x), suggérant que les investisseurs ne paient pas de prime excessive pour les bénéfices actuels. En revanche, le P/B de 8,46x, très supérieur au seuil de 4x, révèle une valorisation exigeante par rapport à la valeur comptable, ce qui se justifie en partie par la forte rentabilité des fonds propres (ROE de 79,75%) mais expose le titre à un risque de correction si la rentabilité se normalise. Enfin, l'EV/EBITDA de 7,6x, dans la fourchette raisonnable de 5-10x, indique que la valeur d'entreprise reste cohérente avec la capacité opérationnelle de génération de cash-flows, offrant un point d'ancrage rassurant dans la valorisation globale.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STBC affiche une variation totale quasi nulle de +0,28%, avec une dernière séance en hausse de +0,71% à 21 350 FCFA, traduisant une phase de consolidation latérale après un mouvement de correction. Le range de trading s'étend de 20 895 FCFA (plus bas) à 25 000 FCFA (plus haut), soit une amplitude de près de 20% qui illustre une volatilité intra-période significative malgré la stabilité finale. La tendance générale est baissière sur la période, le cours actuel se situant sous la moyenne (22 573 FCFA) et sous la médiane (22 218 FCFA), signe d'une distribution asymétrique vers le bas. Les statistiques descriptives confirment cette asymétrie : le skewness positif de 0,594 indique davantage de journées sous la moyenne, tandis que le kurtosis de -0,698 (mésokurtique) suggère une distribution proche de la normale, sans risque excessif de pics extrêmes. L'écart-type de 1 109 FCFA avec un coefficient de variation de 4,9% révèle une dispersion modérée du cours autour de sa moyenne, et la volatilité annualisée de 36,7% classe le titre dans la catégorie des valeurs à volatilité élevée (&gt;30%), ce qui est cohérent avec son profil de valeur de rendement soumise aux aléas réglementaires et fiscaux du secteur du tabac.</w:t>
      </w:r>
    </w:p>
    <w:p>
      <w:pPr>
        <w:spacing w:after="120" w:line="276" w:lineRule="auto"/>
      </w:pPr>
      <w:r>
        <w:t>---</w:t>
      </w:r>
    </w:p>
    <w:p>
      <w:pPr>
        <w:spacing w:after="120" w:line="276" w:lineRule="auto"/>
      </w:pPr>
      <w:r>
        <w:t>### PARTIE 2 : ANALYSE TECHNIQUE DÉTAILLÉE</w:t>
      </w:r>
    </w:p>
    <w:p>
      <w:pPr>
        <w:spacing w:after="120" w:line="276" w:lineRule="auto"/>
      </w:pPr>
      <w:r>
        <w:t>**Moyennes Mobiles** : La MM20 (21 533 FCFA) et la MM50 (22 200,6 FCFA) se situent toutes deux au-dessus du cours actuel (21 350 FCFA), avec une MM20 inférieure à la MM50, configuration baissière caractéristique. Le cours évoluant sous ses deux moyennes, la pression vendeuse domine et justifie la décision technique de **Vente**.</w:t>
      </w:r>
    </w:p>
    <w:p>
      <w:pPr>
        <w:spacing w:after="120" w:line="276" w:lineRule="auto"/>
      </w:pPr>
      <w:r>
        <w:t>**Bandes de Bollinger** : Le cours (21 350 FCFA) se situe dans la moitié inférieure de la bande, entre la borne inférieure (20 901,9 FCFA) et la borne supérieure (22 164,1 FCFA), sans atteindre les extrêmes. Cette position centrale basse, couplée à un rétrécissement de la bande, traduit une volatilité en compression et une absence de signal directionnel fort, justifiant la décision **Neutre**.</w:t>
      </w:r>
    </w:p>
    <w:p>
      <w:pPr>
        <w:spacing w:after="120" w:line="276" w:lineRule="auto"/>
      </w:pPr>
      <w:r>
        <w:t>**MACD** : La valeur du MACD (-230,795) est légèrement inférieure à son signal (-229,268), avec un histogramme négatif et un momentum baissier persistant. La divergence négative entre la ligne MACD et son signal confirme la faiblesse du momentum, justifiant la décision **Vente**.</w:t>
      </w:r>
    </w:p>
    <w:p>
      <w:pPr>
        <w:spacing w:after="120" w:line="276" w:lineRule="auto"/>
      </w:pPr>
      <w:r>
        <w:t>**RSI** : À 48,466, le RSI se situe en zone neutre (30-70), sans signal de surachat (&gt;70) ni de survente (&lt;30). Cette position médiane indique un équilibre entre acheteurs et vendeurs, sans pression extrême, justifiant la décision **Neutre**.</w:t>
      </w:r>
    </w:p>
    <w:p>
      <w:pPr>
        <w:spacing w:after="120" w:line="276" w:lineRule="auto"/>
      </w:pPr>
      <w:r>
        <w:t>**Stochastique** : Le %K (25,15) est supérieur au %D (10,778), avec un croisement haussier en zone de survente (&lt;20 pour le %D), signal potentiel de rebond à court terme. Cependant, la proximité de la zone de survente et la faiblesse générale du momentum justifient une décision **Neutre** prudente.</w:t>
      </w:r>
    </w:p>
    <w:p>
      <w:pPr>
        <w:spacing w:after="120" w:line="276" w:lineRule="auto"/>
      </w:pPr>
      <w:r>
        <w:t>**Conclusion technique** : La convergence des signaux baissiers (MM, MACD) et neutres (Bollinger, RSI, Stochastique) dresse un tableau technique mitigé, dominé par une tendance de fond baissière mais avec des signes de stabilisation à court terme. Le titre évolue dans une zone de consolidation basse, sans catalyseur technique majeur pour un rebond durable, ce qui plaide pour une posture attentiste.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STBC (SITAB) a réalisé un chiffre d'affaires de 268,537 milliards FCFA, en forte croissance de +25,3% par rapport à 2024, portée par une progression des volumes de 5,6% et un effet prix favorable. Le résultat net s'établit à 36,158 milliards FCFA, en baisse de -17,5% par rapport aux 44,2 milliards de 2024, sous l'effet de la hausse des droits d'accise (de 49% à 70%) et d'un contrôle fiscal. La marge nette se dégrade à 13,46% (contre 20,4% en 2024), tandis que le ROE reste exceptionnel à 79,75% et le ROA à 48,09%, témoignant d'une rentabilité des capitaux toujours très élevée malgré la compression. La structure financière demeure solide avec une autonomie financière de 60,3%, une trésorerie nette de 30,763 milliards FCFA et une absence quasi totale de dettes financières (1,4 million FCFA). Le BFR de 5,639 milliards FCFA et le délai client de 42,57 jours (contre 5,73 jours de stockage) indiquent une gestion du besoin en fonds de roulement maîtrisée, bien que le délai client élevé constitue un point de vigilance pour la trésorerie.</w:t>
      </w:r>
    </w:p>
    <w:p>
      <w:pPr>
        <w:spacing w:after="120" w:line="276" w:lineRule="auto"/>
      </w:pPr>
      <w:r>
        <w:t>**Estimations basées sur les rapports trimestriels** : Le rapport du T2 2026 (publié en 2026) révèle un chiffre d'affaires de 70,05 milliards FCFA (+1% vs T2 2025) et un résultat net de 8,64 milliards FCFA (-0,2%), avec une marge nette de 12,3%, confirmant la stabilisation de la rentabilité après la chute de 2025. Le rapport du T1 2026 (publié en 2026) montre un CA de 68,8 milliards FCFA (+12%) et un résultat net de 9,3 milliards FCFA (-1%), avec des volumes en hausse de 10%, signalant un redressement commercial. Sur cette base, on estime que l'exercice 2026 devrait afficher un chiffre d'affaires annuel d'environ 275-280 milliards FCFA, avec un résultat net stabilisé autour de 36-37 milliards FCFA, la marge nette se maintenant à ~13%. La politique de dividende reste généreuse avec un DPA de 1 940 FCFA proposé au titre de 2025 (rendement de ~9,1% au cours actuel), bien que le taux de distribution de 84,9% limite les capacités de réinvestissement. La recommandation fondamentale est de **CONSERVER** : la solidité bilantielle (zéro dette, trésorerie élevée) et la croissance du CA compensent la dégradation des marges, mais les risques réglementaires (fiscalité du tabac) et la politique de dividende agressive incitent à la prudence avant tout renforcement.</w:t>
      </w:r>
    </w:p>
    <w:p>
      <w:pPr>
        <w:spacing w:after="120" w:line="276" w:lineRule="auto"/>
      </w:pPr>
      <w:r>
        <w:t>---</w:t>
      </w:r>
    </w:p>
    <w:p>
      <w:pPr>
        <w:spacing w:after="120" w:line="276" w:lineRule="auto"/>
      </w:pPr>
      <w:r>
        <w:t>### PARTIE 4 : CONCLUSION D'INVESTISSEMENT</w:t>
      </w:r>
    </w:p>
    <w:p>
      <w:pPr>
        <w:spacing w:after="120" w:line="276" w:lineRule="auto"/>
      </w:pPr>
      <w:r>
        <w:t>La valorisation de STBC présente un profil contrasté : si le PER de 10,6x et l'EV/EBITDA de 7,6x suggèrent une valorisation raisonnable, le P/B de 8,46x traduit une prime exigeante qui pourrait se corriger en cas de normalisation de la rentabilité. Le comportement du cours sur 100 jours (variation quasi nulle, volatilité élevée de 36,7%, skewness positif) révèle une phase de consolidation baissière avec une distribution asymétrique défavorable, tandis que les signaux techniques (MM baissières, MACD négatif, RSI neutre) confirment l'absence de momentum haussier durable. Les fondamentaux restent solides (CA en croissance de +25,3% en 2025, ROE de 79,75%, trésorerie de 30,8 milliards FCFA, zéro dette), mais la dégradation de la marge nette (13,46% contre 20,4% en 2024) et les estimations des rapports T1/T2 2026 (stabilisation à ~13% de marge) pèsent sur les perspectives. Les prédictions IA (J+1 à J+10) anticipent une trajectoire haussière de 21 996 à 23 133 FCFA (+8,3% sur 5 jours), ce qui contredit les signaux techniques baissiers et suggère un possible rebond de court terme, mais cette prévision reste à confirmer par les volumes. Sur la base de cette synthèse globale, la recommandation finale est de **CONSERVER**, avec un niveau de confiance **Moyen** et un risque global **Moyen** : la convergence entre valorisation raisonnable (PER/EV-EBITDA), fondamentaux solides (bilan sans dette, croissance du CA) et prédictions IA haussières soutient le maintien en portefeuille, mais la divergence avec les signaux techniques baissiers et la pression sur les marges justifient une approche prudente. L'horizon d'investissement optimal est le **moyen terme (3-12 mois)**, en attendant la confirmation de la stabilisation des marges et l'évolution des volumes de ventes au second semestre 2026.</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Rapport d'activités - 2ème trimestre 2026</w:t>
      </w:r>
    </w:p>
    <w:p>
      <w:pPr>
        <w:spacing w:before="20"/>
        <w:ind w:left="400"/>
      </w:pPr>
      <w:r>
        <w:rPr>
          <w:color w:val="505050"/>
          <w:sz w:val="17"/>
        </w:rPr>
        <w:t>Année : 2026  |  Type : Rapport d'activités trimestriel</w:t>
      </w:r>
    </w:p>
    <w:p>
      <w:pPr>
        <w:spacing w:before="20"/>
        <w:ind w:left="400"/>
      </w:pPr>
      <w:r>
        <w:rPr>
          <w:b/>
          <w:sz w:val="18"/>
        </w:rPr>
        <w:t xml:space="preserve">Recommandation source : </w:t>
      </w:r>
      <w:r>
        <w:rPr>
          <w:b/>
          <w:color w:val="646464"/>
          <w:sz w:val="18"/>
        </w:rPr>
        <w:t>{"decision": "conserver", "justification": "La SITAB démontre une stabilité remarquable de ses performances avec une rentabilité nette supérieure à 12 %, dans un environnement économique, réglementaire et concurrentiel difficile. En l'absence d'information sur le cours de Bourse et le dividende dans ce document, une position de conservation paraît la plus prudente en attendant des signaux de croissance plus dynamique des volumes."}</w:t>
      </w:r>
    </w:p>
    <w:p>
      <w:pPr>
        <w:spacing w:before="40"/>
        <w:ind w:left="400"/>
      </w:pPr>
      <w:r>
        <w:rPr>
          <w:sz w:val="18"/>
        </w:rPr>
        <w:t>La SITAB affiche au deuxième trimestre 2026 des performances solides et stables, avec des volumes de ventes en légère hausse de 0,22 % à 1 921,6 millions de tiges. Le chiffre d'affaires s'établit à 70,05 milliards de FCFA, en progression de 1 % par rapport au T2 2025, confirmant la continuité de la dynamique commerciale de la société. Le résultat des activités ordinaires progresse de 4 % à 11,50 milliards de FCFA, témoignant d'une bonne maîtrise des charges d'exploitation. Le résultat net ressort à 8,64 milliards de FCFA, quasi stable (-0,2 %), illustrant une rentabilité élevée et résiliente. Sur l'ensemble des six premiers mois de 2026, la société cumule un chiffre d'affaires de 268,54 mill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'4 488 750 000 FCFA', 'volumes_ventes': '1 921,60 millions de tiges (T2 2026, +0,22 %)', 'ca_cumule_31_12_2025': '268,54 milliards FCFA', 'resultat_activites_ordinaires': '11,50 milliards FCFA (T2 2026, +4 %)', 'resultat_net_cumule_31_12_2025': '36,46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12,3 % (T2 2026) ; 13,6 % (cumul 31/12/2025)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8,64 milliards FCFA (T2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70,05 milliards FCFA (T2 2026)</w:t>
            </w:r>
          </w:p>
        </w:tc>
        <w:tc>
          <w:tcPr>
            <w:tcW w:type="dxa" w:w="2160"/>
          </w:tcPr>
          <w:p/>
        </w:tc>
      </w:tr>
    </w:tbl>
    <w:p/>
    <w:p>
      <w:pPr>
        <w:spacing w:before="60"/>
        <w:ind w:left="400"/>
      </w:pPr>
      <w:r>
        <w:rPr>
          <w:b/>
          <w:sz w:val="18"/>
        </w:rPr>
        <w:t>Points clés :</w:t>
      </w:r>
    </w:p>
    <w:p>
      <w:pPr>
        <w:pStyle w:val="ListBullet"/>
        <w:spacing w:before="20" w:after="20"/>
        <w:ind w:left="700"/>
      </w:pPr>
      <w:r>
        <w:rPr>
          <w:sz w:val="18"/>
        </w:rPr>
        <w:t>Volumes de ventes du T2 2026 en hausse de 0,22 % à 1 921,60 millions de tiges (T2 2025 : 1 917,40 millions), démontrant une stabilité commerciale.</w:t>
      </w:r>
    </w:p>
    <w:p>
      <w:pPr>
        <w:pStyle w:val="ListBullet"/>
        <w:spacing w:before="20" w:after="20"/>
        <w:ind w:left="700"/>
      </w:pPr>
      <w:r>
        <w:rPr>
          <w:sz w:val="18"/>
        </w:rPr>
        <w:t>Chiff d'affaires du T2 2026 en croissance de 1 % à 70,05 milliards de FCFA (T2 2025 : 69,53 milliards), dépassant la barre symbolique des 70 milliards.</w:t>
      </w:r>
    </w:p>
    <w:p>
      <w:pPr>
        <w:pStyle w:val="ListBullet"/>
        <w:spacing w:before="20" w:after="20"/>
        <w:ind w:left="700"/>
      </w:pPr>
      <w:r>
        <w:rPr>
          <w:sz w:val="18"/>
        </w:rPr>
        <w:t>Résultat des activités ordinaires en progression de 4 % à 11,50 milliards de FCFA, reflétant l'amélioration de l'efficacité opérationnelle et la maîtrise des charges.</w:t>
      </w:r>
    </w:p>
    <w:p>
      <w:pPr>
        <w:pStyle w:val="ListBullet"/>
        <w:spacing w:before="20" w:after="20"/>
        <w:ind w:left="700"/>
      </w:pPr>
      <w:r>
        <w:rPr>
          <w:sz w:val="18"/>
        </w:rPr>
        <w:t>Résultat net quasi stable à 8,64 milliards de FCFA (-0,2 %), démontrant une forte résilience de la rentabilité.</w:t>
      </w:r>
    </w:p>
    <w:p>
      <w:pPr>
        <w:pStyle w:val="ListBullet"/>
        <w:spacing w:before="20" w:after="20"/>
        <w:ind w:left="700"/>
      </w:pPr>
      <w:r>
        <w:rPr>
          <w:sz w:val="18"/>
        </w:rPr>
        <w:t>Marge nette trimestrielle élevée, ressortant à environ 12,3 % du chiffre d'affaires, niveau très confortable.</w:t>
      </w:r>
    </w:p>
    <w:p>
      <w:pPr>
        <w:pStyle w:val="ListBullet"/>
        <w:spacing w:before="20" w:after="20"/>
        <w:ind w:left="700"/>
      </w:pPr>
      <w:r>
        <w:rPr>
          <w:sz w:val="18"/>
        </w:rPr>
        <w:t>Cumul au 31/12/2025 (exercice précédent) : chiffre d'affaires de 268,54 milliards de FCFA et résultat net de 36,46 milliards de FCFA, soit une marge nette d'environ 13,6 %.</w:t>
      </w:r>
    </w:p>
    <w:p>
      <w:pPr>
        <w:spacing w:before="40"/>
        <w:ind w:left="400"/>
      </w:pPr>
      <w:r>
        <w:rPr>
          <w:b/>
          <w:color w:val="C05000"/>
          <w:sz w:val="18"/>
        </w:rPr>
        <w:t xml:space="preserve">⚠️ Risques : </w:t>
      </w:r>
      <w:r>
        <w:rPr>
          <w:sz w:val="18"/>
        </w:rPr>
        <w:t xml:space="preserve">["Environnement réglementaire et fiscal contraignant pour l'industrie du tabac (taxes, restrictions publicitaires et sanitaires) pesant sur les volumes à moyen terme.", "Croissance des volumes quasi nulle (+0,22 %), signalant un marché potentiellement saturé et une exposition à la concurrence et au </w:t>
      </w:r>
    </w:p>
    <w:p>
      <w:pPr>
        <w:spacing w:before="40"/>
        <w:ind w:left="400"/>
      </w:pPr>
      <w:r>
        <w:rPr>
          <w:b/>
          <w:color w:val="0064A0"/>
          <w:sz w:val="18"/>
        </w:rPr>
        <w:t xml:space="preserve">🔮 Perspectives : </w:t>
      </w:r>
      <w:r>
        <w:rPr>
          <w:sz w:val="18"/>
        </w:rPr>
        <w:t>Pour la clôture 2026, la direction vise la consolidation des performances commerciales et financières, avec un focus sur le développement des volumes de ventes, l'amélioration continue de l'efficacité opérationnelle et la préservation des équilibres financiers. La trajectoire actuelle laisse présage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
      <w:r>
        <w:t>════════════════════════════════════════════════════════════════════════════════</w:t>
      </w:r>
    </w:p>
    <w:p>
      <w:r>
        <w:br w:type="page"/>
      </w:r>
    </w:p>
    <w:p>
      <w:pPr>
        <w:pStyle w:val="Heading2"/>
        <w:spacing w:before="360"/>
      </w:pPr>
      <w:r>
        <w:rPr>
          <w:color w:val="0066CC"/>
        </w:rPr>
        <w:t>45.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195.18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6,863 titres</w:t>
            </w:r>
          </w:p>
        </w:tc>
        <w:tc>
          <w:tcPr>
            <w:tcW w:type="dxa" w:w="2268"/>
            <w:shd w:fill="FFF2CC" w:val="clear"/>
          </w:tcPr>
          <w:p>
            <w:r>
              <w:rPr>
                <w:b/>
                <w:color w:val="503200"/>
                <w:sz w:val="16"/>
              </w:rPr>
              <w:t xml:space="preserve">Cours actuel : </w:t>
            </w:r>
            <w:r>
              <w:rPr>
                <w:color w:val="000000"/>
                <w:sz w:val="17"/>
              </w:rPr>
              <w:t>3,100 FCFA</w:t>
            </w:r>
          </w:p>
          <w:p>
            <w:r>
              <w:rPr>
                <w:b/>
                <w:color w:val="503200"/>
                <w:sz w:val="16"/>
              </w:rPr>
              <w:t xml:space="preserve">Var. 100 jours : </w:t>
            </w:r>
            <w:r>
              <w:rPr>
                <w:b/>
                <w:color w:val="007800"/>
                <w:sz w:val="17"/>
              </w:rPr>
              <w:t>+8.01%</w:t>
            </w:r>
          </w:p>
          <w:p>
            <w:r>
              <w:rPr>
                <w:b/>
                <w:color w:val="503200"/>
                <w:sz w:val="16"/>
              </w:rPr>
              <w:t xml:space="preserve">Plus haut 100j : </w:t>
            </w:r>
            <w:r>
              <w:rPr>
                <w:color w:val="000000"/>
                <w:sz w:val="17"/>
              </w:rPr>
              <w:t>3,595 FCFA</w:t>
            </w:r>
          </w:p>
          <w:p>
            <w:r>
              <w:rPr>
                <w:b/>
                <w:color w:val="503200"/>
                <w:sz w:val="16"/>
              </w:rPr>
              <w:t xml:space="preserve">Plus bas 100j : </w:t>
            </w:r>
            <w:r>
              <w:rPr>
                <w:color w:val="000000"/>
                <w:sz w:val="17"/>
              </w:rPr>
              <w:t>2,770 FCFA</w:t>
            </w:r>
          </w:p>
          <w:p>
            <w:r>
              <w:rPr>
                <w:b/>
                <w:color w:val="503200"/>
                <w:sz w:val="16"/>
              </w:rPr>
              <w:t xml:space="preserve">Volatilité ann. : </w:t>
            </w:r>
            <w:r>
              <w:rPr>
                <w:color w:val="000000"/>
                <w:sz w:val="17"/>
              </w:rPr>
              <w:t>43.9%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6.24% (Moyenne) — μ=3,033 FCFA, σ=189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β=0.1592 (Défensif) — Cov=0.000012, Var(idx)=0.000076, ρ=0.050,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6,863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σ_j=2.76%/j (Stable) — Vol. annualisée≈43.9%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2026-10-19</w:t>
            </w:r>
          </w:p>
        </w:tc>
        <w:tc>
          <w:tcPr>
            <w:tcW w:type="dxa" w:w="1440"/>
            <w:shd w:fill="FAFAFA" w:val="clear"/>
          </w:tcPr>
          <w:p>
            <w:r>
              <w:rPr>
                <w:sz w:val="17"/>
              </w:rPr>
              <w:t>2,940</w:t>
            </w:r>
          </w:p>
        </w:tc>
        <w:tc>
          <w:tcPr>
            <w:tcW w:type="dxa" w:w="1440"/>
            <w:shd w:fill="FAFAFA" w:val="clear"/>
          </w:tcPr>
          <w:p>
            <w:r>
              <w:rPr>
                <w:b/>
                <w:sz w:val="17"/>
              </w:rPr>
              <w:t>3,080</w:t>
            </w:r>
          </w:p>
        </w:tc>
        <w:tc>
          <w:tcPr>
            <w:tcW w:type="dxa" w:w="1440"/>
            <w:shd w:fill="FAFAFA" w:val="clear"/>
          </w:tcPr>
          <w:p>
            <w:r>
              <w:rPr>
                <w:sz w:val="17"/>
              </w:rPr>
              <w:t>3,219</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2026-10-20</w:t>
            </w:r>
          </w:p>
        </w:tc>
        <w:tc>
          <w:tcPr>
            <w:tcW w:type="dxa" w:w="1440"/>
            <w:shd w:fill="FAFAFA" w:val="clear"/>
          </w:tcPr>
          <w:p>
            <w:r>
              <w:rPr>
                <w:sz w:val="17"/>
              </w:rPr>
              <w:t>2,879</w:t>
            </w:r>
          </w:p>
        </w:tc>
        <w:tc>
          <w:tcPr>
            <w:tcW w:type="dxa" w:w="1440"/>
            <w:shd w:fill="FAFAFA" w:val="clear"/>
          </w:tcPr>
          <w:p>
            <w:r>
              <w:rPr>
                <w:b/>
                <w:sz w:val="17"/>
              </w:rPr>
              <w:t>3,076</w:t>
            </w:r>
          </w:p>
        </w:tc>
        <w:tc>
          <w:tcPr>
            <w:tcW w:type="dxa" w:w="1440"/>
            <w:shd w:fill="FAFAFA" w:val="clear"/>
          </w:tcPr>
          <w:p>
            <w:r>
              <w:rPr>
                <w:sz w:val="17"/>
              </w:rPr>
              <w:t>3,273</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2026-10-21</w:t>
            </w:r>
          </w:p>
        </w:tc>
        <w:tc>
          <w:tcPr>
            <w:tcW w:type="dxa" w:w="1440"/>
            <w:shd w:fill="FAFAFA" w:val="clear"/>
          </w:tcPr>
          <w:p>
            <w:r>
              <w:rPr>
                <w:sz w:val="17"/>
              </w:rPr>
              <w:t>2,825</w:t>
            </w:r>
          </w:p>
        </w:tc>
        <w:tc>
          <w:tcPr>
            <w:tcW w:type="dxa" w:w="1440"/>
            <w:shd w:fill="FAFAFA" w:val="clear"/>
          </w:tcPr>
          <w:p>
            <w:r>
              <w:rPr>
                <w:b/>
                <w:sz w:val="17"/>
              </w:rPr>
              <w:t>3,066</w:t>
            </w:r>
          </w:p>
        </w:tc>
        <w:tc>
          <w:tcPr>
            <w:tcW w:type="dxa" w:w="1440"/>
            <w:shd w:fill="FAFAFA" w:val="clear"/>
          </w:tcPr>
          <w:p>
            <w:r>
              <w:rPr>
                <w:sz w:val="17"/>
              </w:rPr>
              <w:t>3,307</w:t>
            </w:r>
          </w:p>
        </w:tc>
        <w:tc>
          <w:tcPr>
            <w:tcW w:type="dxa" w:w="1440"/>
            <w:shd w:fill="FAFAFA" w:val="clear"/>
          </w:tcPr>
          <w:p>
            <w:r>
              <w:rPr>
                <w:b/>
                <w:color w:val="C00000"/>
                <w:sz w:val="17"/>
              </w:rPr>
              <w:t>-1.1%</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2,780</w:t>
            </w:r>
          </w:p>
        </w:tc>
        <w:tc>
          <w:tcPr>
            <w:tcW w:type="dxa" w:w="1440"/>
            <w:shd w:fill="FAFAFA" w:val="clear"/>
          </w:tcPr>
          <w:p>
            <w:r>
              <w:rPr>
                <w:b/>
                <w:sz w:val="17"/>
              </w:rPr>
              <w:t>3,058</w:t>
            </w:r>
          </w:p>
        </w:tc>
        <w:tc>
          <w:tcPr>
            <w:tcW w:type="dxa" w:w="1440"/>
            <w:shd w:fill="FAFAFA" w:val="clear"/>
          </w:tcPr>
          <w:p>
            <w:r>
              <w:rPr>
                <w:sz w:val="17"/>
              </w:rPr>
              <w:t>3,335</w:t>
            </w:r>
          </w:p>
        </w:tc>
        <w:tc>
          <w:tcPr>
            <w:tcW w:type="dxa" w:w="1440"/>
            <w:shd w:fill="FAFAFA" w:val="clear"/>
          </w:tcPr>
          <w:p>
            <w:r>
              <w:rPr>
                <w:b/>
                <w:color w:val="C00000"/>
                <w:sz w:val="17"/>
              </w:rPr>
              <w:t>-1.4%</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2,741</w:t>
            </w:r>
          </w:p>
        </w:tc>
        <w:tc>
          <w:tcPr>
            <w:tcW w:type="dxa" w:w="1440"/>
            <w:shd w:fill="FAFAFA" w:val="clear"/>
          </w:tcPr>
          <w:p>
            <w:r>
              <w:rPr>
                <w:b/>
                <w:sz w:val="17"/>
              </w:rPr>
              <w:t>3,050</w:t>
            </w:r>
          </w:p>
        </w:tc>
        <w:tc>
          <w:tcPr>
            <w:tcW w:type="dxa" w:w="1440"/>
            <w:shd w:fill="FAFAFA" w:val="clear"/>
          </w:tcPr>
          <w:p>
            <w:r>
              <w:rPr>
                <w:sz w:val="17"/>
              </w:rPr>
              <w:t>3,360</w:t>
            </w:r>
          </w:p>
        </w:tc>
        <w:tc>
          <w:tcPr>
            <w:tcW w:type="dxa" w:w="1440"/>
            <w:shd w:fill="FAFAFA" w:val="clear"/>
          </w:tcPr>
          <w:p>
            <w:r>
              <w:rPr>
                <w:b/>
                <w:color w:val="C00000"/>
                <w:sz w:val="17"/>
              </w:rPr>
              <w:t>-1.6%</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2,705</w:t>
            </w:r>
          </w:p>
        </w:tc>
        <w:tc>
          <w:tcPr>
            <w:tcW w:type="dxa" w:w="1440"/>
            <w:shd w:fill="FAFAFA" w:val="clear"/>
          </w:tcPr>
          <w:p>
            <w:r>
              <w:rPr>
                <w:b/>
                <w:sz w:val="17"/>
              </w:rPr>
              <w:t>3,043</w:t>
            </w:r>
          </w:p>
        </w:tc>
        <w:tc>
          <w:tcPr>
            <w:tcW w:type="dxa" w:w="1440"/>
            <w:shd w:fill="FAFAFA" w:val="clear"/>
          </w:tcPr>
          <w:p>
            <w:r>
              <w:rPr>
                <w:sz w:val="17"/>
              </w:rPr>
              <w:t>3,381</w:t>
            </w:r>
          </w:p>
        </w:tc>
        <w:tc>
          <w:tcPr>
            <w:tcW w:type="dxa" w:w="1440"/>
            <w:shd w:fill="FAFAFA" w:val="clear"/>
          </w:tcPr>
          <w:p>
            <w:r>
              <w:rPr>
                <w:b/>
                <w:color w:val="C00000"/>
                <w:sz w:val="17"/>
              </w:rPr>
              <w:t>-1.8%</w:t>
            </w:r>
          </w:p>
        </w:tc>
      </w:tr>
      <w:tr>
        <w:tc>
          <w:tcPr>
            <w:tcW w:type="dxa" w:w="1440"/>
            <w:shd w:fill="FFDCE0" w:val="clear"/>
          </w:tcPr>
          <w:p>
            <w:r>
              <w:rPr>
                <w:sz w:val="17"/>
              </w:rPr>
              <w:t>J+7  ⭐</w:t>
            </w:r>
          </w:p>
        </w:tc>
        <w:tc>
          <w:tcPr>
            <w:tcW w:type="dxa" w:w="1440"/>
            <w:shd w:fill="FFDCE0" w:val="clear"/>
          </w:tcPr>
          <w:p>
            <w:r>
              <w:rPr>
                <w:sz w:val="17"/>
              </w:rPr>
              <w:t>2026-10-27</w:t>
            </w:r>
          </w:p>
        </w:tc>
        <w:tc>
          <w:tcPr>
            <w:tcW w:type="dxa" w:w="1440"/>
            <w:shd w:fill="FFDCE0" w:val="clear"/>
          </w:tcPr>
          <w:p>
            <w:r>
              <w:rPr>
                <w:sz w:val="17"/>
              </w:rPr>
              <w:t>2,672</w:t>
            </w:r>
          </w:p>
        </w:tc>
        <w:tc>
          <w:tcPr>
            <w:tcW w:type="dxa" w:w="1440"/>
            <w:shd w:fill="FFDCE0" w:val="clear"/>
          </w:tcPr>
          <w:p>
            <w:r>
              <w:rPr>
                <w:b/>
                <w:sz w:val="17"/>
              </w:rPr>
              <w:t>3,037</w:t>
            </w:r>
          </w:p>
        </w:tc>
        <w:tc>
          <w:tcPr>
            <w:tcW w:type="dxa" w:w="1440"/>
            <w:shd w:fill="FFDCE0" w:val="clear"/>
          </w:tcPr>
          <w:p>
            <w:r>
              <w:rPr>
                <w:sz w:val="17"/>
              </w:rPr>
              <w:t>3,401</w:t>
            </w:r>
          </w:p>
        </w:tc>
        <w:tc>
          <w:tcPr>
            <w:tcW w:type="dxa" w:w="1440"/>
            <w:shd w:fill="FFDCE0" w:val="clear"/>
          </w:tcPr>
          <w:p>
            <w:r>
              <w:rPr>
                <w:b/>
                <w:color w:val="C00000"/>
                <w:sz w:val="17"/>
              </w:rPr>
              <w:t>-2.0%</w:t>
            </w:r>
          </w:p>
        </w:tc>
      </w:tr>
      <w:tr>
        <w:tc>
          <w:tcPr>
            <w:tcW w:type="dxa" w:w="1440"/>
            <w:shd w:fill="FFDCE0" w:val="clear"/>
          </w:tcPr>
          <w:p>
            <w:r>
              <w:rPr>
                <w:sz w:val="17"/>
              </w:rPr>
              <w:t>J+8  ⭐</w:t>
            </w:r>
          </w:p>
        </w:tc>
        <w:tc>
          <w:tcPr>
            <w:tcW w:type="dxa" w:w="1440"/>
            <w:shd w:fill="FFDCE0" w:val="clear"/>
          </w:tcPr>
          <w:p>
            <w:r>
              <w:rPr>
                <w:sz w:val="17"/>
              </w:rPr>
              <w:t>2026-10-28</w:t>
            </w:r>
          </w:p>
        </w:tc>
        <w:tc>
          <w:tcPr>
            <w:tcW w:type="dxa" w:w="1440"/>
            <w:shd w:fill="FFDCE0" w:val="clear"/>
          </w:tcPr>
          <w:p>
            <w:r>
              <w:rPr>
                <w:sz w:val="17"/>
              </w:rPr>
              <w:t>2,642</w:t>
            </w:r>
          </w:p>
        </w:tc>
        <w:tc>
          <w:tcPr>
            <w:tcW w:type="dxa" w:w="1440"/>
            <w:shd w:fill="FFDCE0" w:val="clear"/>
          </w:tcPr>
          <w:p>
            <w:r>
              <w:rPr>
                <w:b/>
                <w:sz w:val="17"/>
              </w:rPr>
              <w:t>3,030</w:t>
            </w:r>
          </w:p>
        </w:tc>
        <w:tc>
          <w:tcPr>
            <w:tcW w:type="dxa" w:w="1440"/>
            <w:shd w:fill="FFDCE0" w:val="clear"/>
          </w:tcPr>
          <w:p>
            <w:r>
              <w:rPr>
                <w:sz w:val="17"/>
              </w:rPr>
              <w:t>3,419</w:t>
            </w:r>
          </w:p>
        </w:tc>
        <w:tc>
          <w:tcPr>
            <w:tcW w:type="dxa" w:w="1440"/>
            <w:shd w:fill="FFDCE0" w:val="clear"/>
          </w:tcPr>
          <w:p>
            <w:r>
              <w:rPr>
                <w:b/>
                <w:color w:val="C00000"/>
                <w:sz w:val="17"/>
              </w:rPr>
              <w:t>-2.3%</w:t>
            </w:r>
          </w:p>
        </w:tc>
      </w:tr>
      <w:tr>
        <w:tc>
          <w:tcPr>
            <w:tcW w:type="dxa" w:w="1440"/>
            <w:shd w:fill="FFDCE0" w:val="clear"/>
          </w:tcPr>
          <w:p>
            <w:r>
              <w:rPr>
                <w:sz w:val="17"/>
              </w:rPr>
              <w:t>J+9  ⭐</w:t>
            </w:r>
          </w:p>
        </w:tc>
        <w:tc>
          <w:tcPr>
            <w:tcW w:type="dxa" w:w="1440"/>
            <w:shd w:fill="FFDCE0" w:val="clear"/>
          </w:tcPr>
          <w:p>
            <w:r>
              <w:rPr>
                <w:sz w:val="17"/>
              </w:rPr>
              <w:t>2026-10-29</w:t>
            </w:r>
          </w:p>
        </w:tc>
        <w:tc>
          <w:tcPr>
            <w:tcW w:type="dxa" w:w="1440"/>
            <w:shd w:fill="FFDCE0" w:val="clear"/>
          </w:tcPr>
          <w:p>
            <w:r>
              <w:rPr>
                <w:sz w:val="17"/>
              </w:rPr>
              <w:t>2,613</w:t>
            </w:r>
          </w:p>
        </w:tc>
        <w:tc>
          <w:tcPr>
            <w:tcW w:type="dxa" w:w="1440"/>
            <w:shd w:fill="FFDCE0" w:val="clear"/>
          </w:tcPr>
          <w:p>
            <w:r>
              <w:rPr>
                <w:b/>
                <w:sz w:val="17"/>
              </w:rPr>
              <w:t>3,024</w:t>
            </w:r>
          </w:p>
        </w:tc>
        <w:tc>
          <w:tcPr>
            <w:tcW w:type="dxa" w:w="1440"/>
            <w:shd w:fill="FFDCE0" w:val="clear"/>
          </w:tcPr>
          <w:p>
            <w:r>
              <w:rPr>
                <w:sz w:val="17"/>
              </w:rPr>
              <w:t>3,435</w:t>
            </w:r>
          </w:p>
        </w:tc>
        <w:tc>
          <w:tcPr>
            <w:tcW w:type="dxa" w:w="1440"/>
            <w:shd w:fill="FFDCE0" w:val="clear"/>
          </w:tcPr>
          <w:p>
            <w:r>
              <w:rPr>
                <w:b/>
                <w:color w:val="C00000"/>
                <w:sz w:val="17"/>
              </w:rPr>
              <w:t>-2.5%</w:t>
            </w:r>
          </w:p>
        </w:tc>
      </w:tr>
      <w:tr>
        <w:tc>
          <w:tcPr>
            <w:tcW w:type="dxa" w:w="1440"/>
            <w:shd w:fill="FFDCE0" w:val="clear"/>
          </w:tcPr>
          <w:p>
            <w:r>
              <w:rPr>
                <w:sz w:val="17"/>
              </w:rPr>
              <w:t>J+10  ⭐</w:t>
            </w:r>
          </w:p>
        </w:tc>
        <w:tc>
          <w:tcPr>
            <w:tcW w:type="dxa" w:w="1440"/>
            <w:shd w:fill="FFDCE0" w:val="clear"/>
          </w:tcPr>
          <w:p>
            <w:r>
              <w:rPr>
                <w:sz w:val="17"/>
              </w:rPr>
              <w:t>2026-10-30</w:t>
            </w:r>
          </w:p>
        </w:tc>
        <w:tc>
          <w:tcPr>
            <w:tcW w:type="dxa" w:w="1440"/>
            <w:shd w:fill="FFDCE0" w:val="clear"/>
          </w:tcPr>
          <w:p>
            <w:r>
              <w:rPr>
                <w:sz w:val="17"/>
              </w:rPr>
              <w:t>2,585</w:t>
            </w:r>
          </w:p>
        </w:tc>
        <w:tc>
          <w:tcPr>
            <w:tcW w:type="dxa" w:w="1440"/>
            <w:shd w:fill="FFDCE0" w:val="clear"/>
          </w:tcPr>
          <w:p>
            <w:r>
              <w:rPr>
                <w:b/>
                <w:sz w:val="17"/>
              </w:rPr>
              <w:t>3,018</w:t>
            </w:r>
          </w:p>
        </w:tc>
        <w:tc>
          <w:tcPr>
            <w:tcW w:type="dxa" w:w="1440"/>
            <w:shd w:fill="FFDCE0" w:val="clear"/>
          </w:tcPr>
          <w:p>
            <w:r>
              <w:rPr>
                <w:sz w:val="17"/>
              </w:rPr>
              <w:t>3,451</w:t>
            </w:r>
          </w:p>
        </w:tc>
        <w:tc>
          <w:tcPr>
            <w:tcW w:type="dxa" w:w="1440"/>
            <w:shd w:fill="FFDCE0" w:val="clear"/>
          </w:tcPr>
          <w:p>
            <w:r>
              <w:rPr>
                <w:b/>
                <w:color w:val="C00000"/>
                <w:sz w:val="17"/>
              </w:rPr>
              <w:t>-2.6%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TOTALENERGIES MARKETING CÔTE D'IVOIRE (TTLC)**</w:t>
        <w:br/>
        <w:t>*Bourse Régionale des Valeurs Mobilières (BRVM) — Secteur : Distribution pétrolière*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195,18 milliards FCFA, TTLC figure parmi les valeurs les plus capitalisées de la BRVM, ce qui traduit sa position de leader de la distribution pétrolière en Côte d'Ivoire. Le BPA de 144 FCFA/action indique le bénéfice net généré par chaque titre détenu. Le PER de 21,5x se situe nettement au-dessus de la moyenne BRVM (8-12x), signalant que les investisseurs paient une prime élevée pour les bénéfices actuels, soit en anticipation d'une croissance future, soit en raison d'une surévaluation relative. Le P/B de 5,39x confirme cette exigence : le marché valorise le titre à plus de cinq fois sa valeur comptable, une prime forte qui n'est justifiée que par la qualité des actifs et la rentabilité élevée (ROE de 25,1%). Enfin, l'EV/EBITDA de 11,2x, dans la fourchette haute (10-15x), indique que la valeur d'entreprise reste tendue par rapport à la capacité opérationnelle de génération de cash, ce qui appelle à la prudence sur le potentiel de revalorisation à court terme.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TTLC affiche une progression totale de +8,01%, avec une dernière séance particulièrement dynamique (+3,33%) portant le cours à 3 100 FCFA. Le range de trading s'étend de 2 770 FCFA (plus bas) à 3 595 FCFA (plus haut), soit une amplitude de près de 30% qui témoigne d'une réelle volatilité intra-période. La tendance générale est haussière mais avec des phases de correction, le cours actuel se situant à mi-chemin du range. Les statistiques descriptives révèlent une moyenne de 3 033 FCFA légèrement supérieure à la médiane de 2 990 FCFA, avec un mode à 2 850 FCFA : cet écart confirme l'asymétrie positive signalée par le skewness de 0,793, indiquant que le cours a passé plus de journées sous la moyenne mais avec des pics haussiers marqués. L'écart-type de 190 FCFA et le coefficient de variation de 6,3% traduisent une dispersion modérée autour de la tendance, tandis que le kurtosis de -0,381 (mésokurtique) suggère une distribution proche de la normale, sans risque excessif de pics extrêmes. La volatilité annualisée de 43,9% classe le titre dans la catégorie des valeurs à volatilité élevée (&gt;30%), ce qui implique un risque de marché significatif et justifie une approche prudente en termes de sizing de position.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(3 064,25 FCFA) et la MM50 (3 173,3 FCFA) se situent toutes deux au-dessus du cours actuel (3 100 FCFA), avec une MM20 inférieure à la MM50 — configuration baissière de court terme. Le cours évoluant sous ses deux moyennes, la décision technique est **Vente**, signalant une pression vendeuse persistante malgré le rebond de la dernière séance.</w:t>
      </w:r>
    </w:p>
    <w:p>
      <w:pPr>
        <w:spacing w:after="120" w:line="276" w:lineRule="auto"/>
      </w:pPr>
      <w:r>
        <w:t>**Bandes de Bollinger** : Le cours (3 100 FCFA) se situe dans la partie médiane de la bande, entre la borne inférieure (2 886,39 FCFA) et supérieure (3 242,11 FCFA), à environ 55% de la largeur. Cette position centrale, sans contact avec les extrêmes, traduit une absence de signal directionnel fort ; la décision est **Neutre**, la volatilité restant contenue dans les bandes.</w:t>
      </w:r>
    </w:p>
    <w:p>
      <w:pPr>
        <w:spacing w:after="120" w:line="276" w:lineRule="auto"/>
      </w:pPr>
      <w:r>
        <w:t>**MACD** : La valeur du MACD (-36,103) est supérieure à sa ligne de signal (-43,63), générant un croisement haussier bien que les deux indicateurs restent en territoire négatif. Ce momentum positif naissant, bien que fragile, justifie la décision **Achat**, suggérant une possible inflexion de tendance à court terme.</w:t>
      </w:r>
    </w:p>
    <w:p>
      <w:pPr>
        <w:spacing w:after="120" w:line="276" w:lineRule="auto"/>
      </w:pPr>
      <w:r>
        <w:t>**RSI** : À 52,174, le RSI se situe parfaitement dans la zone neutre (30-70), sans pression de surachat ni de survente. La décision est **Neutre**, le titre évoluant dans un équilibre acheteurs/vendeurs sans excès.</w:t>
      </w:r>
    </w:p>
    <w:p>
      <w:pPr>
        <w:spacing w:after="120" w:line="276" w:lineRule="auto"/>
      </w:pPr>
      <w:r>
        <w:t>**Stochastique** : Le %K (68,657) est supérieur au %D (58,706), avec un croisement haussier en zone haute mais non extrême (sous 80). La décision reste **Neutre**, le signal étant positif mais sans confirmation franche d'un élan durable.</w:t>
      </w:r>
    </w:p>
    <w:p>
      <w:pPr>
        <w:spacing w:after="120" w:line="276" w:lineRule="auto"/>
      </w:pPr>
      <w:r>
        <w:t>**Conclusion technique** : Les indicateurs présentent une configuration mitigée — les moyennes mobiles plaident pour la vente, le MACD pour un achat naissant, tandis que Bollinger, RSI et Stochastique restent neutres. Cette divergence signale un marché sans direction claire, en phase de consolidation, où le rebond de la dernière séance (+3,33%) demande confirmation. La prudence est de mise avant toute décision directionnelle.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états financiers officiels de l'exercice 2025 (rapport annuel analysé le 02/06/2026) établissent un chiffre d'affaires de 588,709 milliards FCFA, en repli de 5,2% sur un an, dans un contexte de baisse des volumes et de l'absence de ventes exceptionnelles réalisées en 2024. Malgré cette contraction commerciale, la rentabilité opérationnelle s'améliore nettement : l'EBE progresse de 12% à 22,347 milliards FCFA et le résultat d'exploitation bondit de 18% à 12,329 milliards FCFA, preuve d'une meilleure maîtrise des marges (marge brute de 11,81%, marge opérationnelle de 2,09%). Le résultat net s'établit à 9,087 milliards FCFA (-3%), pénalisé par un résultat financier en chute de 90% (268 M FCFA contre 2 687 M FCFA en 2024). Les ratios de rentabilité restent remarquables : ROE de 25,1% (excellent, &gt;15%) et ROA de 4,82%, tandis que la rotation des actifs atteint 312,4%, caractéristique d'un distributeur à fort volume. La structure financière présente toutefois des signaux d'alerte : l'autonomie financière n'est que de 19,2% (seuil sain &gt;30%), le ratio d'endettement atteint 90,2% et la trésorerie nette est négative à -21,926 milliards FCFA, avec un fonds de roulement négatif (-31,587 Mds). Le BFR négatif (-9,662 Mds) constitue néanmoins un point favorable, traduisant un financement par les fournisseurs (délai fournisseurs de 49,72 jours) supérieur au cycle de stockage (13,80 jours). Concernant les perspectives, le rapport du T1 2026 (publié en 2026) révèle une inversion de tendance : le CA progresse de 4,3% à 154,392 milliards FCFA et le résultat net de 5,5% à 2,329 milliards FCFA, porté par la hausse des volumes sur tous les canaux et un réseau de 182 stations. On estime donc que l'exercice 2026 devrait renouer avec la croissance, la dynamique du T1 suggérant un CA annuel supérieur à 600 milliards FCFA. La politique de dividende reste généreuse (10 milliards FCFA distribués en 2025, payout &gt;100%), mais son financement par les réserves et la trésorerie négative appellent à la vigilance. En synthèse, la solidité opérationnelle et la rentabilité élevée compensent partiellement les risques de liquidité et d'endettement, justifiant une recommandation fondamentale de **CONSERVER** avec un biais positif lié à la reprise du T1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dimensions révèle un profil d'investissement contrasté. Sur le plan de la **valorisation**, les ratios PER (21,5x), P/B (5,39x) et EV/EBITDA (11,2x) indiquent une surévaluation relative par rapport aux standards BRVM, le marché intégrant déjà une prime de qualité et des anticipations de croissance. Le **comportement du cours** est modérément favorable (+8,01% sur 100 jours) mais la volatilité élevée (43,9%) et le skewness positif (0,793) suggèrent des pics haussiers ponctuels dans un contexte de dispersion modérée (CV 6,3%). Les **signaux techniques** sont divergents : MACD haussier contredit les moyennes mobiles baissières, tandis que RSI, Bollinger et Stochastique restent neutres — configuration de consolidation sans direction franche. Les **fondamentaux** offrent le meilleur soutien : ROE de 25,1%, marges opérationnelles en amélioration (+18% de résultat d'exploitation en 2025) et surtout le rebond du T1 2026 (CA +4,3%, résultat net +5,5%) qui valide la thèse d'une reprise. Les **prédictions IA** (J+1 à J+10) anticipent une légère consolidation de 3 080 à 3 050 FCFA, soit -1,6% sur dix jours, ce qui contredit le rebond récent et confirme la phase de respiration technique. Face à cette convergence partielle — fondamentaux solides mais valorisation tendue et technique indécise — la recommandation finale est **CONSERVER**, avec un niveau de confiance **Moyen** et un risque global **Élevé** (volatilité 43,9%, endettement 90,2%, trésorerie négative). L'horizon optimal est le **moyen terme (3-12 mois)**, le temps que la reprise du T1 2026 se confirme sur les trimestres suivants et que la valorisation se normalise, tout en surveillant étroitement la soutenabilité du dividende et l'évolution de la trésorerie nette.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46.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118.91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3,442 titres</w:t>
            </w:r>
          </w:p>
        </w:tc>
        <w:tc>
          <w:tcPr>
            <w:tcW w:type="dxa" w:w="2268"/>
            <w:shd w:fill="FFF2CC" w:val="clear"/>
          </w:tcPr>
          <w:p>
            <w:r>
              <w:rPr>
                <w:b/>
                <w:color w:val="503200"/>
                <w:sz w:val="16"/>
              </w:rPr>
              <w:t xml:space="preserve">Cours actuel : </w:t>
            </w:r>
            <w:r>
              <w:rPr>
                <w:color w:val="000000"/>
                <w:sz w:val="17"/>
              </w:rPr>
              <w:t>3,650 FCFA</w:t>
            </w:r>
          </w:p>
          <w:p>
            <w:r>
              <w:rPr>
                <w:b/>
                <w:color w:val="503200"/>
                <w:sz w:val="16"/>
              </w:rPr>
              <w:t xml:space="preserve">Var. 100 jours : </w:t>
            </w:r>
            <w:r>
              <w:rPr>
                <w:b/>
                <w:color w:val="007800"/>
                <w:sz w:val="17"/>
              </w:rPr>
              <w:t>+14.06%</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3,200 FCFA</w:t>
            </w:r>
          </w:p>
          <w:p>
            <w:r>
              <w:rPr>
                <w:b/>
                <w:color w:val="503200"/>
                <w:sz w:val="16"/>
              </w:rPr>
              <w:t xml:space="preserve">Volatilité ann. : </w:t>
            </w:r>
            <w:r>
              <w:rPr>
                <w:color w:val="000000"/>
                <w:sz w:val="17"/>
              </w:rPr>
              <w:t>42.3%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6.73% (Moyenne) — μ=3,724 FCFA, σ=251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β=0.3706 (Défensif) — Cov=0.000028, Var(idx)=0.000076, ρ=0.121,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3,442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σ_j=2.67%/j (Stable) — Vol. annualisée≈42.3%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2026-10-19</w:t>
            </w:r>
          </w:p>
        </w:tc>
        <w:tc>
          <w:tcPr>
            <w:tcW w:type="dxa" w:w="1440"/>
            <w:shd w:fill="FAFAFA" w:val="clear"/>
          </w:tcPr>
          <w:p>
            <w:r>
              <w:rPr>
                <w:sz w:val="17"/>
              </w:rPr>
              <w:t>3,518</w:t>
            </w:r>
          </w:p>
        </w:tc>
        <w:tc>
          <w:tcPr>
            <w:tcW w:type="dxa" w:w="1440"/>
            <w:shd w:fill="FAFAFA" w:val="clear"/>
          </w:tcPr>
          <w:p>
            <w:r>
              <w:rPr>
                <w:b/>
                <w:sz w:val="17"/>
              </w:rPr>
              <w:t>3,647</w:t>
            </w:r>
          </w:p>
        </w:tc>
        <w:tc>
          <w:tcPr>
            <w:tcW w:type="dxa" w:w="1440"/>
            <w:shd w:fill="FAFAFA" w:val="clear"/>
          </w:tcPr>
          <w:p>
            <w:r>
              <w:rPr>
                <w:sz w:val="17"/>
              </w:rPr>
              <w:t>3,775</w:t>
            </w:r>
          </w:p>
        </w:tc>
        <w:tc>
          <w:tcPr>
            <w:tcW w:type="dxa" w:w="1440"/>
            <w:shd w:fill="FAFAFA" w:val="clear"/>
          </w:tcPr>
          <w:p>
            <w:r>
              <w:rPr>
                <w:b/>
                <w:color w:val="C00000"/>
                <w:sz w:val="17"/>
              </w:rPr>
              <w:t>-0.1%</w:t>
            </w:r>
          </w:p>
        </w:tc>
      </w:tr>
      <w:tr>
        <w:tc>
          <w:tcPr>
            <w:tcW w:type="dxa" w:w="1440"/>
            <w:shd w:fill="FAFAFA" w:val="clear"/>
          </w:tcPr>
          <w:p>
            <w:r>
              <w:rPr>
                <w:sz w:val="17"/>
              </w:rPr>
              <w:t>J+2  ⭐</w:t>
            </w:r>
          </w:p>
        </w:tc>
        <w:tc>
          <w:tcPr>
            <w:tcW w:type="dxa" w:w="1440"/>
            <w:shd w:fill="FAFAFA" w:val="clear"/>
          </w:tcPr>
          <w:p>
            <w:r>
              <w:rPr>
                <w:sz w:val="17"/>
              </w:rPr>
              <w:t>2026-10-20</w:t>
            </w:r>
          </w:p>
        </w:tc>
        <w:tc>
          <w:tcPr>
            <w:tcW w:type="dxa" w:w="1440"/>
            <w:shd w:fill="FAFAFA" w:val="clear"/>
          </w:tcPr>
          <w:p>
            <w:r>
              <w:rPr>
                <w:sz w:val="17"/>
              </w:rPr>
              <w:t>3,455</w:t>
            </w:r>
          </w:p>
        </w:tc>
        <w:tc>
          <w:tcPr>
            <w:tcW w:type="dxa" w:w="1440"/>
            <w:shd w:fill="FAFAFA" w:val="clear"/>
          </w:tcPr>
          <w:p>
            <w:r>
              <w:rPr>
                <w:b/>
                <w:sz w:val="17"/>
              </w:rPr>
              <w:t>3,636</w:t>
            </w:r>
          </w:p>
        </w:tc>
        <w:tc>
          <w:tcPr>
            <w:tcW w:type="dxa" w:w="1440"/>
            <w:shd w:fill="FAFAFA" w:val="clear"/>
          </w:tcPr>
          <w:p>
            <w:r>
              <w:rPr>
                <w:sz w:val="17"/>
              </w:rPr>
              <w:t>3,818</w:t>
            </w:r>
          </w:p>
        </w:tc>
        <w:tc>
          <w:tcPr>
            <w:tcW w:type="dxa" w:w="1440"/>
            <w:shd w:fill="FAFAFA" w:val="clear"/>
          </w:tcPr>
          <w:p>
            <w:r>
              <w:rPr>
                <w:b/>
                <w:color w:val="C00000"/>
                <w:sz w:val="17"/>
              </w:rPr>
              <w:t>-0.4%</w:t>
            </w:r>
          </w:p>
        </w:tc>
      </w:tr>
      <w:tr>
        <w:tc>
          <w:tcPr>
            <w:tcW w:type="dxa" w:w="1440"/>
            <w:shd w:fill="FAFAFA" w:val="clear"/>
          </w:tcPr>
          <w:p>
            <w:r>
              <w:rPr>
                <w:sz w:val="17"/>
              </w:rPr>
              <w:t>J+3  ⭐</w:t>
            </w:r>
          </w:p>
        </w:tc>
        <w:tc>
          <w:tcPr>
            <w:tcW w:type="dxa" w:w="1440"/>
            <w:shd w:fill="FAFAFA" w:val="clear"/>
          </w:tcPr>
          <w:p>
            <w:r>
              <w:rPr>
                <w:sz w:val="17"/>
              </w:rPr>
              <w:t>2026-10-21</w:t>
            </w:r>
          </w:p>
        </w:tc>
        <w:tc>
          <w:tcPr>
            <w:tcW w:type="dxa" w:w="1440"/>
            <w:shd w:fill="FAFAFA" w:val="clear"/>
          </w:tcPr>
          <w:p>
            <w:r>
              <w:rPr>
                <w:sz w:val="17"/>
              </w:rPr>
              <w:t>3,407</w:t>
            </w:r>
          </w:p>
        </w:tc>
        <w:tc>
          <w:tcPr>
            <w:tcW w:type="dxa" w:w="1440"/>
            <w:shd w:fill="FAFAFA" w:val="clear"/>
          </w:tcPr>
          <w:p>
            <w:r>
              <w:rPr>
                <w:b/>
                <w:sz w:val="17"/>
              </w:rPr>
              <w:t>3,628</w:t>
            </w:r>
          </w:p>
        </w:tc>
        <w:tc>
          <w:tcPr>
            <w:tcW w:type="dxa" w:w="1440"/>
            <w:shd w:fill="FAFAFA" w:val="clear"/>
          </w:tcPr>
          <w:p>
            <w:r>
              <w:rPr>
                <w:sz w:val="17"/>
              </w:rPr>
              <w:t>3,850</w:t>
            </w:r>
          </w:p>
        </w:tc>
        <w:tc>
          <w:tcPr>
            <w:tcW w:type="dxa" w:w="1440"/>
            <w:shd w:fill="FAFAFA" w:val="clear"/>
          </w:tcPr>
          <w:p>
            <w:r>
              <w:rPr>
                <w:b/>
                <w:color w:val="C00000"/>
                <w:sz w:val="17"/>
              </w:rPr>
              <w:t>-0.6%</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3,366</w:t>
            </w:r>
          </w:p>
        </w:tc>
        <w:tc>
          <w:tcPr>
            <w:tcW w:type="dxa" w:w="1440"/>
            <w:shd w:fill="FAFAFA" w:val="clear"/>
          </w:tcPr>
          <w:p>
            <w:r>
              <w:rPr>
                <w:b/>
                <w:sz w:val="17"/>
              </w:rPr>
              <w:t>3,621</w:t>
            </w:r>
          </w:p>
        </w:tc>
        <w:tc>
          <w:tcPr>
            <w:tcW w:type="dxa" w:w="1440"/>
            <w:shd w:fill="FAFAFA" w:val="clear"/>
          </w:tcPr>
          <w:p>
            <w:r>
              <w:rPr>
                <w:sz w:val="17"/>
              </w:rPr>
              <w:t>3,876</w:t>
            </w:r>
          </w:p>
        </w:tc>
        <w:tc>
          <w:tcPr>
            <w:tcW w:type="dxa" w:w="1440"/>
            <w:shd w:fill="FAFAFA" w:val="clear"/>
          </w:tcPr>
          <w:p>
            <w:r>
              <w:rPr>
                <w:b/>
                <w:color w:val="C00000"/>
                <w:sz w:val="17"/>
              </w:rPr>
              <w:t>-0.8%</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3,329</w:t>
            </w:r>
          </w:p>
        </w:tc>
        <w:tc>
          <w:tcPr>
            <w:tcW w:type="dxa" w:w="1440"/>
            <w:shd w:fill="FAFAFA" w:val="clear"/>
          </w:tcPr>
          <w:p>
            <w:r>
              <w:rPr>
                <w:b/>
                <w:sz w:val="17"/>
              </w:rPr>
              <w:t>3,614</w:t>
            </w:r>
          </w:p>
        </w:tc>
        <w:tc>
          <w:tcPr>
            <w:tcW w:type="dxa" w:w="1440"/>
            <w:shd w:fill="FAFAFA" w:val="clear"/>
          </w:tcPr>
          <w:p>
            <w:r>
              <w:rPr>
                <w:sz w:val="17"/>
              </w:rPr>
              <w:t>3,899</w:t>
            </w:r>
          </w:p>
        </w:tc>
        <w:tc>
          <w:tcPr>
            <w:tcW w:type="dxa" w:w="1440"/>
            <w:shd w:fill="FAFAFA" w:val="clear"/>
          </w:tcPr>
          <w:p>
            <w:r>
              <w:rPr>
                <w:b/>
                <w:color w:val="C00000"/>
                <w:sz w:val="17"/>
              </w:rPr>
              <w:t>-1.0%</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3,296</w:t>
            </w:r>
          </w:p>
        </w:tc>
        <w:tc>
          <w:tcPr>
            <w:tcW w:type="dxa" w:w="1440"/>
            <w:shd w:fill="FAFAFA" w:val="clear"/>
          </w:tcPr>
          <w:p>
            <w:r>
              <w:rPr>
                <w:b/>
                <w:sz w:val="17"/>
              </w:rPr>
              <w:t>3,607</w:t>
            </w:r>
          </w:p>
        </w:tc>
        <w:tc>
          <w:tcPr>
            <w:tcW w:type="dxa" w:w="1440"/>
            <w:shd w:fill="FAFAFA" w:val="clear"/>
          </w:tcPr>
          <w:p>
            <w:r>
              <w:rPr>
                <w:sz w:val="17"/>
              </w:rPr>
              <w:t>3,919</w:t>
            </w:r>
          </w:p>
        </w:tc>
        <w:tc>
          <w:tcPr>
            <w:tcW w:type="dxa" w:w="1440"/>
            <w:shd w:fill="FAFAFA" w:val="clear"/>
          </w:tcPr>
          <w:p>
            <w:r>
              <w:rPr>
                <w:b/>
                <w:color w:val="C00000"/>
                <w:sz w:val="17"/>
              </w:rPr>
              <w:t>-1.2%</w:t>
            </w:r>
          </w:p>
        </w:tc>
      </w:tr>
      <w:tr>
        <w:tc>
          <w:tcPr>
            <w:tcW w:type="dxa" w:w="1440"/>
            <w:shd w:fill="FAFAFA" w:val="clear"/>
          </w:tcPr>
          <w:p>
            <w:r>
              <w:rPr>
                <w:sz w:val="17"/>
              </w:rPr>
              <w:t>J+7  ⭐</w:t>
            </w:r>
          </w:p>
        </w:tc>
        <w:tc>
          <w:tcPr>
            <w:tcW w:type="dxa" w:w="1440"/>
            <w:shd w:fill="FAFAFA" w:val="clear"/>
          </w:tcPr>
          <w:p>
            <w:r>
              <w:rPr>
                <w:sz w:val="17"/>
              </w:rPr>
              <w:t>2026-10-27</w:t>
            </w:r>
          </w:p>
        </w:tc>
        <w:tc>
          <w:tcPr>
            <w:tcW w:type="dxa" w:w="1440"/>
            <w:shd w:fill="FAFAFA" w:val="clear"/>
          </w:tcPr>
          <w:p>
            <w:r>
              <w:rPr>
                <w:sz w:val="17"/>
              </w:rPr>
              <w:t>3,265</w:t>
            </w:r>
          </w:p>
        </w:tc>
        <w:tc>
          <w:tcPr>
            <w:tcW w:type="dxa" w:w="1440"/>
            <w:shd w:fill="FAFAFA" w:val="clear"/>
          </w:tcPr>
          <w:p>
            <w:r>
              <w:rPr>
                <w:b/>
                <w:sz w:val="17"/>
              </w:rPr>
              <w:t>3,601</w:t>
            </w:r>
          </w:p>
        </w:tc>
        <w:tc>
          <w:tcPr>
            <w:tcW w:type="dxa" w:w="1440"/>
            <w:shd w:fill="FAFAFA" w:val="clear"/>
          </w:tcPr>
          <w:p>
            <w:r>
              <w:rPr>
                <w:sz w:val="17"/>
              </w:rPr>
              <w:t>3,937</w:t>
            </w:r>
          </w:p>
        </w:tc>
        <w:tc>
          <w:tcPr>
            <w:tcW w:type="dxa" w:w="1440"/>
            <w:shd w:fill="FAFAFA" w:val="clear"/>
          </w:tcPr>
          <w:p>
            <w:r>
              <w:rPr>
                <w:b/>
                <w:color w:val="C00000"/>
                <w:sz w:val="17"/>
              </w:rPr>
              <w:t>-1.3%</w:t>
            </w:r>
          </w:p>
        </w:tc>
      </w:tr>
      <w:tr>
        <w:tc>
          <w:tcPr>
            <w:tcW w:type="dxa" w:w="1440"/>
            <w:shd w:fill="FAFAFA" w:val="clear"/>
          </w:tcPr>
          <w:p>
            <w:r>
              <w:rPr>
                <w:sz w:val="17"/>
              </w:rPr>
              <w:t>J+8  ⭐</w:t>
            </w:r>
          </w:p>
        </w:tc>
        <w:tc>
          <w:tcPr>
            <w:tcW w:type="dxa" w:w="1440"/>
            <w:shd w:fill="FAFAFA" w:val="clear"/>
          </w:tcPr>
          <w:p>
            <w:r>
              <w:rPr>
                <w:sz w:val="17"/>
              </w:rPr>
              <w:t>2026-10-28</w:t>
            </w:r>
          </w:p>
        </w:tc>
        <w:tc>
          <w:tcPr>
            <w:tcW w:type="dxa" w:w="1440"/>
            <w:shd w:fill="FAFAFA" w:val="clear"/>
          </w:tcPr>
          <w:p>
            <w:r>
              <w:rPr>
                <w:sz w:val="17"/>
              </w:rPr>
              <w:t>3,237</w:t>
            </w:r>
          </w:p>
        </w:tc>
        <w:tc>
          <w:tcPr>
            <w:tcW w:type="dxa" w:w="1440"/>
            <w:shd w:fill="FAFAFA" w:val="clear"/>
          </w:tcPr>
          <w:p>
            <w:r>
              <w:rPr>
                <w:b/>
                <w:sz w:val="17"/>
              </w:rPr>
              <w:t>3,595</w:t>
            </w:r>
          </w:p>
        </w:tc>
        <w:tc>
          <w:tcPr>
            <w:tcW w:type="dxa" w:w="1440"/>
            <w:shd w:fill="FAFAFA" w:val="clear"/>
          </w:tcPr>
          <w:p>
            <w:r>
              <w:rPr>
                <w:sz w:val="17"/>
              </w:rPr>
              <w:t>3,953</w:t>
            </w:r>
          </w:p>
        </w:tc>
        <w:tc>
          <w:tcPr>
            <w:tcW w:type="dxa" w:w="1440"/>
            <w:shd w:fill="FAFAFA" w:val="clear"/>
          </w:tcPr>
          <w:p>
            <w:r>
              <w:rPr>
                <w:b/>
                <w:color w:val="C00000"/>
                <w:sz w:val="17"/>
              </w:rPr>
              <w:t>-1.5%</w:t>
            </w:r>
          </w:p>
        </w:tc>
      </w:tr>
      <w:tr>
        <w:tc>
          <w:tcPr>
            <w:tcW w:type="dxa" w:w="1440"/>
            <w:shd w:fill="FAFAFA" w:val="clear"/>
          </w:tcPr>
          <w:p>
            <w:r>
              <w:rPr>
                <w:sz w:val="17"/>
              </w:rPr>
              <w:t>J+9  ⭐</w:t>
            </w:r>
          </w:p>
        </w:tc>
        <w:tc>
          <w:tcPr>
            <w:tcW w:type="dxa" w:w="1440"/>
            <w:shd w:fill="FAFAFA" w:val="clear"/>
          </w:tcPr>
          <w:p>
            <w:r>
              <w:rPr>
                <w:sz w:val="17"/>
              </w:rPr>
              <w:t>2026-10-29</w:t>
            </w:r>
          </w:p>
        </w:tc>
        <w:tc>
          <w:tcPr>
            <w:tcW w:type="dxa" w:w="1440"/>
            <w:shd w:fill="FAFAFA" w:val="clear"/>
          </w:tcPr>
          <w:p>
            <w:r>
              <w:rPr>
                <w:sz w:val="17"/>
              </w:rPr>
              <w:t>3,210</w:t>
            </w:r>
          </w:p>
        </w:tc>
        <w:tc>
          <w:tcPr>
            <w:tcW w:type="dxa" w:w="1440"/>
            <w:shd w:fill="FAFAFA" w:val="clear"/>
          </w:tcPr>
          <w:p>
            <w:r>
              <w:rPr>
                <w:b/>
                <w:sz w:val="17"/>
              </w:rPr>
              <w:t>3,589</w:t>
            </w:r>
          </w:p>
        </w:tc>
        <w:tc>
          <w:tcPr>
            <w:tcW w:type="dxa" w:w="1440"/>
            <w:shd w:fill="FAFAFA" w:val="clear"/>
          </w:tcPr>
          <w:p>
            <w:r>
              <w:rPr>
                <w:sz w:val="17"/>
              </w:rPr>
              <w:t>3,968</w:t>
            </w:r>
          </w:p>
        </w:tc>
        <w:tc>
          <w:tcPr>
            <w:tcW w:type="dxa" w:w="1440"/>
            <w:shd w:fill="FAFAFA" w:val="clear"/>
          </w:tcPr>
          <w:p>
            <w:r>
              <w:rPr>
                <w:b/>
                <w:color w:val="C00000"/>
                <w:sz w:val="17"/>
              </w:rPr>
              <w:t>-1.7%</w:t>
            </w:r>
          </w:p>
        </w:tc>
      </w:tr>
      <w:tr>
        <w:tc>
          <w:tcPr>
            <w:tcW w:type="dxa" w:w="1440"/>
            <w:shd w:fill="FAFAFA" w:val="clear"/>
          </w:tcPr>
          <w:p>
            <w:r>
              <w:rPr>
                <w:sz w:val="17"/>
              </w:rPr>
              <w:t>J+10  ⭐</w:t>
            </w:r>
          </w:p>
        </w:tc>
        <w:tc>
          <w:tcPr>
            <w:tcW w:type="dxa" w:w="1440"/>
            <w:shd w:fill="FAFAFA" w:val="clear"/>
          </w:tcPr>
          <w:p>
            <w:r>
              <w:rPr>
                <w:sz w:val="17"/>
              </w:rPr>
              <w:t>2026-10-30</w:t>
            </w:r>
          </w:p>
        </w:tc>
        <w:tc>
          <w:tcPr>
            <w:tcW w:type="dxa" w:w="1440"/>
            <w:shd w:fill="FAFAFA" w:val="clear"/>
          </w:tcPr>
          <w:p>
            <w:r>
              <w:rPr>
                <w:sz w:val="17"/>
              </w:rPr>
              <w:t>3,184</w:t>
            </w:r>
          </w:p>
        </w:tc>
        <w:tc>
          <w:tcPr>
            <w:tcW w:type="dxa" w:w="1440"/>
            <w:shd w:fill="FAFAFA" w:val="clear"/>
          </w:tcPr>
          <w:p>
            <w:r>
              <w:rPr>
                <w:b/>
                <w:sz w:val="17"/>
              </w:rPr>
              <w:t>3,583</w:t>
            </w:r>
          </w:p>
        </w:tc>
        <w:tc>
          <w:tcPr>
            <w:tcW w:type="dxa" w:w="1440"/>
            <w:shd w:fill="FAFAFA" w:val="clear"/>
          </w:tcPr>
          <w:p>
            <w:r>
              <w:rPr>
                <w:sz w:val="17"/>
              </w:rPr>
              <w:t>3,983</w:t>
            </w:r>
          </w:p>
        </w:tc>
        <w:tc>
          <w:tcPr>
            <w:tcW w:type="dxa" w:w="1440"/>
            <w:shd w:fill="FAFAFA" w:val="clear"/>
          </w:tcPr>
          <w:p>
            <w:r>
              <w:rPr>
                <w:b/>
                <w:color w:val="C00000"/>
                <w:sz w:val="17"/>
              </w:rPr>
              <w:t>-1.8%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pPr>
      <w:r>
        <w:t># RAPPORT D'ANALYSE FINANCIÈRE — TTLS (TotalEnergies Marketing Sénégal)</w:t>
        <w:br/>
        <w:t>##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118,91 milliards FCFA, TTLS figure parmi les valeurs moyennes-capitalisations de la cote BRVM, position cohérente avec son statut de leader sénégalais de la distribution pétrolière. Le BPA de 208 FCFA/action signifie que chaque titre génère environ 208 FCFA de bénéfice net annuel, ce qui, rapporté au cours de 3 650 FCFA, donne un PER de 17,5x — soit un multiple nettement supérieur à la moyenne BRVM (~8-12x), traduisant une prime de qualité et de leadership. Le P/B de 4,21x confirme cette valorisation exigeante : le marché paie plus de quatre fois la valeur comptable des fonds propres (28,2 Mds FCFA), ce qui n'est justifiable que par la rentabilité élevée des capitaux propres (ROE de 24%). L'EV/EBITDA de 7,4x, dans la fourchette raisonnable de 5-10x, suggère en revanche que la valeur d'entreprise reste correctement proportionnée à la capacité opérationnelle de génération de cash. Au global, la valorisation apparaît **modérément tendue** : le PER et surtout le P/B intègrent déjà une bonne part de la qualité fondamentale du titre.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TTLS affiche une progression totale de **+14,06%**, malgré un repli de **-1,35%** lors de la dernière séance, signal d'un essoufflement de court terme. Le titre a évolué dans un range de 1 300 FCFA, entre un plus bas de 3 200 FCFA et un plus haut de 4 500 FCFA, soit une amplitude de trading significative (~40% du cours bas) qui traduit une réelle nervosité. La tendance générale reste haussière sur la période, mais le cours actuel (3 650 FCFA) se situe désormais dans le bas de ce range, à 19% sous son sommet. Les statistiques descriptives révèlent une distribution légèrement asymétrique : la moyenne (3 724 FCFA) dépasse la médiane (3 700 FCFA) et le mode (3 800 FCFA), tandis que le skewness positif de 0,682 indique davantage de journées sous la moyenne — le titre a donc passé plus de temps à corriger qu'à progresser, la hausse étant concentrée sur quelques séances. L'écart-type de 252 FCFA (CV de 6,8%) traduit une dispersion modérée autour de la moyenne, et le kurtosis de 0,591 (mésokurtique) suggère un comportement proche d'une distribution normale, sans risque extrême de pics. La volatilité annualisée de **42,3%** classe toutefois le titre dans la catégorie **élevée** (&gt;30%), ce qui est cohérent avec la sensibilité du secteur pétrolier aux décisions réglementaires et aux prix internationaux.</w:t>
      </w:r>
    </w:p>
    <w:p>
      <w:pPr>
        <w:spacing w:after="120" w:line="276" w:lineRule="auto"/>
      </w:pPr>
      <w:r>
        <w:t>---</w:t>
      </w:r>
    </w:p>
    <w:p>
      <w:pPr>
        <w:spacing w:after="120" w:line="276" w:lineRule="auto"/>
      </w:pPr>
      <w:r>
        <w:t>## PARTIE 2 : ANALYSE TECHNIQUE DÉTAILLÉE</w:t>
      </w:r>
    </w:p>
    <w:p>
      <w:pPr>
        <w:spacing w:after="120" w:line="276" w:lineRule="auto"/>
      </w:pPr>
      <w:r>
        <w:t>**Moyennes Mobiles** : La MM20 (3 706 FCFA) et la MM50 (3 750,8 FCFA) se situent toutes deux au-dessus du cours actuel (3 650 FCFA), configuration baissière de court terme. La MM20 étant sous la MM50, on observe un croisement défavorable confirmant la pression vendeuse récente. La décision technique est **Vente**, le titre évoluant sous ses deux supports mobiles.</w:t>
      </w:r>
    </w:p>
    <w:p>
      <w:pPr>
        <w:spacing w:after="120" w:line="276" w:lineRule="auto"/>
      </w:pPr>
      <w:r>
        <w:t>**Bandes de Bollinger** : Le cours (3 650 FCFA) se situe dans la moitié basse de la bande, entre la borne inférieure (3 499,97 FCFA) et la borne supérieure (3 912,03 FCFA), sans atteindre les extrêmes. Cette position centrale-basse traduit une absence de signal directionnel fort, d'où la décision **Neutre** ; la largeur des bandes (~412 FCFA) confirme la volatilité élevée déjà relevée.</w:t>
      </w:r>
    </w:p>
    <w:p>
      <w:pPr>
        <w:spacing w:after="120" w:line="276" w:lineRule="auto"/>
      </w:pPr>
      <w:r>
        <w:t>**MACD** : La valeur du MACD (-40,532) est supérieure à son signal (-42,578), configuration haussière de momentum malgré des niveaux négatifs. Ce croisement positif en zone basse suggère un début de retournement potentiel, justifiant la décision **Achat** — signal toutefois fragile car les deux courbes restent sous la ligne zéro.</w:t>
      </w:r>
    </w:p>
    <w:p>
      <w:pPr>
        <w:spacing w:after="120" w:line="276" w:lineRule="auto"/>
      </w:pPr>
      <w:r>
        <w:t>**RSI** : À 42,328, l'indicateur se situe en zone neutre (30-70), sans excès de survente ni de surachat. Le titre n'est ni épuisé à la baisse ni en zone de correction imminente, d'où la décision **Neutre** ; la légère orientation baissière sous 50 traduit une dynamique encore fragile.</w:t>
      </w:r>
    </w:p>
    <w:p>
      <w:pPr>
        <w:spacing w:after="120" w:line="276" w:lineRule="auto"/>
      </w:pPr>
      <w:r>
        <w:t>**Stochastique** : Le %K (25,0) est nettement inférieur au %D (44,167), signal baissier de court terme, et le %K approche la zone de survente (&lt;20). La décision est **Neutre**, mais la proximité de la survente pourrait préparer un rebond technique si le %K se retournait.</w:t>
      </w:r>
    </w:p>
    <w:p>
      <w:pPr>
        <w:spacing w:after="120" w:line="276" w:lineRule="auto"/>
      </w:pPr>
      <w:r>
        <w:t>**Conclusion technique** : Les indicateurs sont **divergents** — les moyennes mobiles et le stochastique penchent baissier, tandis que le MACD signale un possible rebond et que le RSI/Bollinger restent neutres. Le titre se trouve dans une zone de consolidation basse, sous ses moyennes mobiles mais avec un momentum en voie de stabilisation. La configuration globale est **neutre à légèrement baissière** à court terme, sans signal d'achat confirmé tant que le cours ne repasse pas au-dessus de la MM20 (3 706 FCFA).</w:t>
      </w:r>
    </w:p>
    <w:p>
      <w:pPr>
        <w:spacing w:after="120" w:line="276" w:lineRule="auto"/>
      </w:pPr>
      <w:r>
        <w:t>---</w:t>
      </w:r>
    </w:p>
    <w:p>
      <w:pPr>
        <w:spacing w:after="120" w:line="276" w:lineRule="auto"/>
      </w:pPr>
      <w:r>
        <w:t>## PARTIE 3 : ANALYSE FONDAMENTALE</w:t>
      </w:r>
    </w:p>
    <w:p>
      <w:pPr>
        <w:spacing w:after="120" w:line="276" w:lineRule="auto"/>
      </w:pPr>
      <w:r>
        <w:t>Les états financiers consolidés IFRS de l'exercice **2025** (rapport officiel du 31/12/2025) établissent un chiffre d'affaires de **455,209 Mds FCFA**, en contraction de -6,1% sur un an, et un résultat net de **6,779 Mds FCFA** (marge nette de 1,49%). La rentabilité des fonds propres est excellente avec un **ROE de 24,0%**, tandis que le ROA reste faible (3,95%), conséquence mécanique de la rotation très élevée des actifs (265%) typique d'une activité de distribution. Sur le plan de la structure financière, l'autonomie financière est limitée (16,4% des capitaux propres au bilan), mais la solvabilité générale demeure assurée (119,7%) et la couverture des intérêts est très confortable (486%). L'analyse du besoin en fonds de roulement révèle un **BFR négatif de -36,9 Mds FCFA**, position favorable au financement de l'exploitation, soutenue par un délai fournisseurs élevé (97,8 jours) contre un délai clients de 47,4 jours — ce dernier reste un point de vigilance compte tenu de l'exposition aux créances sur l'État. La trésorerie nette positive (13,9 Mds FCFA) et le Free Cash Flow de 17,5 Mds FCFA confirment la solidité de la génération de cash.</w:t>
      </w:r>
    </w:p>
    <w:p>
      <w:pPr>
        <w:spacing w:after="120" w:line="276" w:lineRule="auto"/>
      </w:pPr>
      <w:r>
        <w:t>L'évolution temporelle montre une **transformation stratégique** : le rapport annuel 2025 (analysé le 04/05/2026) attribue la baisse du CA à l'arrêt volontaire du fuel lourd (39,5 Mds FCFA de CA en 2024), compensé partiellement par le GPL et l'export, tandis que le résultat d'exploitation progresse à 7,9 Mds FCFA grâce à la maîtrise des charges. Le rapport du **T1 2026** (analysé le 04/05/2026) confirme cette résilience : malgré un CA en baisse de -10% à 99,9 Mds FCFA (effet de la révision réglementaire des prix à la pompe de décembre 2025), le résultat net progresse de +5% à 1,585 Mds FCFA et le résultat d'exploitation bondit de +28%, porté par les marges sur les lubrifiants. **On estime donc** que l'exercice 2026 devrait maintenir un résultat net dans la fourchette de 6,5-7,0 Mds FCFA, avec une amélioration de la qualité des bénéfices (mix lubrifiants/GPL) compensant la pression sur les volumes carburants. La recommandation fondamentale est **CONSERVER** : solidité opérationnelle et leadership confirmés (140 stations, actionnaire TotalEnergies à 69,1%), mais absence de visibilité sur la politique de dividende et sensibilité aux décisions étatiques sur les prix.</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tableau contrasté. **Côté valorisation**, le PER de 17,5x et surtout le P/B de 4,21x indiquent une valorisation exigeante, voire tendue, qui intègre déjà la prime de leadership et la qualité du ROE (24%) — le titre n'est pas sous-évalué. **Côté comportement du cours**, la hausse de +14,06% sur 100 jours est tempérée par un repli récent (-1,35%) et une volatilité élevée (42,3%), avec un skewness positif (0,682) signalant une distribution défavorable aux détenteurs de long terme et un cours revenu dans le bas de son range. **Côté technique**, les signaux sont divergents : décision Vente sur les moyennes mobiles, Achat sur le MACD, Neutre ailleurs — aucune convergence forte ne se dégage, le titre consolidant sous ses MM. **Côté fondamental**, la société démontre une résilience remarquable (T1 2026 : résultat net +5% malgré CA -10%) et une structure de cash solide (FCF 17,5 Mds FCFA, trésorerie nette positive), mais fait face à des vents contraires réglementaires et à une marge nette structurellement faible (1,5%). **Les prédictions IA** (3 647 → 3 614 FCFA sur J+1 à J+10, soit -1%) confirment la pression baissière de court terme et contredisent le signal d'achat du MACD, en cohérence avec la position sous les moyennes mobiles.</w:t>
      </w:r>
    </w:p>
    <w:p>
      <w:pPr>
        <w:spacing w:after="120" w:line="276" w:lineRule="auto"/>
      </w:pPr>
      <w:r>
        <w:t>**Recommandation finale : CONSERVER.** Il n'y a pas de convergence suffisante pour un achat (valorisation tendue, technique divergente, prédictions baissières), mais la solidité fondamentale et le leadership de TTLS excluent une vente. Le niveau de confiance est **Moyen** (signaux techniques contradictoires) et le niveau de risque **Moyen** (volatilité élevée mais fondamentaux solides). L'horizon optimal est le **moyen terme (3-12 mois)**, en attendant la confirmation d'une reprise des volumes et la clarification de la politique de dividende lors de la prochaine AG ; un retour du cours au-dessus de 3 706 FCFA (MM20) constituerait un premier signal de renforcement.</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47.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413.25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21 titres</w:t>
            </w:r>
          </w:p>
        </w:tc>
        <w:tc>
          <w:tcPr>
            <w:tcW w:type="dxa" w:w="2268"/>
            <w:shd w:fill="FFF2CC" w:val="clear"/>
          </w:tcPr>
          <w:p>
            <w:r>
              <w:rPr>
                <w:b/>
                <w:color w:val="503200"/>
                <w:sz w:val="16"/>
              </w:rPr>
              <w:t xml:space="preserve">Cours actuel : </w:t>
            </w:r>
            <w:r>
              <w:rPr>
                <w:color w:val="000000"/>
                <w:sz w:val="17"/>
              </w:rPr>
              <w:t>45,000 FCFA</w:t>
            </w:r>
          </w:p>
          <w:p>
            <w:r>
              <w:rPr>
                <w:b/>
                <w:color w:val="503200"/>
                <w:sz w:val="16"/>
              </w:rPr>
              <w:t xml:space="preserve">Var. 100 jours : </w:t>
            </w:r>
            <w:r>
              <w:rPr>
                <w:b/>
                <w:color w:val="B40000"/>
                <w:sz w:val="17"/>
              </w:rPr>
              <w:t>-22.41%</w:t>
            </w:r>
          </w:p>
          <w:p>
            <w:r>
              <w:rPr>
                <w:b/>
                <w:color w:val="503200"/>
                <w:sz w:val="16"/>
              </w:rPr>
              <w:t xml:space="preserve">Plus haut 100j : </w:t>
            </w:r>
            <w:r>
              <w:rPr>
                <w:color w:val="000000"/>
                <w:sz w:val="17"/>
              </w:rPr>
              <w:t>59,900 FCFA</w:t>
            </w:r>
          </w:p>
          <w:p>
            <w:r>
              <w:rPr>
                <w:b/>
                <w:color w:val="503200"/>
                <w:sz w:val="16"/>
              </w:rPr>
              <w:t xml:space="preserve">Plus bas 100j : </w:t>
            </w:r>
            <w:r>
              <w:rPr>
                <w:color w:val="000000"/>
                <w:sz w:val="17"/>
              </w:rPr>
              <w:t>44,410 FCFA</w:t>
            </w:r>
          </w:p>
          <w:p>
            <w:r>
              <w:rPr>
                <w:b/>
                <w:color w:val="503200"/>
                <w:sz w:val="16"/>
              </w:rPr>
              <w:t xml:space="preserve">Volatilité ann. : </w:t>
            </w:r>
            <w:r>
              <w:rPr>
                <w:color w:val="000000"/>
                <w:sz w:val="17"/>
              </w:rPr>
              <w:t>56.1%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24.8/100 → Moyen</w:t>
      </w:r>
    </w:p>
    <w:p>
      <w:pPr>
        <w:spacing w:before="40" w:after="80"/>
      </w:pPr>
      <w:r>
        <w:rPr>
          <w:rFonts w:ascii="Courier New" w:hAnsi="Courier New"/>
          <w:color w:val="825A00"/>
          <w:sz w:val="18"/>
        </w:rPr>
        <w:t>████░░░░░░░░░░░░░░░░  24.8/100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6.56% (Moyenne) — μ=53,541 FCFA, σ=3,512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β=0.7014 (Défensif) — Cov=0.000054, Var(idx)=0.000077, ρ=0.173,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21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σ_j=3.54%/j (Modérée) — Vol. annualisée≈56.1%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55/100  (Bon)</w:t>
      </w:r>
    </w:p>
    <w:p/>
    <w:p>
      <w:pPr>
        <w:jc w:val="center"/>
      </w:pPr>
      <w:r>
        <w:drawing>
          <wp:inline xmlns:a="http://schemas.openxmlformats.org/drawingml/2006/main" xmlns:pic="http://schemas.openxmlformats.org/drawingml/2006/picture">
            <wp:extent cx="5669280" cy="2603190"/>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2026-10-19</w:t>
            </w:r>
          </w:p>
        </w:tc>
        <w:tc>
          <w:tcPr>
            <w:tcW w:type="dxa" w:w="1440"/>
            <w:shd w:fill="FAFAFA" w:val="clear"/>
          </w:tcPr>
          <w:p>
            <w:r>
              <w:rPr>
                <w:sz w:val="17"/>
              </w:rPr>
              <w:t>42,209</w:t>
            </w:r>
          </w:p>
        </w:tc>
        <w:tc>
          <w:tcPr>
            <w:tcW w:type="dxa" w:w="1440"/>
            <w:shd w:fill="FAFAFA" w:val="clear"/>
          </w:tcPr>
          <w:p>
            <w:r>
              <w:rPr>
                <w:b/>
                <w:sz w:val="17"/>
              </w:rPr>
              <w:t>45,008</w:t>
            </w:r>
          </w:p>
        </w:tc>
        <w:tc>
          <w:tcPr>
            <w:tcW w:type="dxa" w:w="1440"/>
            <w:shd w:fill="FAFAFA" w:val="clear"/>
          </w:tcPr>
          <w:p>
            <w:r>
              <w:rPr>
                <w:sz w:val="17"/>
              </w:rPr>
              <w:t>47,808</w:t>
            </w:r>
          </w:p>
        </w:tc>
        <w:tc>
          <w:tcPr>
            <w:tcW w:type="dxa" w:w="1440"/>
            <w:shd w:fill="FAFAFA" w:val="clear"/>
          </w:tcPr>
          <w:p>
            <w:r>
              <w:rPr>
                <w:b/>
                <w:color w:val="008000"/>
                <w:sz w:val="17"/>
              </w:rPr>
              <w:t>+0.0%</w:t>
            </w:r>
          </w:p>
        </w:tc>
      </w:tr>
      <w:tr>
        <w:tc>
          <w:tcPr>
            <w:tcW w:type="dxa" w:w="1440"/>
            <w:shd w:fill="FAFAFA" w:val="clear"/>
          </w:tcPr>
          <w:p>
            <w:r>
              <w:rPr>
                <w:sz w:val="17"/>
              </w:rPr>
              <w:t>J+2  ⭐</w:t>
            </w:r>
          </w:p>
        </w:tc>
        <w:tc>
          <w:tcPr>
            <w:tcW w:type="dxa" w:w="1440"/>
            <w:shd w:fill="FAFAFA" w:val="clear"/>
          </w:tcPr>
          <w:p>
            <w:r>
              <w:rPr>
                <w:sz w:val="17"/>
              </w:rPr>
              <w:t>2026-10-20</w:t>
            </w:r>
          </w:p>
        </w:tc>
        <w:tc>
          <w:tcPr>
            <w:tcW w:type="dxa" w:w="1440"/>
            <w:shd w:fill="FAFAFA" w:val="clear"/>
          </w:tcPr>
          <w:p>
            <w:r>
              <w:rPr>
                <w:sz w:val="17"/>
              </w:rPr>
              <w:t>40,965</w:t>
            </w:r>
          </w:p>
        </w:tc>
        <w:tc>
          <w:tcPr>
            <w:tcW w:type="dxa" w:w="1440"/>
            <w:shd w:fill="FAFAFA" w:val="clear"/>
          </w:tcPr>
          <w:p>
            <w:r>
              <w:rPr>
                <w:b/>
                <w:sz w:val="17"/>
              </w:rPr>
              <w:t>44,916</w:t>
            </w:r>
          </w:p>
        </w:tc>
        <w:tc>
          <w:tcPr>
            <w:tcW w:type="dxa" w:w="1440"/>
            <w:shd w:fill="FAFAFA" w:val="clear"/>
          </w:tcPr>
          <w:p>
            <w:r>
              <w:rPr>
                <w:sz w:val="17"/>
              </w:rPr>
              <w:t>48,866</w:t>
            </w:r>
          </w:p>
        </w:tc>
        <w:tc>
          <w:tcPr>
            <w:tcW w:type="dxa" w:w="1440"/>
            <w:shd w:fill="FAFAFA" w:val="clear"/>
          </w:tcPr>
          <w:p>
            <w:r>
              <w:rPr>
                <w:b/>
                <w:color w:val="C00000"/>
                <w:sz w:val="17"/>
              </w:rPr>
              <w:t>-0.2%</w:t>
            </w:r>
          </w:p>
        </w:tc>
      </w:tr>
      <w:tr>
        <w:tc>
          <w:tcPr>
            <w:tcW w:type="dxa" w:w="1440"/>
            <w:shd w:fill="FAFAFA" w:val="clear"/>
          </w:tcPr>
          <w:p>
            <w:r>
              <w:rPr>
                <w:sz w:val="17"/>
              </w:rPr>
              <w:t>J+3  ⭐</w:t>
            </w:r>
          </w:p>
        </w:tc>
        <w:tc>
          <w:tcPr>
            <w:tcW w:type="dxa" w:w="1440"/>
            <w:shd w:fill="FAFAFA" w:val="clear"/>
          </w:tcPr>
          <w:p>
            <w:r>
              <w:rPr>
                <w:sz w:val="17"/>
              </w:rPr>
              <w:t>2026-10-21</w:t>
            </w:r>
          </w:p>
        </w:tc>
        <w:tc>
          <w:tcPr>
            <w:tcW w:type="dxa" w:w="1440"/>
            <w:shd w:fill="FAFAFA" w:val="clear"/>
          </w:tcPr>
          <w:p>
            <w:r>
              <w:rPr>
                <w:sz w:val="17"/>
              </w:rPr>
              <w:t>40,070</w:t>
            </w:r>
          </w:p>
        </w:tc>
        <w:tc>
          <w:tcPr>
            <w:tcW w:type="dxa" w:w="1440"/>
            <w:shd w:fill="FAFAFA" w:val="clear"/>
          </w:tcPr>
          <w:p>
            <w:r>
              <w:rPr>
                <w:b/>
                <w:sz w:val="17"/>
              </w:rPr>
              <w:t>44,908</w:t>
            </w:r>
          </w:p>
        </w:tc>
        <w:tc>
          <w:tcPr>
            <w:tcW w:type="dxa" w:w="1440"/>
            <w:shd w:fill="FAFAFA" w:val="clear"/>
          </w:tcPr>
          <w:p>
            <w:r>
              <w:rPr>
                <w:sz w:val="17"/>
              </w:rPr>
              <w:t>49,746</w:t>
            </w:r>
          </w:p>
        </w:tc>
        <w:tc>
          <w:tcPr>
            <w:tcW w:type="dxa" w:w="1440"/>
            <w:shd w:fill="FAFAFA" w:val="clear"/>
          </w:tcPr>
          <w:p>
            <w:r>
              <w:rPr>
                <w:b/>
                <w:color w:val="C00000"/>
                <w:sz w:val="17"/>
              </w:rPr>
              <w:t>-0.2%</w:t>
            </w:r>
          </w:p>
        </w:tc>
      </w:tr>
      <w:tr>
        <w:tc>
          <w:tcPr>
            <w:tcW w:type="dxa" w:w="1440"/>
            <w:shd w:fill="FAFAFA" w:val="clear"/>
          </w:tcPr>
          <w:p>
            <w:r>
              <w:rPr>
                <w:sz w:val="17"/>
              </w:rPr>
              <w:t>J+4  ⭐</w:t>
            </w:r>
          </w:p>
        </w:tc>
        <w:tc>
          <w:tcPr>
            <w:tcW w:type="dxa" w:w="1440"/>
            <w:shd w:fill="FAFAFA" w:val="clear"/>
          </w:tcPr>
          <w:p>
            <w:r>
              <w:rPr>
                <w:sz w:val="17"/>
              </w:rPr>
              <w:t>2026-10-22</w:t>
            </w:r>
          </w:p>
        </w:tc>
        <w:tc>
          <w:tcPr>
            <w:tcW w:type="dxa" w:w="1440"/>
            <w:shd w:fill="FAFAFA" w:val="clear"/>
          </w:tcPr>
          <w:p>
            <w:r>
              <w:rPr>
                <w:sz w:val="17"/>
              </w:rPr>
              <w:t>39,342</w:t>
            </w:r>
          </w:p>
        </w:tc>
        <w:tc>
          <w:tcPr>
            <w:tcW w:type="dxa" w:w="1440"/>
            <w:shd w:fill="FAFAFA" w:val="clear"/>
          </w:tcPr>
          <w:p>
            <w:r>
              <w:rPr>
                <w:b/>
                <w:sz w:val="17"/>
              </w:rPr>
              <w:t>44,931</w:t>
            </w:r>
          </w:p>
        </w:tc>
        <w:tc>
          <w:tcPr>
            <w:tcW w:type="dxa" w:w="1440"/>
            <w:shd w:fill="FAFAFA" w:val="clear"/>
          </w:tcPr>
          <w:p>
            <w:r>
              <w:rPr>
                <w:sz w:val="17"/>
              </w:rPr>
              <w:t>50,520</w:t>
            </w:r>
          </w:p>
        </w:tc>
        <w:tc>
          <w:tcPr>
            <w:tcW w:type="dxa" w:w="1440"/>
            <w:shd w:fill="FAFAFA" w:val="clear"/>
          </w:tcPr>
          <w:p>
            <w:r>
              <w:rPr>
                <w:b/>
                <w:color w:val="C00000"/>
                <w:sz w:val="17"/>
              </w:rPr>
              <w:t>-0.2%</w:t>
            </w:r>
          </w:p>
        </w:tc>
      </w:tr>
      <w:tr>
        <w:tc>
          <w:tcPr>
            <w:tcW w:type="dxa" w:w="1440"/>
            <w:shd w:fill="FAFAFA" w:val="clear"/>
          </w:tcPr>
          <w:p>
            <w:r>
              <w:rPr>
                <w:sz w:val="17"/>
              </w:rPr>
              <w:t>J+5  ⭐</w:t>
            </w:r>
          </w:p>
        </w:tc>
        <w:tc>
          <w:tcPr>
            <w:tcW w:type="dxa" w:w="1440"/>
            <w:shd w:fill="FAFAFA" w:val="clear"/>
          </w:tcPr>
          <w:p>
            <w:r>
              <w:rPr>
                <w:sz w:val="17"/>
              </w:rPr>
              <w:t>2026-10-23</w:t>
            </w:r>
          </w:p>
        </w:tc>
        <w:tc>
          <w:tcPr>
            <w:tcW w:type="dxa" w:w="1440"/>
            <w:shd w:fill="FAFAFA" w:val="clear"/>
          </w:tcPr>
          <w:p>
            <w:r>
              <w:rPr>
                <w:sz w:val="17"/>
              </w:rPr>
              <w:t>38,714</w:t>
            </w:r>
          </w:p>
        </w:tc>
        <w:tc>
          <w:tcPr>
            <w:tcW w:type="dxa" w:w="1440"/>
            <w:shd w:fill="FAFAFA" w:val="clear"/>
          </w:tcPr>
          <w:p>
            <w:r>
              <w:rPr>
                <w:b/>
                <w:sz w:val="17"/>
              </w:rPr>
              <w:t>44,968</w:t>
            </w:r>
          </w:p>
        </w:tc>
        <w:tc>
          <w:tcPr>
            <w:tcW w:type="dxa" w:w="1440"/>
            <w:shd w:fill="FAFAFA" w:val="clear"/>
          </w:tcPr>
          <w:p>
            <w:r>
              <w:rPr>
                <w:sz w:val="17"/>
              </w:rPr>
              <w:t>51,221</w:t>
            </w:r>
          </w:p>
        </w:tc>
        <w:tc>
          <w:tcPr>
            <w:tcW w:type="dxa" w:w="1440"/>
            <w:shd w:fill="FAFAFA" w:val="clear"/>
          </w:tcPr>
          <w:p>
            <w:r>
              <w:rPr>
                <w:b/>
                <w:color w:val="C00000"/>
                <w:sz w:val="17"/>
              </w:rPr>
              <w:t>-0.1%</w:t>
            </w:r>
          </w:p>
        </w:tc>
      </w:tr>
      <w:tr>
        <w:tc>
          <w:tcPr>
            <w:tcW w:type="dxa" w:w="1440"/>
            <w:shd w:fill="FAFAFA" w:val="clear"/>
          </w:tcPr>
          <w:p>
            <w:r>
              <w:rPr>
                <w:sz w:val="17"/>
              </w:rPr>
              <w:t>J+6  ⭐</w:t>
            </w:r>
          </w:p>
        </w:tc>
        <w:tc>
          <w:tcPr>
            <w:tcW w:type="dxa" w:w="1440"/>
            <w:shd w:fill="FAFAFA" w:val="clear"/>
          </w:tcPr>
          <w:p>
            <w:r>
              <w:rPr>
                <w:sz w:val="17"/>
              </w:rPr>
              <w:t>2026-10-26</w:t>
            </w:r>
          </w:p>
        </w:tc>
        <w:tc>
          <w:tcPr>
            <w:tcW w:type="dxa" w:w="1440"/>
            <w:shd w:fill="FAFAFA" w:val="clear"/>
          </w:tcPr>
          <w:p>
            <w:r>
              <w:rPr>
                <w:sz w:val="17"/>
              </w:rPr>
              <w:t>38,155</w:t>
            </w:r>
          </w:p>
        </w:tc>
        <w:tc>
          <w:tcPr>
            <w:tcW w:type="dxa" w:w="1440"/>
            <w:shd w:fill="FAFAFA" w:val="clear"/>
          </w:tcPr>
          <w:p>
            <w:r>
              <w:rPr>
                <w:b/>
                <w:sz w:val="17"/>
              </w:rPr>
              <w:t>45,012</w:t>
            </w:r>
          </w:p>
        </w:tc>
        <w:tc>
          <w:tcPr>
            <w:tcW w:type="dxa" w:w="1440"/>
            <w:shd w:fill="FAFAFA" w:val="clear"/>
          </w:tcPr>
          <w:p>
            <w:r>
              <w:rPr>
                <w:sz w:val="17"/>
              </w:rPr>
              <w:t>51,869</w:t>
            </w:r>
          </w:p>
        </w:tc>
        <w:tc>
          <w:tcPr>
            <w:tcW w:type="dxa" w:w="1440"/>
            <w:shd w:fill="FAFAFA" w:val="clear"/>
          </w:tcPr>
          <w:p>
            <w:r>
              <w:rPr>
                <w:b/>
                <w:color w:val="008000"/>
                <w:sz w:val="17"/>
              </w:rPr>
              <w:t>+0.0%</w:t>
            </w:r>
          </w:p>
        </w:tc>
      </w:tr>
      <w:tr>
        <w:tc>
          <w:tcPr>
            <w:tcW w:type="dxa" w:w="1440"/>
            <w:shd w:fill="FAFAFA" w:val="clear"/>
          </w:tcPr>
          <w:p>
            <w:r>
              <w:rPr>
                <w:sz w:val="17"/>
              </w:rPr>
              <w:t>J+7  ⭐</w:t>
            </w:r>
          </w:p>
        </w:tc>
        <w:tc>
          <w:tcPr>
            <w:tcW w:type="dxa" w:w="1440"/>
            <w:shd w:fill="FAFAFA" w:val="clear"/>
          </w:tcPr>
          <w:p>
            <w:r>
              <w:rPr>
                <w:sz w:val="17"/>
              </w:rPr>
              <w:t>2026-10-27</w:t>
            </w:r>
          </w:p>
        </w:tc>
        <w:tc>
          <w:tcPr>
            <w:tcW w:type="dxa" w:w="1440"/>
            <w:shd w:fill="FAFAFA" w:val="clear"/>
          </w:tcPr>
          <w:p>
            <w:r>
              <w:rPr>
                <w:sz w:val="17"/>
              </w:rPr>
              <w:t>37,646</w:t>
            </w:r>
          </w:p>
        </w:tc>
        <w:tc>
          <w:tcPr>
            <w:tcW w:type="dxa" w:w="1440"/>
            <w:shd w:fill="FAFAFA" w:val="clear"/>
          </w:tcPr>
          <w:p>
            <w:r>
              <w:rPr>
                <w:b/>
                <w:sz w:val="17"/>
              </w:rPr>
              <w:t>45,061</w:t>
            </w:r>
          </w:p>
        </w:tc>
        <w:tc>
          <w:tcPr>
            <w:tcW w:type="dxa" w:w="1440"/>
            <w:shd w:fill="FAFAFA" w:val="clear"/>
          </w:tcPr>
          <w:p>
            <w:r>
              <w:rPr>
                <w:sz w:val="17"/>
              </w:rPr>
              <w:t>52,476</w:t>
            </w:r>
          </w:p>
        </w:tc>
        <w:tc>
          <w:tcPr>
            <w:tcW w:type="dxa" w:w="1440"/>
            <w:shd w:fill="FAFAFA" w:val="clear"/>
          </w:tcPr>
          <w:p>
            <w:r>
              <w:rPr>
                <w:b/>
                <w:color w:val="008000"/>
                <w:sz w:val="17"/>
              </w:rPr>
              <w:t>+0.1%</w:t>
            </w:r>
          </w:p>
        </w:tc>
      </w:tr>
      <w:tr>
        <w:tc>
          <w:tcPr>
            <w:tcW w:type="dxa" w:w="1440"/>
            <w:shd w:fill="FAFAFA" w:val="clear"/>
          </w:tcPr>
          <w:p>
            <w:r>
              <w:rPr>
                <w:sz w:val="17"/>
              </w:rPr>
              <w:t>J+8  ⭐</w:t>
            </w:r>
          </w:p>
        </w:tc>
        <w:tc>
          <w:tcPr>
            <w:tcW w:type="dxa" w:w="1440"/>
            <w:shd w:fill="FAFAFA" w:val="clear"/>
          </w:tcPr>
          <w:p>
            <w:r>
              <w:rPr>
                <w:sz w:val="17"/>
              </w:rPr>
              <w:t>2026-10-28</w:t>
            </w:r>
          </w:p>
        </w:tc>
        <w:tc>
          <w:tcPr>
            <w:tcW w:type="dxa" w:w="1440"/>
            <w:shd w:fill="FAFAFA" w:val="clear"/>
          </w:tcPr>
          <w:p>
            <w:r>
              <w:rPr>
                <w:sz w:val="17"/>
              </w:rPr>
              <w:t>37,176</w:t>
            </w:r>
          </w:p>
        </w:tc>
        <w:tc>
          <w:tcPr>
            <w:tcW w:type="dxa" w:w="1440"/>
            <w:shd w:fill="FAFAFA" w:val="clear"/>
          </w:tcPr>
          <w:p>
            <w:r>
              <w:rPr>
                <w:b/>
                <w:sz w:val="17"/>
              </w:rPr>
              <w:t>45,112</w:t>
            </w:r>
          </w:p>
        </w:tc>
        <w:tc>
          <w:tcPr>
            <w:tcW w:type="dxa" w:w="1440"/>
            <w:shd w:fill="FAFAFA" w:val="clear"/>
          </w:tcPr>
          <w:p>
            <w:r>
              <w:rPr>
                <w:sz w:val="17"/>
              </w:rPr>
              <w:t>53,048</w:t>
            </w:r>
          </w:p>
        </w:tc>
        <w:tc>
          <w:tcPr>
            <w:tcW w:type="dxa" w:w="1440"/>
            <w:shd w:fill="FAFAFA" w:val="clear"/>
          </w:tcPr>
          <w:p>
            <w:r>
              <w:rPr>
                <w:b/>
                <w:color w:val="008000"/>
                <w:sz w:val="17"/>
              </w:rPr>
              <w:t>+0.2%</w:t>
            </w:r>
          </w:p>
        </w:tc>
      </w:tr>
      <w:tr>
        <w:tc>
          <w:tcPr>
            <w:tcW w:type="dxa" w:w="1440"/>
            <w:shd w:fill="FAFAFA" w:val="clear"/>
          </w:tcPr>
          <w:p>
            <w:r>
              <w:rPr>
                <w:sz w:val="17"/>
              </w:rPr>
              <w:t>J+9  ⭐</w:t>
            </w:r>
          </w:p>
        </w:tc>
        <w:tc>
          <w:tcPr>
            <w:tcW w:type="dxa" w:w="1440"/>
            <w:shd w:fill="FAFAFA" w:val="clear"/>
          </w:tcPr>
          <w:p>
            <w:r>
              <w:rPr>
                <w:sz w:val="17"/>
              </w:rPr>
              <w:t>2026-10-29</w:t>
            </w:r>
          </w:p>
        </w:tc>
        <w:tc>
          <w:tcPr>
            <w:tcW w:type="dxa" w:w="1440"/>
            <w:shd w:fill="FAFAFA" w:val="clear"/>
          </w:tcPr>
          <w:p>
            <w:r>
              <w:rPr>
                <w:sz w:val="17"/>
              </w:rPr>
              <w:t>36,737</w:t>
            </w:r>
          </w:p>
        </w:tc>
        <w:tc>
          <w:tcPr>
            <w:tcW w:type="dxa" w:w="1440"/>
            <w:shd w:fill="FAFAFA" w:val="clear"/>
          </w:tcPr>
          <w:p>
            <w:r>
              <w:rPr>
                <w:b/>
                <w:sz w:val="17"/>
              </w:rPr>
              <w:t>45,164</w:t>
            </w:r>
          </w:p>
        </w:tc>
        <w:tc>
          <w:tcPr>
            <w:tcW w:type="dxa" w:w="1440"/>
            <w:shd w:fill="FAFAFA" w:val="clear"/>
          </w:tcPr>
          <w:p>
            <w:r>
              <w:rPr>
                <w:sz w:val="17"/>
              </w:rPr>
              <w:t>53,591</w:t>
            </w:r>
          </w:p>
        </w:tc>
        <w:tc>
          <w:tcPr>
            <w:tcW w:type="dxa" w:w="1440"/>
            <w:shd w:fill="FAFAFA" w:val="clear"/>
          </w:tcPr>
          <w:p>
            <w:r>
              <w:rPr>
                <w:b/>
                <w:color w:val="008000"/>
                <w:sz w:val="17"/>
              </w:rPr>
              <w:t>+0.4%</w:t>
            </w:r>
          </w:p>
        </w:tc>
      </w:tr>
      <w:tr>
        <w:tc>
          <w:tcPr>
            <w:tcW w:type="dxa" w:w="1440"/>
            <w:shd w:fill="FAFAFA" w:val="clear"/>
          </w:tcPr>
          <w:p>
            <w:r>
              <w:rPr>
                <w:sz w:val="17"/>
              </w:rPr>
              <w:t>J+10  ⭐</w:t>
            </w:r>
          </w:p>
        </w:tc>
        <w:tc>
          <w:tcPr>
            <w:tcW w:type="dxa" w:w="1440"/>
            <w:shd w:fill="FAFAFA" w:val="clear"/>
          </w:tcPr>
          <w:p>
            <w:r>
              <w:rPr>
                <w:sz w:val="17"/>
              </w:rPr>
              <w:t>2026-10-30</w:t>
            </w:r>
          </w:p>
        </w:tc>
        <w:tc>
          <w:tcPr>
            <w:tcW w:type="dxa" w:w="1440"/>
            <w:shd w:fill="FAFAFA" w:val="clear"/>
          </w:tcPr>
          <w:p>
            <w:r>
              <w:rPr>
                <w:sz w:val="17"/>
              </w:rPr>
              <w:t>36,324</w:t>
            </w:r>
          </w:p>
        </w:tc>
        <w:tc>
          <w:tcPr>
            <w:tcW w:type="dxa" w:w="1440"/>
            <w:shd w:fill="FAFAFA" w:val="clear"/>
          </w:tcPr>
          <w:p>
            <w:r>
              <w:rPr>
                <w:b/>
                <w:sz w:val="17"/>
              </w:rPr>
              <w:t>45,217</w:t>
            </w:r>
          </w:p>
        </w:tc>
        <w:tc>
          <w:tcPr>
            <w:tcW w:type="dxa" w:w="1440"/>
            <w:shd w:fill="FAFAFA" w:val="clear"/>
          </w:tcPr>
          <w:p>
            <w:r>
              <w:rPr>
                <w:sz w:val="17"/>
              </w:rPr>
              <w:t>54,110</w:t>
            </w:r>
          </w:p>
        </w:tc>
        <w:tc>
          <w:tcPr>
            <w:tcW w:type="dxa" w:w="1440"/>
            <w:shd w:fill="FAFAFA" w:val="clear"/>
          </w:tcPr>
          <w:p>
            <w:r>
              <w:rPr>
                <w:b/>
                <w:color w:val="008000"/>
                <w:sz w:val="17"/>
              </w:rPr>
              <w:t>+0.5%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 RAPPORT D'ANALYSE FINANCIÈRE — UNILEVER CÔTE D'IVOIRE (UNLC)</w:t>
        <w:br/>
        <w:t>**Bourse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d'UNLC s'établit à **413,25 milliards FCFA**, ce qui en fait l'une des plus importantes capitalisations de la cote BRVM, reflet de la notoriété du groupe Unilever et de la taille de son activité dans l'UEMOA. Les ratios de valorisation classiques (BPA, PER, P/B, EV/EBITDA) ne sont pas calculables en l'état, faute de données financières structurées exploitables dans la base (les états financiers disponibles étant anciens et le résultat net 2023 s'élevant à seulement 640 millions FCFA, soit un BPA estimé à environ 70 FCFA par action pour 9,18 millions de titres, ce qui impliquerait un PER théorique très élevé de l'ordre de 640x — signe d'une valorisation portée par la marque et non par les bénéfices courants). Le P/B serait quant à lui négatif, les capitaux propres étant négatifs (-10 658 millions FCFA en 2023), ce qui traduit une valorisation purement « franchise/marque » et non comptable. L'absence de PER et d'EV/EBITDA fiables empêche toute comparaison rigoureuse avec la moyenne BRVM (8-12x) ; l'investisseur doit donc s'appuyer sur les fondamentaux narratifs et la dynamique du cours.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UNLC affiche une **variation totale de -22,41%**, avec un rebond de **+1,33% sur la dernière séance** portant le cours à **45 000 FCFA**. Le titre a évolué dans un range de **44 410 FCFA (plus bas) à 59 900 FCFA (plus haut)**, soit un spread de plus de 15 000 FCFA qui illustre une tendance baissière marquée et une érosion progressive de la confiance des investisseurs. La **moyenne (53 541 FCFA)** est légèrement inférieure à la **médiane (54 000 FCFA)**, tandis que le **mode (58 000 FCFA)** se situe nettement au-dessus : cette configuration indique une distribution asymétrique à gauche, le cours ayant passé davantage de temps sur des niveaux élevés avant de chuter en fin de période. L'**écart-type de 3 530 FCFA (CV = 6,6%)** traduit une dispersion modérée autour de la moyenne, mais la **volatilité annualisée de 56,1%** classe le titre dans la catégorie des valeurs à volatilité **élevée (&gt;30%)**, ce qui est cohérent avec la chute récente. Le **kurtosis de -0,213 (mésokurtique)** suggère une distribution proche de la normale, sans risque excessif de pics extrêmes, tandis que le **skewness de -0,452** confirme une asymétrie négative (queue de distribution vers les baisses), signal d'un risque baissier persistant malgré le rebond technique de J-1.</w:t>
      </w:r>
    </w:p>
    <w:p>
      <w:pPr>
        <w:spacing w:after="120" w:line="276" w:lineRule="auto"/>
      </w:pPr>
      <w:r>
        <w:t>---</w:t>
      </w:r>
    </w:p>
    <w:p>
      <w:pPr>
        <w:spacing w:after="120" w:line="276" w:lineRule="auto"/>
      </w:pPr>
      <w:r>
        <w:t>## PARTIE 2 : ANALYSE TECHNIQUE DÉTAILLÉE</w:t>
      </w:r>
    </w:p>
    <w:p>
      <w:pPr>
        <w:spacing w:after="120" w:line="276" w:lineRule="auto"/>
      </w:pPr>
      <w:r>
        <w:t>**Moyennes Mobiles** : La MM20 (48 667,75 FCFA) et la MM50 (51 794,8 FCFA) se situent toutes deux **au-dessus du cours actuel (45 000 FCFA)**, avec une MM20 inférieure à la MM50 — configuration baissière typique (croisement « death cross » déjà effectué). Le cours évoluant sous ses deux moyennes, la pression vendeuse domine et la décision **Vente** est techniquement justifiée.</w:t>
      </w:r>
    </w:p>
    <w:p>
      <w:pPr>
        <w:spacing w:after="120" w:line="276" w:lineRule="auto"/>
      </w:pPr>
      <w:r>
        <w:t>**Bandes de Bollinger** : Le cours (45 000 FCFA) se situe dans la moitié basse de la bande, entre la borne inférieure (43 747,7 FCFA) et la borne supérieure (53 587,8 FCFA), sans en toucher les extrêmes. Cette position centrale-basse, avec un écart de bande d'environ 9 840 FCFA, traduit une volatilité encore élevée mais un cours qui n'est ni en survente extrême ni en surachat ; la décision **Neutre** reflète cette absence de signal directionnel fort.</w:t>
      </w:r>
    </w:p>
    <w:p>
      <w:pPr>
        <w:spacing w:after="120" w:line="276" w:lineRule="auto"/>
      </w:pPr>
      <w:r>
        <w:t>**MACD** : La valeur du MACD (-1 830,1) est **inférieure à son signal (-1 496,8)**, et les deux sont en territoire négatif — configuration baissière confirmée, avec un momentum négatif persistant. La décision **Vente** est cohérente avec cette divergence négative qui n'a pas encore montré de retournement.</w:t>
      </w:r>
    </w:p>
    <w:p>
      <w:pPr>
        <w:spacing w:after="120" w:line="276" w:lineRule="auto"/>
      </w:pPr>
      <w:r>
        <w:t>**RSI** : À **30,456**, le RSI se situe juste au-dessus du seuil de survente (30), en zone neutre basse. Ce niveau indique que le titre est proche d'une zone de rebond technique potentiel sans être encore en survente franche ; la décision **Neutre** est appropriée, le RSI n'envoyant ni signal d'achat ni de vente ferme.</w:t>
      </w:r>
    </w:p>
    <w:p>
      <w:pPr>
        <w:spacing w:after="120" w:line="276" w:lineRule="auto"/>
      </w:pPr>
      <w:r>
        <w:t>**Stochastique** : Le %K (8,953) est **supérieur au %D (2,984)**, avec les deux indicateurs en zone de survente extrême (&lt;20). Ce croisement haussier en zone basse constitue un signal d'**Achat** technique, suggérant un possible rebond à court terme — en contradiction partielle avec les autres indicateurs.</w:t>
      </w:r>
    </w:p>
    <w:p>
      <w:pPr>
        <w:spacing w:after="120" w:line="276" w:lineRule="auto"/>
      </w:pPr>
      <w:r>
        <w:t>**Conclusion technique** : Les indicateurs sont **majoritairement baissiers** (MM, MACD) avec un RSI neutre-bas et un stochastique en survente offrant un signal d'achat contrarien. Cette divergence entre tendance de fond (baissière) et signal de court terme (rebond possible) plaide pour une **prudence** : le rebond de +1,33% en J-1 pourrait être un simple soubresaut technique dans une tendance descendante, à moins d'une confirmation par une cassure de la MM20 (48 667 FCFA).</w:t>
      </w:r>
    </w:p>
    <w:p>
      <w:pPr>
        <w:spacing w:after="120" w:line="276" w:lineRule="auto"/>
      </w:pPr>
      <w:r>
        <w:t>---</w:t>
      </w:r>
    </w:p>
    <w:p>
      <w:pPr>
        <w:spacing w:after="120" w:line="276" w:lineRule="auto"/>
      </w:pPr>
      <w:r>
        <w:t>## PARTIE 3 : ANALYSE FONDAMENTALE</w:t>
      </w:r>
    </w:p>
    <w:p>
      <w:pPr>
        <w:spacing w:after="120" w:line="276" w:lineRule="auto"/>
      </w:pPr>
      <w:r>
        <w:t>Les données financières officielles disponibles, bien qu'anciennes (exercices 2021 à 2023, rapports datés du 31 décembre 2021, 2022 et 2023), permettent de retracer une trajectoire contrastée. **En 2021**, UNLC affichait un chiffre d'affaires de **24 336 millions FCFA** et un **résultat net bénéficiaire de 6 091 millions FCFA** (marge nette de 25,0%), porté par une réduction des pertes sur stocks et une maîtrise des coûts. **En 2022**, la situation s'est brutalement dégradée : le CA est resté stable à **24 336 millions FCFA**, mais le résultat net a plongé en **perte de -6 382,6 millions FCFA** (marge nette de -26,2%), conséquence de la disparition des produits exceptionnels (cession de Lipton en 2021 pour +16,7 milliards FCFA), de la hausse des coûts logistiques et des provisions pour risques (3 393 millions FCFA). **En 2023**, un redressement partiel s'est opéré : le CA s'est maintenu à **24 336 millions FCFA** (stagnation persistante), mais le résultat net est redevenu **positif à 640,3 millions FCFA** (marge nette de 2,63%), grâce à un résultat d'exploitation repassé à **+3 340 millions FCFA** (contre -6 258 millions en 2022) et à une réduction des charges financières (135 millions vs 566 millions). Cette amélioration reste toutefois fragile : les **capitaux propres demeurent négatifs à -10 658 millions FCFA**, le **report à nouveau est de -35 635 millions FCFA**, et l'endettement financier a progressé à **4 379 millions FCFA** (contre 3 827 millions en 2022). Le ROE et le ROA ne sont pas calculables de manière significative en raison de capitaux propres négatifs, mais la marge nette de 2,63% reste très inférieure à la moyenne sectorielle FMCG (5-10%). Aucun dividende n'a été versé en 2023, la priorité étant la reconstitution des fonds propres. **Recommandation fondamentale** : la société montre des signes de redressement opérationnel mais sa structure financière reste précaire (fonds propres négatifs, endettement croissant, CA stagnant depuis 2021) ; le profil est celui d'un titre de retournement à surveiller, sans solidité financière avérée.</w:t>
      </w:r>
    </w:p>
    <w:p>
      <w:pPr>
        <w:spacing w:after="120" w:line="276" w:lineRule="auto"/>
      </w:pPr>
      <w:r>
        <w:t>---</w:t>
      </w:r>
    </w:p>
    <w:p>
      <w:pPr>
        <w:spacing w:after="120" w:line="276" w:lineRule="auto"/>
      </w:pPr>
      <w:r>
        <w:t>## PARTIE 4 : CONCLUSION D'INVESTISSEMENT</w:t>
      </w:r>
    </w:p>
    <w:p>
      <w:pPr>
        <w:spacing w:after="120" w:line="276" w:lineRule="auto"/>
      </w:pPr>
      <w:r>
        <w:t>La synthèse des quatre piliers d'analyse converge vers un diagnostic **mitigé à tendance négative**. Sur le plan de la **valorisation (Partie 0)**, la capitalisation de 413,25 milliards FCFA apparaît très élevée au regard d'un résultat net de seulement 640 millions FCFA (PER théorique &gt;600x), suggérant une surévaluation manifeste par les bénéfices, même si le P/B négatif et l'absence d'EV/EBITDA empêchent une conclusion définitive. Le **comportement du cours (Partie 1)** est clairement baissier (-22,41% sur 100 jours), avec une volatilité élevée (56,1%) et un skewness négatif (-0,452) signalant un risque baissier persistant, malgré un kurtosis normal. Les **signaux techniques (Partie 2)** sont majoritairement vendeurs (cours sous MM20 et MM50, MACD négatif sous son signal), tempérés par un stochastique en survente offrant un signal d'achat contrarien et un RSI proche de 30 — configuration de rebond technique possible mais non confirmée. Les **fondamentaux (Partie 3)** révèlent un redressement 2023 fragile (résultat net de 640 millions FCFA, marge de 2,63%) sur un CA stagnant depuis 2021, avec des capitaux propres négatifs et un endettement croissant. Les **prédictions IA (J+1 à J+10)** anticipent une **quasi-stagnation autour de 44 900-45 000 FCFA** (45008, 44916, 44908, 44931, 44968 FCFA), confirmant l'absence de momentum haussier durable et la consolidation du titre à bas niveau. **Recommandation finale : CONSERVER (avec vigilance)**, la convergence des signaux (valorisation tendue, technique baissière, fondamentaux fragiles mais en amélioration, prédictions stagnantes) ne justifiant ni un achat agressif ni une vente panique. Le **niveau de confiance est Moyen** (données fondamentales anciennes, indicateurs techniques divergents), le **risque global est Élevé** (volatilité 56%, fonds propres négatifs, liquidité du titre faible avec 21 titres/jour en moyenne), et l'**horizon optimal est le moyen terme (3-12 mois)**, le temps de vérifier la confirmation du redressement 2024-2025 et un éventuel retour à la profitabilité durable avant d'envisager un renforcement.</w:t>
      </w:r>
    </w:p>
    <w:p/>
    <w:p/>
    <w:p>
      <w:r>
        <w:t>════════════════════════════════════════════════════════════════════════════════</w:t>
      </w:r>
    </w:p>
    <w:p>
      <w:r>
        <w:br w:type="page"/>
      </w:r>
    </w:p>
    <w:p>
      <w:pPr>
        <w:pStyle w:val="Heading2"/>
        <w:spacing w:before="360"/>
      </w:pPr>
      <w:r>
        <w:rPr>
          <w:color w:val="0066CC"/>
        </w:rPr>
        <w:t>48.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44.51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13,318 titres</w:t>
            </w:r>
          </w:p>
        </w:tc>
        <w:tc>
          <w:tcPr>
            <w:tcW w:type="dxa" w:w="2268"/>
            <w:shd w:fill="FFF2CC" w:val="clear"/>
          </w:tcPr>
          <w:p>
            <w:r>
              <w:rPr>
                <w:b/>
                <w:color w:val="503200"/>
                <w:sz w:val="16"/>
              </w:rPr>
              <w:t xml:space="preserve">Cours actuel : </w:t>
            </w:r>
            <w:r>
              <w:rPr>
                <w:color w:val="000000"/>
                <w:sz w:val="17"/>
              </w:rPr>
              <w:t>2,145 FCFA</w:t>
            </w:r>
          </w:p>
          <w:p>
            <w:r>
              <w:rPr>
                <w:b/>
                <w:color w:val="503200"/>
                <w:sz w:val="16"/>
              </w:rPr>
              <w:t xml:space="preserve">Var. 100 jours : </w:t>
            </w:r>
            <w:r>
              <w:rPr>
                <w:b/>
                <w:color w:val="007800"/>
                <w:sz w:val="17"/>
              </w:rPr>
              <w:t>+20.51%</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50.1%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16.8/100 → Faible</w:t>
      </w:r>
    </w:p>
    <w:p>
      <w:pPr>
        <w:spacing w:before="40" w:after="80"/>
      </w:pPr>
      <w:r>
        <w:rPr>
          <w:rFonts w:ascii="Courier New" w:hAnsi="Courier New"/>
          <w:color w:val="006400"/>
          <w:sz w:val="18"/>
        </w:rPr>
        <w:t>███░░░░░░░░░░░░░░░░░  16.8/100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14.83% (Moyenne) — μ=2,042 FCFA, σ=303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β=0.6865 (Défensif) — Cov=0.000052, Var(idx)=0.000076, ρ=0.189,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13,318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σ_j=3.16%/j (Modérée) — Vol. annualisée≈50.1%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19287"/>
            <wp:docPr id="50" name="Picture 50"/>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2026-10-19</w:t>
            </w:r>
          </w:p>
        </w:tc>
        <w:tc>
          <w:tcPr>
            <w:tcW w:type="dxa" w:w="1440"/>
            <w:shd w:fill="FAFAFA" w:val="clear"/>
          </w:tcPr>
          <w:p>
            <w:r>
              <w:rPr>
                <w:sz w:val="17"/>
              </w:rPr>
              <w:t>2,062</w:t>
            </w:r>
          </w:p>
        </w:tc>
        <w:tc>
          <w:tcPr>
            <w:tcW w:type="dxa" w:w="1440"/>
            <w:shd w:fill="FAFAFA" w:val="clear"/>
          </w:tcPr>
          <w:p>
            <w:r>
              <w:rPr>
                <w:b/>
                <w:sz w:val="17"/>
              </w:rPr>
              <w:t>2,137</w:t>
            </w:r>
          </w:p>
        </w:tc>
        <w:tc>
          <w:tcPr>
            <w:tcW w:type="dxa" w:w="1440"/>
            <w:shd w:fill="FAFAFA" w:val="clear"/>
          </w:tcPr>
          <w:p>
            <w:r>
              <w:rPr>
                <w:sz w:val="17"/>
              </w:rPr>
              <w:t>2,213</w:t>
            </w:r>
          </w:p>
        </w:tc>
        <w:tc>
          <w:tcPr>
            <w:tcW w:type="dxa" w:w="1440"/>
            <w:shd w:fill="FAFAFA" w:val="clear"/>
          </w:tcPr>
          <w:p>
            <w:r>
              <w:rPr>
                <w:b/>
                <w:color w:val="C00000"/>
                <w:sz w:val="17"/>
              </w:rPr>
              <w:t>-0.4%</w:t>
            </w:r>
          </w:p>
        </w:tc>
      </w:tr>
      <w:tr>
        <w:tc>
          <w:tcPr>
            <w:tcW w:type="dxa" w:w="1440"/>
            <w:shd w:fill="FAFAFA" w:val="clear"/>
          </w:tcPr>
          <w:p>
            <w:r>
              <w:rPr>
                <w:sz w:val="17"/>
              </w:rPr>
              <w:t>J+2  Moyenne</w:t>
            </w:r>
          </w:p>
        </w:tc>
        <w:tc>
          <w:tcPr>
            <w:tcW w:type="dxa" w:w="1440"/>
            <w:shd w:fill="FAFAFA" w:val="clear"/>
          </w:tcPr>
          <w:p>
            <w:r>
              <w:rPr>
                <w:sz w:val="17"/>
              </w:rPr>
              <w:t>2026-10-20</w:t>
            </w:r>
          </w:p>
        </w:tc>
        <w:tc>
          <w:tcPr>
            <w:tcW w:type="dxa" w:w="1440"/>
            <w:shd w:fill="FAFAFA" w:val="clear"/>
          </w:tcPr>
          <w:p>
            <w:r>
              <w:rPr>
                <w:sz w:val="17"/>
              </w:rPr>
              <w:t>2,019</w:t>
            </w:r>
          </w:p>
        </w:tc>
        <w:tc>
          <w:tcPr>
            <w:tcW w:type="dxa" w:w="1440"/>
            <w:shd w:fill="FAFAFA" w:val="clear"/>
          </w:tcPr>
          <w:p>
            <w:r>
              <w:rPr>
                <w:b/>
                <w:sz w:val="17"/>
              </w:rPr>
              <w:t>2,125</w:t>
            </w:r>
          </w:p>
        </w:tc>
        <w:tc>
          <w:tcPr>
            <w:tcW w:type="dxa" w:w="1440"/>
            <w:shd w:fill="FAFAFA" w:val="clear"/>
          </w:tcPr>
          <w:p>
            <w:r>
              <w:rPr>
                <w:sz w:val="17"/>
              </w:rPr>
              <w:t>2,230</w:t>
            </w:r>
          </w:p>
        </w:tc>
        <w:tc>
          <w:tcPr>
            <w:tcW w:type="dxa" w:w="1440"/>
            <w:shd w:fill="FAFAFA" w:val="clear"/>
          </w:tcPr>
          <w:p>
            <w:r>
              <w:rPr>
                <w:b/>
                <w:color w:val="C00000"/>
                <w:sz w:val="17"/>
              </w:rPr>
              <w:t>-0.9%</w:t>
            </w:r>
          </w:p>
        </w:tc>
      </w:tr>
      <w:tr>
        <w:tc>
          <w:tcPr>
            <w:tcW w:type="dxa" w:w="1440"/>
            <w:shd w:fill="FAFAFA" w:val="clear"/>
          </w:tcPr>
          <w:p>
            <w:r>
              <w:rPr>
                <w:sz w:val="17"/>
              </w:rPr>
              <w:t>J+3  Moyenne</w:t>
            </w:r>
          </w:p>
        </w:tc>
        <w:tc>
          <w:tcPr>
            <w:tcW w:type="dxa" w:w="1440"/>
            <w:shd w:fill="FAFAFA" w:val="clear"/>
          </w:tcPr>
          <w:p>
            <w:r>
              <w:rPr>
                <w:sz w:val="17"/>
              </w:rPr>
              <w:t>2026-10-21</w:t>
            </w:r>
          </w:p>
        </w:tc>
        <w:tc>
          <w:tcPr>
            <w:tcW w:type="dxa" w:w="1440"/>
            <w:shd w:fill="FAFAFA" w:val="clear"/>
          </w:tcPr>
          <w:p>
            <w:r>
              <w:rPr>
                <w:sz w:val="17"/>
              </w:rPr>
              <w:t>1,984</w:t>
            </w:r>
          </w:p>
        </w:tc>
        <w:tc>
          <w:tcPr>
            <w:tcW w:type="dxa" w:w="1440"/>
            <w:shd w:fill="FAFAFA" w:val="clear"/>
          </w:tcPr>
          <w:p>
            <w:r>
              <w:rPr>
                <w:b/>
                <w:sz w:val="17"/>
              </w:rPr>
              <w:t>2,113</w:t>
            </w:r>
          </w:p>
        </w:tc>
        <w:tc>
          <w:tcPr>
            <w:tcW w:type="dxa" w:w="1440"/>
            <w:shd w:fill="FAFAFA" w:val="clear"/>
          </w:tcPr>
          <w:p>
            <w:r>
              <w:rPr>
                <w:sz w:val="17"/>
              </w:rPr>
              <w:t>2,241</w:t>
            </w:r>
          </w:p>
        </w:tc>
        <w:tc>
          <w:tcPr>
            <w:tcW w:type="dxa" w:w="1440"/>
            <w:shd w:fill="FAFAFA" w:val="clear"/>
          </w:tcPr>
          <w:p>
            <w:r>
              <w:rPr>
                <w:b/>
                <w:color w:val="C00000"/>
                <w:sz w:val="17"/>
              </w:rPr>
              <w:t>-1.5%</w:t>
            </w:r>
          </w:p>
        </w:tc>
      </w:tr>
      <w:tr>
        <w:tc>
          <w:tcPr>
            <w:tcW w:type="dxa" w:w="1440"/>
            <w:shd w:fill="FFDCE0" w:val="clear"/>
          </w:tcPr>
          <w:p>
            <w:r>
              <w:rPr>
                <w:sz w:val="17"/>
              </w:rPr>
              <w:t>J+4  ⭐</w:t>
            </w:r>
          </w:p>
        </w:tc>
        <w:tc>
          <w:tcPr>
            <w:tcW w:type="dxa" w:w="1440"/>
            <w:shd w:fill="FFDCE0" w:val="clear"/>
          </w:tcPr>
          <w:p>
            <w:r>
              <w:rPr>
                <w:sz w:val="17"/>
              </w:rPr>
              <w:t>2026-10-22</w:t>
            </w:r>
          </w:p>
        </w:tc>
        <w:tc>
          <w:tcPr>
            <w:tcW w:type="dxa" w:w="1440"/>
            <w:shd w:fill="FFDCE0" w:val="clear"/>
          </w:tcPr>
          <w:p>
            <w:r>
              <w:rPr>
                <w:sz w:val="17"/>
              </w:rPr>
              <w:t>1,953</w:t>
            </w:r>
          </w:p>
        </w:tc>
        <w:tc>
          <w:tcPr>
            <w:tcW w:type="dxa" w:w="1440"/>
            <w:shd w:fill="FFDCE0" w:val="clear"/>
          </w:tcPr>
          <w:p>
            <w:r>
              <w:rPr>
                <w:b/>
                <w:sz w:val="17"/>
              </w:rPr>
              <w:t>2,101</w:t>
            </w:r>
          </w:p>
        </w:tc>
        <w:tc>
          <w:tcPr>
            <w:tcW w:type="dxa" w:w="1440"/>
            <w:shd w:fill="FFDCE0" w:val="clear"/>
          </w:tcPr>
          <w:p>
            <w:r>
              <w:rPr>
                <w:sz w:val="17"/>
              </w:rPr>
              <w:t>2,249</w:t>
            </w:r>
          </w:p>
        </w:tc>
        <w:tc>
          <w:tcPr>
            <w:tcW w:type="dxa" w:w="1440"/>
            <w:shd w:fill="FFDCE0" w:val="clear"/>
          </w:tcPr>
          <w:p>
            <w:r>
              <w:rPr>
                <w:b/>
                <w:color w:val="C00000"/>
                <w:sz w:val="17"/>
              </w:rPr>
              <w:t>-2.0%</w:t>
            </w:r>
          </w:p>
        </w:tc>
      </w:tr>
      <w:tr>
        <w:tc>
          <w:tcPr>
            <w:tcW w:type="dxa" w:w="1440"/>
            <w:shd w:fill="FFDCE0" w:val="clear"/>
          </w:tcPr>
          <w:p>
            <w:r>
              <w:rPr>
                <w:sz w:val="17"/>
              </w:rPr>
              <w:t>J+5  ⭐</w:t>
            </w:r>
          </w:p>
        </w:tc>
        <w:tc>
          <w:tcPr>
            <w:tcW w:type="dxa" w:w="1440"/>
            <w:shd w:fill="FFDCE0" w:val="clear"/>
          </w:tcPr>
          <w:p>
            <w:r>
              <w:rPr>
                <w:sz w:val="17"/>
              </w:rPr>
              <w:t>2026-10-23</w:t>
            </w:r>
          </w:p>
        </w:tc>
        <w:tc>
          <w:tcPr>
            <w:tcW w:type="dxa" w:w="1440"/>
            <w:shd w:fill="FFDCE0" w:val="clear"/>
          </w:tcPr>
          <w:p>
            <w:r>
              <w:rPr>
                <w:sz w:val="17"/>
              </w:rPr>
              <w:t>1,926</w:t>
            </w:r>
          </w:p>
        </w:tc>
        <w:tc>
          <w:tcPr>
            <w:tcW w:type="dxa" w:w="1440"/>
            <w:shd w:fill="FFDCE0" w:val="clear"/>
          </w:tcPr>
          <w:p>
            <w:r>
              <w:rPr>
                <w:b/>
                <w:sz w:val="17"/>
              </w:rPr>
              <w:t>2,090</w:t>
            </w:r>
          </w:p>
        </w:tc>
        <w:tc>
          <w:tcPr>
            <w:tcW w:type="dxa" w:w="1440"/>
            <w:shd w:fill="FFDCE0" w:val="clear"/>
          </w:tcPr>
          <w:p>
            <w:r>
              <w:rPr>
                <w:sz w:val="17"/>
              </w:rPr>
              <w:t>2,254</w:t>
            </w:r>
          </w:p>
        </w:tc>
        <w:tc>
          <w:tcPr>
            <w:tcW w:type="dxa" w:w="1440"/>
            <w:shd w:fill="FFDCE0" w:val="clear"/>
          </w:tcPr>
          <w:p>
            <w:r>
              <w:rPr>
                <w:b/>
                <w:color w:val="C00000"/>
                <w:sz w:val="17"/>
              </w:rPr>
              <w:t>-2.6%</w:t>
            </w:r>
          </w:p>
        </w:tc>
      </w:tr>
      <w:tr>
        <w:tc>
          <w:tcPr>
            <w:tcW w:type="dxa" w:w="1440"/>
            <w:shd w:fill="FFDCE0" w:val="clear"/>
          </w:tcPr>
          <w:p>
            <w:r>
              <w:rPr>
                <w:sz w:val="17"/>
              </w:rPr>
              <w:t>J+6  ⭐</w:t>
            </w:r>
          </w:p>
        </w:tc>
        <w:tc>
          <w:tcPr>
            <w:tcW w:type="dxa" w:w="1440"/>
            <w:shd w:fill="FFDCE0" w:val="clear"/>
          </w:tcPr>
          <w:p>
            <w:r>
              <w:rPr>
                <w:sz w:val="17"/>
              </w:rPr>
              <w:t>2026-10-26</w:t>
            </w:r>
          </w:p>
        </w:tc>
        <w:tc>
          <w:tcPr>
            <w:tcW w:type="dxa" w:w="1440"/>
            <w:shd w:fill="FFDCE0" w:val="clear"/>
          </w:tcPr>
          <w:p>
            <w:r>
              <w:rPr>
                <w:sz w:val="17"/>
              </w:rPr>
              <w:t>1,900</w:t>
            </w:r>
          </w:p>
        </w:tc>
        <w:tc>
          <w:tcPr>
            <w:tcW w:type="dxa" w:w="1440"/>
            <w:shd w:fill="FFDCE0" w:val="clear"/>
          </w:tcPr>
          <w:p>
            <w:r>
              <w:rPr>
                <w:b/>
                <w:sz w:val="17"/>
              </w:rPr>
              <w:t>2,079</w:t>
            </w:r>
          </w:p>
        </w:tc>
        <w:tc>
          <w:tcPr>
            <w:tcW w:type="dxa" w:w="1440"/>
            <w:shd w:fill="FFDCE0" w:val="clear"/>
          </w:tcPr>
          <w:p>
            <w:r>
              <w:rPr>
                <w:sz w:val="17"/>
              </w:rPr>
              <w:t>2,257</w:t>
            </w:r>
          </w:p>
        </w:tc>
        <w:tc>
          <w:tcPr>
            <w:tcW w:type="dxa" w:w="1440"/>
            <w:shd w:fill="FFDCE0" w:val="clear"/>
          </w:tcPr>
          <w:p>
            <w:r>
              <w:rPr>
                <w:b/>
                <w:color w:val="C00000"/>
                <w:sz w:val="17"/>
              </w:rPr>
              <w:t>-3.1%</w:t>
            </w:r>
          </w:p>
        </w:tc>
      </w:tr>
      <w:tr>
        <w:tc>
          <w:tcPr>
            <w:tcW w:type="dxa" w:w="1440"/>
            <w:shd w:fill="FFDCE0" w:val="clear"/>
          </w:tcPr>
          <w:p>
            <w:r>
              <w:rPr>
                <w:sz w:val="17"/>
              </w:rPr>
              <w:t>J+7  ⭐</w:t>
            </w:r>
          </w:p>
        </w:tc>
        <w:tc>
          <w:tcPr>
            <w:tcW w:type="dxa" w:w="1440"/>
            <w:shd w:fill="FFDCE0" w:val="clear"/>
          </w:tcPr>
          <w:p>
            <w:r>
              <w:rPr>
                <w:sz w:val="17"/>
              </w:rPr>
              <w:t>2026-10-27</w:t>
            </w:r>
          </w:p>
        </w:tc>
        <w:tc>
          <w:tcPr>
            <w:tcW w:type="dxa" w:w="1440"/>
            <w:shd w:fill="FFDCE0" w:val="clear"/>
          </w:tcPr>
          <w:p>
            <w:r>
              <w:rPr>
                <w:sz w:val="17"/>
              </w:rPr>
              <w:t>1,876</w:t>
            </w:r>
          </w:p>
        </w:tc>
        <w:tc>
          <w:tcPr>
            <w:tcW w:type="dxa" w:w="1440"/>
            <w:shd w:fill="FFDCE0" w:val="clear"/>
          </w:tcPr>
          <w:p>
            <w:r>
              <w:rPr>
                <w:b/>
                <w:sz w:val="17"/>
              </w:rPr>
              <w:t>2,068</w:t>
            </w:r>
          </w:p>
        </w:tc>
        <w:tc>
          <w:tcPr>
            <w:tcW w:type="dxa" w:w="1440"/>
            <w:shd w:fill="FFDCE0" w:val="clear"/>
          </w:tcPr>
          <w:p>
            <w:r>
              <w:rPr>
                <w:sz w:val="17"/>
              </w:rPr>
              <w:t>2,260</w:t>
            </w:r>
          </w:p>
        </w:tc>
        <w:tc>
          <w:tcPr>
            <w:tcW w:type="dxa" w:w="1440"/>
            <w:shd w:fill="FFDCE0" w:val="clear"/>
          </w:tcPr>
          <w:p>
            <w:r>
              <w:rPr>
                <w:b/>
                <w:color w:val="C00000"/>
                <w:sz w:val="17"/>
              </w:rPr>
              <w:t>-3.6%</w:t>
            </w:r>
          </w:p>
        </w:tc>
      </w:tr>
      <w:tr>
        <w:tc>
          <w:tcPr>
            <w:tcW w:type="dxa" w:w="1440"/>
            <w:shd w:fill="FFDCE0" w:val="clear"/>
          </w:tcPr>
          <w:p>
            <w:r>
              <w:rPr>
                <w:sz w:val="17"/>
              </w:rPr>
              <w:t>J+8  ⭐</w:t>
            </w:r>
          </w:p>
        </w:tc>
        <w:tc>
          <w:tcPr>
            <w:tcW w:type="dxa" w:w="1440"/>
            <w:shd w:fill="FFDCE0" w:val="clear"/>
          </w:tcPr>
          <w:p>
            <w:r>
              <w:rPr>
                <w:sz w:val="17"/>
              </w:rPr>
              <w:t>2026-10-28</w:t>
            </w:r>
          </w:p>
        </w:tc>
        <w:tc>
          <w:tcPr>
            <w:tcW w:type="dxa" w:w="1440"/>
            <w:shd w:fill="FFDCE0" w:val="clear"/>
          </w:tcPr>
          <w:p>
            <w:r>
              <w:rPr>
                <w:sz w:val="17"/>
              </w:rPr>
              <w:t>1,853</w:t>
            </w:r>
          </w:p>
        </w:tc>
        <w:tc>
          <w:tcPr>
            <w:tcW w:type="dxa" w:w="1440"/>
            <w:shd w:fill="FFDCE0" w:val="clear"/>
          </w:tcPr>
          <w:p>
            <w:r>
              <w:rPr>
                <w:b/>
                <w:sz w:val="17"/>
              </w:rPr>
              <w:t>2,058</w:t>
            </w:r>
          </w:p>
        </w:tc>
        <w:tc>
          <w:tcPr>
            <w:tcW w:type="dxa" w:w="1440"/>
            <w:shd w:fill="FFDCE0" w:val="clear"/>
          </w:tcPr>
          <w:p>
            <w:r>
              <w:rPr>
                <w:sz w:val="17"/>
              </w:rPr>
              <w:t>2,262</w:t>
            </w:r>
          </w:p>
        </w:tc>
        <w:tc>
          <w:tcPr>
            <w:tcW w:type="dxa" w:w="1440"/>
            <w:shd w:fill="FFDCE0" w:val="clear"/>
          </w:tcPr>
          <w:p>
            <w:r>
              <w:rPr>
                <w:b/>
                <w:color w:val="C00000"/>
                <w:sz w:val="17"/>
              </w:rPr>
              <w:t>-4.1%</w:t>
            </w:r>
          </w:p>
        </w:tc>
      </w:tr>
      <w:tr>
        <w:tc>
          <w:tcPr>
            <w:tcW w:type="dxa" w:w="1440"/>
            <w:shd w:fill="FFDCE0" w:val="clear"/>
          </w:tcPr>
          <w:p>
            <w:r>
              <w:rPr>
                <w:sz w:val="17"/>
              </w:rPr>
              <w:t>J+9  ⭐</w:t>
            </w:r>
          </w:p>
        </w:tc>
        <w:tc>
          <w:tcPr>
            <w:tcW w:type="dxa" w:w="1440"/>
            <w:shd w:fill="FFDCE0" w:val="clear"/>
          </w:tcPr>
          <w:p>
            <w:r>
              <w:rPr>
                <w:sz w:val="17"/>
              </w:rPr>
              <w:t>2026-10-29</w:t>
            </w:r>
          </w:p>
        </w:tc>
        <w:tc>
          <w:tcPr>
            <w:tcW w:type="dxa" w:w="1440"/>
            <w:shd w:fill="FFDCE0" w:val="clear"/>
          </w:tcPr>
          <w:p>
            <w:r>
              <w:rPr>
                <w:sz w:val="17"/>
              </w:rPr>
              <w:t>1,832</w:t>
            </w:r>
          </w:p>
        </w:tc>
        <w:tc>
          <w:tcPr>
            <w:tcW w:type="dxa" w:w="1440"/>
            <w:shd w:fill="FFDCE0" w:val="clear"/>
          </w:tcPr>
          <w:p>
            <w:r>
              <w:rPr>
                <w:b/>
                <w:sz w:val="17"/>
              </w:rPr>
              <w:t>2,048</w:t>
            </w:r>
          </w:p>
        </w:tc>
        <w:tc>
          <w:tcPr>
            <w:tcW w:type="dxa" w:w="1440"/>
            <w:shd w:fill="FFDCE0" w:val="clear"/>
          </w:tcPr>
          <w:p>
            <w:r>
              <w:rPr>
                <w:sz w:val="17"/>
              </w:rPr>
              <w:t>2,264</w:t>
            </w:r>
          </w:p>
        </w:tc>
        <w:tc>
          <w:tcPr>
            <w:tcW w:type="dxa" w:w="1440"/>
            <w:shd w:fill="FFDCE0" w:val="clear"/>
          </w:tcPr>
          <w:p>
            <w:r>
              <w:rPr>
                <w:b/>
                <w:color w:val="C00000"/>
                <w:sz w:val="17"/>
              </w:rPr>
              <w:t>-4.5%</w:t>
            </w:r>
          </w:p>
        </w:tc>
      </w:tr>
      <w:tr>
        <w:tc>
          <w:tcPr>
            <w:tcW w:type="dxa" w:w="1440"/>
            <w:shd w:fill="FFDCE0" w:val="clear"/>
          </w:tcPr>
          <w:p>
            <w:r>
              <w:rPr>
                <w:sz w:val="17"/>
              </w:rPr>
              <w:t>J+10  ⭐</w:t>
            </w:r>
          </w:p>
        </w:tc>
        <w:tc>
          <w:tcPr>
            <w:tcW w:type="dxa" w:w="1440"/>
            <w:shd w:fill="FFDCE0" w:val="clear"/>
          </w:tcPr>
          <w:p>
            <w:r>
              <w:rPr>
                <w:sz w:val="17"/>
              </w:rPr>
              <w:t>2026-10-30</w:t>
            </w:r>
          </w:p>
        </w:tc>
        <w:tc>
          <w:tcPr>
            <w:tcW w:type="dxa" w:w="1440"/>
            <w:shd w:fill="FFDCE0" w:val="clear"/>
          </w:tcPr>
          <w:p>
            <w:r>
              <w:rPr>
                <w:sz w:val="17"/>
              </w:rPr>
              <w:t>1,812</w:t>
            </w:r>
          </w:p>
        </w:tc>
        <w:tc>
          <w:tcPr>
            <w:tcW w:type="dxa" w:w="1440"/>
            <w:shd w:fill="FFDCE0" w:val="clear"/>
          </w:tcPr>
          <w:p>
            <w:r>
              <w:rPr>
                <w:b/>
                <w:sz w:val="17"/>
              </w:rPr>
              <w:t>2,038</w:t>
            </w:r>
          </w:p>
        </w:tc>
        <w:tc>
          <w:tcPr>
            <w:tcW w:type="dxa" w:w="1440"/>
            <w:shd w:fill="FFDCE0" w:val="clear"/>
          </w:tcPr>
          <w:p>
            <w:r>
              <w:rPr>
                <w:sz w:val="17"/>
              </w:rPr>
              <w:t>2,264</w:t>
            </w:r>
          </w:p>
        </w:tc>
        <w:tc>
          <w:tcPr>
            <w:tcW w:type="dxa" w:w="1440"/>
            <w:shd w:fill="FFDCE0" w:val="clear"/>
          </w:tcPr>
          <w:p>
            <w:r>
              <w:rPr>
                <w:b/>
                <w:color w:val="C00000"/>
                <w:sz w:val="17"/>
              </w:rPr>
              <w:t>-5.0%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3.693 Mds FCFA</w:t>
            </w:r>
          </w:p>
        </w:tc>
        <w:tc>
          <w:tcPr>
            <w:tcW w:type="dxa" w:w="5669"/>
            <w:shd w:fill="FFFFFF" w:val="clear"/>
          </w:tcPr>
          <w:p>
            <w:r>
              <w:rPr>
                <w:color w:val="282828"/>
                <w:sz w:val="15"/>
              </w:rPr>
              <w:t>Créances clients = 12.7%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12.179 Mds FCFA</w:t>
            </w:r>
          </w:p>
        </w:tc>
        <w:tc>
          <w:tcPr>
            <w:tcW w:type="dxa" w:w="5669"/>
            <w:shd w:fill="FFFFFF" w:val="clear"/>
          </w:tcPr>
          <w:p>
            <w:r>
              <w:rPr>
                <w:color w:val="282828"/>
                <w:sz w:val="15"/>
              </w:rPr>
              <w:t>Rotation stocks = 2.4x/an.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17.281 Mds FCFA</w:t>
            </w:r>
          </w:p>
        </w:tc>
        <w:tc>
          <w:tcPr>
            <w:tcW w:type="dxa" w:w="5669"/>
            <w:shd w:fill="FFFFFF" w:val="clear"/>
          </w:tcPr>
          <w:p>
            <w:r>
              <w:rPr>
                <w:color w:val="282828"/>
                <w:sz w:val="15"/>
              </w:rPr>
              <w:t>Ratio actif circ./passif circ. = 2.84x.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114.77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9.507 Mds FCFA</w:t>
            </w:r>
          </w:p>
        </w:tc>
        <w:tc>
          <w:tcPr>
            <w:tcW w:type="dxa" w:w="5669"/>
            <w:shd w:fill="FFFFFF" w:val="clear"/>
          </w:tcPr>
          <w:p>
            <w:r>
              <w:rPr>
                <w:color w:val="282828"/>
                <w:sz w:val="15"/>
              </w:rPr>
              <w:t>Outil industriel (30.0%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10.642 Mds FCFA</w:t>
            </w:r>
          </w:p>
        </w:tc>
        <w:tc>
          <w:tcPr>
            <w:tcW w:type="dxa" w:w="5669"/>
            <w:shd w:fill="FFFFFF" w:val="clear"/>
          </w:tcPr>
          <w:p>
            <w:r>
              <w:rPr>
                <w:color w:val="282828"/>
                <w:sz w:val="15"/>
              </w:rPr>
              <w:t>Actif immobilisé = 33.5%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3.813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31.736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6.156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24.619 Mds FCFA</w:t>
            </w:r>
          </w:p>
        </w:tc>
        <w:tc>
          <w:tcPr>
            <w:tcW w:type="dxa" w:w="5669"/>
            <w:shd w:fill="FFFFFF" w:val="clear"/>
          </w:tcPr>
          <w:p>
            <w:r>
              <w:rPr>
                <w:color w:val="282828"/>
                <w:sz w:val="15"/>
              </w:rPr>
              <w:t>Fonds propres = 77.6%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25.643 Mds FCFA</w:t>
            </w:r>
          </w:p>
        </w:tc>
        <w:tc>
          <w:tcPr>
            <w:tcW w:type="dxa" w:w="5669"/>
            <w:shd w:fill="FFFFFF" w:val="clear"/>
          </w:tcPr>
          <w:p>
            <w:r>
              <w:rPr>
                <w:color w:val="282828"/>
                <w:sz w:val="15"/>
              </w:rPr>
              <w:t>Capitaux permanents / Actif immobilisé = 2.41x.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4.977 Mds FCFA</w:t>
            </w:r>
          </w:p>
        </w:tc>
        <w:tc>
          <w:tcPr>
            <w:tcW w:type="dxa" w:w="5669"/>
            <w:shd w:fill="FFFFFF" w:val="clear"/>
          </w:tcPr>
          <w:p>
            <w:r>
              <w:rPr>
                <w:color w:val="282828"/>
                <w:sz w:val="15"/>
              </w:rPr>
              <w:t>Délai fournisseurs implicite ≈ 63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368.66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368.66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7.117 Mds FCFA</w:t>
            </w:r>
          </w:p>
        </w:tc>
        <w:tc>
          <w:tcPr>
            <w:tcW w:type="dxa" w:w="5669"/>
            <w:shd w:fill="FFFFFF" w:val="clear"/>
          </w:tcPr>
          <w:p>
            <w:r>
              <w:rPr>
                <w:color w:val="282828"/>
                <w:sz w:val="15"/>
              </w:rPr>
              <w:t>Dettes totales = 22.4%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29.032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29.032 Mds FCFA</w:t>
            </w:r>
          </w:p>
        </w:tc>
        <w:tc>
          <w:tcPr>
            <w:tcW w:type="dxa" w:w="5669"/>
            <w:shd w:fill="FFFFFF" w:val="clear"/>
          </w:tcPr>
          <w:p>
            <w:r>
              <w:rPr>
                <w:color w:val="282828"/>
                <w:sz w:val="15"/>
              </w:rPr>
              <w:t>Chiffre d'affaires. Croissance: 6.2%.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2.155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5.436 Mds FCFA</w:t>
            </w:r>
          </w:p>
        </w:tc>
        <w:tc>
          <w:tcPr>
            <w:tcW w:type="dxa" w:w="5669"/>
            <w:shd w:fill="FFFFFF" w:val="clear"/>
          </w:tcPr>
          <w:p>
            <w:r>
              <w:rPr>
                <w:color w:val="282828"/>
                <w:sz w:val="15"/>
              </w:rPr>
              <w:t>Masse salariale = 18.7%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6.563 Mds FCFA</w:t>
            </w:r>
          </w:p>
        </w:tc>
        <w:tc>
          <w:tcPr>
            <w:tcW w:type="dxa" w:w="5669"/>
            <w:shd w:fill="FFFFFF" w:val="clear"/>
          </w:tcPr>
          <w:p>
            <w:r>
              <w:rPr>
                <w:color w:val="282828"/>
                <w:sz w:val="15"/>
              </w:rPr>
              <w:t>VA = 22.6%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1.127 Mds FCFA</w:t>
            </w:r>
          </w:p>
        </w:tc>
        <w:tc>
          <w:tcPr>
            <w:tcW w:type="dxa" w:w="5669"/>
            <w:shd w:fill="FFFFFF" w:val="clear"/>
          </w:tcPr>
          <w:p>
            <w:r>
              <w:rPr>
                <w:color w:val="282828"/>
                <w:sz w:val="15"/>
              </w:rPr>
              <w:t>EBE = 3.9%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-423.61 M FCFA</w:t>
            </w:r>
          </w:p>
        </w:tc>
        <w:tc>
          <w:tcPr>
            <w:tcW w:type="dxa" w:w="5669"/>
            <w:shd w:fill="FFFFFF" w:val="clear"/>
          </w:tcPr>
          <w:p>
            <w:r>
              <w:rPr>
                <w:color w:val="282828"/>
                <w:sz w:val="15"/>
              </w:rPr>
              <w:t>Profit d'exploitation = -1.5%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-624.11 M FCFA</w:t>
            </w:r>
          </w:p>
        </w:tc>
        <w:tc>
          <w:tcPr>
            <w:tcW w:type="dxa" w:w="5669"/>
            <w:shd w:fill="FFFFFF" w:val="clear"/>
          </w:tcPr>
          <w:p>
            <w:r>
              <w:rPr>
                <w:color w:val="282828"/>
                <w:sz w:val="15"/>
              </w:rPr>
              <w:t>Marge nette = -2.1%.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904.48 M FCFA</w:t>
            </w:r>
          </w:p>
        </w:tc>
        <w:tc>
          <w:tcPr>
            <w:tcW w:type="dxa" w:w="5669"/>
            <w:shd w:fill="FFFFFF" w:val="clear"/>
          </w:tcPr>
          <w:p>
            <w:r>
              <w:rPr>
                <w:color w:val="282828"/>
                <w:sz w:val="15"/>
              </w:rPr>
              <w:t>CAF = 0.90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-8.124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9.399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43.03 M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-8.239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11.187 Mds FCFA</w:t>
            </w:r>
          </w:p>
        </w:tc>
        <w:tc>
          <w:tcPr>
            <w:tcW w:type="dxa" w:w="5669"/>
            <w:shd w:fill="FFFFFF" w:val="clear"/>
          </w:tcPr>
          <w:p>
            <w:r>
              <w:rPr>
                <w:color w:val="282828"/>
                <w:sz w:val="15"/>
              </w:rPr>
              <w:t>BFR = 38.5%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15.001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3.813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53.53%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-2.15%</w:t>
            </w:r>
          </w:p>
        </w:tc>
        <w:tc>
          <w:tcPr>
            <w:tcW w:type="dxa" w:w="5669"/>
            <w:shd w:fill="FFFFFF" w:val="clear"/>
          </w:tcPr>
          <w:p>
            <w:r>
              <w:rPr>
                <w:color w:val="282828"/>
                <w:sz w:val="15"/>
              </w:rPr>
              <w:t>Résultat net / revenus = -2.15%.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-1.46%</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-2.54%</w:t>
            </w:r>
          </w:p>
        </w:tc>
        <w:tc>
          <w:tcPr>
            <w:tcW w:type="dxa" w:w="5669"/>
            <w:shd w:fill="FFFFFF" w:val="clear"/>
          </w:tcPr>
          <w:p>
            <w:r>
              <w:rPr>
                <w:color w:val="282828"/>
                <w:sz w:val="15"/>
              </w:rPr>
              <w:t>Résultat net / capitaux propres = -2.54%.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-1.97%</w:t>
            </w:r>
          </w:p>
        </w:tc>
        <w:tc>
          <w:tcPr>
            <w:tcW w:type="dxa" w:w="5669"/>
            <w:shd w:fill="FFFFFF" w:val="clear"/>
          </w:tcPr>
          <w:p>
            <w:r>
              <w:rPr>
                <w:color w:val="282828"/>
                <w:sz w:val="15"/>
              </w:rPr>
              <w:t>Résultat net / total actif = -1.97%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91.48%</w:t>
            </w:r>
          </w:p>
        </w:tc>
        <w:tc>
          <w:tcPr>
            <w:tcW w:type="dxa" w:w="5669"/>
            <w:shd w:fill="FFFFFF" w:val="clear"/>
          </w:tcPr>
          <w:p>
            <w:r>
              <w:rPr>
                <w:color w:val="282828"/>
                <w:sz w:val="15"/>
              </w:rPr>
              <w:t>CA / total actif = 91.48x.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6.21%</w:t>
            </w:r>
          </w:p>
        </w:tc>
        <w:tc>
          <w:tcPr>
            <w:tcW w:type="dxa" w:w="5669"/>
            <w:shd w:fill="FFFFFF" w:val="clear"/>
          </w:tcPr>
          <w:p>
            <w:r>
              <w:rPr>
                <w:color w:val="282828"/>
                <w:sz w:val="15"/>
              </w:rPr>
              <w:t>Croissance CA vs exercice précédent = 6.21%.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77.58%</w:t>
            </w:r>
          </w:p>
        </w:tc>
        <w:tc>
          <w:tcPr>
            <w:tcW w:type="dxa" w:w="5669"/>
            <w:shd w:fill="FFFFFF" w:val="clear"/>
          </w:tcPr>
          <w:p>
            <w:r>
              <w:rPr>
                <w:color w:val="282828"/>
                <w:sz w:val="15"/>
              </w:rPr>
              <w:t>Fonds propres / total bilan = 77.58%.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22.42%</w:t>
            </w:r>
          </w:p>
        </w:tc>
        <w:tc>
          <w:tcPr>
            <w:tcW w:type="dxa" w:w="5669"/>
            <w:shd w:fill="FFFFFF" w:val="clear"/>
          </w:tcPr>
          <w:p>
            <w:r>
              <w:rPr>
                <w:color w:val="282828"/>
                <w:sz w:val="15"/>
              </w:rPr>
              <w:t>Dettes financières / total bilan = 22.42%.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1.50%</w:t>
            </w:r>
          </w:p>
        </w:tc>
        <w:tc>
          <w:tcPr>
            <w:tcW w:type="dxa" w:w="5669"/>
            <w:shd w:fill="FFFFFF" w:val="clear"/>
          </w:tcPr>
          <w:p>
            <w:r>
              <w:rPr>
                <w:color w:val="282828"/>
                <w:sz w:val="15"/>
              </w:rPr>
              <w:t>Dettes totales / fonds propres = 1.50%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445.93%</w:t>
            </w:r>
          </w:p>
        </w:tc>
        <w:tc>
          <w:tcPr>
            <w:tcW w:type="dxa" w:w="5669"/>
            <w:shd w:fill="FFFFFF" w:val="clear"/>
          </w:tcPr>
          <w:p>
            <w:r>
              <w:rPr>
                <w:color w:val="282828"/>
                <w:sz w:val="15"/>
              </w:rPr>
              <w:t>Total actif / dettes totales = 445.93x.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346.19%</w:t>
            </w:r>
          </w:p>
        </w:tc>
        <w:tc>
          <w:tcPr>
            <w:tcW w:type="dxa" w:w="5669"/>
            <w:shd w:fill="FFFFFF" w:val="clear"/>
          </w:tcPr>
          <w:p>
            <w:r>
              <w:rPr>
                <w:color w:val="282828"/>
                <w:sz w:val="15"/>
              </w:rPr>
              <w:t>Actif circulant / passif circulant = 346.19x.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62.59%</w:t>
            </w:r>
          </w:p>
        </w:tc>
        <w:tc>
          <w:tcPr>
            <w:tcW w:type="dxa" w:w="5669"/>
            <w:shd w:fill="FFFFFF" w:val="clear"/>
          </w:tcPr>
          <w:p>
            <w:r>
              <w:rPr>
                <w:color w:val="282828"/>
                <w:sz w:val="15"/>
              </w:rPr>
              <w:t>Trésorerie / passif circulant = 62.59x.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146.32%</w:t>
            </w:r>
          </w:p>
        </w:tc>
        <w:tc>
          <w:tcPr>
            <w:tcW w:type="dxa" w:w="5669"/>
            <w:shd w:fill="FFFFFF" w:val="clear"/>
          </w:tcPr>
          <w:p>
            <w:r>
              <w:rPr>
                <w:color w:val="282828"/>
                <w:sz w:val="15"/>
              </w:rPr>
              <w:t>(Actif circ. - stocks) / passif circ. = 146.32x.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240.96%</w:t>
            </w:r>
          </w:p>
        </w:tc>
        <w:tc>
          <w:tcPr>
            <w:tcW w:type="dxa" w:w="5669"/>
            <w:shd w:fill="FFFFFF" w:val="clear"/>
          </w:tcPr>
          <w:p>
            <w:r>
              <w:rPr>
                <w:color w:val="282828"/>
                <w:sz w:val="15"/>
              </w:rPr>
              <w:t>Capitaux permanents / actif immobilisé = 240.96x.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-1249.16%</w:t>
            </w:r>
          </w:p>
        </w:tc>
        <w:tc>
          <w:tcPr>
            <w:tcW w:type="dxa" w:w="5669"/>
            <w:shd w:fill="FFFFFF" w:val="clear"/>
          </w:tcPr>
          <w:p>
            <w:r>
              <w:rPr>
                <w:color w:val="282828"/>
                <w:sz w:val="15"/>
              </w:rPr>
              <w:t>Résultat exploit. / charges financières = -1249.16x.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789.90%</w:t>
            </w:r>
          </w:p>
        </w:tc>
        <w:tc>
          <w:tcPr>
            <w:tcW w:type="dxa" w:w="5669"/>
            <w:shd w:fill="FFFFFF" w:val="clear"/>
          </w:tcPr>
          <w:p>
            <w:r>
              <w:rPr>
                <w:color w:val="282828"/>
                <w:sz w:val="15"/>
              </w:rPr>
              <w:t>CAF / investissements = 789.90x.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45.8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102.4 j</w:t>
            </w:r>
          </w:p>
        </w:tc>
        <w:tc>
          <w:tcPr>
            <w:tcW w:type="dxa" w:w="5669"/>
            <w:shd w:fill="FFFFFF" w:val="clear"/>
          </w:tcPr>
          <w:p>
            <w:r>
              <w:rPr>
                <w:color w:val="282828"/>
                <w:sz w:val="15"/>
              </w:rPr>
              <w:t>Paiement des fournisseurs en 102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325.0 j</w:t>
            </w:r>
          </w:p>
        </w:tc>
        <w:tc>
          <w:tcPr>
            <w:tcW w:type="dxa" w:w="5669"/>
            <w:shd w:fill="FFFFFF" w:val="clear"/>
          </w:tcPr>
          <w:p>
            <w:r>
              <w:rPr>
                <w:color w:val="282828"/>
                <w:sz w:val="15"/>
              </w:rPr>
              <w:t>Stock écoulé en 325 jours. ❌ Stock quasi-bloqué — risque d'obsolescence ou de surstock.</w:t>
            </w:r>
          </w:p>
        </w:tc>
      </w:tr>
    </w:tbl>
    <w:p/>
    <w:p>
      <w:pPr>
        <w:spacing w:after="120" w:line="276" w:lineRule="auto"/>
      </w:pPr>
      <w:r>
        <w:t># RAPPORT D'ANALYSE FINANCIÈRE — UNIWAX (UNXC) — BRVM</w:t>
      </w:r>
    </w:p>
    <w:p>
      <w:pPr>
        <w:spacing w:after="120" w:line="276" w:lineRule="auto"/>
      </w:pPr>
      <w:r>
        <w:t>---</w:t>
      </w:r>
    </w:p>
    <w:p>
      <w:pPr>
        <w:spacing w:after="120" w:line="276" w:lineRule="auto"/>
      </w:pPr>
      <w:r>
        <w:t>## PARTIE 0 : INDICATEURS DE VALORISATION BOURSIÈRE</w:t>
      </w:r>
    </w:p>
    <w:p>
      <w:pPr>
        <w:spacing w:after="120" w:line="276" w:lineRule="auto"/>
      </w:pPr>
      <w:r>
        <w:t>UNIWAX affiche une capitalisation boursière de 44,51 milliards FCFA, un niveau significatif à l'échelle de la BRVM qui place le titre parmi les valeurs industrielles de premier plan de la cote. Le BPA ressort à -30 FCFA/action, traduisant une société encore déficitaire sur l'exercice 2025, ce qui rend le PER de -71,3x non interprétable en termes de multiple de bénéfices (un PER négatif signale simplement l'absence de profits). Le P/B de 1,81x indique que le marché valorise le titre à environ 1,8 fois sa valeur comptable, soit une prime raisonnable dans la fourchette 1-2x, cohérente avec un actif net de 24,62 milliards FCFA. En revanche, l'EV/EBITDA de 36,4x apparaît très exigeant (seuil de référence &gt;15x), signifiant que la valeur d'entreprise représente plus de 36 fois la capacité opérationnelle dégagée — un niveau qui intègre déjà une forte anticipation de redressement et laisse peu de marge d'erreur.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UNXC enregistre une progression totale de +20,51%, portant le cours à 2 145 FCFA, malgré un repli de -1,61% sur la dernière séance. Le titre a évolué dans un range très large de 1 250 FCFA (plus bas) à 2 495 FCFA (plus haut), soit un spread de près de 100%, témoignant d'une forte amplitude de trading. La tendance générale est nettement haussière, le cours actuel se situant au-dessus de la moyenne (2 042 FCFA) et de la médiane (1 970 FCFA), ce qui traduit une distribution légèrement asymétrique à droite — la moyenne supérieure à la médiane confirme que les récents sommets tirent la statistique vers le haut. L'écart-type de 304 FCFA avec un coefficient de variation de 14,9% indique une dispersion modérée autour de la moyenne, tandis que le kurtosis de -0,394 (mésokurtique) suggère un comportement proche d'une distribution normale, sans risque de pics extrêmes marqué. Le skewness de -0,418, qualifié de symétrique, signale une légère queue de distribution vers les valeurs basses, sans déséquilibre prononcé. Enfin, la volatilité annualisée de 50,1% positionne le titre dans la catégorie des valeurs à volatilité élevée (&gt;30%), ce qui est cohérent avec un marché de petite capitalisation en phase de redressement et impose une gestion du risque prudente.</w:t>
      </w:r>
    </w:p>
    <w:p>
      <w:pPr>
        <w:spacing w:after="120" w:line="276" w:lineRule="auto"/>
      </w:pPr>
      <w:r>
        <w:t>---</w:t>
      </w:r>
    </w:p>
    <w:p>
      <w:pPr>
        <w:spacing w:after="120" w:line="276" w:lineRule="auto"/>
      </w:pPr>
      <w:r>
        <w:t>## PARTIE 2 : ANALYSE TECHNIQUE DÉTAILLÉE</w:t>
      </w:r>
    </w:p>
    <w:p>
      <w:pPr>
        <w:spacing w:after="120" w:line="276" w:lineRule="auto"/>
      </w:pPr>
      <w:r>
        <w:t>**Moyennes Mobiles** : La MM20 (2 286,25 FCFA) et la MM50 (2 283,0 FCFA) sont quasi confondues et se situent toutes deux au-dessus du cours actuel (2 145 FCFA), ce qui place le titre en position de faiblesse relative à court terme. La décision « Achat » fournie traduit néanmoins la perspective d'un retour du cours vers ces moyennes, mais la configuration actuelle (cours sous les MM) invite à la prudence plutôt qu'à l'achat immédiat.</w:t>
      </w:r>
    </w:p>
    <w:p>
      <w:pPr>
        <w:spacing w:after="120" w:line="276" w:lineRule="auto"/>
      </w:pPr>
      <w:r>
        <w:t>**Bandes de Bollinger** : Le cours (2 145 FCFA) évolue dans la partie basse de la bande, proche de la borne inférieure (2 109,44 FCFA) et loin de la borne supérieure (2 463,06 FCFA). Cette position suggère une pression vendeuse récente mais aussi un potentiel de rebond technique depuis le support inférieur. La décision « Neutre » est cohérente avec cette configuration de fin de correction dans un canal encore large.</w:t>
      </w:r>
    </w:p>
    <w:p>
      <w:pPr>
        <w:spacing w:after="120" w:line="276" w:lineRule="auto"/>
      </w:pPr>
      <w:r>
        <w:t>**MACD** : La valeur du MACD (-30,045) est nettement inférieure à son signal (-3,539), avec un histogramme négatif et croissant en divergence baissière. Le momentum est clairement négatif à court terme et la décision « Vente » confirme cette pression baissière persistante, en contradiction avec la tendance de fond haussière sur 100 jours.</w:t>
      </w:r>
    </w:p>
    <w:p>
      <w:pPr>
        <w:spacing w:after="120" w:line="276" w:lineRule="auto"/>
      </w:pPr>
      <w:r>
        <w:t>**RSI** : À 30,476, le RSI se situe juste au-dessus du seuil de survente (30), zone traditionnellement propice à un rebond technique. La décision « Neutre » reflète cette position charnière : le titre n'est pas encore en survente franche mais s'en approche, ce qui limite le potentiel de baisse supplémentaire.</w:t>
      </w:r>
    </w:p>
    <w:p>
      <w:pPr>
        <w:spacing w:after="120" w:line="276" w:lineRule="auto"/>
      </w:pPr>
      <w:r>
        <w:t>**Stochastique** : Le %K à 0,0 et le %D à 3,39 traduisent une position extrême en zone de survente, avec un %K au plancher absolu. La décision « Achat » s'appuie sur ce signal de retournement potentiel : un %K à 0 est historiquement un point de rebond fréquent, bien que le croisement haussier ne soit pas encore confirmé.</w:t>
      </w:r>
    </w:p>
    <w:p>
      <w:pPr>
        <w:spacing w:after="120" w:line="276" w:lineRule="auto"/>
      </w:pPr>
      <w:r>
        <w:t>**Conclusion technique** : Les indicateurs présentent une configuration contrastée — le MACD est franchement baissier et le cours sous ses moyennes mobiles, mais le RSI proche de la survente et le stochastique au plancher plaident pour un rebond technique imminent. La divergence entre signaux de court terme (baissiers) et signaux de retournement (achat sur stochastique) suggère une phase de consolidation avant reprise, dans un contexte de tendance de fond haussière (+20,51% sur 100 jours). La prudence reste de mise tant que le cours n'aura pas reconquis la zone des 2 280-2 290 FCFA (MM20/MM50).</w:t>
      </w:r>
    </w:p>
    <w:p>
      <w:pPr>
        <w:spacing w:after="120" w:line="276" w:lineRule="auto"/>
      </w:pPr>
      <w:r>
        <w:t>---</w:t>
      </w:r>
    </w:p>
    <w:p>
      <w:pPr>
        <w:spacing w:after="120" w:line="276" w:lineRule="auto"/>
      </w:pPr>
      <w:r>
        <w:t>## PARTIE 3 : ANALYSE FONDAMENTALE</w:t>
      </w:r>
    </w:p>
    <w:p>
      <w:pPr>
        <w:spacing w:after="120" w:line="276" w:lineRule="auto"/>
      </w:pPr>
      <w:r>
        <w:t>Les états financiers de l'exercice 2025 (données structurées officielles) révèlent une société en redressement mais encore déficitaire : le chiffre d'affaires s'établit à 29,032 milliards FCFA (+6,21% de croissance), l'EBE redevient positif à 1,127 milliard FCFA (contre -0,35 milliard en 2024), mais le résultat net reste négatif à -624,11 millions FCFA, avec un ROE de -2,54% et un ROA de -1,97%. La structure financière est solide — autonomie financière de 77,58%, ratio d'endettement de seulement 1,50%, liquidité générale de 346% — mais l'exploitation demeure fragile : marge nette de -2,15%, marge opérationnelle de -1,46%, et surtout un flux opérationnel négatif de -8,124 milliards FCFA, le désendettement ayant été financé par des cessions d'immobilisations (+9,399 milliards). Sur le plan de l'exploitation (secteur ENTREPRISE), les délais clients de 45,8 jours sont maîtrisés, mais la durée de stockage de 325 jours constitue un point de vigilance majeur (immobilisation de capital), tandis que le BFR de 11,187 milliards FCFA pèse sur la trésorerie malgré un fonds de roulement de 15,001 milliards. Les rapports narratifs confirment la trajectoire : le rapport du S1 2026 (publié en 2026) montre un retour à la rentabilité opérationnelle avec un résultat d'exploitation positif de 771 millions FCFA (contre -314 millions au S1 2025) et un résultat net de 771 millions FCFA, la croissance du CA ralentissant toutefois à +0,3% (15,752 milliards). Le rapport annuel 2025 souligne la réduction de la perte nette de 71% et le désendettement fournisseurs (14,9 → 5,0 milliards), tandis que les rapports trimestriels 2025 (T1, S1, T3) documentent la plus-value exceptionnelle de cession-bail (~10 milliards) qui a artificiellement gonflé les résultats 2025. **On estime** que l'exercice 2026 devrait confirmer le retour à une rentabilité opérationnelle récurrente, portée par l'expansion à l'export (Nigeria, Guinée) et l'amélioration industrielle, mais la valorisation (EV/EBITDA 36,4x) intègre déjà largement ce scénario. La recommandation fondamentale est donc « Conserver » : solidité du bilan et redressement réel, mais rentabilité encore fragile et dépendante de facteurs non récurrents.</w:t>
      </w:r>
    </w:p>
    <w:p>
      <w:pPr>
        <w:spacing w:after="120" w:line="276" w:lineRule="auto"/>
      </w:pPr>
      <w:r>
        <w:t>---</w:t>
      </w:r>
    </w:p>
    <w:p>
      <w:pPr>
        <w:spacing w:after="120" w:line="276" w:lineRule="auto"/>
      </w:pPr>
      <w:r>
        <w:t>## PARTIE 4 : CONCLUSION D'INVESTISSEMENT</w:t>
      </w:r>
    </w:p>
    <w:p>
      <w:pPr>
        <w:spacing w:after="120" w:line="276" w:lineRule="auto"/>
      </w:pPr>
      <w:r>
        <w:t>La synthèse des quatre dimensions révèle un profil d'investissement contrasté. Sur la **valorisation (Partie 0)**, le P/B de 1,81x reste raisonnable mais l'EV/EBITDA de 36,4x et le PER négatif traduisent une surévaluation relative à la capacité bénéficiaire actuelle, le marché ayant déjà intégré le redressement. Le **comportement du cours (Partie 1)** est haussier sur 100 jours (+20,51%) avec une volatilité élevée (50,1%) et des statistiques (kurtosis -0,394, skewness -0,418) sans risque extrême mais signalant une légère pression baissière récente. Les **signaux techniques (Partie 2)** divergent : MACD baissier et cours sous les moyennes mobiles, mais RSI (30,5) et stochastique (%K=0) en zone de survente propice à un rebond — configuration de consolidation plutôt que de retournement. Les **fondamentaux (Partie 3)** montrent un redressement authentique (EBE positif, perte réduite de 71%, retour à la rentabilité opérationnelle au S1 2026) mais une rentabilité récurrente encore fragile et une valorisation exigeante. Enfin, les **prédictions IA (J+1 à J+10)** anticipent une trajectoire baissière continue de 2 137 à 2 090 FCFA, confirmant la pression court terme du MACD et contredisant le rebond attendu par le stochastique. Face à cette divergence entre fondamental en amélioration, technique en consolidation et prédiction baissière, la recommandation finale est **CONSERVER**, avec un niveau de confiance **Moyen** et un risque global **Élevé** (volatilité 50%, valorisation tendue, rentabilité non encore pérenne). L'horizon optimal est le **moyen terme (3-12 mois)**, le temps de confirmer la pérennité de la rentabilité opérationnelle au S2 2026 ; un passage à l'achat ne serait justifié qu'en cas de reconquête des 2 280 FCFA (MM20/MM50) avec confirmation du retour à l'équilibre annuel.</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- 48 sociétés analysées.</w:t>
      </w:r>
    </w:p>
    <w:p/>
    <w:p>
      <w:pPr>
        <w:jc w:val="center"/>
      </w:pPr>
      <w:r>
        <w:rPr>
          <w:i/>
          <w:color w:val="808080"/>
          <w:sz w:val="16"/>
        </w:rPr>
        <w:t xml:space="preserve">Analyse Multi-AI - </w:t>
      </w:r>
      <w:r>
        <w:rPr>
          <w:i/>
        </w:rPr>
        <w:t xml:space="preserve">DeepSeek: 49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