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26/09/2026 à 09:25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BOAB  (score 79/100)</w:t>
      </w:r>
    </w:p>
    <w:p>
      <w:pPr>
        <w:spacing w:before="20" w:after="20"/>
        <w:ind w:left="360" w:right="360"/>
        <w:shd w:val="clear" w:color="auto" w:fill="EBF5FB"/>
      </w:pPr>
      <w:r>
        <w:rPr>
          <w:b/>
          <w:sz w:val="19"/>
        </w:rPr>
        <w:t xml:space="preserve">Secteur surperformant :  </w:t>
      </w:r>
      <w:r>
        <w:rPr>
          <w:color w:val="008000"/>
          <w:sz w:val="19"/>
        </w:rPr>
        <w:t>SERVICES PUBLICS  (+64.4%)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540.78 points </w:t>
      </w:r>
      <w:r>
        <w:rPr>
          <w:color w:val="008000"/>
        </w:rPr>
        <w:t>(+1.72%)</w:t>
      </w:r>
      <w:r>
        <w:t xml:space="preserve"> sur la séance. </w:t>
      </w:r>
      <w:r>
        <w:t>La capitalisation globale du marché atteint 21 206,603 milliards FCFA.</w:t>
      </w:r>
    </w:p>
    <w:p/>
    <w:p>
      <w:pPr>
        <w:pStyle w:val="Heading3"/>
      </w:pPr>
      <w:r>
        <w:t>📊 Évolution de l'indice BRVM Composite (100 derniers jours)</w:t>
      </w:r>
    </w:p>
    <w:p>
      <w:r>
        <w:rPr>
          <w:b/>
        </w:rPr>
        <w:t xml:space="preserve">BRVM Composite — </w:t>
      </w:r>
      <w:r>
        <w:t xml:space="preserve">Sur les 100 derniers jours de cotation (2026-05-04 au 2026-09-25), l'indice BRVM Composite a évolué de </w:t>
      </w:r>
      <w:r>
        <w:rPr>
          <w:b/>
          <w:color w:val="008000"/>
        </w:rPr>
        <w:t>+33.33%</w:t>
      </w:r>
      <w:r>
        <w:t>, passant de 405.60 pts à 540.78 pts. Le plus haut atteint est 555.90 pts et le plus bas 401.60 pts. Sur l'ensemble de la période, la moyenne de l'indice s'établit à 475.84 pts, la médiane à 475.67 pts et le mode à 401.60 pts</w:t>
      </w:r>
      <w:r>
        <w:t xml:space="preserve"> (distribution symétrique). </w:t>
      </w:r>
      <w:r>
        <w:t xml:space="preserve">L'écart-type de 47.00 pts (CV=9.9%) traduit une modérée dispersion des cotations. Le kurtosis de -1.14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+35.61%</w:t>
      </w:r>
      <w:r>
        <w:t xml:space="preserve"> sur la période, passant de 15 638,037 Mds FCFA à 21 206,603 Mds FCFA. Le pic de capitalisation observé est de 21 436,336 Mds FCFA et le plancher de 15 482,993 Mds FCFA. La moyenne de la capitalisation sur la période s'établit à 18 347,364 Mds FCFA, la médiane à 18 324,451 Mds FCFA et le mode à 15 482,993 Mds FCFA</w:t>
      </w:r>
      <w:r>
        <w:t xml:space="preserve"> (distribution symétrique). </w:t>
      </w:r>
      <w:r>
        <w:t>L'écart-type de 1 825,397 Mds FCFA (CV=9.9%) reflète une modérée variabilité de la valorisation du marché. Le kurtosis de -1.14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SICC - SICC - SICOR COTE D'IVOIRE</w:t>
      </w:r>
      <w:r>
        <w:t xml:space="preserve"> | Prix: 8400 FCFA | </w:t>
      </w:r>
      <w:r>
        <w:rPr>
          <w:b/>
          <w:color w:val="008000"/>
        </w:rPr>
        <w:t>ACHAT FORT</w:t>
      </w:r>
      <w:r>
        <w:t xml:space="preserve"> | Confiance: Faible | Risque: Moyen</w:t>
      </w:r>
    </w:p>
    <w:p>
      <w:pPr>
        <w:pStyle w:val="ListNumber"/>
      </w:pPr>
      <w:r>
        <w:rPr>
          <w:b/>
        </w:rPr>
        <w:t>ABJC - ABJC - SERVAIR ABIDJAN CI</w:t>
      </w:r>
      <w:r>
        <w:t xml:space="preserve"> | Prix: 3930 FCFA | </w:t>
      </w:r>
      <w:r>
        <w:rPr>
          <w:b/>
          <w:color w:val="008000"/>
        </w:rPr>
        <w:t>ACHAT</w:t>
      </w:r>
      <w:r>
        <w:t xml:space="preserve"> | Confiance: Moyen | Risque: Faible</w:t>
      </w:r>
    </w:p>
    <w:p>
      <w:pPr>
        <w:pStyle w:val="ListNumber"/>
      </w:pPr>
      <w:r>
        <w:rPr>
          <w:b/>
        </w:rPr>
        <w:t>BICB - BIIC BN - Banque internationale pour le commerce du benin</w:t>
      </w:r>
      <w:r>
        <w:t xml:space="preserve"> | Prix: 8510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32000 FCFA | </w:t>
      </w:r>
      <w:r>
        <w:rPr>
          <w:b/>
          <w:color w:val="008000"/>
        </w:rPr>
        <w:t>ACHAT</w:t>
      </w:r>
      <w:r>
        <w:t xml:space="preserve"> | Confiance: Moyen | Risque: Moyen</w:t>
      </w:r>
    </w:p>
    <w:p>
      <w:pPr>
        <w:pStyle w:val="ListNumber"/>
      </w:pPr>
      <w:r>
        <w:rPr>
          <w:b/>
        </w:rPr>
        <w:t>BNBC - BNBC - BERNABE CI</w:t>
      </w:r>
      <w:r>
        <w:t xml:space="preserve"> | Prix: 2010 FCFA | </w:t>
      </w:r>
      <w:r>
        <w:rPr>
          <w:b/>
          <w:color w:val="008000"/>
        </w:rPr>
        <w:t>ACHAT</w:t>
      </w:r>
      <w:r>
        <w:t xml:space="preserve"> | Confiance: Moyen | Risque: Faible</w:t>
      </w:r>
    </w:p>
    <w:p>
      <w:pPr>
        <w:pStyle w:val="ListNumber"/>
      </w:pPr>
      <w:r>
        <w:rPr>
          <w:b/>
        </w:rPr>
        <w:t>BOAB - BANK OF AFRICA BENIN</w:t>
      </w:r>
      <w:r>
        <w:t xml:space="preserve"> | Prix: 8950 FCFA | </w:t>
      </w:r>
      <w:r>
        <w:rPr>
          <w:b/>
          <w:color w:val="008000"/>
        </w:rPr>
        <w:t>ACHAT</w:t>
      </w:r>
      <w:r>
        <w:t xml:space="preserve"> | Confiance: Élevée | Risque: Faible</w:t>
      </w:r>
    </w:p>
    <w:p>
      <w:pPr>
        <w:pStyle w:val="ListNumber"/>
      </w:pPr>
      <w:r>
        <w:rPr>
          <w:b/>
        </w:rPr>
        <w:t>BOABF - BANK OF AFRICA BURKINA FASO</w:t>
      </w:r>
      <w:r>
        <w:t xml:space="preserve"> | Prix: 8100 FCFA | </w:t>
      </w:r>
      <w:r>
        <w:rPr>
          <w:b/>
          <w:color w:val="008000"/>
        </w:rPr>
        <w:t>ACHAT</w:t>
      </w:r>
      <w:r>
        <w:t xml:space="preserve"> | Confiance: Moyen | Risque: Moyen</w:t>
      </w:r>
    </w:p>
    <w:p>
      <w:pPr>
        <w:pStyle w:val="ListNumber"/>
      </w:pPr>
      <w:r>
        <w:rPr>
          <w:b/>
        </w:rPr>
        <w:t>BOAC - BANK OF AFRICA COTE D'IVOIRE</w:t>
      </w:r>
      <w:r>
        <w:t xml:space="preserve"> | Prix: 11595 FCFA | </w:t>
      </w:r>
      <w:r>
        <w:rPr>
          <w:b/>
          <w:color w:val="008000"/>
        </w:rPr>
        <w:t>ACHAT</w:t>
      </w:r>
      <w:r>
        <w:t xml:space="preserve"> | Confiance: Moyen | Risque: Moyen</w:t>
      </w:r>
    </w:p>
    <w:p>
      <w:pPr>
        <w:pStyle w:val="ListNumber"/>
      </w:pPr>
      <w:r>
        <w:rPr>
          <w:b/>
        </w:rPr>
        <w:t>BOAM - BANK OF AFRICA MALI</w:t>
      </w:r>
      <w:r>
        <w:t xml:space="preserve"> | Prix: 6290 FCFA | </w:t>
      </w:r>
      <w:r>
        <w:rPr>
          <w:b/>
          <w:color w:val="008000"/>
        </w:rPr>
        <w:t>ACHAT</w:t>
      </w:r>
      <w:r>
        <w:t xml:space="preserve"> | Confiance: Moyen | Risque: Faible</w:t>
      </w:r>
    </w:p>
    <w:p>
      <w:pPr>
        <w:pStyle w:val="ListNumber"/>
      </w:pPr>
      <w:r>
        <w:rPr>
          <w:b/>
        </w:rPr>
        <w:t>BOAN - BANK OF AFRICA NIGER</w:t>
      </w:r>
      <w:r>
        <w:t xml:space="preserve"> | Prix: 5130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NTLC - NTLC - NESTLE COTE D'IVOIRE</w:t>
      </w:r>
      <w:r>
        <w:t xml:space="preserve"> | Prix: 15300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64.40%</w:t>
      </w:r>
      <w:r>
        <w:t xml:space="preserve">  |  </w:t>
      </w:r>
      <w:r>
        <w:rPr>
          <w:b/>
        </w:rPr>
        <w:t xml:space="preserve">vs BRVM Composite: </w:t>
      </w:r>
      <w:r>
        <w:rPr>
          <w:b/>
          <w:color w:val="008000"/>
        </w:rPr>
        <w:t>+31.07%  🟢 Surperformance</w:t>
      </w:r>
      <w:r>
        <w:br/>
      </w:r>
      <w:r>
        <w:rPr>
          <w:b/>
        </w:rPr>
        <w:t xml:space="preserve">Sentiment général: </w:t>
      </w:r>
      <w:r>
        <w:t xml:space="preserve">ACHAT  |  </w:t>
      </w:r>
      <w:r>
        <w:rPr>
          <w:b/>
        </w:rPr>
        <w:t xml:space="preserve">Risque moyen: </w:t>
      </w:r>
      <w:r>
        <w:t xml:space="preserve">Moyen  |  </w:t>
      </w:r>
      <w:r>
        <w:rPr>
          <w:b/>
        </w:rPr>
        <w:t xml:space="preserve">Prix moyen: </w:t>
      </w:r>
      <w:r>
        <w:t>9170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37.12%</w:t>
      </w:r>
      <w:r>
        <w:t xml:space="preserve">  |  </w:t>
      </w:r>
      <w:r>
        <w:rPr>
          <w:b/>
        </w:rPr>
        <w:t xml:space="preserve">vs BRVM Composite: </w:t>
      </w:r>
      <w:r>
        <w:rPr>
          <w:b/>
          <w:color w:val="008000"/>
        </w:rPr>
        <w:t>+3.79%  🟢 Surperformance</w:t>
      </w:r>
      <w:r>
        <w:br/>
      </w:r>
      <w:r>
        <w:rPr>
          <w:b/>
        </w:rPr>
        <w:t xml:space="preserve">Sentiment général: </w:t>
      </w:r>
      <w:r>
        <w:t xml:space="preserve">ACHAT  |  </w:t>
      </w:r>
      <w:r>
        <w:rPr>
          <w:b/>
        </w:rPr>
        <w:t xml:space="preserve">Risque moyen: </w:t>
      </w:r>
      <w:r>
        <w:t xml:space="preserve">Moyen  |  </w:t>
      </w:r>
      <w:r>
        <w:rPr>
          <w:b/>
        </w:rPr>
        <w:t xml:space="preserve">Prix moyen: </w:t>
      </w:r>
      <w:r>
        <w:t>13425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31.66%</w:t>
      </w:r>
      <w:r>
        <w:t xml:space="preserve">  |  </w:t>
      </w:r>
      <w:r>
        <w:rPr>
          <w:b/>
        </w:rPr>
        <w:t xml:space="preserve">vs BRVM Composite: </w:t>
      </w:r>
      <w:r>
        <w:rPr>
          <w:b/>
          <w:color w:val="C00000"/>
        </w:rPr>
        <w:t>-1.66%  🔴 Sous-performance</w:t>
      </w:r>
      <w:r>
        <w:br/>
      </w:r>
      <w:r>
        <w:rPr>
          <w:b/>
        </w:rPr>
        <w:t xml:space="preserve">Sentiment général: </w:t>
      </w:r>
      <w:r>
        <w:t xml:space="preserve">ACHAT  |  </w:t>
      </w:r>
      <w:r>
        <w:rPr>
          <w:b/>
        </w:rPr>
        <w:t xml:space="preserve">Risque moyen: </w:t>
      </w:r>
      <w:r>
        <w:t xml:space="preserve">Faible  |  </w:t>
      </w:r>
      <w:r>
        <w:rPr>
          <w:b/>
        </w:rPr>
        <w:t xml:space="preserve">Prix moyen: </w:t>
      </w:r>
      <w:r>
        <w:t>22252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23.59%</w:t>
      </w:r>
      <w:r>
        <w:t xml:space="preserve">  |  </w:t>
      </w:r>
      <w:r>
        <w:rPr>
          <w:b/>
        </w:rPr>
        <w:t xml:space="preserve">vs BRVM Composite: </w:t>
      </w:r>
      <w:r>
        <w:rPr>
          <w:b/>
          <w:color w:val="C00000"/>
        </w:rPr>
        <w:t>-9.74%  🔴 Sous-performance</w:t>
      </w:r>
      <w:r>
        <w:br/>
      </w:r>
      <w:r>
        <w:rPr>
          <w:b/>
        </w:rPr>
        <w:t xml:space="preserve">Sentiment général: </w:t>
      </w:r>
      <w:r>
        <w:t xml:space="preserve">ACHAT  |  </w:t>
      </w:r>
      <w:r>
        <w:rPr>
          <w:b/>
        </w:rPr>
        <w:t xml:space="preserve">Risque moyen: </w:t>
      </w:r>
      <w:r>
        <w:t xml:space="preserve">Faible  |  </w:t>
      </w:r>
      <w:r>
        <w:rPr>
          <w:b/>
        </w:rPr>
        <w:t xml:space="preserve">Prix moyen: </w:t>
      </w:r>
      <w:r>
        <w:t>6269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23.48%</w:t>
      </w:r>
      <w:r>
        <w:t xml:space="preserve">  |  </w:t>
      </w:r>
      <w:r>
        <w:rPr>
          <w:b/>
        </w:rPr>
        <w:t xml:space="preserve">vs BRVM Composite: </w:t>
      </w:r>
      <w:r>
        <w:rPr>
          <w:b/>
          <w:color w:val="C00000"/>
        </w:rPr>
        <w:t>-9.85%  🔴 Sous-performance</w:t>
      </w:r>
      <w:r>
        <w:br/>
      </w:r>
      <w:r>
        <w:rPr>
          <w:b/>
        </w:rPr>
        <w:t xml:space="preserve">Sentiment général: </w:t>
      </w:r>
      <w:r>
        <w:t xml:space="preserve">ACHAT  |  </w:t>
      </w:r>
      <w:r>
        <w:rPr>
          <w:b/>
        </w:rPr>
        <w:t xml:space="preserve">Risque moyen: </w:t>
      </w:r>
      <w:r>
        <w:t xml:space="preserve">Faible  |  </w:t>
      </w:r>
      <w:r>
        <w:rPr>
          <w:b/>
        </w:rPr>
        <w:t xml:space="preserve">Prix moyen: </w:t>
      </w:r>
      <w:r>
        <w:t>17900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20.22%</w:t>
      </w:r>
      <w:r>
        <w:t xml:space="preserve">  |  </w:t>
      </w:r>
      <w:r>
        <w:rPr>
          <w:b/>
        </w:rPr>
        <w:t xml:space="preserve">vs BRVM Composite: </w:t>
      </w:r>
      <w:r>
        <w:rPr>
          <w:b/>
          <w:color w:val="C00000"/>
        </w:rPr>
        <w:t>-13.11%  🔴 Sous-performance</w:t>
      </w:r>
      <w:r>
        <w:br/>
      </w:r>
      <w:r>
        <w:rPr>
          <w:b/>
        </w:rPr>
        <w:t xml:space="preserve">Sentiment général: </w:t>
      </w:r>
      <w:r>
        <w:t xml:space="preserve">ACHAT  |  </w:t>
      </w:r>
      <w:r>
        <w:rPr>
          <w:b/>
        </w:rPr>
        <w:t xml:space="preserve">Risque moyen: </w:t>
      </w:r>
      <w:r>
        <w:t xml:space="preserve">Faible  |  </w:t>
      </w:r>
      <w:r>
        <w:rPr>
          <w:b/>
        </w:rPr>
        <w:t xml:space="preserve">Prix moyen: </w:t>
      </w:r>
      <w:r>
        <w:t>2916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-2.93%</w:t>
      </w:r>
      <w:r>
        <w:t xml:space="preserve">  |  </w:t>
      </w:r>
      <w:r>
        <w:rPr>
          <w:b/>
        </w:rPr>
        <w:t xml:space="preserve">vs BRVM Composite: </w:t>
      </w:r>
      <w:r>
        <w:rPr>
          <w:b/>
          <w:color w:val="C00000"/>
        </w:rPr>
        <w:t>-36.25%  🔴 Sous-performance</w:t>
      </w:r>
      <w:r>
        <w:br/>
      </w:r>
      <w:r>
        <w:rPr>
          <w:b/>
        </w:rPr>
        <w:t xml:space="preserve">Sentiment général: </w:t>
      </w:r>
      <w:r>
        <w:t xml:space="preserve">ACHAT  |  </w:t>
      </w:r>
      <w:r>
        <w:rPr>
          <w:b/>
        </w:rPr>
        <w:t xml:space="preserve">Risque moyen: </w:t>
      </w:r>
      <w:r>
        <w:t xml:space="preserve">Moyen  |  </w:t>
      </w:r>
      <w:r>
        <w:rPr>
          <w:b/>
        </w:rPr>
        <w:t xml:space="preserve">Prix moyen: </w:t>
      </w:r>
      <w:r>
        <w:t>2313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BOAB, ECOC, NEIC, SAFC, SGBC, SHEC, SPHC,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BICC, BNBC, BOABF, BOAC, BOAM, BOAN, BOAS, CBIBF, CIEC, ETIT, FTSC, NSBC, ORAC, ORGT, PALC, SDCC, SDSC, SEMC, SIBC, SIVC, SMBC, SNTS, STAC,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CABC, CFAC, LNBB, ONTBF, PRSC, SCRC, SICC, SLBC, SOGC, STBC, UNLC</w:t>
            </w:r>
          </w:p>
        </w:tc>
        <w:tc>
          <w:tcPr>
            <w:tcW w:type="dxa" w:w="2160"/>
            <w:shd w:fill="FFC7CE" w:val="clear"/>
          </w:tcPr>
          <w:p>
            <w:pPr>
              <w:spacing w:before="40" w:after="40"/>
            </w:pPr>
            <w:r/>
            <w:r>
              <w:rPr>
                <w:b w:val="0"/>
                <w:sz w:val="16"/>
              </w:rPr>
              <w:t>NTLC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1912145</w:t>
            </w:r>
          </w:p>
        </w:tc>
        <w:tc>
          <w:tcPr>
            <w:tcW w:type="dxa" w:w="1728"/>
          </w:tcPr>
          <w:p>
            <w:r>
              <w:t>129589685 FCFA</w:t>
            </w:r>
          </w:p>
        </w:tc>
        <w:tc>
          <w:tcPr>
            <w:tcW w:type="dxa" w:w="1728"/>
          </w:tcPr>
          <w:p>
            <w:r>
              <w:t>130.00%</w:t>
            </w:r>
          </w:p>
        </w:tc>
        <w:tc>
          <w:tcPr>
            <w:tcW w:type="dxa" w:w="1728"/>
          </w:tcPr>
          <w:p>
            <w:r>
              <w:t>ACHAT</w:t>
            </w:r>
          </w:p>
        </w:tc>
      </w:tr>
      <w:tr>
        <w:tc>
          <w:tcPr>
            <w:tcW w:type="dxa" w:w="1728"/>
          </w:tcPr>
          <w:p>
            <w:r>
              <w:t>SNTS (SNTS - SONATEL SN)</w:t>
            </w:r>
          </w:p>
        </w:tc>
        <w:tc>
          <w:tcPr>
            <w:tcW w:type="dxa" w:w="1728"/>
          </w:tcPr>
          <w:p>
            <w:r>
              <w:t>19953</w:t>
            </w:r>
          </w:p>
        </w:tc>
        <w:tc>
          <w:tcPr>
            <w:tcW w:type="dxa" w:w="1728"/>
          </w:tcPr>
          <w:p>
            <w:r>
              <w:t>798716305 FCFA</w:t>
            </w:r>
          </w:p>
        </w:tc>
        <w:tc>
          <w:tcPr>
            <w:tcW w:type="dxa" w:w="1728"/>
          </w:tcPr>
          <w:p>
            <w:r>
              <w:t>46.55%</w:t>
            </w:r>
          </w:p>
        </w:tc>
        <w:tc>
          <w:tcPr>
            <w:tcW w:type="dxa" w:w="1728"/>
          </w:tcPr>
          <w:p>
            <w:r>
              <w:t>ACHAT</w:t>
            </w:r>
          </w:p>
        </w:tc>
      </w:tr>
      <w:tr>
        <w:tc>
          <w:tcPr>
            <w:tcW w:type="dxa" w:w="1728"/>
          </w:tcPr>
          <w:p>
            <w:r>
              <w:t>SDSC (SDSC - AFRICA GLOBAL LOGISTICS CI)</w:t>
            </w:r>
          </w:p>
        </w:tc>
        <w:tc>
          <w:tcPr>
            <w:tcW w:type="dxa" w:w="1728"/>
          </w:tcPr>
          <w:p>
            <w:r>
              <w:t>16338</w:t>
            </w:r>
          </w:p>
        </w:tc>
        <w:tc>
          <w:tcPr>
            <w:tcW w:type="dxa" w:w="1728"/>
          </w:tcPr>
          <w:p>
            <w:r>
              <w:t>47234218 FCFA</w:t>
            </w:r>
          </w:p>
        </w:tc>
        <w:tc>
          <w:tcPr>
            <w:tcW w:type="dxa" w:w="1728"/>
          </w:tcPr>
          <w:p>
            <w:r>
              <w:t>72.62%</w:t>
            </w:r>
          </w:p>
        </w:tc>
        <w:tc>
          <w:tcPr>
            <w:tcW w:type="dxa" w:w="1728"/>
          </w:tcPr>
          <w:p>
            <w:r>
              <w:t>ACHAT</w:t>
            </w:r>
          </w:p>
        </w:tc>
      </w:tr>
      <w:tr>
        <w:tc>
          <w:tcPr>
            <w:tcW w:type="dxa" w:w="1728"/>
          </w:tcPr>
          <w:p>
            <w:r>
              <w:t>SIBC (SIBC - SOCIETE IVOIRIENNE DE BANQUE)</w:t>
            </w:r>
          </w:p>
        </w:tc>
        <w:tc>
          <w:tcPr>
            <w:tcW w:type="dxa" w:w="1728"/>
          </w:tcPr>
          <w:p>
            <w:r>
              <w:t>15715</w:t>
            </w:r>
          </w:p>
        </w:tc>
        <w:tc>
          <w:tcPr>
            <w:tcW w:type="dxa" w:w="1728"/>
          </w:tcPr>
          <w:p>
            <w:r>
              <w:t>142822684 FCFA</w:t>
            </w:r>
          </w:p>
        </w:tc>
        <w:tc>
          <w:tcPr>
            <w:tcW w:type="dxa" w:w="1728"/>
          </w:tcPr>
          <w:p>
            <w:r>
              <w:t>23.63%</w:t>
            </w:r>
          </w:p>
        </w:tc>
        <w:tc>
          <w:tcPr>
            <w:tcW w:type="dxa" w:w="1728"/>
          </w:tcPr>
          <w:p>
            <w:r>
              <w:t>ACHAT</w:t>
            </w:r>
          </w:p>
        </w:tc>
      </w:tr>
      <w:tr>
        <w:tc>
          <w:tcPr>
            <w:tcW w:type="dxa" w:w="1728"/>
          </w:tcPr>
          <w:p>
            <w:r>
              <w:t>BOAS (BANK OF AFRICA SENEGAL)</w:t>
            </w:r>
          </w:p>
        </w:tc>
        <w:tc>
          <w:tcPr>
            <w:tcW w:type="dxa" w:w="1728"/>
          </w:tcPr>
          <w:p>
            <w:r>
              <w:t>14347</w:t>
            </w:r>
          </w:p>
        </w:tc>
        <w:tc>
          <w:tcPr>
            <w:tcW w:type="dxa" w:w="1728"/>
          </w:tcPr>
          <w:p>
            <w:r>
              <w:t>117325383 FCFA</w:t>
            </w:r>
          </w:p>
        </w:tc>
        <w:tc>
          <w:tcPr>
            <w:tcW w:type="dxa" w:w="1728"/>
          </w:tcPr>
          <w:p>
            <w:r>
              <w:t>14.08%</w:t>
            </w:r>
          </w:p>
        </w:tc>
        <w:tc>
          <w:tcPr>
            <w:tcW w:type="dxa" w:w="1728"/>
          </w:tcPr>
          <w:p>
            <w:r>
              <w:t>ACHAT</w:t>
            </w:r>
          </w:p>
        </w:tc>
      </w:tr>
      <w:tr>
        <w:tc>
          <w:tcPr>
            <w:tcW w:type="dxa" w:w="1728"/>
          </w:tcPr>
          <w:p>
            <w:r>
              <w:t>BICB (BIIC BN - Banque internationale pour le commerce du benin)</w:t>
            </w:r>
          </w:p>
        </w:tc>
        <w:tc>
          <w:tcPr>
            <w:tcW w:type="dxa" w:w="1728"/>
          </w:tcPr>
          <w:p>
            <w:r>
              <w:t>12317</w:t>
            </w:r>
          </w:p>
        </w:tc>
        <w:tc>
          <w:tcPr>
            <w:tcW w:type="dxa" w:w="1728"/>
          </w:tcPr>
          <w:p>
            <w:r>
              <w:t>118133028 FCFA</w:t>
            </w:r>
          </w:p>
        </w:tc>
        <w:tc>
          <w:tcPr>
            <w:tcW w:type="dxa" w:w="1728"/>
          </w:tcPr>
          <w:p>
            <w:r>
              <w:t>60.41%</w:t>
            </w:r>
          </w:p>
        </w:tc>
        <w:tc>
          <w:tcPr>
            <w:tcW w:type="dxa" w:w="1728"/>
          </w:tcPr>
          <w:p>
            <w:r>
              <w:t>ACHAT</w:t>
            </w:r>
          </w:p>
        </w:tc>
      </w:tr>
      <w:tr>
        <w:tc>
          <w:tcPr>
            <w:tcW w:type="dxa" w:w="1728"/>
          </w:tcPr>
          <w:p>
            <w:r>
              <w:t>SAFC (SAFCA CI)</w:t>
            </w:r>
          </w:p>
        </w:tc>
        <w:tc>
          <w:tcPr>
            <w:tcW w:type="dxa" w:w="1728"/>
          </w:tcPr>
          <w:p>
            <w:r>
              <w:t>12085</w:t>
            </w:r>
          </w:p>
        </w:tc>
        <w:tc>
          <w:tcPr>
            <w:tcW w:type="dxa" w:w="1728"/>
          </w:tcPr>
          <w:p>
            <w:r>
              <w:t>64343125 FCFA</w:t>
            </w:r>
          </w:p>
        </w:tc>
        <w:tc>
          <w:tcPr>
            <w:tcW w:type="dxa" w:w="1728"/>
          </w:tcPr>
          <w:p>
            <w:r>
              <w:t>28.74%</w:t>
            </w:r>
          </w:p>
        </w:tc>
        <w:tc>
          <w:tcPr>
            <w:tcW w:type="dxa" w:w="1728"/>
          </w:tcPr>
          <w:p>
            <w:r>
              <w:t>ACHAT</w:t>
            </w:r>
          </w:p>
        </w:tc>
      </w:tr>
      <w:tr>
        <w:tc>
          <w:tcPr>
            <w:tcW w:type="dxa" w:w="1728"/>
          </w:tcPr>
          <w:p>
            <w:r>
              <w:t>UNXC (UNXC - UNIWAX COTE D'IVOIRE)</w:t>
            </w:r>
          </w:p>
        </w:tc>
        <w:tc>
          <w:tcPr>
            <w:tcW w:type="dxa" w:w="1728"/>
          </w:tcPr>
          <w:p>
            <w:r>
              <w:t>11948</w:t>
            </w:r>
          </w:p>
        </w:tc>
        <w:tc>
          <w:tcPr>
            <w:tcW w:type="dxa" w:w="1728"/>
          </w:tcPr>
          <w:p>
            <w:r>
              <w:t>28092088 FCFA</w:t>
            </w:r>
          </w:p>
        </w:tc>
        <w:tc>
          <w:tcPr>
            <w:tcW w:type="dxa" w:w="1728"/>
          </w:tcPr>
          <w:p>
            <w:r>
              <w:t>25.00%</w:t>
            </w:r>
          </w:p>
        </w:tc>
        <w:tc>
          <w:tcPr>
            <w:tcW w:type="dxa" w:w="1728"/>
          </w:tcPr>
          <w:p>
            <w:r>
              <w:t>ACHAT</w:t>
            </w:r>
          </w:p>
        </w:tc>
      </w:tr>
      <w:tr>
        <w:tc>
          <w:tcPr>
            <w:tcW w:type="dxa" w:w="1728"/>
          </w:tcPr>
          <w:p>
            <w:r>
              <w:t>BOAC (BANK OF AFRICA COTE D'IVOIRE)</w:t>
            </w:r>
          </w:p>
        </w:tc>
        <w:tc>
          <w:tcPr>
            <w:tcW w:type="dxa" w:w="1728"/>
          </w:tcPr>
          <w:p>
            <w:r>
              <w:t>11511</w:t>
            </w:r>
          </w:p>
        </w:tc>
        <w:tc>
          <w:tcPr>
            <w:tcW w:type="dxa" w:w="1728"/>
          </w:tcPr>
          <w:p>
            <w:r>
              <w:t>137501585 FCFA</w:t>
            </w:r>
          </w:p>
        </w:tc>
        <w:tc>
          <w:tcPr>
            <w:tcW w:type="dxa" w:w="1728"/>
          </w:tcPr>
          <w:p>
            <w:r>
              <w:t>31.09%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BNBC (BNBC - BERNABE CI)</w:t>
            </w:r>
          </w:p>
        </w:tc>
        <w:tc>
          <w:tcPr>
            <w:tcW w:type="dxa" w:w="1728"/>
          </w:tcPr>
          <w:p>
            <w:r>
              <w:t>3874</w:t>
            </w:r>
          </w:p>
        </w:tc>
        <w:tc>
          <w:tcPr>
            <w:tcW w:type="dxa" w:w="1728"/>
          </w:tcPr>
          <w:p>
            <w:r>
              <w:t>8400292 FCFA</w:t>
            </w:r>
          </w:p>
        </w:tc>
        <w:tc>
          <w:tcPr>
            <w:tcW w:type="dxa" w:w="1728"/>
          </w:tcPr>
          <w:p>
            <w:r>
              <w:t>38.62%</w:t>
            </w:r>
          </w:p>
        </w:tc>
        <w:tc>
          <w:tcPr>
            <w:tcW w:type="dxa" w:w="1728"/>
          </w:tcPr>
          <w:p>
            <w:r>
              <w:t>ACHAT</w:t>
            </w:r>
          </w:p>
        </w:tc>
      </w:tr>
      <w:tr>
        <w:tc>
          <w:tcPr>
            <w:tcW w:type="dxa" w:w="1728"/>
          </w:tcPr>
          <w:p>
            <w:r>
              <w:t>SOGC (SOGC - Société des caoutchoucs de Grand-Béréby)</w:t>
            </w:r>
          </w:p>
        </w:tc>
        <w:tc>
          <w:tcPr>
            <w:tcW w:type="dxa" w:w="1728"/>
          </w:tcPr>
          <w:p>
            <w:r>
              <w:t>3533</w:t>
            </w:r>
          </w:p>
        </w:tc>
        <w:tc>
          <w:tcPr>
            <w:tcW w:type="dxa" w:w="1728"/>
          </w:tcPr>
          <w:p>
            <w:r>
              <w:t>29031461 FCFA</w:t>
            </w:r>
          </w:p>
        </w:tc>
        <w:tc>
          <w:tcPr>
            <w:tcW w:type="dxa" w:w="1728"/>
          </w:tcPr>
          <w:p>
            <w:r>
              <w:t>9.72%</w:t>
            </w:r>
          </w:p>
        </w:tc>
        <w:tc>
          <w:tcPr>
            <w:tcW w:type="dxa" w:w="1728"/>
          </w:tcPr>
          <w:p>
            <w:r>
              <w:t>ACHAT</w:t>
            </w:r>
          </w:p>
        </w:tc>
      </w:tr>
      <w:tr>
        <w:tc>
          <w:tcPr>
            <w:tcW w:type="dxa" w:w="1728"/>
          </w:tcPr>
          <w:p>
            <w:r>
              <w:t>STBC (STBC - SITAB COTE D'IVOIRE)</w:t>
            </w:r>
          </w:p>
        </w:tc>
        <w:tc>
          <w:tcPr>
            <w:tcW w:type="dxa" w:w="1728"/>
          </w:tcPr>
          <w:p>
            <w:r>
              <w:t>3506</w:t>
            </w:r>
          </w:p>
        </w:tc>
        <w:tc>
          <w:tcPr>
            <w:tcW w:type="dxa" w:w="1728"/>
          </w:tcPr>
          <w:p>
            <w:r>
              <w:t>76354082 FCFA</w:t>
            </w:r>
          </w:p>
        </w:tc>
        <w:tc>
          <w:tcPr>
            <w:tcW w:type="dxa" w:w="1728"/>
          </w:tcPr>
          <w:p>
            <w:r>
              <w:t>4.39%</w:t>
            </w:r>
          </w:p>
        </w:tc>
        <w:tc>
          <w:tcPr>
            <w:tcW w:type="dxa" w:w="1728"/>
          </w:tcPr>
          <w:p>
            <w:r>
              <w:t>ACHAT</w:t>
            </w:r>
          </w:p>
        </w:tc>
      </w:tr>
      <w:tr>
        <w:tc>
          <w:tcPr>
            <w:tcW w:type="dxa" w:w="1728"/>
          </w:tcPr>
          <w:p>
            <w:r>
              <w:t>PALC (PALC - PALM COTE D'IVOIRE)</w:t>
            </w:r>
          </w:p>
        </w:tc>
        <w:tc>
          <w:tcPr>
            <w:tcW w:type="dxa" w:w="1728"/>
          </w:tcPr>
          <w:p>
            <w:r>
              <w:t>3464</w:t>
            </w:r>
          </w:p>
        </w:tc>
        <w:tc>
          <w:tcPr>
            <w:tcW w:type="dxa" w:w="1728"/>
          </w:tcPr>
          <w:p>
            <w:r>
              <w:t>29554688 FCFA</w:t>
            </w:r>
          </w:p>
        </w:tc>
        <w:tc>
          <w:tcPr>
            <w:tcW w:type="dxa" w:w="1728"/>
          </w:tcPr>
          <w:p>
            <w:r>
              <w:t>15.71%</w:t>
            </w:r>
          </w:p>
        </w:tc>
        <w:tc>
          <w:tcPr>
            <w:tcW w:type="dxa" w:w="1728"/>
          </w:tcPr>
          <w:p>
            <w:r>
              <w:t>ACHAT</w:t>
            </w:r>
          </w:p>
        </w:tc>
      </w:tr>
      <w:tr>
        <w:tc>
          <w:tcPr>
            <w:tcW w:type="dxa" w:w="1728"/>
          </w:tcPr>
          <w:p>
            <w:r>
              <w:t>CFAC (CFAC - CFAO MOTORS CI)</w:t>
            </w:r>
          </w:p>
        </w:tc>
        <w:tc>
          <w:tcPr>
            <w:tcW w:type="dxa" w:w="1728"/>
          </w:tcPr>
          <w:p>
            <w:r>
              <w:t>3380</w:t>
            </w:r>
          </w:p>
        </w:tc>
        <w:tc>
          <w:tcPr>
            <w:tcW w:type="dxa" w:w="1728"/>
          </w:tcPr>
          <w:p>
            <w:r>
              <w:t>5713292 FCFA</w:t>
            </w:r>
          </w:p>
        </w:tc>
        <w:tc>
          <w:tcPr>
            <w:tcW w:type="dxa" w:w="1728"/>
          </w:tcPr>
          <w:p>
            <w:r>
              <w:t>8.74%</w:t>
            </w:r>
          </w:p>
        </w:tc>
        <w:tc>
          <w:tcPr>
            <w:tcW w:type="dxa" w:w="1728"/>
          </w:tcPr>
          <w:p>
            <w:r>
              <w:t>ACHAT</w:t>
            </w:r>
          </w:p>
        </w:tc>
      </w:tr>
      <w:tr>
        <w:tc>
          <w:tcPr>
            <w:tcW w:type="dxa" w:w="1728"/>
          </w:tcPr>
          <w:p>
            <w:r>
              <w:t>NEIC (NEIC - NEI-CEDA CI)</w:t>
            </w:r>
          </w:p>
        </w:tc>
        <w:tc>
          <w:tcPr>
            <w:tcW w:type="dxa" w:w="1728"/>
          </w:tcPr>
          <w:p>
            <w:r>
              <w:t>3156</w:t>
            </w:r>
          </w:p>
        </w:tc>
        <w:tc>
          <w:tcPr>
            <w:tcW w:type="dxa" w:w="1728"/>
          </w:tcPr>
          <w:p>
            <w:r>
              <w:t>8450399 FCFA</w:t>
            </w:r>
          </w:p>
        </w:tc>
        <w:tc>
          <w:tcPr>
            <w:tcW w:type="dxa" w:w="1728"/>
          </w:tcPr>
          <w:p>
            <w:r>
              <w:t>35.80%</w:t>
            </w:r>
          </w:p>
        </w:tc>
        <w:tc>
          <w:tcPr>
            <w:tcW w:type="dxa" w:w="1728"/>
          </w:tcPr>
          <w:p>
            <w:r>
              <w:t>ACHAT</w:t>
            </w:r>
          </w:p>
        </w:tc>
      </w:tr>
      <w:tr>
        <w:tc>
          <w:tcPr>
            <w:tcW w:type="dxa" w:w="1728"/>
          </w:tcPr>
          <w:p>
            <w:r>
              <w:t>FTSC (FTSC - FILTISAC COTE D'IVOIRE)</w:t>
            </w:r>
          </w:p>
        </w:tc>
        <w:tc>
          <w:tcPr>
            <w:tcW w:type="dxa" w:w="1728"/>
          </w:tcPr>
          <w:p>
            <w:r>
              <w:t>3121</w:t>
            </w:r>
          </w:p>
        </w:tc>
        <w:tc>
          <w:tcPr>
            <w:tcW w:type="dxa" w:w="1728"/>
          </w:tcPr>
          <w:p>
            <w:r>
              <w:t>6541982 FCFA</w:t>
            </w:r>
          </w:p>
        </w:tc>
        <w:tc>
          <w:tcPr>
            <w:tcW w:type="dxa" w:w="1728"/>
          </w:tcPr>
          <w:p>
            <w:r>
              <w:t>-8.88%</w:t>
            </w:r>
          </w:p>
        </w:tc>
        <w:tc>
          <w:tcPr>
            <w:tcW w:type="dxa" w:w="1728"/>
          </w:tcPr>
          <w:p>
            <w:r>
              <w:t>ACHAT</w:t>
            </w:r>
          </w:p>
        </w:tc>
      </w:tr>
      <w:tr>
        <w:tc>
          <w:tcPr>
            <w:tcW w:type="dxa" w:w="1728"/>
          </w:tcPr>
          <w:p>
            <w:r>
              <w:t>ECOC (ECOC - ECOBANK COTE D'IVOIRE)</w:t>
            </w:r>
          </w:p>
        </w:tc>
        <w:tc>
          <w:tcPr>
            <w:tcW w:type="dxa" w:w="1728"/>
          </w:tcPr>
          <w:p>
            <w:r>
              <w:t>3018</w:t>
            </w:r>
          </w:p>
        </w:tc>
        <w:tc>
          <w:tcPr>
            <w:tcW w:type="dxa" w:w="1728"/>
          </w:tcPr>
          <w:p>
            <w:r>
              <w:t>51423236 FCFA</w:t>
            </w:r>
          </w:p>
        </w:tc>
        <w:tc>
          <w:tcPr>
            <w:tcW w:type="dxa" w:w="1728"/>
          </w:tcPr>
          <w:p>
            <w:r>
              <w:t>4.38%</w:t>
            </w:r>
          </w:p>
        </w:tc>
        <w:tc>
          <w:tcPr>
            <w:tcW w:type="dxa" w:w="1728"/>
          </w:tcPr>
          <w:p>
            <w:r>
              <w:t>ACHAT</w:t>
            </w:r>
          </w:p>
        </w:tc>
      </w:tr>
      <w:tr>
        <w:tc>
          <w:tcPr>
            <w:tcW w:type="dxa" w:w="1728"/>
          </w:tcPr>
          <w:p>
            <w:r>
              <w:t>SDCC (SDCC - Société de Distribution d'Eau de Côte d'Ivoire)</w:t>
            </w:r>
          </w:p>
        </w:tc>
        <w:tc>
          <w:tcPr>
            <w:tcW w:type="dxa" w:w="1728"/>
          </w:tcPr>
          <w:p>
            <w:r>
              <w:t>2184</w:t>
            </w:r>
          </w:p>
        </w:tc>
        <w:tc>
          <w:tcPr>
            <w:tcW w:type="dxa" w:w="1728"/>
          </w:tcPr>
          <w:p>
            <w:r>
              <w:t>28645567 FCFA</w:t>
            </w:r>
          </w:p>
        </w:tc>
        <w:tc>
          <w:tcPr>
            <w:tcW w:type="dxa" w:w="1728"/>
          </w:tcPr>
          <w:p>
            <w:r>
              <w:t>26.60%</w:t>
            </w:r>
          </w:p>
        </w:tc>
        <w:tc>
          <w:tcPr>
            <w:tcW w:type="dxa" w:w="1728"/>
          </w:tcPr>
          <w:p>
            <w:r>
              <w:t>ACHAT</w:t>
            </w:r>
          </w:p>
        </w:tc>
      </w:tr>
      <w:tr>
        <w:tc>
          <w:tcPr>
            <w:tcW w:type="dxa" w:w="1728"/>
          </w:tcPr>
          <w:p>
            <w:r>
              <w:t>PRSC (PRSC - TRACTAFRIC MOTORS CI)</w:t>
            </w:r>
          </w:p>
        </w:tc>
        <w:tc>
          <w:tcPr>
            <w:tcW w:type="dxa" w:w="1728"/>
          </w:tcPr>
          <w:p>
            <w:r>
              <w:t>2163</w:t>
            </w:r>
          </w:p>
        </w:tc>
        <w:tc>
          <w:tcPr>
            <w:tcW w:type="dxa" w:w="1728"/>
          </w:tcPr>
          <w:p>
            <w:r>
              <w:t>9536500 FCFA</w:t>
            </w:r>
          </w:p>
        </w:tc>
        <w:tc>
          <w:tcPr>
            <w:tcW w:type="dxa" w:w="1728"/>
          </w:tcPr>
          <w:p>
            <w:r>
              <w:t>-1.41%</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CABC - CABC - SICABLE COTE D'IVOIRE</w:t>
      </w:r>
    </w:p>
    <w:p>
      <w:r>
        <w:rPr>
          <w:b/>
        </w:rPr>
        <w:t xml:space="preserve">Score de divergence: </w:t>
      </w:r>
      <w:r>
        <w:t>5/8</w:t>
        <w:br/>
      </w:r>
      <w:r>
        <w:rPr>
          <w:b/>
        </w:rPr>
        <w:t xml:space="preserve">Description: </w:t>
      </w:r>
      <w:r>
        <w:t>Signaux de vente: MM, MACD | Recommandation finale: ACHAT</w:t>
        <w:br/>
      </w:r>
    </w:p>
    <w:p/>
    <w:p>
      <w:pPr>
        <w:pStyle w:val="Heading3"/>
      </w:pPr>
      <w:r>
        <w:t>2.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3.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4. SCRC - SCRC - SUCRIVOIRE</w:t>
      </w:r>
    </w:p>
    <w:p>
      <w:r>
        <w:rPr>
          <w:b/>
        </w:rPr>
        <w:t xml:space="preserve">Score de divergence: </w:t>
      </w:r>
      <w:r>
        <w:t>5/8</w:t>
        <w:br/>
      </w:r>
      <w:r>
        <w:rPr>
          <w:b/>
        </w:rPr>
        <w:t xml:space="preserve">Description: </w:t>
      </w:r>
      <w:r>
        <w:t>Signaux de vente: MM, MACD | Recommandation finale: ACHAT</w:t>
        <w:br/>
      </w:r>
    </w:p>
    <w:p/>
    <w:p>
      <w:pPr>
        <w:pStyle w:val="Heading3"/>
      </w:pPr>
      <w:r>
        <w:t>5. SLBC - SLBC - SOLIBRA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8.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9. CFAC - CFAC - CFAO MOTORS CI</w:t>
      </w:r>
    </w:p>
    <w:p>
      <w:r>
        <w:rPr>
          <w:b/>
        </w:rPr>
        <w:t xml:space="preserve">Score de divergence: </w:t>
      </w:r>
      <w:r>
        <w:t>4/8</w:t>
        <w:br/>
      </w:r>
      <w:r>
        <w:rPr>
          <w:b/>
        </w:rPr>
        <w:t xml:space="preserve">Description: </w:t>
      </w:r>
      <w:r>
        <w:t>Signaux d'achat: RSI | Signaux de vente: MM, MACD | Recommandation finale: ACHAT</w:t>
        <w:br/>
      </w:r>
    </w:p>
    <w:p/>
    <w:p>
      <w:pPr>
        <w:pStyle w:val="Heading3"/>
      </w:pPr>
      <w:r>
        <w:t>10. ONTBF - ONTBF - ONATEL BURKINA FASO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27</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PALC (PALC - PALM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**Pétrole en forte hausse** : retournement des prix du brut après une période de baisse (Vietnam.vn, 25/09).</w:t>
      </w:r>
    </w:p>
    <w:p>
      <w:pPr>
        <w:pStyle w:val="ListBullet"/>
        <w:spacing w:before="20" w:after="20"/>
        <w:ind w:left="360"/>
      </w:pPr>
      <w:r>
        <w:rPr>
          <w:sz w:val="18"/>
        </w:rPr>
        <w:t>**Incertitude carburants** : Suissenégoce alerte sur l'impossibilité de prévoir l'évolution des prix (24/09).</w:t>
      </w:r>
    </w:p>
    <w:p>
      <w:pPr>
        <w:pStyle w:val="ListBullet"/>
        <w:spacing w:before="20" w:after="20"/>
        <w:ind w:left="360"/>
      </w:pPr>
      <w:r>
        <w:rPr>
          <w:sz w:val="18"/>
        </w:rPr>
        <w:t>**Médias IA** : impact réduit des articles générés par IA sur les cours (Les Echos, 25/09) — signal de moindre efficience informationnelle.</w:t>
      </w:r>
    </w:p>
    <w:p>
      <w:pPr>
        <w:pStyle w:val="Heading3"/>
      </w:pPr>
      <w:r>
        <w:rPr>
          <w:color w:val="500050"/>
        </w:rPr>
        <w:t>⚡ Impact estimé sur la BRVM</w:t>
      </w:r>
    </w:p>
    <w:p>
      <w:pPr>
        <w:spacing w:before="20" w:after="40"/>
        <w:ind w:left="280"/>
      </w:pPr>
      <w:r>
        <w:rPr>
          <w:i/>
          <w:sz w:val="18"/>
        </w:rPr>
        <w:t>La hausse du pétrole pèse sur les coûts énergétiques des industriels (SIVC, STAC) et des utilities (TTLS, SHEC, ONTBF). Les distributeurs (NEIC) et transporteurs verront leurs marges compressées. Sentiment globalement négatif pour les secteurs énergie-consommateurs.</w:t>
      </w:r>
    </w:p>
    <w:p>
      <w:pPr>
        <w:pStyle w:val="Heading2"/>
      </w:pPr>
      <w:r>
        <w:rPr>
          <w:color w:val="006E32"/>
        </w:rPr>
        <w:t>🌍 Plan Africain</w:t>
      </w:r>
    </w:p>
    <w:p>
      <w:pPr>
        <w:pStyle w:val="ListBullet"/>
        <w:spacing w:before="20" w:after="20"/>
        <w:ind w:left="360"/>
      </w:pPr>
      <w:r>
        <w:rPr>
          <w:sz w:val="18"/>
        </w:rPr>
        <w:t>**Sénégal-FMI** : accord sur un programme d'aide de ~1,9 Md€ (01-02/09) — soutien budgétaire majeur.</w:t>
      </w:r>
    </w:p>
    <w:p>
      <w:pPr>
        <w:pStyle w:val="ListBullet"/>
        <w:spacing w:before="20" w:after="20"/>
        <w:ind w:left="360"/>
      </w:pPr>
      <w:r>
        <w:rPr>
          <w:sz w:val="18"/>
        </w:rPr>
        <w:t>**Afrique du Sud** : Goldman Sachs anticipe un retour en « Investment grade » dès 2028 (02/09).</w:t>
      </w:r>
    </w:p>
    <w:p>
      <w:pPr>
        <w:pStyle w:val="ListBullet"/>
        <w:spacing w:before="20" w:after="20"/>
        <w:ind w:left="360"/>
      </w:pPr>
      <w:r>
        <w:rPr>
          <w:sz w:val="18"/>
        </w:rPr>
        <w:t>**Dette UEMOA** : le Mali paie 173 pb de plus que le Togo sur le marché régional (26/09).</w:t>
      </w:r>
    </w:p>
    <w:p>
      <w:pPr>
        <w:pStyle w:val="Heading3"/>
      </w:pPr>
      <w:r>
        <w:rPr>
          <w:color w:val="500050"/>
        </w:rPr>
        <w:t>⚡ Impact estimé sur la BRVM</w:t>
      </w:r>
    </w:p>
    <w:p>
      <w:pPr>
        <w:spacing w:before="20" w:after="40"/>
        <w:ind w:left="280"/>
      </w:pPr>
      <w:r>
        <w:rPr>
          <w:i/>
          <w:sz w:val="18"/>
        </w:rPr>
        <w:t>L'accord FMI-Sénégal renforce la crédibilité souveraine de la zone et soutient indirectement les banques exposées (SGBC, BICB, ECOC). Le spread Mali-Togo illustre une fragmentation persistante du risque souverain UEMOA.</w:t>
      </w:r>
    </w:p>
    <w:p>
      <w:pPr>
        <w:pStyle w:val="Heading2"/>
      </w:pPr>
      <w:r>
        <w:rPr>
          <w:color w:val="145A28"/>
        </w:rPr>
        <w:t>🌍 Plan Afrique de l'Ouest</w:t>
      </w:r>
    </w:p>
    <w:p>
      <w:pPr>
        <w:pStyle w:val="ListBullet"/>
        <w:spacing w:before="20" w:after="20"/>
        <w:ind w:left="360"/>
      </w:pPr>
      <w:r>
        <w:rPr>
          <w:sz w:val="18"/>
        </w:rPr>
        <w:t>**ZLECAf** : les femmes parlementaires CEDEAO misent sur la zone de libre-échange (25/09).</w:t>
      </w:r>
    </w:p>
    <w:p>
      <w:pPr>
        <w:pStyle w:val="ListBullet"/>
        <w:spacing w:before="20" w:after="20"/>
        <w:ind w:left="360"/>
      </w:pPr>
      <w:r>
        <w:rPr>
          <w:sz w:val="18"/>
        </w:rPr>
        <w:t>**Migrants** : la CEDEAO préconise des programmes de réintégration (25/09).</w:t>
      </w:r>
    </w:p>
    <w:p>
      <w:pPr>
        <w:pStyle w:val="ListBullet"/>
        <w:spacing w:before="20" w:after="20"/>
        <w:ind w:left="360"/>
      </w:pPr>
      <w:r>
        <w:rPr>
          <w:sz w:val="18"/>
        </w:rPr>
        <w:t>**Ghana** : appel à élire les membres du Parlement CEDEAO (24/09).</w:t>
      </w:r>
    </w:p>
    <w:p>
      <w:pPr>
        <w:pStyle w:val="Heading3"/>
      </w:pPr>
      <w:r>
        <w:rPr>
          <w:color w:val="500050"/>
        </w:rPr>
        <w:t>⚡ Impact estimé sur la BRVM</w:t>
      </w:r>
    </w:p>
    <w:p>
      <w:pPr>
        <w:spacing w:before="20" w:after="40"/>
        <w:ind w:left="280"/>
      </w:pPr>
      <w:r>
        <w:rPr>
          <w:i/>
          <w:sz w:val="18"/>
        </w:rPr>
        <w:t>La dynamique ZLECAf est favorable à moyen terme aux sociétés panafricaines (SNTS, BOAB, ETIT). Effets immédiats limités sur les cours.</w:t>
      </w:r>
    </w:p>
    <w:p>
      <w:pPr>
        <w:pStyle w:val="Heading2"/>
      </w:pPr>
      <w:r>
        <w:rPr>
          <w:color w:val="8C4600"/>
        </w:rPr>
        <w:t>🏦 Plan UEMOA / Zone Franc</w:t>
      </w:r>
    </w:p>
    <w:p>
      <w:pPr>
        <w:pStyle w:val="ListBullet"/>
        <w:spacing w:before="20" w:after="20"/>
        <w:ind w:left="360"/>
      </w:pPr>
      <w:r>
        <w:rPr>
          <w:sz w:val="18"/>
        </w:rPr>
        <w:t>**Spread souverain** : Mali vs Togo, 173 pb d'écart (26/09).</w:t>
      </w:r>
    </w:p>
    <w:p>
      <w:pPr>
        <w:pStyle w:val="ListBullet"/>
        <w:spacing w:before="20" w:after="20"/>
        <w:ind w:left="360"/>
      </w:pPr>
      <w:r>
        <w:rPr>
          <w:sz w:val="18"/>
        </w:rPr>
        <w:t>**Tensions politiques Sénégal** : soutien contesté de Diomaye Faye à Macky Sall (25/09).</w:t>
      </w:r>
    </w:p>
    <w:p>
      <w:pPr>
        <w:pStyle w:val="ListBullet"/>
        <w:spacing w:before="20" w:after="20"/>
        <w:ind w:left="360"/>
      </w:pPr>
      <w:r>
        <w:rPr>
          <w:sz w:val="18"/>
        </w:rPr>
        <w:t>**Données BCEAO, inflation, cacao, caoutchouc** : non fournies.</w:t>
      </w:r>
    </w:p>
    <w:p>
      <w:pPr>
        <w:pStyle w:val="Heading3"/>
      </w:pPr>
      <w:r>
        <w:rPr>
          <w:color w:val="500050"/>
        </w:rPr>
        <w:t>⚡ Impact estimé sur la BRVM</w:t>
      </w:r>
    </w:p>
    <w:p>
      <w:pPr>
        <w:spacing w:before="20" w:after="40"/>
        <w:ind w:left="280"/>
      </w:pPr>
      <w:r>
        <w:rPr>
          <w:i/>
          <w:sz w:val="18"/>
        </w:rPr>
        <w:t>Le spread Mali-Togo renchérit le coût de refinancement des États fragiles, réduisant la liquidité bancaire disponible pour les actions. Les banques (SGBC, BICB, BOAB, SIBC) sont les premières exposées. Sentiment prudent sur le secteur financier.</w:t>
      </w:r>
    </w:p>
    <w:p>
      <w:pPr>
        <w:pStyle w:val="Heading2"/>
      </w:pPr>
      <w:r>
        <w:rPr>
          <w:color w:val="003366"/>
        </w:rPr>
        <w:t>📈 Plan BRVM</w:t>
      </w:r>
    </w:p>
    <w:p>
      <w:pPr>
        <w:pStyle w:val="ListBullet"/>
        <w:spacing w:before="20" w:after="20"/>
        <w:ind w:left="360"/>
      </w:pPr>
      <w:r>
        <w:rPr>
          <w:color w:val="008000"/>
          <w:sz w:val="18"/>
        </w:rPr>
        <w:t>**Résultats ivoiriens encourageants** (La Tribune, 09/06) — signal positif sur les fondamentaux des sociétés cotées.</w:t>
      </w:r>
    </w:p>
    <w:p>
      <w:pPr>
        <w:pStyle w:val="ListBullet"/>
        <w:spacing w:before="20" w:after="20"/>
        <w:ind w:left="360"/>
      </w:pPr>
      <w:r>
        <w:rPr>
          <w:sz w:val="18"/>
        </w:rPr>
        <w:t>Indice BRVM Composite : **540,78** (niveau de référence).</w:t>
      </w:r>
    </w:p>
    <w:p>
      <w:pPr>
        <w:pStyle w:val="ListBullet"/>
        <w:spacing w:before="20" w:after="20"/>
        <w:ind w:left="360"/>
      </w:pPr>
      <w:r>
        <w:rPr>
          <w:sz w:val="18"/>
        </w:rPr>
        <w:t>Aucune IPO, dividende ou volume spécifique communiqué.</w:t>
      </w:r>
    </w:p>
    <w:p>
      <w:pPr>
        <w:pStyle w:val="Heading3"/>
      </w:pPr>
      <w:r>
        <w:rPr>
          <w:color w:val="500050"/>
        </w:rPr>
        <w:t>⚡ Impact estimé sur la BRVM</w:t>
      </w:r>
    </w:p>
    <w:p>
      <w:pPr>
        <w:spacing w:before="20" w:after="40"/>
        <w:ind w:left="280"/>
      </w:pPr>
      <w:r>
        <w:rPr>
          <w:i/>
          <w:sz w:val="18"/>
        </w:rPr>
        <w:t>Les résultats encourageants soutiennent une orientation haussière sélective. Priorité aux valeurs à dividendes réguliers : SGBC, BICB, SNTS. Prudence sur PALC et SPHC (consommation de base) en cas de hausse des coûts importés.</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**Sénégal-USA/ONU** : opposition des familles de victimes au soutien de Diomaye Faye à Macky Sall (25/09).</w:t>
      </w:r>
    </w:p>
    <w:p>
      <w:pPr>
        <w:pStyle w:val="ListBullet"/>
        <w:spacing w:before="20" w:after="20"/>
        <w:ind w:left="360"/>
      </w:pPr>
      <w:r>
        <w:rPr>
          <w:sz w:val="18"/>
        </w:rPr>
        <w:t>Aucun autre fait géopolitique mondial majeur fourni.</w:t>
      </w:r>
    </w:p>
    <w:p>
      <w:pPr>
        <w:pStyle w:val="Heading3"/>
      </w:pPr>
      <w:r>
        <w:rPr>
          <w:color w:val="500050"/>
        </w:rPr>
        <w:t>⚡ Impact estimé sur la BRVM</w:t>
      </w:r>
    </w:p>
    <w:p>
      <w:pPr>
        <w:spacing w:before="20" w:after="40"/>
        <w:ind w:left="280"/>
      </w:pPr>
      <w:r>
        <w:rPr>
          <w:i/>
          <w:sz w:val="18"/>
        </w:rPr>
        <w:t>Risque de perception négative de la gouvernance sénégalaise, pouvant affecter marginalement les flux étrangers vers la BRVM.</w:t>
      </w:r>
    </w:p>
    <w:p>
      <w:pPr>
        <w:pStyle w:val="Heading2"/>
      </w:pPr>
      <w:r>
        <w:rPr>
          <w:color w:val="006E32"/>
        </w:rPr>
        <w:t>🌍 Plan Africain</w:t>
      </w:r>
    </w:p>
    <w:p>
      <w:pPr>
        <w:pStyle w:val="ListBullet"/>
        <w:spacing w:before="20" w:after="20"/>
        <w:ind w:left="360"/>
      </w:pPr>
      <w:r>
        <w:rPr>
          <w:sz w:val="18"/>
        </w:rPr>
        <w:t>**CEDEAO/ZLECAf** : dynamique institutionnelle positive (25/09).</w:t>
      </w:r>
    </w:p>
    <w:p>
      <w:pPr>
        <w:pStyle w:val="ListBullet"/>
        <w:spacing w:before="20" w:after="20"/>
        <w:ind w:left="360"/>
      </w:pPr>
      <w:r>
        <w:rPr>
          <w:sz w:val="18"/>
        </w:rPr>
        <w:t>**Sénégal** : tensions mémorielles autour de Macky Sall (25/09).</w:t>
      </w:r>
    </w:p>
    <w:p>
      <w:pPr>
        <w:pStyle w:val="Heading3"/>
      </w:pPr>
      <w:r>
        <w:rPr>
          <w:color w:val="500050"/>
        </w:rPr>
        <w:t>⚡ Impact estimé sur la BRVM</w:t>
      </w:r>
    </w:p>
    <w:p>
      <w:pPr>
        <w:spacing w:before="20" w:after="40"/>
        <w:ind w:left="280"/>
      </w:pPr>
      <w:r>
        <w:rPr>
          <w:i/>
          <w:sz w:val="18"/>
        </w:rPr>
        <w:t>Confiance des investisseurs globalement stable, avec un biais prudent sur les actifs sénégalais (SONATEL via SNTS, banques).</w:t>
      </w:r>
    </w:p>
    <w:p>
      <w:pPr>
        <w:pStyle w:val="Heading2"/>
      </w:pPr>
      <w:r>
        <w:rPr>
          <w:color w:val="145A28"/>
        </w:rPr>
        <w:t>🌍 Plan Afrique de l'Ouest</w:t>
      </w:r>
    </w:p>
    <w:p>
      <w:pPr>
        <w:pStyle w:val="ListBullet"/>
        <w:spacing w:before="20" w:after="20"/>
        <w:ind w:left="360"/>
      </w:pPr>
      <w:r>
        <w:rPr>
          <w:sz w:val="18"/>
        </w:rPr>
        <w:t>**CEDEAO** : initiatives d'intégration (ZLECAf, migrants, Parlement).</w:t>
      </w:r>
    </w:p>
    <w:p>
      <w:pPr>
        <w:pStyle w:val="ListBullet"/>
        <w:spacing w:before="20" w:after="20"/>
        <w:ind w:left="360"/>
      </w:pPr>
      <w:r>
        <w:rPr>
          <w:sz w:val="18"/>
        </w:rPr>
        <w:t>**AES, sécurité** : non documenté dans les flux fournis.</w:t>
      </w:r>
    </w:p>
    <w:p>
      <w:pPr>
        <w:pStyle w:val="Heading3"/>
      </w:pPr>
      <w:r>
        <w:rPr>
          <w:color w:val="500050"/>
        </w:rPr>
        <w:t>⚡ Impact estimé sur la BRVM</w:t>
      </w:r>
    </w:p>
    <w:p>
      <w:pPr>
        <w:spacing w:before="20" w:after="40"/>
        <w:ind w:left="280"/>
      </w:pPr>
      <w:r>
        <w:rPr>
          <w:i/>
          <w:sz w:val="18"/>
        </w:rPr>
        <w:t>Données insuffisantes pour évaluer les risques sécuritaires spécifiques. Les initiatives d'intégration sont légèrement positives pour les sociétés à empreinte régionale.</w:t>
      </w:r>
    </w:p>
    <w:p>
      <w:pPr>
        <w:pStyle w:val="Heading2"/>
      </w:pPr>
      <w:r>
        <w:rPr>
          <w:color w:val="8C4600"/>
        </w:rPr>
        <w:t>🏦 Plan UEMOA / Zone Franc</w:t>
      </w:r>
    </w:p>
    <w:p>
      <w:pPr>
        <w:pStyle w:val="ListBullet"/>
        <w:spacing w:before="20" w:after="20"/>
        <w:ind w:left="360"/>
      </w:pPr>
      <w:r>
        <w:rPr>
          <w:sz w:val="18"/>
        </w:rPr>
        <w:t>**Sénégal** : controverse politique post-électorale (25/09).</w:t>
      </w:r>
    </w:p>
    <w:p>
      <w:pPr>
        <w:pStyle w:val="ListBullet"/>
        <w:spacing w:before="20" w:after="20"/>
        <w:ind w:left="360"/>
      </w:pPr>
      <w:r>
        <w:rPr>
          <w:color w:val="C00000"/>
          <w:sz w:val="18"/>
        </w:rPr>
        <w:t>**Mali** : prime de risque souveraine élevée (26/09).</w:t>
      </w:r>
    </w:p>
    <w:p>
      <w:pPr>
        <w:pStyle w:val="Heading3"/>
      </w:pPr>
      <w:r>
        <w:rPr>
          <w:color w:val="500050"/>
        </w:rPr>
        <w:t>⚡ Impact estimé sur la BRVM</w:t>
      </w:r>
    </w:p>
    <w:p>
      <w:pPr>
        <w:spacing w:before="20" w:after="40"/>
        <w:ind w:left="280"/>
      </w:pPr>
      <w:r>
        <w:rPr>
          <w:i/>
          <w:sz w:val="18"/>
        </w:rPr>
        <w:t>Risque réglementaire et politique modéré. Surveillance accrue sur les banques exposées au Mali (BOAB, BICB).</w:t>
      </w:r>
    </w:p>
    <w:p>
      <w:pPr>
        <w:pStyle w:val="Heading2"/>
      </w:pPr>
      <w:r>
        <w:rPr>
          <w:color w:val="003366"/>
        </w:rPr>
        <w:t>📈 Plan BRVM</w:t>
      </w:r>
    </w:p>
    <w:p>
      <w:pPr>
        <w:pStyle w:val="ListBullet"/>
        <w:spacing w:before="20" w:after="20"/>
        <w:ind w:left="360"/>
      </w:pPr>
      <w:r>
        <w:rPr>
          <w:sz w:val="18"/>
        </w:rPr>
        <w:t>Aucune décision CREPMF, nouvelle cotation ou fait de gouvernance rapporté.</w:t>
      </w:r>
    </w:p>
    <w:p>
      <w:pPr>
        <w:pStyle w:val="Heading3"/>
      </w:pPr>
      <w:r>
        <w:rPr>
          <w:color w:val="500050"/>
        </w:rPr>
        <w:t>⚡ Impact estimé sur la BRVM</w:t>
      </w:r>
    </w:p>
    <w:p>
      <w:pPr>
        <w:spacing w:before="20" w:after="40"/>
        <w:ind w:left="280"/>
      </w:pPr>
      <w:r>
        <w:rPr>
          <w:i/>
          <w:sz w:val="18"/>
        </w:rPr>
        <w:t>Données insuffisantes. Pas de catalyseur réglementaire identifié à court terme.</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**IA et marchés** : impact réduit des articles IA sur les cours (25/09).</w:t>
      </w:r>
    </w:p>
    <w:p>
      <w:pPr>
        <w:pStyle w:val="ListBullet"/>
        <w:spacing w:before="20" w:after="20"/>
        <w:ind w:left="360"/>
      </w:pPr>
      <w:r>
        <w:rPr>
          <w:sz w:val="18"/>
        </w:rPr>
        <w:t>**Pétrole** : volatilité accrue (24-25/09).</w:t>
      </w:r>
    </w:p>
    <w:p>
      <w:pPr>
        <w:pStyle w:val="Heading3"/>
      </w:pPr>
      <w:r>
        <w:rPr>
          <w:color w:val="500050"/>
        </w:rPr>
        <w:t>⚡ Impact estimé sur la BRVM</w:t>
      </w:r>
    </w:p>
    <w:p>
      <w:pPr>
        <w:spacing w:before="20" w:after="40"/>
        <w:ind w:left="280"/>
      </w:pPr>
      <w:r>
        <w:rPr>
          <w:i/>
          <w:sz w:val="18"/>
        </w:rPr>
        <w:t>Corrélation limitée avec les marchés développés. La volatilité pétrolière reste le principal canal de transmission vers la BRVM (énergie, transport, distribution).</w:t>
      </w:r>
    </w:p>
    <w:p>
      <w:pPr>
        <w:pStyle w:val="Heading2"/>
      </w:pPr>
      <w:r>
        <w:rPr>
          <w:color w:val="006E32"/>
        </w:rPr>
        <w:t>🌍 Plan Africain</w:t>
      </w:r>
    </w:p>
    <w:p>
      <w:pPr>
        <w:pStyle w:val="ListBullet"/>
        <w:spacing w:before="20" w:after="20"/>
        <w:ind w:left="360"/>
      </w:pPr>
      <w:r>
        <w:rPr>
          <w:sz w:val="18"/>
        </w:rPr>
        <w:t>**Afrique du Sud** : perspective Investment grade 2028 (Goldman Sachs, 02/09).</w:t>
      </w:r>
    </w:p>
    <w:p>
      <w:pPr>
        <w:pStyle w:val="ListBullet"/>
        <w:spacing w:before="20" w:after="20"/>
        <w:ind w:left="360"/>
      </w:pPr>
      <w:r>
        <w:rPr>
          <w:sz w:val="18"/>
        </w:rPr>
        <w:t>**Eurobonds, notations souveraines** : non documentés.</w:t>
      </w:r>
    </w:p>
    <w:p>
      <w:pPr>
        <w:pStyle w:val="Heading3"/>
      </w:pPr>
      <w:r>
        <w:rPr>
          <w:color w:val="500050"/>
        </w:rPr>
        <w:t>⚡ Impact estimé sur la BRVM</w:t>
      </w:r>
    </w:p>
    <w:p>
      <w:pPr>
        <w:spacing w:before="20" w:after="40"/>
        <w:ind w:left="280"/>
      </w:pPr>
      <w:r>
        <w:rPr>
          <w:i/>
          <w:sz w:val="18"/>
        </w:rPr>
        <w:t>L'amélioration sud-africaine pourrait détourner une partie des flux émergents Afrique au détriment de la BRVM à moyen terme.</w:t>
      </w:r>
    </w:p>
    <w:p>
      <w:pPr>
        <w:pStyle w:val="Heading2"/>
      </w:pPr>
      <w:r>
        <w:rPr>
          <w:color w:val="145A28"/>
        </w:rPr>
        <w:t>🌍 Plan Afrique de l'Ouest</w:t>
      </w:r>
    </w:p>
    <w:p>
      <w:pPr>
        <w:pStyle w:val="ListBullet"/>
        <w:spacing w:before="20" w:after="20"/>
        <w:ind w:left="360"/>
      </w:pPr>
      <w:r>
        <w:rPr>
          <w:sz w:val="18"/>
        </w:rPr>
        <w:t>**Bourses concurrentes** : non documenté.</w:t>
      </w:r>
    </w:p>
    <w:p>
      <w:pPr>
        <w:pStyle w:val="ListBullet"/>
        <w:spacing w:before="20" w:after="20"/>
        <w:ind w:left="360"/>
      </w:pPr>
      <w:r>
        <w:rPr>
          <w:sz w:val="18"/>
        </w:rPr>
        <w:t>**Flux sous-régionaux** : non documenté.</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**Titres publics** : spread Mali-Togo de 173 pb (26/09).</w:t>
      </w:r>
    </w:p>
    <w:p>
      <w:pPr>
        <w:pStyle w:val="ListBullet"/>
        <w:spacing w:before="20" w:after="20"/>
        <w:ind w:left="360"/>
      </w:pPr>
      <w:r>
        <w:rPr>
          <w:sz w:val="18"/>
        </w:rPr>
        <w:t>**Taux interbancaire, liquidité** : non documentés.</w:t>
      </w:r>
    </w:p>
    <w:p>
      <w:pPr>
        <w:pStyle w:val="Heading3"/>
      </w:pPr>
      <w:r>
        <w:rPr>
          <w:color w:val="500050"/>
        </w:rPr>
        <w:t>⚡ Impact estimé sur la BRVM</w:t>
      </w:r>
    </w:p>
    <w:p>
      <w:pPr>
        <w:spacing w:before="20" w:after="40"/>
        <w:ind w:left="280"/>
      </w:pPr>
      <w:r>
        <w:rPr>
          <w:i/>
          <w:sz w:val="18"/>
        </w:rPr>
        <w:t>Un spread souverain élevé rend les titres publics maliens plus attractifs en rendement, créant un arbitrage défavorable aux actions BRVM pour les investisseurs institutionnels prudents.</w:t>
      </w:r>
    </w:p>
    <w:p>
      <w:pPr>
        <w:pStyle w:val="Heading2"/>
      </w:pPr>
      <w:r>
        <w:rPr>
          <w:color w:val="003366"/>
        </w:rPr>
        <w:t>📈 Plan BRVM</w:t>
      </w:r>
    </w:p>
    <w:p>
      <w:pPr>
        <w:pStyle w:val="ListBullet"/>
        <w:spacing w:before="20" w:after="20"/>
        <w:ind w:left="360"/>
      </w:pPr>
      <w:r>
        <w:rPr>
          <w:sz w:val="18"/>
        </w:rPr>
        <w:t>**Indice Composite** : 540,78.</w:t>
      </w:r>
    </w:p>
    <w:p>
      <w:pPr>
        <w:pStyle w:val="ListBullet"/>
        <w:spacing w:before="20" w:after="20"/>
        <w:ind w:left="360"/>
      </w:pPr>
      <w:r>
        <w:rPr>
          <w:sz w:val="18"/>
        </w:rPr>
        <w:t>**Résultats ivoiriens** : encourageants (09/06).</w:t>
      </w:r>
    </w:p>
    <w:p>
      <w:pPr>
        <w:pStyle w:val="ListBullet"/>
        <w:spacing w:before="20" w:after="20"/>
        <w:ind w:left="360"/>
      </w:pPr>
      <w:r>
        <w:rPr>
          <w:sz w:val="18"/>
        </w:rPr>
        <w:t>**Top/Flop, volumes** : non documentés.</w:t>
      </w:r>
    </w:p>
    <w:p>
      <w:pPr>
        <w:pStyle w:val="Heading3"/>
      </w:pPr>
      <w:r>
        <w:rPr>
          <w:color w:val="500050"/>
        </w:rPr>
        <w:t>⚡ Impact estimé sur la BRVM</w:t>
      </w:r>
    </w:p>
    <w:p>
      <w:pPr>
        <w:pStyle w:val="ListBullet"/>
        <w:spacing w:before="20" w:after="20"/>
        <w:ind w:left="560"/>
      </w:pPr>
      <w:r>
        <w:rPr>
          <w:color w:val="500050"/>
          <w:sz w:val="18"/>
        </w:rPr>
        <w:t>**SGBC, BICB, BOAB, ECOC, SIBC** : soutenus par la dynamique des résultats bancaires — opportunité d'achat sur repli.</w:t>
      </w:r>
    </w:p>
    <w:p>
      <w:pPr>
        <w:pStyle w:val="ListBullet"/>
        <w:spacing w:before="20" w:after="20"/>
        <w:ind w:left="560"/>
      </w:pPr>
      <w:r>
        <w:rPr>
          <w:color w:val="500050"/>
          <w:sz w:val="18"/>
        </w:rPr>
        <w:t>**SNTS** : valeur défensive, à conserver.</w:t>
      </w:r>
    </w:p>
    <w:p>
      <w:pPr>
        <w:pStyle w:val="ListBullet"/>
        <w:spacing w:before="20" w:after="20"/>
        <w:ind w:left="560"/>
      </w:pPr>
      <w:r>
        <w:rPr>
          <w:color w:val="C00000"/>
          <w:sz w:val="18"/>
        </w:rPr>
        <w:t>**PALC, SPHC** : sous pression si les coûts importés augmentent (pétrole, transport).</w:t>
      </w:r>
    </w:p>
    <w:p>
      <w:pPr>
        <w:pStyle w:val="ListBullet"/>
        <w:spacing w:before="20" w:after="20"/>
        <w:ind w:left="560"/>
      </w:pPr>
      <w:r>
        <w:rPr>
          <w:color w:val="008000"/>
          <w:sz w:val="18"/>
        </w:rPr>
        <w:t>**SIVC, STAC** : sensibles à la hausse des intrants énergétiques — vigilance.</w:t>
      </w:r>
    </w:p>
    <w:p>
      <w:pPr>
        <w:pStyle w:val="ListBullet"/>
        <w:spacing w:before="20" w:after="20"/>
        <w:ind w:left="560"/>
      </w:pPr>
      <w:r>
        <w:rPr>
          <w:color w:val="008000"/>
          <w:sz w:val="18"/>
        </w:rPr>
        <w:t>**TTLS, SHEC, ONTBF** : bénéficiaires potentiels de la hausse des prix de l'énergie.</w:t>
      </w:r>
    </w:p>
    <w:p>
      <w:pPr>
        <w:pStyle w:val="ListBullet"/>
        <w:spacing w:before="20" w:after="20"/>
        <w:ind w:left="560"/>
      </w:pPr>
      <w:r>
        <w:rPr>
          <w:color w:val="C00000"/>
          <w:sz w:val="18"/>
        </w:rPr>
        <w:t>**NEIC** : marge sous pression (distribution, carburants).</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stable pour la BRVM (indice à 540,78, résultats ivoiriens encourageants, accord FMI-Sénégal), mais plusieurs facteurs de vigilance s'accumulent : hausse du pétrole (pression sur SIVC, STAC, NEIC), fragmentation du risque souverain UEMOA (spread Mali-Togo de 173 pb), et tensions politiques sénégalaises. Les banques (SGBC, BICB, BOAB) demeurent les valeurs les plus solides, tandis que les industriels et distributeurs sont à surveiller. **Recommandation** : privilégier les financières à dividendes, alléger l'exposition aux valeurs énergie-intensives, et conserver une poche de liquidité en attendant des signaux plus clairs sur les prix du brut et la stabilité politique régionale.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Solutions pour freiner la hausse des prix des matières premières face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L'administration Trump souhaite interdire les exportations de diesel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Pour sa cotation à la BRVM : les performances financières de Bridge Ba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2026-09-25</w:t>
            </w:r>
          </w:p>
        </w:tc>
        <w:tc>
          <w:tcPr>
            <w:tcW w:type="dxa" w:w="1728"/>
          </w:tcPr>
          <w:p>
            <w:r>
              <w:rPr>
                <w:sz w:val="14"/>
              </w:rPr>
              <w:t>Une dynamique boursière porteuse - République Togolaise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Pour sa cotation à la BRVM : les performances financières de Bridge Ba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Pour sa cotation à la BRVM : les performances financières de Bridge Ba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Emprunts d’État : le Mali paie 173 points de plus que le Togo - Africt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Pour sa cotation à la BRVM : les performances financières de Bridge Ba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(6 alerte(s))</w:t>
      </w:r>
    </w:p>
    <w:p>
      <w:pPr>
        <w:spacing w:before="40" w:after="40"/>
        <w:ind w:left="360"/>
      </w:pPr>
      <w:r>
        <w:rPr>
          <w:color w:val="646464"/>
          <w:sz w:val="17"/>
        </w:rPr>
        <w:t xml:space="preserve">[26/09/2026] ⚪  </w:t>
      </w:r>
      <w:r>
        <w:rPr>
          <w:b/>
          <w:color w:val="505050"/>
          <w:sz w:val="18"/>
        </w:rPr>
        <w:t>Air Sénégal sous perfusion, tractations politiques au Maroc, offensive chinoise sur le lithium africain… Les 5 infos qu’</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présente cinq informations marquantes pour l'actualité africaine, dont la situation financière critique d'Air Sénégal qui nécessite un soutien budgétaire, des tractations politiques au Maroc, et une offensive chinoise sur le lithium africain. Ces sujets couvrent des enjeux économiques et politiques majeurs pour le contine</w:t>
      </w:r>
    </w:p>
    <w:p>
      <w:pPr>
        <w:spacing w:before="0" w:after="40"/>
        <w:ind w:left="600"/>
      </w:pPr>
      <w:r>
        <w:rPr>
          <w:color w:val="00643C"/>
          <w:sz w:val="16"/>
        </w:rPr>
        <w:t>Points clés : Air Sénégal sous perfusion financière  •  Tractations politiques au Maroc  •  Offensive chinoise sur le lithium africain  •  Cinq informations à ne pas manquer selon Jeune Afrique</w:t>
      </w:r>
    </w:p>
    <w:p>
      <w:pPr>
        <w:spacing w:before="0" w:after="60"/>
        <w:ind w:left="600"/>
      </w:pPr>
      <w:r>
        <w:rPr>
          <w:color w:val="0064B4"/>
          <w:sz w:val="15"/>
        </w:rPr>
        <w:t>Source : https://news.google.com/rss/articles/CBMimAJBVV95cUxQNWpjZUQ4enpPZUFoOUc5Snd2RGo</w:t>
      </w:r>
    </w:p>
    <w:p>
      <w:pPr>
        <w:spacing w:before="40" w:after="40"/>
        <w:ind w:left="360"/>
      </w:pPr>
      <w:r>
        <w:rPr>
          <w:color w:val="646464"/>
          <w:sz w:val="17"/>
        </w:rPr>
        <w:t xml:space="preserve">[26/09/2026] 🔴  </w:t>
      </w:r>
      <w:r>
        <w:rPr>
          <w:b/>
          <w:color w:val="C00000"/>
          <w:sz w:val="18"/>
        </w:rPr>
        <w:t>Emprunts d’État : le Mali paie 173 points de plus que le Togo - Africtelegraph</w:t>
      </w:r>
      <w:r>
        <w:rPr>
          <w:color w:val="787878"/>
          <w:sz w:val="15"/>
        </w:rPr>
        <w:t xml:space="preserve">  [politique]</w:t>
      </w:r>
      <w:r>
        <w:rPr>
          <w:color w:val="B47800"/>
          <w:sz w:val="16"/>
        </w:rPr>
        <w:t xml:space="preserve">  ★ 50/10</w:t>
      </w:r>
    </w:p>
    <w:p>
      <w:pPr>
        <w:spacing w:before="0" w:after="20"/>
        <w:ind w:left="600"/>
      </w:pPr>
      <w:r>
        <w:rPr>
          <w:color w:val="323232"/>
          <w:sz w:val="17"/>
        </w:rPr>
        <w:t>Selon Africtelegraph, le Mali emprunte sur le marché régional à un taux supérieur de 173 points de base à celui du Togo. Cet écart reflète une prime de risque plus élevée exigée par les investisseurs pour la dette malienne, en raison de la situation sécuritaire et politique du pays. Le Togo bénéficie à l'inverse d'une meilleure perception de solvab</w:t>
      </w:r>
    </w:p>
    <w:p>
      <w:pPr>
        <w:spacing w:before="0" w:after="40"/>
        <w:ind w:left="600"/>
      </w:pPr>
      <w:r>
        <w:rPr>
          <w:color w:val="00643C"/>
          <w:sz w:val="16"/>
        </w:rPr>
        <w:t>Points clés : Le Mali paie 173 points de base de plus que le Togo pour ses emprunts d'État sur le marché régional.  •  Cet écart traduit une prime de risque plus élevée pour le Mali, liée à l'instabilité politique et sécuritaire.  •  Le Togo bénéficie d'une meilleure notation implicite et de conditions de financement plus favorables.  •  La disparité des taux illustre les divergences de risque souverain au sein de l'UEMOA.</w:t>
      </w:r>
    </w:p>
    <w:p>
      <w:pPr>
        <w:spacing w:before="0" w:after="60"/>
        <w:ind w:left="600"/>
      </w:pPr>
      <w:r>
        <w:rPr>
          <w:color w:val="0064B4"/>
          <w:sz w:val="15"/>
        </w:rPr>
        <w:t>Source : https://news.google.com/rss/articles/CBMilgFBVV95cUxQTkpPTUJuRUc0c3NSby1KYlFMNHM</w:t>
      </w:r>
    </w:p>
    <w:p>
      <w:pPr>
        <w:spacing w:before="40" w:after="40"/>
        <w:ind w:left="360"/>
      </w:pPr>
      <w:r>
        <w:rPr>
          <w:color w:val="646464"/>
          <w:sz w:val="17"/>
        </w:rPr>
        <w:t xml:space="preserve">[25/09/2026] 🔴  </w:t>
      </w:r>
      <w:r>
        <w:rPr>
          <w:b/>
          <w:color w:val="C00000"/>
          <w:sz w:val="18"/>
        </w:rPr>
        <w:t>Sénégal-USA : ONU, les familles de victimes s'opposent au soutien de Diomaye Faye à Macky Sall - koaci.com</w:t>
      </w:r>
      <w:r>
        <w:rPr>
          <w:color w:val="787878"/>
          <w:sz w:val="15"/>
        </w:rPr>
        <w:t xml:space="preserve">  [politique]</w:t>
      </w:r>
      <w:r>
        <w:rPr>
          <w:color w:val="B47800"/>
          <w:sz w:val="16"/>
        </w:rPr>
        <w:t xml:space="preserve">  ★ 50/10</w:t>
      </w:r>
    </w:p>
    <w:p>
      <w:pPr>
        <w:spacing w:before="0" w:after="20"/>
        <w:ind w:left="600"/>
      </w:pPr>
      <w:r>
        <w:rPr>
          <w:color w:val="323232"/>
          <w:sz w:val="17"/>
        </w:rPr>
        <w:t>Les familles de victimes sénégalaises ont exprimé leur opposition au soutien apporté par le président Diomaye Faye à l'ancien président Macky Sall, dans le cadre d'une procédure devant l'ONU. Cette prise de position intervient alors que Macky Sall est visé par des accusations liées à la répression des manifestations entre 2021 et 2023. Le soutien d</w:t>
      </w:r>
    </w:p>
    <w:p>
      <w:pPr>
        <w:spacing w:before="0" w:after="40"/>
        <w:ind w:left="600"/>
      </w:pPr>
      <w:r>
        <w:rPr>
          <w:color w:val="00643C"/>
          <w:sz w:val="16"/>
        </w:rPr>
        <w:t>Points clés : Les familles de victimes s'opposent au soutien de Diomaye Faye à Macky Sall devant l'ONU  •  Macky Sall est accusé de répression lors des manifestations de 2021-2023  •  Tensions politiques au Sénégal autour de cette affaire</w:t>
      </w:r>
    </w:p>
    <w:p>
      <w:pPr>
        <w:spacing w:before="0" w:after="60"/>
        <w:ind w:left="600"/>
      </w:pPr>
      <w:r>
        <w:rPr>
          <w:color w:val="0064B4"/>
          <w:sz w:val="15"/>
        </w:rPr>
        <w:t>Source : https://news.google.com/rss/articles/CBMi8wFBVV95cUxPZXg5bEJNbVYwNmVGa1hPVW9OME5</w:t>
      </w:r>
    </w:p>
    <w:p>
      <w:pPr>
        <w:spacing w:before="40" w:after="40"/>
        <w:ind w:left="360"/>
      </w:pPr>
      <w:r>
        <w:rPr>
          <w:color w:val="646464"/>
          <w:sz w:val="17"/>
        </w:rPr>
        <w:t xml:space="preserve">[25/09/2026] 🔴  </w:t>
      </w:r>
      <w:r>
        <w:rPr>
          <w:b/>
          <w:color w:val="C00000"/>
          <w:sz w:val="18"/>
        </w:rPr>
        <w:t xml:space="preserve">Sénégal: une association de victimes choquée par le soutien de Bassirou Diomaye Faye à Macky Sall pour la tête de l’ONU </w:t>
      </w:r>
      <w:r>
        <w:rPr>
          <w:color w:val="787878"/>
          <w:sz w:val="15"/>
        </w:rPr>
        <w:t xml:space="preserve">  [politique]</w:t>
      </w:r>
      <w:r>
        <w:rPr>
          <w:color w:val="B47800"/>
          <w:sz w:val="16"/>
        </w:rPr>
        <w:t xml:space="preserve">  ★ 50/10</w:t>
      </w:r>
    </w:p>
    <w:p>
      <w:pPr>
        <w:spacing w:before="0" w:after="20"/>
        <w:ind w:left="600"/>
      </w:pPr>
      <w:r>
        <w:rPr>
          <w:color w:val="323232"/>
          <w:sz w:val="17"/>
        </w:rPr>
        <w:t>Une association de victimes au Sénégal s'est dite choquée par le soutien du président Bassirou Diomaye Faye à Macky Sall pour le poste de secrétaire général de l'ONU. Cette prise de position suscite des réactions contrastées dans le pays, alors que Macky Sall est critiqué par certaines organisations de victimes pour son bilan en matière de droits h</w:t>
      </w:r>
    </w:p>
    <w:p>
      <w:pPr>
        <w:spacing w:before="0" w:after="40"/>
        <w:ind w:left="600"/>
      </w:pPr>
      <w:r>
        <w:rPr>
          <w:color w:val="00643C"/>
          <w:sz w:val="16"/>
        </w:rPr>
        <w:t>Points clés : Soutien de Bassirou Diomaye Faye à Macky Sall pour la tête de l'ONU  •  Association de victimes exprime son indignation  •  Contexte politique sénégalais tendu avant les législatives</w:t>
      </w:r>
    </w:p>
    <w:p>
      <w:pPr>
        <w:spacing w:before="0" w:after="60"/>
        <w:ind w:left="600"/>
      </w:pPr>
      <w:r>
        <w:rPr>
          <w:color w:val="0064B4"/>
          <w:sz w:val="15"/>
        </w:rPr>
        <w:t>Source : https://news.google.com/rss/articles/CBMijwJBVV95cUxOZUcyaDYzN1JUYko3Nno4WC1BZWJ</w:t>
      </w:r>
    </w:p>
    <w:p>
      <w:pPr>
        <w:spacing w:before="40" w:after="40"/>
        <w:ind w:left="360"/>
      </w:pPr>
      <w:r>
        <w:rPr>
          <w:color w:val="646464"/>
          <w:sz w:val="17"/>
        </w:rPr>
        <w:t xml:space="preserve">[24/09/2026] 🟢  </w:t>
      </w:r>
      <w:r>
        <w:rPr>
          <w:b/>
          <w:color w:val="008000"/>
          <w:sz w:val="18"/>
        </w:rPr>
        <w:t>Sénégal : À New York, Diomaye Faye assume son soutien à Macky Sall et défend l'accord avec le FMI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sénégalais Bassirou Diomaye Faye a réaffirmé à New York son soutien à son prédécesseur Macky Sall et défendu l'accord conclu avec le FMI. Cette prise de position vise à rassurer les partenaires internationaux sur la continuité de la politique économique et la stabilité du cadre macroéconomique. Elle intervient dans un contexte où le Sé</w:t>
      </w:r>
    </w:p>
    <w:p>
      <w:pPr>
        <w:spacing w:before="0" w:after="40"/>
        <w:ind w:left="600"/>
      </w:pPr>
      <w:r>
        <w:rPr>
          <w:color w:val="00643C"/>
          <w:sz w:val="16"/>
        </w:rPr>
        <w:t>Points clés : Diomaye Faye assume publiquement son soutien à Macky Sall  •  Défense de l'accord avec le FMI  •  Signal de continuité et de stabilité économique  •  Impact potentiel sur la confiance des investisseurs</w:t>
      </w:r>
    </w:p>
    <w:p>
      <w:pPr>
        <w:spacing w:before="0" w:after="60"/>
        <w:ind w:left="600"/>
      </w:pPr>
      <w:r>
        <w:rPr>
          <w:color w:val="0064B4"/>
          <w:sz w:val="15"/>
        </w:rPr>
        <w:t>Source : https://news.google.com/rss/articles/CBMi9wFBVV95cUxPR2lDdnNUYXZHM1dkVV9MRTBrb2I</w:t>
      </w:r>
    </w:p>
    <w:p>
      <w:pPr>
        <w:spacing w:before="120" w:after="40"/>
      </w:pPr>
      <w:r>
        <w:rPr>
          <w:b/>
          <w:color w:val="00467F"/>
          <w:sz w:val="20"/>
        </w:rPr>
        <w:t>🔑 marche_financier  (7 alerte(s))</w:t>
      </w:r>
    </w:p>
    <w:p>
      <w:pPr>
        <w:spacing w:before="40" w:after="40"/>
        <w:ind w:left="360"/>
      </w:pPr>
      <w:r>
        <w:rPr>
          <w:color w:val="646464"/>
          <w:sz w:val="17"/>
        </w:rPr>
        <w:t xml:space="preserve">[25/09/2026] 🟢  </w:t>
      </w:r>
      <w:r>
        <w:rPr>
          <w:b/>
          <w:color w:val="008000"/>
          <w:sz w:val="18"/>
        </w:rPr>
        <w:t>Une dynamique boursière porteuse - République Togolaise</w:t>
      </w:r>
      <w:r>
        <w:rPr>
          <w:color w:val="787878"/>
          <w:sz w:val="15"/>
        </w:rPr>
        <w:t xml:space="preserve">  [marche_financier]</w:t>
      </w:r>
      <w:r>
        <w:rPr>
          <w:color w:val="B47800"/>
          <w:sz w:val="16"/>
        </w:rPr>
        <w:t xml:space="preserve">  ★ 50/10</w:t>
      </w:r>
    </w:p>
    <w:p>
      <w:pPr>
        <w:spacing w:before="0" w:after="20"/>
        <w:ind w:left="600"/>
      </w:pPr>
      <w:r>
        <w:rPr>
          <w:color w:val="323232"/>
          <w:sz w:val="17"/>
        </w:rPr>
        <w:t>L'article évoque une dynamique boursière porteuse pour la République Togolaise, sans fournir de détails chiffrés ou d'événements spécifiques. Il s'agit probablement d'une communication institutionnelle mettant en avant les performances ou les perspectives du marché financier togolais au sein de l'UEMOA. Cette annonce pourrait refléter un climat fav</w:t>
      </w:r>
    </w:p>
    <w:p>
      <w:pPr>
        <w:spacing w:before="0" w:after="40"/>
        <w:ind w:left="600"/>
      </w:pPr>
      <w:r>
        <w:rPr>
          <w:color w:val="00643C"/>
          <w:sz w:val="16"/>
        </w:rPr>
        <w:t>Points clés : Dynamique boursière jugée porteuse pour le Togo  •  Communication institutionnelle sans données quantitatives  •  Contexte UEMOA et marché financier régional</w:t>
      </w:r>
    </w:p>
    <w:p>
      <w:pPr>
        <w:spacing w:before="0" w:after="60"/>
        <w:ind w:left="600"/>
      </w:pPr>
      <w:r>
        <w:rPr>
          <w:color w:val="0064B4"/>
          <w:sz w:val="15"/>
        </w:rPr>
        <w:t>Source : https://news.google.com/rss/articles/CBMinAFBVV95cUxPZ0VxZUR2NG9JNHBpRGJpRG5yaEF</w:t>
      </w:r>
    </w:p>
    <w:p>
      <w:pPr>
        <w:spacing w:before="40" w:after="40"/>
        <w:ind w:left="360"/>
      </w:pPr>
      <w:r>
        <w:rPr>
          <w:color w:val="646464"/>
          <w:sz w:val="17"/>
        </w:rPr>
        <w:t xml:space="preserve">[25/09/2026] ⚪  </w:t>
      </w:r>
      <w:r>
        <w:rPr>
          <w:b/>
          <w:color w:val="505050"/>
          <w:sz w:val="18"/>
        </w:rPr>
        <w:t>Médias : les articles financiers à base d'IA ont moins d'impact sur les cours de Bourse - Les Echos</w:t>
      </w:r>
      <w:r>
        <w:rPr>
          <w:color w:val="787878"/>
          <w:sz w:val="15"/>
        </w:rPr>
        <w:t xml:space="preserve">  [marche_financier]</w:t>
      </w:r>
      <w:r>
        <w:rPr>
          <w:color w:val="B47800"/>
          <w:sz w:val="16"/>
        </w:rPr>
        <w:t xml:space="preserve">  ★ 50/10</w:t>
      </w:r>
    </w:p>
    <w:p>
      <w:pPr>
        <w:spacing w:before="0" w:after="20"/>
        <w:ind w:left="600"/>
      </w:pPr>
      <w:r>
        <w:rPr>
          <w:color w:val="323232"/>
          <w:sz w:val="17"/>
        </w:rPr>
        <w:t>Une étude relayée par Les Echos indique que les articles financiers générés par intelligence artificielle ont un impact moindre sur les cours de Bourse comparés à ceux rédigés par des humains. Les investisseurs semblent accorder moins de crédit ou de réactivité à ces contenus automatisés. Cette tendance soulève des questions sur la qualité perçue e</w:t>
      </w:r>
    </w:p>
    <w:p>
      <w:pPr>
        <w:spacing w:before="0" w:after="40"/>
        <w:ind w:left="600"/>
      </w:pPr>
      <w:r>
        <w:rPr>
          <w:color w:val="00643C"/>
          <w:sz w:val="16"/>
        </w:rPr>
        <w:t>Points clés : Les articles financiers générés par IA ont un impact plus faible sur les cours de Bourse  •  Les investisseurs réagissent moins aux contenus automatisés qu'aux analyses humaines  •  Remise en question de la crédibilité et de l'utilité des publications financières par IA</w:t>
      </w:r>
    </w:p>
    <w:p>
      <w:pPr>
        <w:spacing w:before="0" w:after="60"/>
        <w:ind w:left="600"/>
      </w:pPr>
      <w:r>
        <w:rPr>
          <w:color w:val="0064B4"/>
          <w:sz w:val="15"/>
        </w:rPr>
        <w:t>Source : https://news.google.com/rss/articles/CBMi5AFBVV95cUxPclQwOHdhRWFiZy1rVGRaVC0wWlV</w:t>
      </w:r>
    </w:p>
    <w:p>
      <w:pPr>
        <w:spacing w:before="40" w:after="40"/>
        <w:ind w:left="360"/>
      </w:pPr>
      <w:r>
        <w:rPr>
          <w:color w:val="646464"/>
          <w:sz w:val="17"/>
        </w:rPr>
        <w:t xml:space="preserve">[25/09/2026] 🟢  </w:t>
      </w:r>
      <w:r>
        <w:rPr>
          <w:b/>
          <w:color w:val="008000"/>
          <w:sz w:val="18"/>
        </w:rPr>
        <w:t>Bridge Bank Group CI entre à la BRVM avec un taux de souscription de 142 % - AGENCE ECOFIN</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CI a réussi son introduction à la BRVM avec un taux de souscription de 142 %, dépassant largement l'objectif initial. Cette opération marque l'arrivée d'une nouvelle banque sur le marché financier régional. Le succès de la souscription témoigne de l'intérêt des investisseurs pour le secteur bancaire et pour les valeurs de croissan</w:t>
      </w:r>
    </w:p>
    <w:p>
      <w:pPr>
        <w:spacing w:before="0" w:after="40"/>
        <w:ind w:left="600"/>
      </w:pPr>
      <w:r>
        <w:rPr>
          <w:color w:val="00643C"/>
          <w:sz w:val="16"/>
        </w:rPr>
        <w:t>Points clés : Taux de souscription de 142 % pour l'introduction en bourse de Bridge Bank Group CI  •  Nouvelle admission d'une banque sur la BRVM  •  Succès de l'opération reflétant la confiance des investisseurs</w:t>
      </w:r>
    </w:p>
    <w:p>
      <w:pPr>
        <w:spacing w:before="0" w:after="60"/>
        <w:ind w:left="600"/>
      </w:pPr>
      <w:r>
        <w:rPr>
          <w:color w:val="0064B4"/>
          <w:sz w:val="15"/>
        </w:rPr>
        <w:t>Source : https://news.google.com/rss/articles/CBMizAFBVV95cUxOdHVEWW16ZVU1SlBYd0VMYmRwWGh</w:t>
      </w:r>
    </w:p>
    <w:p>
      <w:pPr>
        <w:spacing w:before="40" w:after="40"/>
        <w:ind w:left="360"/>
      </w:pPr>
      <w:r>
        <w:rPr>
          <w:color w:val="646464"/>
          <w:sz w:val="17"/>
        </w:rPr>
        <w:t xml:space="preserve">[25/09/2026] 🟢  </w:t>
      </w:r>
      <w:r>
        <w:rPr>
          <w:b/>
          <w:color w:val="008000"/>
          <w:sz w:val="18"/>
        </w:rPr>
        <w:t>Bridge Bank Group Côte d’Ivoire s’introduit à la BRVM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Côte d'Ivoire annonce son introduction à la Bourse Régionale des Valeurs Mobilières (BRVM). Cette opération marque l'arrivée d'une nouvelle banque sur le marché financier de l'UEMOA. Elle devrait permettre à l'établissement de renforcer ses fonds propres et sa notoriété. L'introduction élargit également l'offre sectorielle bancair</w:t>
      </w:r>
    </w:p>
    <w:p>
      <w:pPr>
        <w:spacing w:before="0" w:after="40"/>
        <w:ind w:left="600"/>
      </w:pPr>
      <w:r>
        <w:rPr>
          <w:color w:val="00643C"/>
          <w:sz w:val="16"/>
        </w:rPr>
        <w:t>Points clés : Introduction en bourse de Bridge Bank Group Côte d'Ivoire à la BRVM  •  Nouvelle valeur bancaire sur le marché de l'UEMOA  •  Renforcement potentiel des fonds propres et de la visibilité de la banque  •  Élargissement de l'offre sectorielle pour les investisseurs</w:t>
      </w:r>
    </w:p>
    <w:p>
      <w:pPr>
        <w:spacing w:before="0" w:after="60"/>
        <w:ind w:left="600"/>
      </w:pPr>
      <w:r>
        <w:rPr>
          <w:color w:val="0064B4"/>
          <w:sz w:val="15"/>
        </w:rPr>
        <w:t>Source : https://news.google.com/rss/articles/CBMijAFBVV95cUxPWV8xTlM4NGFVZHJ0ZHVMdTE4bVp</w:t>
      </w:r>
    </w:p>
    <w:p>
      <w:pPr>
        <w:spacing w:before="40" w:after="40"/>
        <w:ind w:left="360"/>
      </w:pPr>
      <w:r>
        <w:rPr>
          <w:color w:val="646464"/>
          <w:sz w:val="17"/>
        </w:rPr>
        <w:t xml:space="preserve">[24/09/2026] 🟢  </w:t>
      </w:r>
      <w:r>
        <w:rPr>
          <w:b/>
          <w:color w:val="008000"/>
          <w:sz w:val="18"/>
        </w:rPr>
        <w:t>BRVM : Bridge Bank Group Côte d’Ivoire entre en Bourse après une IPO de 67,5 milliards FCFA - Journal du Mali</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Côte d’Ivoire a réalisé une introduction en bourse (IPO) sur la BRVM pour un montant de 67,5 milliards FCFA. Cette opération marque l'arrivée d'une nouvelle banque sur le marché financier régional. Elle devrait renforcer la capitalisation boursière et diversifier l'offre sectorielle de la BRVM.</w:t>
      </w:r>
    </w:p>
    <w:p>
      <w:pPr>
        <w:spacing w:before="0" w:after="40"/>
        <w:ind w:left="600"/>
      </w:pPr>
      <w:r>
        <w:rPr>
          <w:color w:val="00643C"/>
          <w:sz w:val="16"/>
        </w:rPr>
        <w:t>Points clés : IPO de 67,5 milliards FCFA réalisée par Bridge Bank Group Côte d’Ivoire  •  Entrée en Bourse sur la BRVM  •  Renforcement de la capitalisation et diversification du secteur bancaire</w:t>
      </w:r>
    </w:p>
    <w:p>
      <w:pPr>
        <w:spacing w:before="0" w:after="60"/>
        <w:ind w:left="600"/>
      </w:pPr>
      <w:r>
        <w:rPr>
          <w:color w:val="0064B4"/>
          <w:sz w:val="15"/>
        </w:rPr>
        <w:t>Source : https://news.google.com/rss/articles/CBMitAFBVV95cUxPeHRzZWdhckstSVkxYW95cHhmZ2t</w:t>
      </w:r>
    </w:p>
    <w:p>
      <w:pPr>
        <w:spacing w:before="120" w:after="40"/>
      </w:pPr>
      <w:r>
        <w:rPr>
          <w:b/>
          <w:color w:val="00467F"/>
          <w:sz w:val="20"/>
        </w:rPr>
        <w:t>🔑 économique  (2 alerte(s))</w:t>
      </w:r>
    </w:p>
    <w:p>
      <w:pPr>
        <w:spacing w:before="40" w:after="40"/>
        <w:ind w:left="360"/>
      </w:pPr>
      <w:r>
        <w:rPr>
          <w:color w:val="646464"/>
          <w:sz w:val="17"/>
        </w:rPr>
        <w:t xml:space="preserve">[25/09/2026] 🟢  </w:t>
      </w:r>
      <w:r>
        <w:rPr>
          <w:b/>
          <w:color w:val="008000"/>
          <w:sz w:val="18"/>
        </w:rPr>
        <w:t>Les femmes parlementaires de la CEDEAO misent sur la ZLECAf pour renforcer la participation féminine au commerce - APS -</w:t>
      </w:r>
      <w:r>
        <w:rPr>
          <w:color w:val="787878"/>
          <w:sz w:val="15"/>
        </w:rPr>
        <w:t xml:space="preserve">  [économique]</w:t>
      </w:r>
      <w:r>
        <w:rPr>
          <w:color w:val="B47800"/>
          <w:sz w:val="16"/>
        </w:rPr>
        <w:t xml:space="preserve">  ★ 50/10</w:t>
      </w:r>
    </w:p>
    <w:p>
      <w:pPr>
        <w:spacing w:before="0" w:after="20"/>
        <w:ind w:left="600"/>
      </w:pPr>
      <w:r>
        <w:rPr>
          <w:color w:val="323232"/>
          <w:sz w:val="17"/>
        </w:rPr>
        <w:t>Les femmes parlementaires de la CEDEAO ont décidé de s'appuyer sur la Zone de libre-échange continentale africaine (ZLECAf) pour accroître la participation des femmes au commerce dans la région. Cette initiative vise à tirer parti des opportunités offertes par l'accord pour renforcer l'autonomisation économique des femmes. L'objectif est de promouv</w:t>
      </w:r>
    </w:p>
    <w:p>
      <w:pPr>
        <w:spacing w:before="0" w:after="40"/>
        <w:ind w:left="600"/>
      </w:pPr>
      <w:r>
        <w:rPr>
          <w:color w:val="00643C"/>
          <w:sz w:val="16"/>
        </w:rPr>
        <w:t>Points clés : Les femmes parlementaires de la CEDEAO misent sur la ZLECAf pour renforcer la participation féminine au commerce  •  L'initiative vise à accroître l'autonomisation économique des femmes et un commerce inclusif</w:t>
      </w:r>
    </w:p>
    <w:p>
      <w:pPr>
        <w:spacing w:before="0" w:after="60"/>
        <w:ind w:left="600"/>
      </w:pPr>
      <w:r>
        <w:rPr>
          <w:color w:val="0064B4"/>
          <w:sz w:val="15"/>
        </w:rPr>
        <w:t>Source : https://news.google.com/rss/articles/CBMixwFBVV95cUxNUVM4SS0yTWF4c0xyQm90RnBvbHl</w:t>
      </w:r>
    </w:p>
    <w:p>
      <w:pPr>
        <w:spacing w:before="40" w:after="40"/>
        <w:ind w:left="360"/>
      </w:pPr>
      <w:r>
        <w:rPr>
          <w:color w:val="646464"/>
          <w:sz w:val="17"/>
        </w:rPr>
        <w:t xml:space="preserve">[25/09/2026] 🟢  </w:t>
      </w:r>
      <w:r>
        <w:rPr>
          <w:b/>
          <w:color w:val="008000"/>
          <w:sz w:val="18"/>
        </w:rPr>
        <w:t>Afrique de l'Ouest: La CEDEAO préconise des programmes de réintégration pour les migrants de retour - allAfrica.fr</w:t>
      </w:r>
      <w:r>
        <w:rPr>
          <w:color w:val="787878"/>
          <w:sz w:val="15"/>
        </w:rPr>
        <w:t xml:space="preserve">  [économique]</w:t>
      </w:r>
      <w:r>
        <w:rPr>
          <w:color w:val="B47800"/>
          <w:sz w:val="16"/>
        </w:rPr>
        <w:t xml:space="preserve">  ★ 50/10</w:t>
      </w:r>
    </w:p>
    <w:p>
      <w:pPr>
        <w:spacing w:before="0" w:after="20"/>
        <w:ind w:left="600"/>
      </w:pPr>
      <w:r>
        <w:rPr>
          <w:color w:val="323232"/>
          <w:sz w:val="17"/>
        </w:rPr>
        <w:t>La CEDEAO préconise la mise en place de programmes de réintégration pour les migrants de retour dans la région ouest-africaine. Cette initiative vise à faciliter la réinsertion socio-économique des personnes revenues dans leur pays d'origine. Elle s'inscrit dans un contexte de gestion des flux migratoires et de développement régional. L'objectif es</w:t>
      </w:r>
    </w:p>
    <w:p>
      <w:pPr>
        <w:spacing w:before="0" w:after="40"/>
        <w:ind w:left="600"/>
      </w:pPr>
      <w:r>
        <w:rPr>
          <w:color w:val="00643C"/>
          <w:sz w:val="16"/>
        </w:rPr>
        <w:t>Points clés : La CEDEAO appelle à des programmes de réintégration pour les migrants de retour  •  Objectif : faciliter la réinsertion socio-économique des migrants  •  Initiative s'inscrivant dans la gestion des flux migratoires en Afrique de l'Ouest</w:t>
      </w:r>
    </w:p>
    <w:p>
      <w:pPr>
        <w:spacing w:before="0" w:after="60"/>
        <w:ind w:left="600"/>
      </w:pPr>
      <w:r>
        <w:rPr>
          <w:color w:val="0064B4"/>
          <w:sz w:val="15"/>
        </w:rPr>
        <w:t>Source : https://news.google.com/rss/articles/CBMiX0FVX3lxTE9ZY3RHb09mNzZBY2pRWm41LWVGcC1</w:t>
      </w:r>
    </w:p>
    <w:p>
      <w:pPr>
        <w:spacing w:before="120" w:after="40"/>
      </w:pPr>
      <w:r>
        <w:rPr>
          <w:b/>
          <w:color w:val="00467F"/>
          <w:sz w:val="20"/>
        </w:rPr>
        <w:t>🔑 matieres_premieres  (5 alerte(s))</w:t>
      </w:r>
    </w:p>
    <w:p>
      <w:pPr>
        <w:spacing w:before="40" w:after="40"/>
        <w:ind w:left="360"/>
      </w:pPr>
      <w:r>
        <w:rPr>
          <w:color w:val="646464"/>
          <w:sz w:val="17"/>
        </w:rPr>
        <w:t xml:space="preserve">[25/09/2026] 🔴  </w:t>
      </w:r>
      <w:r>
        <w:rPr>
          <w:b/>
          <w:color w:val="C00000"/>
          <w:sz w:val="18"/>
        </w:rPr>
        <w:t>Solutions pour freiner la hausse des prix des matières premières face aux fluctuations des prix de l'essence et du pétro</w:t>
      </w:r>
      <w:r>
        <w:rPr>
          <w:color w:val="787878"/>
          <w:sz w:val="15"/>
        </w:rPr>
        <w:t xml:space="preserve">  [matieres_premieres]</w:t>
      </w:r>
      <w:r>
        <w:rPr>
          <w:color w:val="B47800"/>
          <w:sz w:val="16"/>
        </w:rPr>
        <w:t xml:space="preserve">  ★ 50/10</w:t>
      </w:r>
    </w:p>
    <w:p>
      <w:pPr>
        <w:spacing w:before="0" w:after="20"/>
        <w:ind w:left="600"/>
      </w:pPr>
      <w:r>
        <w:rPr>
          <w:color w:val="323232"/>
          <w:sz w:val="17"/>
        </w:rPr>
        <w:t>L'article aborde les solutions envisagées pour freiner la hausse des prix des matières premières dans un contexte de fluctuations des prix de l'essence et du pétrole. Il souligne les pressions inflationnistes sur les matières premières et la nécessité de mesures correctives. Les variations des prix énergétiques impactent directement les coûts de pr</w:t>
      </w:r>
    </w:p>
    <w:p>
      <w:pPr>
        <w:spacing w:before="0" w:after="40"/>
        <w:ind w:left="600"/>
      </w:pPr>
      <w:r>
        <w:rPr>
          <w:color w:val="00643C"/>
          <w:sz w:val="16"/>
        </w:rPr>
        <w:t>Points clés : Hausse des prix des matières premières liée aux fluctuations du pétrole et de l'essence  •  Recherche de solutions pour freiner cette hausse  •  Impact sur les coûts de production et l'inflation</w:t>
      </w:r>
    </w:p>
    <w:p>
      <w:pPr>
        <w:spacing w:before="0" w:after="60"/>
        <w:ind w:left="600"/>
      </w:pPr>
      <w:r>
        <w:rPr>
          <w:color w:val="0064B4"/>
          <w:sz w:val="15"/>
        </w:rPr>
        <w:t>Source : https://news.google.com/rss/articles/CBMivgFBVV95cUxPUEN3S3FwSzBnazJNVWdvQi1HMW9</w:t>
      </w:r>
    </w:p>
    <w:p>
      <w:pPr>
        <w:spacing w:before="40" w:after="40"/>
        <w:ind w:left="360"/>
      </w:pPr>
      <w:r>
        <w:rPr>
          <w:color w:val="646464"/>
          <w:sz w:val="17"/>
        </w:rPr>
        <w:t xml:space="preserve">[25/09/2026] 🔴  </w:t>
      </w:r>
      <w:r>
        <w:rPr>
          <w:b/>
          <w:color w:val="C00000"/>
          <w:sz w:val="18"/>
        </w:rPr>
        <w:t>Le marché se retourne, les prix du pétrole s'envolent.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connaissent une forte hausse sur les marchés internationaux, marquant un retournement de tendance après une période de baisse. Cette remontée est alimentée par des tensions géopolitiques et des inquiétudes sur l'offre. Les investisseurs surveillent l'impact potentiel sur l'inflation et la croissance mondiale.</w:t>
      </w:r>
    </w:p>
    <w:p>
      <w:pPr>
        <w:spacing w:before="0" w:after="40"/>
        <w:ind w:left="600"/>
      </w:pPr>
      <w:r>
        <w:rPr>
          <w:color w:val="00643C"/>
          <w:sz w:val="16"/>
        </w:rPr>
        <w:t>Points clés : Forte hausse des prix du pétrole sur les marchés internationaux  •  Retournement de tendance après une période de baisse  •  Tensions géopolitiques et inquiétudes sur l'offre comme facteurs haussiers</w:t>
      </w:r>
    </w:p>
    <w:p>
      <w:pPr>
        <w:spacing w:before="0" w:after="60"/>
        <w:ind w:left="600"/>
      </w:pPr>
      <w:r>
        <w:rPr>
          <w:color w:val="0064B4"/>
          <w:sz w:val="15"/>
        </w:rPr>
        <w:t>Source : https://news.google.com/rss/articles/CBMickFVX3lxTE9vX2pRZVc5eGVLRTMyX1EydTJCRU9</w:t>
      </w:r>
    </w:p>
    <w:p>
      <w:pPr>
        <w:spacing w:before="40" w:after="40"/>
        <w:ind w:left="360"/>
      </w:pPr>
      <w:r>
        <w:rPr>
          <w:color w:val="646464"/>
          <w:sz w:val="17"/>
        </w:rPr>
        <w:t xml:space="preserve">[25/09/2026] 🟢  </w:t>
      </w:r>
      <w:r>
        <w:rPr>
          <w:b/>
          <w:color w:val="008000"/>
          <w:sz w:val="18"/>
        </w:rPr>
        <w:t>Marché des matières premières : l'indice MXV dépasse les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contrats à terme sur les matières premières au Vietnam, a franchi la barre des 3 000 points. Cette hausse reflète une dynamique positive sur les marchés des matières premières, portée par des facteurs tels que la demande et les prix internationaux. Ce niveau symbolique témoigne d'un regain d'activité et pourrait influence</w:t>
      </w:r>
    </w:p>
    <w:p>
      <w:pPr>
        <w:spacing w:before="0" w:after="40"/>
        <w:ind w:left="600"/>
      </w:pPr>
      <w:r>
        <w:rPr>
          <w:color w:val="00643C"/>
          <w:sz w:val="16"/>
        </w:rPr>
        <w:t>Points clés : L'indice MXV dépasse les 3 000 points pour la première fois.  •  Hausse significative des contrats à terme sur les matières premières au Vietnam.  •  Le franchissement de ce seuil indique un sentiment haussier sur le marché.</w:t>
      </w:r>
    </w:p>
    <w:p>
      <w:pPr>
        <w:spacing w:before="0" w:after="60"/>
        <w:ind w:left="600"/>
      </w:pPr>
      <w:r>
        <w:rPr>
          <w:color w:val="0064B4"/>
          <w:sz w:val="15"/>
        </w:rPr>
        <w:t>Source : https://news.google.com/rss/articles/CBMie0FVX3lxTE9LR3Q0NmNDU0poRjVESTBYM0ZrT1N</w:t>
      </w:r>
    </w:p>
    <w:p>
      <w:pPr>
        <w:spacing w:before="40" w:after="40"/>
        <w:ind w:left="360"/>
      </w:pPr>
      <w:r>
        <w:rPr>
          <w:color w:val="646464"/>
          <w:sz w:val="17"/>
        </w:rPr>
        <w:t xml:space="preserve">[24/09/2026] 🔴  </w:t>
      </w:r>
      <w:r>
        <w:rPr>
          <w:b/>
          <w:color w:val="C00000"/>
          <w:sz w:val="18"/>
        </w:rPr>
        <w:t>L'administration Trump souhaite interdire les exportations de diesel pendant 90 jours - RFI</w:t>
      </w:r>
      <w:r>
        <w:rPr>
          <w:color w:val="787878"/>
          <w:sz w:val="15"/>
        </w:rPr>
        <w:t xml:space="preserve">  [matieres_premieres]</w:t>
      </w:r>
      <w:r>
        <w:rPr>
          <w:color w:val="B47800"/>
          <w:sz w:val="16"/>
        </w:rPr>
        <w:t xml:space="preserve">  ★ 50/10</w:t>
      </w:r>
    </w:p>
    <w:p>
      <w:pPr>
        <w:spacing w:before="0" w:after="20"/>
        <w:ind w:left="600"/>
      </w:pPr>
      <w:r>
        <w:rPr>
          <w:color w:val="323232"/>
          <w:sz w:val="17"/>
        </w:rPr>
        <w:t>L'administration Trump envisage d'interdire les exportations de diesel américain pendant 90 jours. Cette mesure viserait à stabiliser le marché intérieur et à faire baisser les prix du carburant aux États-Unis. Une telle décision pourrait perturber les flux mondiaux de produits pétroliers raffinés et affecter les prix du diesel à l'international. L</w:t>
      </w:r>
    </w:p>
    <w:p>
      <w:pPr>
        <w:spacing w:before="0" w:after="40"/>
        <w:ind w:left="600"/>
      </w:pPr>
      <w:r>
        <w:rPr>
          <w:color w:val="00643C"/>
          <w:sz w:val="16"/>
        </w:rPr>
        <w:t>Points clés : Interdiction temporaire de 90 jours sur les exportations de diesel américain  •  Objectif de stabiliser les prix intérieurs aux États-Unis  •  Risque de tension sur l'offre mondiale de diesel  •  Impact potentiel sur les prix des produits raffinés</w:t>
      </w:r>
    </w:p>
    <w:p>
      <w:pPr>
        <w:spacing w:before="0" w:after="60"/>
        <w:ind w:left="600"/>
      </w:pPr>
      <w:r>
        <w:rPr>
          <w:color w:val="0064B4"/>
          <w:sz w:val="15"/>
        </w:rPr>
        <w:t>Source : https://news.google.com/rss/articles/CBMi_AFBVV95cUxQSlEwSFBtRzJVbjNBQzZUcW03OHJ</w:t>
      </w:r>
    </w:p>
    <w:p>
      <w:pPr>
        <w:spacing w:before="40" w:after="40"/>
        <w:ind w:left="360"/>
      </w:pPr>
      <w:r>
        <w:rPr>
          <w:color w:val="646464"/>
          <w:sz w:val="17"/>
        </w:rPr>
        <w:t xml:space="preserve">[24/09/2026] 🔴  </w:t>
      </w:r>
      <w:r>
        <w:rPr>
          <w:b/>
          <w:color w:val="C00000"/>
          <w:sz w:val="18"/>
        </w:rPr>
        <w:t>PepsiCo va augmenter les prix de certaines chips face à la hausse des coûts des matières premières - Boursorama</w:t>
      </w:r>
      <w:r>
        <w:rPr>
          <w:color w:val="787878"/>
          <w:sz w:val="15"/>
        </w:rPr>
        <w:t xml:space="preserve">  [matieres_premieres]</w:t>
      </w:r>
      <w:r>
        <w:rPr>
          <w:color w:val="B47800"/>
          <w:sz w:val="16"/>
        </w:rPr>
        <w:t xml:space="preserve">  ★ 50/10</w:t>
      </w:r>
    </w:p>
    <w:p>
      <w:pPr>
        <w:spacing w:before="0" w:after="20"/>
        <w:ind w:left="600"/>
      </w:pPr>
      <w:r>
        <w:rPr>
          <w:color w:val="323232"/>
          <w:sz w:val="17"/>
        </w:rPr>
        <w:t>PepsiCo a annoncé qu'elle augmentera les prix de certaines de ses marques de chips afin de compenser la hausse des coûts des matières premières. Cette décision reflète les pressions inflationnistes persistantes sur les intrants agricoles et énergétiques. Elle pourrait être suivie par d'autres acteurs du secteur agroalimentaire mondial. Les investis</w:t>
      </w:r>
    </w:p>
    <w:p>
      <w:pPr>
        <w:spacing w:before="0" w:after="40"/>
        <w:ind w:left="600"/>
      </w:pPr>
      <w:r>
        <w:rPr>
          <w:color w:val="00643C"/>
          <w:sz w:val="16"/>
        </w:rPr>
        <w:t>Points clés : PepsiCo augmente les prix de certaines chips  •  Cause : hausse des coûts des matières premières  •  Possible répercussion sur d'autres entreprises agroalimentaires  •  Risque de baisse de la demande si les prix montent trop</w:t>
      </w:r>
    </w:p>
    <w:p>
      <w:pPr>
        <w:spacing w:before="0" w:after="60"/>
        <w:ind w:left="600"/>
      </w:pPr>
      <w:r>
        <w:rPr>
          <w:color w:val="0064B4"/>
          <w:sz w:val="15"/>
        </w:rPr>
        <w:t>Source : https://news.google.com/rss/articles/CBMijAJBVV95cUxPclRORVpFZXAzYTc3anlIUXFKOHp</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8,950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2,390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42,500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16,805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3,795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8,100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2,420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2,085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11,595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2,960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15,810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2,010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6,290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21,295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3,050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8,100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1,555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5,130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6,440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3,980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3,100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32,000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15,300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8,950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2,390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7,900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3,795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2,420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8,100</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8,950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2,390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SAFC</w:t>
            </w:r>
          </w:p>
        </w:tc>
        <w:tc>
          <w:tcPr>
            <w:tcW w:type="dxa" w:w="1728"/>
            <w:shd w:fill="E2EFDA" w:val="clear"/>
          </w:tcPr>
          <w:p>
            <w:r>
              <w:rPr>
                <w:sz w:val="17"/>
              </w:rPr>
              <w:t>SAFCA CI</w:t>
            </w:r>
          </w:p>
        </w:tc>
        <w:tc>
          <w:tcPr>
            <w:tcW w:type="dxa" w:w="1728"/>
            <w:shd w:fill="E2EFDA" w:val="clear"/>
          </w:tcPr>
          <w:p>
            <w:r>
              <w:rPr>
                <w:sz w:val="17"/>
              </w:rPr>
              <w:t>4,300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42,500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8,510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16,805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SPHC</w:t>
            </w:r>
          </w:p>
        </w:tc>
        <w:tc>
          <w:tcPr>
            <w:tcW w:type="dxa" w:w="1728"/>
            <w:shd w:fill="E2EFDA" w:val="clear"/>
          </w:tcPr>
          <w:p>
            <w:r>
              <w:rPr>
                <w:sz w:val="17"/>
              </w:rPr>
              <w:t xml:space="preserve">SPHC - Société Africaine de </w:t>
            </w:r>
          </w:p>
        </w:tc>
        <w:tc>
          <w:tcPr>
            <w:tcW w:type="dxa" w:w="1728"/>
            <w:shd w:fill="E2EFDA" w:val="clear"/>
          </w:tcPr>
          <w:p>
            <w:r>
              <w:rPr>
                <w:sz w:val="17"/>
              </w:rPr>
              <w:t>7,900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8,950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2,390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SAFC</w:t>
            </w:r>
          </w:p>
        </w:tc>
        <w:tc>
          <w:tcPr>
            <w:tcW w:type="dxa" w:w="1728"/>
            <w:shd w:fill="FCE4D6" w:val="clear"/>
          </w:tcPr>
          <w:p>
            <w:r>
              <w:rPr>
                <w:sz w:val="17"/>
              </w:rPr>
              <w:t>SAFCA CI</w:t>
            </w:r>
          </w:p>
        </w:tc>
        <w:tc>
          <w:tcPr>
            <w:tcW w:type="dxa" w:w="1728"/>
            <w:shd w:fill="FCE4D6" w:val="clear"/>
          </w:tcPr>
          <w:p>
            <w:r>
              <w:rPr>
                <w:sz w:val="17"/>
              </w:rPr>
              <w:t>4,300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42,500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8,510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16,805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SPHC</w:t>
            </w:r>
          </w:p>
        </w:tc>
        <w:tc>
          <w:tcPr>
            <w:tcW w:type="dxa" w:w="1728"/>
            <w:shd w:fill="FCE4D6" w:val="clear"/>
          </w:tcPr>
          <w:p>
            <w:r>
              <w:rPr>
                <w:sz w:val="17"/>
              </w:rPr>
              <w:t xml:space="preserve">SPHC - Société Africaine de </w:t>
            </w:r>
          </w:p>
        </w:tc>
        <w:tc>
          <w:tcPr>
            <w:tcW w:type="dxa" w:w="1728"/>
            <w:shd w:fill="FCE4D6" w:val="clear"/>
          </w:tcPr>
          <w:p>
            <w:r>
              <w:rPr>
                <w:sz w:val="17"/>
              </w:rPr>
              <w:t>7,900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surachat (78.6 &gt; 70) — risque de correction</w:t>
      </w:r>
    </w:p>
    <w:p>
      <w:pPr>
        <w:pStyle w:val="ListBullet"/>
        <w:spacing w:before="20"/>
        <w:ind w:left="400"/>
      </w:pPr>
      <w:r>
        <w:rPr>
          <w:sz w:val="18"/>
        </w:rPr>
        <w:t>⚠️ Cours à 3.0%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RSI survente (27.7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survente (21.3 &lt; 30) — opportunité potentielle</w:t>
      </w:r>
    </w:p>
    <w:p>
      <w:pPr>
        <w:pStyle w:val="ListBullet"/>
        <w:spacing w:before="20"/>
        <w:ind w:left="400"/>
      </w:pPr>
      <w:r>
        <w:rPr>
          <w:sz w:val="18"/>
        </w:rPr>
        <w:t>🟠 Divergence tech(VENTE) / fond(NEUTRE) — recommandation ajustée à CONSERVER ⚠️</w:t>
      </w:r>
    </w:p>
    <w:p>
      <w:pPr>
        <w:spacing w:before="120"/>
      </w:pPr>
      <w:r>
        <w:rPr>
          <w:b/>
          <w:color w:val="0050A0"/>
          <w:sz w:val="20"/>
        </w:rPr>
        <w:t>SNTS — SNTS - SONATEL SN</w:t>
      </w:r>
    </w:p>
    <w:p>
      <w:pPr>
        <w:pStyle w:val="ListBullet"/>
        <w:spacing w:before="20"/>
        <w:ind w:left="400"/>
      </w:pPr>
      <w:r>
        <w:rPr>
          <w:sz w:val="18"/>
        </w:rPr>
        <w:t>🔴 RSI surachat (73.9 &gt; 70) — risque de correction</w:t>
      </w:r>
    </w:p>
    <w:p>
      <w:pPr>
        <w:pStyle w:val="ListBullet"/>
        <w:spacing w:before="20"/>
        <w:ind w:left="400"/>
      </w:pPr>
      <w:r>
        <w:rPr>
          <w:sz w:val="18"/>
        </w:rPr>
        <w:t>⚠️ Cours à 0.0% du plus haut 100j (42,500 FCFA)</w:t>
      </w:r>
    </w:p>
    <w:p>
      <w:pPr>
        <w:spacing w:before="120"/>
      </w:pPr>
      <w:r>
        <w:rPr>
          <w:b/>
          <w:color w:val="0050A0"/>
          <w:sz w:val="20"/>
        </w:rPr>
        <w:t>STAC — STAC - SETAO COTE D'IVOIRE</w:t>
      </w:r>
    </w:p>
    <w:p>
      <w:pPr>
        <w:pStyle w:val="ListBullet"/>
        <w:spacing w:before="20"/>
        <w:ind w:left="400"/>
      </w:pPr>
      <w:r>
        <w:rPr>
          <w:sz w:val="18"/>
        </w:rPr>
        <w:t>🟢 RSI survente (25.7 &lt; 30) — opportunité potentielle</w:t>
      </w:r>
    </w:p>
    <w:p>
      <w:pPr>
        <w:pStyle w:val="ListBullet"/>
        <w:spacing w:before="20"/>
        <w:ind w:left="400"/>
      </w:pPr>
      <w:r>
        <w:rPr>
          <w:sz w:val="18"/>
        </w:rPr>
        <w:t>⚠️ Cours à 0.0% du plus bas 100j (2,085 FCFA)</w:t>
      </w:r>
    </w:p>
    <w:p>
      <w:pPr>
        <w:spacing w:before="120"/>
      </w:pPr>
      <w:r>
        <w:rPr>
          <w:b/>
          <w:color w:val="0050A0"/>
          <w:sz w:val="20"/>
        </w:rPr>
        <w:t>BICB — BIIC BN - Banque internationale pour le commerce du benin</w:t>
      </w:r>
    </w:p>
    <w:p>
      <w:pPr>
        <w:pStyle w:val="ListBullet"/>
        <w:spacing w:before="20"/>
        <w:ind w:left="400"/>
      </w:pPr>
      <w:r>
        <w:rPr>
          <w:sz w:val="18"/>
        </w:rPr>
        <w:t>🟢 RSI survente (23.7 &lt; 30) — opportunité potentielle</w:t>
      </w:r>
    </w:p>
    <w:p>
      <w:pPr>
        <w:spacing w:before="120"/>
      </w:pPr>
      <w:r>
        <w:rPr>
          <w:b/>
          <w:color w:val="0050A0"/>
          <w:sz w:val="20"/>
        </w:rPr>
        <w:t>BOAB — BANK OF AFRICA BENIN</w:t>
      </w:r>
    </w:p>
    <w:p>
      <w:pPr>
        <w:pStyle w:val="ListBullet"/>
        <w:spacing w:before="20"/>
        <w:ind w:left="400"/>
      </w:pPr>
      <w:r>
        <w:rPr>
          <w:sz w:val="18"/>
        </w:rPr>
        <w:t>🟢 RSI survente (21.1 &lt; 30) — opportunité potentielle</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(25.2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survente (23.7 &lt; 30) — opportunité potentielle</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 FORT</w:t>
      </w:r>
    </w:p>
    <w:p>
      <w:pPr>
        <w:spacing w:before="120"/>
      </w:pPr>
      <w:r>
        <w:rPr>
          <w:b/>
          <w:color w:val="0050A0"/>
          <w:sz w:val="20"/>
        </w:rPr>
        <w:t>SIVC — SIVC - ERIUM CI (Ex AIR LIQUIDECI)</w:t>
      </w:r>
    </w:p>
    <w:p>
      <w:pPr>
        <w:pStyle w:val="ListBullet"/>
        <w:spacing w:before="20"/>
        <w:ind w:left="400"/>
      </w:pPr>
      <w:r>
        <w:rPr>
          <w:sz w:val="18"/>
        </w:rPr>
        <w:t>🟢 RSI survente (26.6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(27.7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27 société(s) (57%)</w:t>
            </w:r>
          </w:p>
        </w:tc>
        <w:tc>
          <w:tcPr>
            <w:tcW w:type="dxa" w:w="1644"/>
            <w:shd w:fill="FFEB9C" w:val="clear"/>
          </w:tcPr>
          <w:p>
            <w:r>
              <w:rPr>
                <w:b/>
                <w:color w:val="825A00"/>
                <w:sz w:val="19"/>
              </w:rPr>
              <w:t>20 société(s) (43%)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19.9/100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CBIBF (31.3/100 — Moyen) : </w:t>
      </w:r>
      <w:r>
        <w:rPr>
          <w:sz w:val="17"/>
        </w:rPr>
        <w:t>Volatilité=Élevée | Bêta=Agressif | Liquidité=Bonne | Divergence signaux=taux divergence=20% (Mixte ⚠️) | Stabilité=Stable</w:t>
      </w:r>
    </w:p>
    <w:p>
      <w:pPr>
        <w:pStyle w:val="ListBullet"/>
      </w:pPr>
      <w:r>
        <w:rPr>
          <w:b/>
          <w:color w:val="B40000"/>
          <w:sz w:val="18"/>
        </w:rPr>
        <w:t xml:space="preserve">#4 CIEC (29.8/100 — Moyen) : </w:t>
      </w:r>
      <w:r>
        <w:rPr>
          <w:sz w:val="17"/>
        </w:rPr>
        <w:t>Volatilité=Élevée | Bêta=Neutre  | Liquidité=Bonne | Divergence signaux=taux divergence=20% (Mixte ⚠️) | Stabilité=Modérée</w:t>
      </w:r>
    </w:p>
    <w:p>
      <w:pPr>
        <w:pStyle w:val="ListBullet"/>
      </w:pPr>
      <w:r>
        <w:rPr>
          <w:b/>
          <w:color w:val="B40000"/>
          <w:sz w:val="18"/>
        </w:rPr>
        <w:t xml:space="preserve">#5 SAFC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-1.14%  |  Médiane : -2.30%</w:t>
            </w:r>
          </w:p>
        </w:tc>
      </w:tr>
      <w:tr>
        <w:tc>
          <w:tcPr>
            <w:tcW w:type="dxa" w:w="2835"/>
            <w:shd w:fill="DEEAF1" w:val="clear"/>
          </w:tcPr>
          <w:p>
            <w:r>
              <w:rPr>
                <w:b/>
                <w:sz w:val="18"/>
              </w:rPr>
              <w:t>Répartition</w:t>
            </w:r>
          </w:p>
        </w:tc>
        <w:tc>
          <w:tcPr>
            <w:tcW w:type="dxa" w:w="7370"/>
          </w:tcPr>
          <w:p>
            <w:r>
              <w:rPr>
                <w:b/>
                <w:sz w:val="18"/>
              </w:rPr>
              <w:t>📈 12 sociétés en hausse (&gt;+1%)   📉 26 en baisse (&lt;-1%)   ➡️ 9 neutres</w:t>
            </w:r>
          </w:p>
        </w:tc>
      </w:tr>
      <w:tr>
        <w:tc>
          <w:tcPr>
            <w:tcW w:type="dxa" w:w="2835"/>
            <w:shd w:fill="DEEAF1" w:val="clear"/>
          </w:tcPr>
          <w:p>
            <w:r>
              <w:rPr>
                <w:b/>
                <w:sz w:val="18"/>
              </w:rPr>
              <w:t>Confiance globale</w:t>
            </w:r>
          </w:p>
        </w:tc>
        <w:tc>
          <w:tcPr>
            <w:tcW w:type="dxa" w:w="7370"/>
          </w:tcPr>
          <w:p>
            <w:r>
              <w:rPr>
                <w:b/>
                <w:sz w:val="18"/>
              </w:rPr>
              <w:t>Élevée : 0 sociétés (0%)   Moyenne : 8   Faible : 39 (83%)   → Confiance dominante : Faible</w:t>
            </w:r>
          </w:p>
        </w:tc>
      </w:tr>
    </w:tbl>
    <w:p/>
    <w:p>
      <w:r>
        <w:rPr>
          <w:i/>
          <w:color w:val="282828"/>
          <w:sz w:val="18"/>
        </w:rPr>
        <w:t>📝 Analyse : Légère tendance baissière avec signal mixte : 26 sociétés en baisse vs 12 en hausse. Variation moyenne : -1.14%.</w:t>
      </w:r>
    </w:p>
    <w:p>
      <w:r>
        <w:rPr>
          <w:i/>
          <w:color w:val="282828"/>
          <w:sz w:val="18"/>
        </w:rPr>
        <w:t>🎯 Fiabilité : ⚠️ La confiance est globalement FAIBLE (83%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4,300 FCFA</w:t>
            </w:r>
          </w:p>
        </w:tc>
        <w:tc>
          <w:tcPr>
            <w:tcW w:type="dxa" w:w="1417"/>
            <w:shd w:fill="FFFFFF" w:val="clear"/>
          </w:tcPr>
          <w:p>
            <w:r>
              <w:rPr>
                <w:sz w:val="16"/>
              </w:rPr>
              <w:t>4,995 FCFA</w:t>
            </w:r>
          </w:p>
        </w:tc>
        <w:tc>
          <w:tcPr>
            <w:tcW w:type="dxa" w:w="1134"/>
            <w:shd w:fill="C6EFCE" w:val="clear"/>
          </w:tcPr>
          <w:p>
            <w:r>
              <w:rPr>
                <w:b/>
                <w:color w:val="007800"/>
                <w:sz w:val="16"/>
              </w:rPr>
              <w:t>+16.16%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11,900 FCFA</w:t>
            </w:r>
          </w:p>
        </w:tc>
        <w:tc>
          <w:tcPr>
            <w:tcW w:type="dxa" w:w="1417"/>
            <w:shd w:fill="FFFFFF" w:val="clear"/>
          </w:tcPr>
          <w:p>
            <w:r>
              <w:rPr>
                <w:sz w:val="16"/>
              </w:rPr>
              <w:t>13,358 FCFA</w:t>
            </w:r>
          </w:p>
        </w:tc>
        <w:tc>
          <w:tcPr>
            <w:tcW w:type="dxa" w:w="1134"/>
            <w:shd w:fill="C6EFCE" w:val="clear"/>
          </w:tcPr>
          <w:p>
            <w:r>
              <w:rPr>
                <w:b/>
                <w:color w:val="007800"/>
                <w:sz w:val="16"/>
              </w:rPr>
              <w:t>+12.25%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21,400 FCFA</w:t>
            </w:r>
          </w:p>
        </w:tc>
        <w:tc>
          <w:tcPr>
            <w:tcW w:type="dxa" w:w="1417"/>
            <w:shd w:fill="FFFFFF" w:val="clear"/>
          </w:tcPr>
          <w:p>
            <w:r>
              <w:rPr>
                <w:sz w:val="16"/>
              </w:rPr>
              <w:t>23,885 FCFA</w:t>
            </w:r>
          </w:p>
        </w:tc>
        <w:tc>
          <w:tcPr>
            <w:tcW w:type="dxa" w:w="1134"/>
            <w:shd w:fill="C6EFCE" w:val="clear"/>
          </w:tcPr>
          <w:p>
            <w:r>
              <w:rPr>
                <w:b/>
                <w:color w:val="007800"/>
                <w:sz w:val="16"/>
              </w:rPr>
              <w:t>+11.61%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3,100 FCFA</w:t>
            </w:r>
          </w:p>
        </w:tc>
        <w:tc>
          <w:tcPr>
            <w:tcW w:type="dxa" w:w="1417"/>
            <w:shd w:fill="FFFFFF" w:val="clear"/>
          </w:tcPr>
          <w:p>
            <w:r>
              <w:rPr>
                <w:sz w:val="16"/>
              </w:rPr>
              <w:t>3,441 FCFA</w:t>
            </w:r>
          </w:p>
        </w:tc>
        <w:tc>
          <w:tcPr>
            <w:tcW w:type="dxa" w:w="1134"/>
            <w:shd w:fill="C6EFCE" w:val="clear"/>
          </w:tcPr>
          <w:p>
            <w:r>
              <w:rPr>
                <w:b/>
                <w:color w:val="007800"/>
                <w:sz w:val="16"/>
              </w:rPr>
              <w:t>+10.98%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6,290 FCFA</w:t>
            </w:r>
          </w:p>
        </w:tc>
        <w:tc>
          <w:tcPr>
            <w:tcW w:type="dxa" w:w="1417"/>
            <w:shd w:fill="FFFFFF" w:val="clear"/>
          </w:tcPr>
          <w:p>
            <w:r>
              <w:rPr>
                <w:sz w:val="16"/>
              </w:rPr>
              <w:t>6,860 FCFA</w:t>
            </w:r>
          </w:p>
        </w:tc>
        <w:tc>
          <w:tcPr>
            <w:tcW w:type="dxa" w:w="1134"/>
            <w:shd w:fill="C6EFCE" w:val="clear"/>
          </w:tcPr>
          <w:p>
            <w:r>
              <w:rPr>
                <w:b/>
                <w:color w:val="007800"/>
                <w:sz w:val="16"/>
              </w:rPr>
              <w:t>+9.06%</w:t>
            </w:r>
          </w:p>
        </w:tc>
        <w:tc>
          <w:tcPr>
            <w:tcW w:type="dxa" w:w="1020"/>
            <w:shd w:fill="FFC7CE" w:val="clear"/>
          </w:tcPr>
          <w:p>
            <w:r>
              <w:rPr>
                <w:sz w:val="16"/>
              </w:rPr>
              <w:t>Faible</w:t>
            </w:r>
          </w:p>
        </w:tc>
      </w:tr>
    </w:tbl>
    <w:p/>
    <w:p>
      <w:pPr>
        <w:pStyle w:val="ListBullet"/>
      </w:pPr>
      <w:r>
        <w:rPr>
          <w:b/>
          <w:color w:val="006400"/>
          <w:sz w:val="18"/>
        </w:rPr>
        <w:t xml:space="preserve">#1 SAFC </w:t>
      </w:r>
      <w:r>
        <w:rPr>
          <w:sz w:val="17"/>
        </w:rPr>
        <w:t>(SAFCA CI) — hausse significative (+16.2%) — potentiel de revalorisation notable. Trajectoire : 📈 Hausse continue. Cours actuel : 4,300 FCFA → prédit J+10 : 4,995 FCFA. ⚠️ Confiance limitée — volatilité élevée ou données insuffisantes. Résultat indicatif uniquement.</w:t>
      </w:r>
    </w:p>
    <w:p>
      <w:pPr>
        <w:pStyle w:val="ListBullet"/>
      </w:pPr>
      <w:r>
        <w:rPr>
          <w:b/>
          <w:color w:val="006400"/>
          <w:sz w:val="18"/>
        </w:rPr>
        <w:t xml:space="preserve">#2 SDCC </w:t>
      </w:r>
      <w:r>
        <w:rPr>
          <w:sz w:val="17"/>
        </w:rPr>
        <w:t>(SDCC - Société de Distribution d'Eau de ) — hausse significative (+12.3%) — potentiel de revalorisation notable. Trajectoire : 📈 Hausse continue. Cours actuel : 11,900 FCFA → prédit J+10 : 13,358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(+11.6%) — potentiel de revalorisation notable. Trajectoire : 📈 Hausse continue. Cours actuel : 21,400 FCFA → prédit J+10 : 23,885 FCFA. ⚠️ Confiance limitée — volatilité élevée ou données insuffisantes. Résultat indicatif uniquement.</w:t>
      </w:r>
    </w:p>
    <w:p>
      <w:pPr>
        <w:pStyle w:val="ListBullet"/>
      </w:pPr>
      <w:r>
        <w:rPr>
          <w:b/>
          <w:color w:val="006400"/>
          <w:sz w:val="18"/>
        </w:rPr>
        <w:t xml:space="preserve">#4 SCRC </w:t>
      </w:r>
      <w:r>
        <w:rPr>
          <w:sz w:val="17"/>
        </w:rPr>
        <w:t>(SCRC - SUCRIVOIRE) — hausse significative (+11.0%) — potentiel de revalorisation notable. Trajectoire : 📈 Hausse continue. Cours actuel : 3,100 FCFA → prédit J+10 : 3,441 FCFA. ⚠️ Confiance limitée — volatilité élevée ou données insuffisantes. Résultat indicatif uniquement.</w:t>
      </w:r>
    </w:p>
    <w:p>
      <w:pPr>
        <w:pStyle w:val="ListBullet"/>
      </w:pPr>
      <w:r>
        <w:rPr>
          <w:b/>
          <w:color w:val="006400"/>
          <w:sz w:val="18"/>
        </w:rPr>
        <w:t xml:space="preserve">#5 BOAM </w:t>
      </w:r>
      <w:r>
        <w:rPr>
          <w:sz w:val="17"/>
        </w:rPr>
        <w:t>(BANK OF AFRICA MALI) — hausse modérée (+9.1%) — signal raisonnable et crédible. Trajectoire : 📈 Hausse continue. Cours actuel : 6,290 FCFA → prédit J+10 : 6,860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3,518 FCFA</w:t>
            </w:r>
          </w:p>
        </w:tc>
        <w:tc>
          <w:tcPr>
            <w:tcW w:type="dxa" w:w="1134"/>
            <w:shd w:fill="FFC7CE" w:val="clear"/>
          </w:tcPr>
          <w:p>
            <w:r>
              <w:rPr>
                <w:b/>
                <w:color w:val="B40000"/>
                <w:sz w:val="16"/>
              </w:rPr>
              <w:t>-10.49%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28,253 FCFA</w:t>
            </w:r>
          </w:p>
        </w:tc>
        <w:tc>
          <w:tcPr>
            <w:tcW w:type="dxa" w:w="1134"/>
            <w:shd w:fill="FFC7CE" w:val="clear"/>
          </w:tcPr>
          <w:p>
            <w:r>
              <w:rPr>
                <w:b/>
                <w:color w:val="B40000"/>
                <w:sz w:val="16"/>
              </w:rPr>
              <w:t>-10.31%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2,420 FCFA</w:t>
            </w:r>
          </w:p>
        </w:tc>
        <w:tc>
          <w:tcPr>
            <w:tcW w:type="dxa" w:w="1417"/>
            <w:shd w:fill="FFFFFF" w:val="clear"/>
          </w:tcPr>
          <w:p>
            <w:r>
              <w:rPr>
                <w:sz w:val="16"/>
              </w:rPr>
              <w:t>2,189 FCFA</w:t>
            </w:r>
          </w:p>
        </w:tc>
        <w:tc>
          <w:tcPr>
            <w:tcW w:type="dxa" w:w="1134"/>
            <w:shd w:fill="FFC7CE" w:val="clear"/>
          </w:tcPr>
          <w:p>
            <w:r>
              <w:rPr>
                <w:b/>
                <w:color w:val="B40000"/>
                <w:sz w:val="16"/>
              </w:rPr>
              <w:t>-9.55%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6,440 FCFA</w:t>
            </w:r>
          </w:p>
        </w:tc>
        <w:tc>
          <w:tcPr>
            <w:tcW w:type="dxa" w:w="1417"/>
            <w:shd w:fill="FFFFFF" w:val="clear"/>
          </w:tcPr>
          <w:p>
            <w:r>
              <w:rPr>
                <w:sz w:val="16"/>
              </w:rPr>
              <w:t>5,927 FCFA</w:t>
            </w:r>
          </w:p>
        </w:tc>
        <w:tc>
          <w:tcPr>
            <w:tcW w:type="dxa" w:w="1134"/>
            <w:shd w:fill="FFC7CE" w:val="clear"/>
          </w:tcPr>
          <w:p>
            <w:r>
              <w:rPr>
                <w:b/>
                <w:color w:val="B40000"/>
                <w:sz w:val="16"/>
              </w:rPr>
              <w:t>-7.97%</w:t>
            </w:r>
          </w:p>
        </w:tc>
        <w:tc>
          <w:tcPr>
            <w:tcW w:type="dxa" w:w="1020"/>
            <w:shd w:fill="FFC7CE" w:val="clear"/>
          </w:tcPr>
          <w:p>
            <w:r>
              <w:rPr>
                <w:sz w:val="16"/>
              </w:rPr>
              <w:t>Faible</w:t>
            </w:r>
          </w:p>
        </w:tc>
      </w:tr>
    </w:tbl>
    <w:p/>
    <w:p>
      <w:pPr>
        <w:pStyle w:val="ListBullet"/>
      </w:pPr>
      <w:r>
        <w:rPr>
          <w:b/>
          <w:color w:val="B40000"/>
          <w:sz w:val="18"/>
        </w:rPr>
        <w:t xml:space="preserve">#1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#2 ABJC </w:t>
      </w:r>
      <w:r>
        <w:rPr>
          <w:sz w:val="17"/>
        </w:rPr>
        <w:t>(ABJC - SERVAIR ABIDJAN CI) — baisse modérée (-10.5%) — repli technique attendu. Trajectoire : 📉 Baisse continue. Cours actuel : 3,930 FCFA → prédit J+10 : 3,518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(-10.3%) — repli technique attendu. Trajectoire : 📉 Baisse continue. Cours actuel : 31,500 FCFA → prédit J+10 : 28,253 FCFA. ⚠️ Confiance limitée — volatilité élevée. Ne pas agir sur ce seul signal.</w:t>
      </w:r>
    </w:p>
    <w:p>
      <w:pPr>
        <w:pStyle w:val="ListBullet"/>
      </w:pPr>
      <w:r>
        <w:rPr>
          <w:b/>
          <w:color w:val="B40000"/>
          <w:sz w:val="18"/>
        </w:rPr>
        <w:t xml:space="preserve">#4 SHEC </w:t>
      </w:r>
      <w:r>
        <w:rPr>
          <w:sz w:val="17"/>
        </w:rPr>
        <w:t>(SHEC - VIVO ENERGY COTE D'IVOIRE) — baisse modérée (-9.6%) — repli technique attendu. Trajectoire : 📉 Baisse continue. Cours actuel : 2,420 FCFA → prédit J+10 : 2,189 FCFA. ⚠️ Confiance limitée — volatilité élevée. Ne pas agir sur ce seul signal.</w:t>
      </w:r>
    </w:p>
    <w:p>
      <w:pPr>
        <w:pStyle w:val="ListBullet"/>
      </w:pPr>
      <w:r>
        <w:rPr>
          <w:b/>
          <w:color w:val="B40000"/>
          <w:sz w:val="18"/>
        </w:rPr>
        <w:t xml:space="preserve">#5 CIEC </w:t>
      </w:r>
      <w:r>
        <w:rPr>
          <w:sz w:val="17"/>
        </w:rPr>
        <w:t>(CIEC - Compagnie Ivoirienne d'Electricit) — baisse modérée (-8.0%) — repli technique attendu. Trajectoire : 📉 Baisse continue. Cours actuel : 6,440 FCFA → prédit J+10 : 5,927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4,300</w:t>
            </w:r>
          </w:p>
        </w:tc>
        <w:tc>
          <w:tcPr>
            <w:tcW w:type="dxa" w:w="1417"/>
            <w:shd w:fill="FFFFFF" w:val="clear"/>
          </w:tcPr>
          <w:p>
            <w:r>
              <w:rPr>
                <w:sz w:val="16"/>
              </w:rPr>
              <w:t>4,995</w:t>
            </w:r>
          </w:p>
        </w:tc>
        <w:tc>
          <w:tcPr>
            <w:tcW w:type="dxa" w:w="1134"/>
            <w:shd w:fill="C6EFCE" w:val="clear"/>
          </w:tcPr>
          <w:p>
            <w:r>
              <w:rPr>
                <w:b/>
                <w:color w:val="007800"/>
                <w:sz w:val="16"/>
              </w:rPr>
              <w:t>+16.16%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13,358</w:t>
            </w:r>
          </w:p>
        </w:tc>
        <w:tc>
          <w:tcPr>
            <w:tcW w:type="dxa" w:w="1134"/>
            <w:shd w:fill="C6EFCE" w:val="clear"/>
          </w:tcPr>
          <w:p>
            <w:r>
              <w:rPr>
                <w:b/>
                <w:color w:val="007800"/>
                <w:sz w:val="16"/>
              </w:rPr>
              <w:t>+12.25%</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21,400</w:t>
            </w:r>
          </w:p>
        </w:tc>
        <w:tc>
          <w:tcPr>
            <w:tcW w:type="dxa" w:w="1417"/>
            <w:shd w:fill="FFFFFF" w:val="clear"/>
          </w:tcPr>
          <w:p>
            <w:r>
              <w:rPr>
                <w:sz w:val="16"/>
              </w:rPr>
              <w:t>23,885</w:t>
            </w:r>
          </w:p>
        </w:tc>
        <w:tc>
          <w:tcPr>
            <w:tcW w:type="dxa" w:w="1134"/>
            <w:shd w:fill="C6EFCE" w:val="clear"/>
          </w:tcPr>
          <w:p>
            <w:r>
              <w:rPr>
                <w:b/>
                <w:color w:val="007800"/>
                <w:sz w:val="16"/>
              </w:rPr>
              <w:t>+11.61%</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3,100</w:t>
            </w:r>
          </w:p>
        </w:tc>
        <w:tc>
          <w:tcPr>
            <w:tcW w:type="dxa" w:w="1417"/>
            <w:shd w:fill="FFFFFF" w:val="clear"/>
          </w:tcPr>
          <w:p>
            <w:r>
              <w:rPr>
                <w:sz w:val="16"/>
              </w:rPr>
              <w:t>3,441</w:t>
            </w:r>
          </w:p>
        </w:tc>
        <w:tc>
          <w:tcPr>
            <w:tcW w:type="dxa" w:w="1134"/>
            <w:shd w:fill="C6EFCE" w:val="clear"/>
          </w:tcPr>
          <w:p>
            <w:r>
              <w:rPr>
                <w:b/>
                <w:color w:val="007800"/>
                <w:sz w:val="16"/>
              </w:rPr>
              <w:t>+10.98%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6,290</w:t>
            </w:r>
          </w:p>
        </w:tc>
        <w:tc>
          <w:tcPr>
            <w:tcW w:type="dxa" w:w="1417"/>
            <w:shd w:fill="FFFFFF" w:val="clear"/>
          </w:tcPr>
          <w:p>
            <w:r>
              <w:rPr>
                <w:sz w:val="16"/>
              </w:rPr>
              <w:t>6,860</w:t>
            </w:r>
          </w:p>
        </w:tc>
        <w:tc>
          <w:tcPr>
            <w:tcW w:type="dxa" w:w="1134"/>
            <w:shd w:fill="C6EFCE" w:val="clear"/>
          </w:tcPr>
          <w:p>
            <w:r>
              <w:rPr>
                <w:b/>
                <w:color w:val="007800"/>
                <w:sz w:val="16"/>
              </w:rPr>
              <w:t>+9.06%</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41,395</w:t>
            </w:r>
          </w:p>
        </w:tc>
        <w:tc>
          <w:tcPr>
            <w:tcW w:type="dxa" w:w="1134"/>
            <w:shd w:fill="C6EFCE" w:val="clear"/>
          </w:tcPr>
          <w:p>
            <w:r>
              <w:rPr>
                <w:b/>
                <w:color w:val="007800"/>
                <w:sz w:val="16"/>
              </w:rPr>
              <w:t>+8.93%</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8,510</w:t>
            </w:r>
          </w:p>
        </w:tc>
        <w:tc>
          <w:tcPr>
            <w:tcW w:type="dxa" w:w="1417"/>
            <w:shd w:fill="FFFFFF" w:val="clear"/>
          </w:tcPr>
          <w:p>
            <w:r>
              <w:rPr>
                <w:sz w:val="16"/>
              </w:rPr>
              <w:t>9,131</w:t>
            </w:r>
          </w:p>
        </w:tc>
        <w:tc>
          <w:tcPr>
            <w:tcW w:type="dxa" w:w="1134"/>
            <w:shd w:fill="C6EFCE" w:val="clear"/>
          </w:tcPr>
          <w:p>
            <w:r>
              <w:rPr>
                <w:b/>
                <w:color w:val="007800"/>
                <w:sz w:val="16"/>
              </w:rPr>
              <w:t>+7.30%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3,980</w:t>
            </w:r>
          </w:p>
        </w:tc>
        <w:tc>
          <w:tcPr>
            <w:tcW w:type="dxa" w:w="1417"/>
            <w:shd w:fill="FFFFFF" w:val="clear"/>
          </w:tcPr>
          <w:p>
            <w:r>
              <w:rPr>
                <w:sz w:val="16"/>
              </w:rPr>
              <w:t>4,165</w:t>
            </w:r>
          </w:p>
        </w:tc>
        <w:tc>
          <w:tcPr>
            <w:tcW w:type="dxa" w:w="1134"/>
            <w:shd w:fill="C6EFCE" w:val="clear"/>
          </w:tcPr>
          <w:p>
            <w:r>
              <w:rPr>
                <w:b/>
                <w:color w:val="007800"/>
                <w:sz w:val="16"/>
              </w:rPr>
              <w:t>+4.65%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1,555</w:t>
            </w:r>
          </w:p>
        </w:tc>
        <w:tc>
          <w:tcPr>
            <w:tcW w:type="dxa" w:w="1417"/>
            <w:shd w:fill="FFFFFF" w:val="clear"/>
          </w:tcPr>
          <w:p>
            <w:r>
              <w:rPr>
                <w:sz w:val="16"/>
              </w:rPr>
              <w:t>1,612</w:t>
            </w:r>
          </w:p>
        </w:tc>
        <w:tc>
          <w:tcPr>
            <w:tcW w:type="dxa" w:w="1134"/>
            <w:shd w:fill="C6EFCE" w:val="clear"/>
          </w:tcPr>
          <w:p>
            <w:r>
              <w:rPr>
                <w:b/>
                <w:color w:val="007800"/>
                <w:sz w:val="16"/>
              </w:rPr>
              <w:t>+3.68%</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2,085</w:t>
            </w:r>
          </w:p>
        </w:tc>
        <w:tc>
          <w:tcPr>
            <w:tcW w:type="dxa" w:w="1417"/>
            <w:shd w:fill="FFFFFF" w:val="clear"/>
          </w:tcPr>
          <w:p>
            <w:r>
              <w:rPr>
                <w:sz w:val="16"/>
              </w:rPr>
              <w:t>2,124</w:t>
            </w:r>
          </w:p>
        </w:tc>
        <w:tc>
          <w:tcPr>
            <w:tcW w:type="dxa" w:w="1134"/>
            <w:shd w:fill="C6EFCE" w:val="clear"/>
          </w:tcPr>
          <w:p>
            <w:r>
              <w:rPr>
                <w:b/>
                <w:color w:val="007800"/>
                <w:sz w:val="16"/>
              </w:rPr>
              <w:t>+1.87%</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16,805</w:t>
            </w:r>
          </w:p>
        </w:tc>
        <w:tc>
          <w:tcPr>
            <w:tcW w:type="dxa" w:w="1417"/>
            <w:shd w:fill="FFFFFF" w:val="clear"/>
          </w:tcPr>
          <w:p>
            <w:r>
              <w:rPr>
                <w:sz w:val="16"/>
              </w:rPr>
              <w:t>17,079</w:t>
            </w:r>
          </w:p>
        </w:tc>
        <w:tc>
          <w:tcPr>
            <w:tcW w:type="dxa" w:w="1134"/>
            <w:shd w:fill="C6EFCE" w:val="clear"/>
          </w:tcPr>
          <w:p>
            <w:r>
              <w:rPr>
                <w:b/>
                <w:color w:val="007800"/>
                <w:sz w:val="16"/>
              </w:rPr>
              <w:t>+1.63%</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8,950</w:t>
            </w:r>
          </w:p>
        </w:tc>
        <w:tc>
          <w:tcPr>
            <w:tcW w:type="dxa" w:w="1417"/>
            <w:shd w:fill="FFFFFF" w:val="clear"/>
          </w:tcPr>
          <w:p>
            <w:r>
              <w:rPr>
                <w:sz w:val="16"/>
              </w:rPr>
              <w:t>9,042</w:t>
            </w:r>
          </w:p>
        </w:tc>
        <w:tc>
          <w:tcPr>
            <w:tcW w:type="dxa" w:w="1134"/>
            <w:shd w:fill="C6EFCE" w:val="clear"/>
          </w:tcPr>
          <w:p>
            <w:r>
              <w:rPr>
                <w:b/>
                <w:color w:val="007800"/>
                <w:sz w:val="16"/>
              </w:rPr>
              <w:t>+1.03%</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2,900</w:t>
            </w:r>
          </w:p>
        </w:tc>
        <w:tc>
          <w:tcPr>
            <w:tcW w:type="dxa" w:w="1417"/>
            <w:shd w:fill="FFFFFF" w:val="clear"/>
          </w:tcPr>
          <w:p>
            <w:r>
              <w:rPr>
                <w:sz w:val="16"/>
              </w:rPr>
              <w:t>2,922</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15,300</w:t>
            </w:r>
          </w:p>
        </w:tc>
        <w:tc>
          <w:tcPr>
            <w:tcW w:type="dxa" w:w="1417"/>
            <w:shd w:fill="FFFFFF" w:val="clear"/>
          </w:tcPr>
          <w:p>
            <w:r>
              <w:rPr>
                <w:sz w:val="16"/>
              </w:rPr>
              <w:t>15,403</w:t>
            </w:r>
          </w:p>
        </w:tc>
        <w:tc>
          <w:tcPr>
            <w:tcW w:type="dxa" w:w="1134"/>
            <w:shd w:fill="FFEB9C" w:val="clear"/>
          </w:tcPr>
          <w:p>
            <w:r>
              <w:rPr>
                <w:b/>
                <w:color w:val="646400"/>
                <w:sz w:val="16"/>
              </w:rPr>
              <w:t>+0.67%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3,816</w:t>
            </w:r>
          </w:p>
        </w:tc>
        <w:tc>
          <w:tcPr>
            <w:tcW w:type="dxa" w:w="1134"/>
            <w:shd w:fill="FFEB9C" w:val="clear"/>
          </w:tcPr>
          <w:p>
            <w:r>
              <w:rPr>
                <w:b/>
                <w:color w:val="646400"/>
                <w:sz w:val="16"/>
              </w:rPr>
              <w:t>+0.57%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22,486</w:t>
            </w:r>
          </w:p>
        </w:tc>
        <w:tc>
          <w:tcPr>
            <w:tcW w:type="dxa" w:w="1134"/>
            <w:shd w:fill="FFEB9C" w:val="clear"/>
          </w:tcPr>
          <w:p>
            <w:r>
              <w:rPr>
                <w:b/>
                <w:color w:val="646400"/>
                <w:sz w:val="16"/>
              </w:rPr>
              <w:t>-0.06%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3,050</w:t>
            </w:r>
          </w:p>
        </w:tc>
        <w:tc>
          <w:tcPr>
            <w:tcW w:type="dxa" w:w="1417"/>
            <w:shd w:fill="FFFFFF" w:val="clear"/>
          </w:tcPr>
          <w:p>
            <w:r>
              <w:rPr>
                <w:sz w:val="16"/>
              </w:rPr>
              <w:t>3,044</w:t>
            </w:r>
          </w:p>
        </w:tc>
        <w:tc>
          <w:tcPr>
            <w:tcW w:type="dxa" w:w="1134"/>
            <w:shd w:fill="FFEB9C" w:val="clear"/>
          </w:tcPr>
          <w:p>
            <w:r>
              <w:rPr>
                <w:b/>
                <w:color w:val="646400"/>
                <w:sz w:val="16"/>
              </w:rPr>
              <w:t>-0.21%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8,100</w:t>
            </w:r>
          </w:p>
        </w:tc>
        <w:tc>
          <w:tcPr>
            <w:tcW w:type="dxa" w:w="1417"/>
            <w:shd w:fill="FFFFFF" w:val="clear"/>
          </w:tcPr>
          <w:p>
            <w:r>
              <w:rPr>
                <w:sz w:val="16"/>
              </w:rPr>
              <w:t>8,077</w:t>
            </w:r>
          </w:p>
        </w:tc>
        <w:tc>
          <w:tcPr>
            <w:tcW w:type="dxa" w:w="1134"/>
            <w:shd w:fill="FFEB9C" w:val="clear"/>
          </w:tcPr>
          <w:p>
            <w:r>
              <w:rPr>
                <w:b/>
                <w:color w:val="646400"/>
                <w:sz w:val="16"/>
              </w:rPr>
              <w:t>-0.29%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21,295</w:t>
            </w:r>
          </w:p>
        </w:tc>
        <w:tc>
          <w:tcPr>
            <w:tcW w:type="dxa" w:w="1417"/>
            <w:shd w:fill="FFFFFF" w:val="clear"/>
          </w:tcPr>
          <w:p>
            <w:r>
              <w:rPr>
                <w:sz w:val="16"/>
              </w:rPr>
              <w:t>21,232</w:t>
            </w:r>
          </w:p>
        </w:tc>
        <w:tc>
          <w:tcPr>
            <w:tcW w:type="dxa" w:w="1134"/>
            <w:shd w:fill="FFEB9C" w:val="clear"/>
          </w:tcPr>
          <w:p>
            <w:r>
              <w:rPr>
                <w:b/>
                <w:color w:val="646400"/>
                <w:sz w:val="16"/>
              </w:rPr>
              <w:t>-0.30%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50,583</w:t>
            </w:r>
          </w:p>
        </w:tc>
        <w:tc>
          <w:tcPr>
            <w:tcW w:type="dxa" w:w="1134"/>
            <w:shd w:fill="FFEB9C" w:val="clear"/>
          </w:tcPr>
          <w:p>
            <w:r>
              <w:rPr>
                <w:b/>
                <w:color w:val="646400"/>
                <w:sz w:val="16"/>
              </w:rPr>
              <w:t>-0.82%</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8,100</w:t>
            </w:r>
          </w:p>
        </w:tc>
        <w:tc>
          <w:tcPr>
            <w:tcW w:type="dxa" w:w="1417"/>
            <w:shd w:fill="FFFFFF" w:val="clear"/>
          </w:tcPr>
          <w:p>
            <w:r>
              <w:rPr>
                <w:sz w:val="16"/>
              </w:rPr>
              <w:t>8,019</w:t>
            </w:r>
          </w:p>
        </w:tc>
        <w:tc>
          <w:tcPr>
            <w:tcW w:type="dxa" w:w="1134"/>
            <w:shd w:fill="FFEB9C" w:val="clear"/>
          </w:tcPr>
          <w:p>
            <w:r>
              <w:rPr>
                <w:b/>
                <w:color w:val="646400"/>
                <w:sz w:val="16"/>
              </w:rPr>
              <w:t>-0.99%</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7,900</w:t>
            </w:r>
          </w:p>
        </w:tc>
        <w:tc>
          <w:tcPr>
            <w:tcW w:type="dxa" w:w="1417"/>
            <w:shd w:fill="FFFFFF" w:val="clear"/>
          </w:tcPr>
          <w:p>
            <w:r>
              <w:rPr>
                <w:sz w:val="16"/>
              </w:rPr>
              <w:t>7,765</w:t>
            </w:r>
          </w:p>
        </w:tc>
        <w:tc>
          <w:tcPr>
            <w:tcW w:type="dxa" w:w="1134"/>
            <w:shd w:fill="FFC7CE" w:val="clear"/>
          </w:tcPr>
          <w:p>
            <w:r>
              <w:rPr>
                <w:b/>
                <w:color w:val="B40000"/>
                <w:sz w:val="16"/>
              </w:rPr>
              <w:t>-1.71%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4,195</w:t>
            </w:r>
          </w:p>
        </w:tc>
        <w:tc>
          <w:tcPr>
            <w:tcW w:type="dxa" w:w="1417"/>
            <w:shd w:fill="FFFFFF" w:val="clear"/>
          </w:tcPr>
          <w:p>
            <w:r>
              <w:rPr>
                <w:sz w:val="16"/>
              </w:rPr>
              <w:t>4,109</w:t>
            </w:r>
          </w:p>
        </w:tc>
        <w:tc>
          <w:tcPr>
            <w:tcW w:type="dxa" w:w="1134"/>
            <w:shd w:fill="FFC7CE" w:val="clear"/>
          </w:tcPr>
          <w:p>
            <w:r>
              <w:rPr>
                <w:b/>
                <w:color w:val="B40000"/>
                <w:sz w:val="16"/>
              </w:rPr>
              <w:t>-2.06%</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15,810</w:t>
            </w:r>
          </w:p>
        </w:tc>
        <w:tc>
          <w:tcPr>
            <w:tcW w:type="dxa" w:w="1417"/>
            <w:shd w:fill="FFFFFF" w:val="clear"/>
          </w:tcPr>
          <w:p>
            <w:r>
              <w:rPr>
                <w:sz w:val="16"/>
              </w:rPr>
              <w:t>15,446</w:t>
            </w:r>
          </w:p>
        </w:tc>
        <w:tc>
          <w:tcPr>
            <w:tcW w:type="dxa" w:w="1134"/>
            <w:shd w:fill="FFC7CE" w:val="clear"/>
          </w:tcPr>
          <w:p>
            <w:r>
              <w:rPr>
                <w:b/>
                <w:color w:val="B40000"/>
                <w:sz w:val="16"/>
              </w:rPr>
              <w:t>-2.30%</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67</w:t>
            </w:r>
          </w:p>
        </w:tc>
        <w:tc>
          <w:tcPr>
            <w:tcW w:type="dxa" w:w="1134"/>
            <w:shd w:fill="FFC7CE" w:val="clear"/>
          </w:tcPr>
          <w:p>
            <w:r>
              <w:rPr>
                <w:b/>
                <w:color w:val="B40000"/>
                <w:sz w:val="16"/>
              </w:rPr>
              <w:t>-2.59%</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5,130</w:t>
            </w:r>
          </w:p>
        </w:tc>
        <w:tc>
          <w:tcPr>
            <w:tcW w:type="dxa" w:w="1417"/>
            <w:shd w:fill="FFFFFF" w:val="clear"/>
          </w:tcPr>
          <w:p>
            <w:r>
              <w:rPr>
                <w:sz w:val="16"/>
              </w:rPr>
              <w:t>4,993</w:t>
            </w:r>
          </w:p>
        </w:tc>
        <w:tc>
          <w:tcPr>
            <w:tcW w:type="dxa" w:w="1134"/>
            <w:shd w:fill="FFC7CE" w:val="clear"/>
          </w:tcPr>
          <w:p>
            <w:r>
              <w:rPr>
                <w:b/>
                <w:color w:val="B40000"/>
                <w:sz w:val="16"/>
              </w:rPr>
              <w:t>-2.67%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2,390</w:t>
            </w:r>
          </w:p>
        </w:tc>
        <w:tc>
          <w:tcPr>
            <w:tcW w:type="dxa" w:w="1417"/>
            <w:shd w:fill="FFFFFF" w:val="clear"/>
          </w:tcPr>
          <w:p>
            <w:r>
              <w:rPr>
                <w:sz w:val="16"/>
              </w:rPr>
              <w:t>2,310</w:t>
            </w:r>
          </w:p>
        </w:tc>
        <w:tc>
          <w:tcPr>
            <w:tcW w:type="dxa" w:w="1134"/>
            <w:shd w:fill="FFC7CE" w:val="clear"/>
          </w:tcPr>
          <w:p>
            <w:r>
              <w:rPr>
                <w:b/>
                <w:color w:val="B40000"/>
                <w:sz w:val="16"/>
              </w:rPr>
              <w:t>-3.33%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1,929</w:t>
            </w:r>
          </w:p>
        </w:tc>
        <w:tc>
          <w:tcPr>
            <w:tcW w:type="dxa" w:w="1134"/>
            <w:shd w:fill="FFC7CE" w:val="clear"/>
          </w:tcPr>
          <w:p>
            <w:r>
              <w:rPr>
                <w:b/>
                <w:color w:val="B40000"/>
                <w:sz w:val="16"/>
              </w:rPr>
              <w:t>-3.55%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7,605</w:t>
            </w:r>
          </w:p>
        </w:tc>
        <w:tc>
          <w:tcPr>
            <w:tcW w:type="dxa" w:w="1134"/>
            <w:shd w:fill="FFC7CE" w:val="clear"/>
          </w:tcPr>
          <w:p>
            <w:r>
              <w:rPr>
                <w:b/>
                <w:color w:val="B40000"/>
                <w:sz w:val="16"/>
              </w:rPr>
              <w:t>-3.74%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37,198</w:t>
            </w:r>
          </w:p>
        </w:tc>
        <w:tc>
          <w:tcPr>
            <w:tcW w:type="dxa" w:w="1134"/>
            <w:shd w:fill="FFC7CE" w:val="clear"/>
          </w:tcPr>
          <w:p>
            <w:r>
              <w:rPr>
                <w:b/>
                <w:color w:val="B40000"/>
                <w:sz w:val="16"/>
              </w:rPr>
              <w:t>-4.38%</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11,595</w:t>
            </w:r>
          </w:p>
        </w:tc>
        <w:tc>
          <w:tcPr>
            <w:tcW w:type="dxa" w:w="1417"/>
            <w:shd w:fill="FFFFFF" w:val="clear"/>
          </w:tcPr>
          <w:p>
            <w:r>
              <w:rPr>
                <w:sz w:val="16"/>
              </w:rPr>
              <w:t>11,087</w:t>
            </w:r>
          </w:p>
        </w:tc>
        <w:tc>
          <w:tcPr>
            <w:tcW w:type="dxa" w:w="1134"/>
            <w:shd w:fill="FFC7CE" w:val="clear"/>
          </w:tcPr>
          <w:p>
            <w:r>
              <w:rPr>
                <w:b/>
                <w:color w:val="B40000"/>
                <w:sz w:val="16"/>
              </w:rPr>
              <w:t>-4.38%</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8,100</w:t>
            </w:r>
          </w:p>
        </w:tc>
        <w:tc>
          <w:tcPr>
            <w:tcW w:type="dxa" w:w="1417"/>
            <w:shd w:fill="FFFFFF" w:val="clear"/>
          </w:tcPr>
          <w:p>
            <w:r>
              <w:rPr>
                <w:sz w:val="16"/>
              </w:rPr>
              <w:t>7,743</w:t>
            </w:r>
          </w:p>
        </w:tc>
        <w:tc>
          <w:tcPr>
            <w:tcW w:type="dxa" w:w="1134"/>
            <w:shd w:fill="FFC7CE" w:val="clear"/>
          </w:tcPr>
          <w:p>
            <w:r>
              <w:rPr>
                <w:b/>
                <w:color w:val="B40000"/>
                <w:sz w:val="16"/>
              </w:rPr>
              <w:t>-4.41%</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32,000</w:t>
            </w:r>
          </w:p>
        </w:tc>
        <w:tc>
          <w:tcPr>
            <w:tcW w:type="dxa" w:w="1417"/>
            <w:shd w:fill="FFFFFF" w:val="clear"/>
          </w:tcPr>
          <w:p>
            <w:r>
              <w:rPr>
                <w:sz w:val="16"/>
              </w:rPr>
              <w:t>30,588</w:t>
            </w:r>
          </w:p>
        </w:tc>
        <w:tc>
          <w:tcPr>
            <w:tcW w:type="dxa" w:w="1134"/>
            <w:shd w:fill="FFC7CE" w:val="clear"/>
          </w:tcPr>
          <w:p>
            <w:r>
              <w:rPr>
                <w:b/>
                <w:color w:val="B40000"/>
                <w:sz w:val="16"/>
              </w:rPr>
              <w:t>-4.41%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42,500</w:t>
            </w:r>
          </w:p>
        </w:tc>
        <w:tc>
          <w:tcPr>
            <w:tcW w:type="dxa" w:w="1417"/>
            <w:shd w:fill="FFFFFF" w:val="clear"/>
          </w:tcPr>
          <w:p>
            <w:r>
              <w:rPr>
                <w:sz w:val="16"/>
              </w:rPr>
              <w:t>40,574</w:t>
            </w:r>
          </w:p>
        </w:tc>
        <w:tc>
          <w:tcPr>
            <w:tcW w:type="dxa" w:w="1134"/>
            <w:shd w:fill="FFC7CE" w:val="clear"/>
          </w:tcPr>
          <w:p>
            <w:r>
              <w:rPr>
                <w:b/>
                <w:color w:val="B40000"/>
                <w:sz w:val="16"/>
              </w:rPr>
              <w:t>-4.53%</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2,960</w:t>
            </w:r>
          </w:p>
        </w:tc>
        <w:tc>
          <w:tcPr>
            <w:tcW w:type="dxa" w:w="1417"/>
            <w:shd w:fill="FFFFFF" w:val="clear"/>
          </w:tcPr>
          <w:p>
            <w:r>
              <w:rPr>
                <w:sz w:val="16"/>
              </w:rPr>
              <w:t>2,822</w:t>
            </w:r>
          </w:p>
        </w:tc>
        <w:tc>
          <w:tcPr>
            <w:tcW w:type="dxa" w:w="1134"/>
            <w:shd w:fill="FFC7CE" w:val="clear"/>
          </w:tcPr>
          <w:p>
            <w:r>
              <w:rPr>
                <w:b/>
                <w:color w:val="B40000"/>
                <w:sz w:val="16"/>
              </w:rPr>
              <w:t>-4.67%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2,010</w:t>
            </w:r>
          </w:p>
        </w:tc>
        <w:tc>
          <w:tcPr>
            <w:tcW w:type="dxa" w:w="1417"/>
            <w:shd w:fill="FFFFFF" w:val="clear"/>
          </w:tcPr>
          <w:p>
            <w:r>
              <w:rPr>
                <w:sz w:val="16"/>
              </w:rPr>
              <w:t>1,901</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8,475</w:t>
            </w:r>
          </w:p>
        </w:tc>
        <w:tc>
          <w:tcPr>
            <w:tcW w:type="dxa" w:w="1134"/>
            <w:shd w:fill="FFC7CE" w:val="clear"/>
          </w:tcPr>
          <w:p>
            <w:r>
              <w:rPr>
                <w:b/>
                <w:color w:val="B40000"/>
                <w:sz w:val="16"/>
              </w:rPr>
              <w:t>-5.83%</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2,350</w:t>
            </w:r>
          </w:p>
        </w:tc>
        <w:tc>
          <w:tcPr>
            <w:tcW w:type="dxa" w:w="1417"/>
            <w:shd w:fill="FFFFFF" w:val="clear"/>
          </w:tcPr>
          <w:p>
            <w:r>
              <w:rPr>
                <w:sz w:val="16"/>
              </w:rPr>
              <w:t>2,207</w:t>
            </w:r>
          </w:p>
        </w:tc>
        <w:tc>
          <w:tcPr>
            <w:tcW w:type="dxa" w:w="1134"/>
            <w:shd w:fill="FFC7CE" w:val="clear"/>
          </w:tcPr>
          <w:p>
            <w:r>
              <w:rPr>
                <w:b/>
                <w:color w:val="B40000"/>
                <w:sz w:val="16"/>
              </w:rPr>
              <w:t>-6.07%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1,876</w:t>
            </w:r>
          </w:p>
        </w:tc>
        <w:tc>
          <w:tcPr>
            <w:tcW w:type="dxa" w:w="1134"/>
            <w:shd w:fill="FFC7CE" w:val="clear"/>
          </w:tcPr>
          <w:p>
            <w:r>
              <w:rPr>
                <w:b/>
                <w:color w:val="B40000"/>
                <w:sz w:val="16"/>
              </w:rPr>
              <w:t>-6.22%</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3,400</w:t>
            </w:r>
          </w:p>
        </w:tc>
        <w:tc>
          <w:tcPr>
            <w:tcW w:type="dxa" w:w="1417"/>
            <w:shd w:fill="FFFFFF" w:val="clear"/>
          </w:tcPr>
          <w:p>
            <w:r>
              <w:rPr>
                <w:sz w:val="16"/>
              </w:rPr>
              <w:t>3,166</w:t>
            </w:r>
          </w:p>
        </w:tc>
        <w:tc>
          <w:tcPr>
            <w:tcW w:type="dxa" w:w="1134"/>
            <w:shd w:fill="FFC7CE" w:val="clear"/>
          </w:tcPr>
          <w:p>
            <w:r>
              <w:rPr>
                <w:b/>
                <w:color w:val="B40000"/>
                <w:sz w:val="16"/>
              </w:rPr>
              <w:t>-6.89%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3,050</w:t>
            </w:r>
          </w:p>
        </w:tc>
        <w:tc>
          <w:tcPr>
            <w:tcW w:type="dxa" w:w="1417"/>
            <w:shd w:fill="FFFFFF" w:val="clear"/>
          </w:tcPr>
          <w:p>
            <w:r>
              <w:rPr>
                <w:sz w:val="16"/>
              </w:rPr>
              <w:t>2,835</w:t>
            </w:r>
          </w:p>
        </w:tc>
        <w:tc>
          <w:tcPr>
            <w:tcW w:type="dxa" w:w="1134"/>
            <w:shd w:fill="FFC7CE" w:val="clear"/>
          </w:tcPr>
          <w:p>
            <w:r>
              <w:rPr>
                <w:b/>
                <w:color w:val="B40000"/>
                <w:sz w:val="16"/>
              </w:rPr>
              <w:t>-7.05%</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6,440</w:t>
            </w:r>
          </w:p>
        </w:tc>
        <w:tc>
          <w:tcPr>
            <w:tcW w:type="dxa" w:w="1417"/>
            <w:shd w:fill="FFFFFF" w:val="clear"/>
          </w:tcPr>
          <w:p>
            <w:r>
              <w:rPr>
                <w:sz w:val="16"/>
              </w:rPr>
              <w:t>5,927</w:t>
            </w:r>
          </w:p>
        </w:tc>
        <w:tc>
          <w:tcPr>
            <w:tcW w:type="dxa" w:w="1134"/>
            <w:shd w:fill="FFC7CE" w:val="clear"/>
          </w:tcPr>
          <w:p>
            <w:r>
              <w:rPr>
                <w:b/>
                <w:color w:val="B40000"/>
                <w:sz w:val="16"/>
              </w:rPr>
              <w:t>-7.97%</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2,420</w:t>
            </w:r>
          </w:p>
        </w:tc>
        <w:tc>
          <w:tcPr>
            <w:tcW w:type="dxa" w:w="1417"/>
            <w:shd w:fill="FFFFFF" w:val="clear"/>
          </w:tcPr>
          <w:p>
            <w:r>
              <w:rPr>
                <w:sz w:val="16"/>
              </w:rPr>
              <w:t>2,189</w:t>
            </w:r>
          </w:p>
        </w:tc>
        <w:tc>
          <w:tcPr>
            <w:tcW w:type="dxa" w:w="1134"/>
            <w:shd w:fill="FFC7CE" w:val="clear"/>
          </w:tcPr>
          <w:p>
            <w:r>
              <w:rPr>
                <w:b/>
                <w:color w:val="B40000"/>
                <w:sz w:val="16"/>
              </w:rPr>
              <w:t>-9.55%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28,253</w:t>
            </w:r>
          </w:p>
        </w:tc>
        <w:tc>
          <w:tcPr>
            <w:tcW w:type="dxa" w:w="1134"/>
            <w:shd w:fill="FFC7CE" w:val="clear"/>
          </w:tcPr>
          <w:p>
            <w:r>
              <w:rPr>
                <w:b/>
                <w:color w:val="B40000"/>
                <w:sz w:val="16"/>
              </w:rPr>
              <w:t>-10.31%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3,930</w:t>
            </w:r>
          </w:p>
        </w:tc>
        <w:tc>
          <w:tcPr>
            <w:tcW w:type="dxa" w:w="1417"/>
            <w:shd w:fill="FFFFFF" w:val="clear"/>
          </w:tcPr>
          <w:p>
            <w:r>
              <w:rPr>
                <w:sz w:val="16"/>
              </w:rPr>
              <w:t>3,518</w:t>
            </w:r>
          </w:p>
        </w:tc>
        <w:tc>
          <w:tcPr>
            <w:tcW w:type="dxa" w:w="1134"/>
            <w:shd w:fill="FFC7CE" w:val="clear"/>
          </w:tcPr>
          <w:p>
            <w:r>
              <w:rPr>
                <w:b/>
                <w:color w:val="B40000"/>
                <w:sz w:val="16"/>
              </w:rPr>
              <w:t>-10.49%</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3,555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+32.10%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11.30% (Moyenne) — μ=3,312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β=0.3135 (Défensif) — Cov=0.000019, Var(idx)=0.000061, ρ=0.092,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3,699</w:t>
            </w:r>
          </w:p>
        </w:tc>
        <w:tc>
          <w:tcPr>
            <w:tcW w:type="dxa" w:w="1440"/>
            <w:shd w:fill="FFDCE0" w:val="clear"/>
          </w:tcPr>
          <w:p>
            <w:r>
              <w:rPr>
                <w:b/>
                <w:sz w:val="17"/>
              </w:rPr>
              <w:t>3,838</w:t>
            </w:r>
          </w:p>
        </w:tc>
        <w:tc>
          <w:tcPr>
            <w:tcW w:type="dxa" w:w="1440"/>
            <w:shd w:fill="FFDCE0" w:val="clear"/>
          </w:tcPr>
          <w:p>
            <w:r>
              <w:rPr>
                <w:sz w:val="17"/>
              </w:rPr>
              <w:t>3,978</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3,610</w:t>
            </w:r>
          </w:p>
        </w:tc>
        <w:tc>
          <w:tcPr>
            <w:tcW w:type="dxa" w:w="1440"/>
            <w:shd w:fill="FFDCE0" w:val="clear"/>
          </w:tcPr>
          <w:p>
            <w:r>
              <w:rPr>
                <w:b/>
                <w:sz w:val="17"/>
              </w:rPr>
              <w:t>3,805</w:t>
            </w:r>
          </w:p>
        </w:tc>
        <w:tc>
          <w:tcPr>
            <w:tcW w:type="dxa" w:w="1440"/>
            <w:shd w:fill="FFDCE0" w:val="clear"/>
          </w:tcPr>
          <w:p>
            <w:r>
              <w:rPr>
                <w:sz w:val="17"/>
              </w:rPr>
              <w:t>4,000</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3,519</w:t>
            </w:r>
          </w:p>
        </w:tc>
        <w:tc>
          <w:tcPr>
            <w:tcW w:type="dxa" w:w="1440"/>
            <w:shd w:fill="FFDCE0" w:val="clear"/>
          </w:tcPr>
          <w:p>
            <w:r>
              <w:rPr>
                <w:b/>
                <w:sz w:val="17"/>
              </w:rPr>
              <w:t>3,755</w:t>
            </w:r>
          </w:p>
        </w:tc>
        <w:tc>
          <w:tcPr>
            <w:tcW w:type="dxa" w:w="1440"/>
            <w:shd w:fill="FFDCE0" w:val="clear"/>
          </w:tcPr>
          <w:p>
            <w:r>
              <w:rPr>
                <w:sz w:val="17"/>
              </w:rPr>
              <w:t>3,991</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3,442</w:t>
            </w:r>
          </w:p>
        </w:tc>
        <w:tc>
          <w:tcPr>
            <w:tcW w:type="dxa" w:w="1440"/>
            <w:shd w:fill="FFDCE0" w:val="clear"/>
          </w:tcPr>
          <w:p>
            <w:r>
              <w:rPr>
                <w:b/>
                <w:sz w:val="17"/>
              </w:rPr>
              <w:t>3,711</w:t>
            </w:r>
          </w:p>
        </w:tc>
        <w:tc>
          <w:tcPr>
            <w:tcW w:type="dxa" w:w="1440"/>
            <w:shd w:fill="FFDCE0" w:val="clear"/>
          </w:tcPr>
          <w:p>
            <w:r>
              <w:rPr>
                <w:sz w:val="17"/>
              </w:rPr>
              <w:t>3,980</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3,375</w:t>
            </w:r>
          </w:p>
        </w:tc>
        <w:tc>
          <w:tcPr>
            <w:tcW w:type="dxa" w:w="1440"/>
            <w:shd w:fill="FFDCE0" w:val="clear"/>
          </w:tcPr>
          <w:p>
            <w:r>
              <w:rPr>
                <w:b/>
                <w:sz w:val="17"/>
              </w:rPr>
              <w:t>3,673</w:t>
            </w:r>
          </w:p>
        </w:tc>
        <w:tc>
          <w:tcPr>
            <w:tcW w:type="dxa" w:w="1440"/>
            <w:shd w:fill="FFDCE0" w:val="clear"/>
          </w:tcPr>
          <w:p>
            <w:r>
              <w:rPr>
                <w:sz w:val="17"/>
              </w:rPr>
              <w:t>3,970</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3,315</w:t>
            </w:r>
          </w:p>
        </w:tc>
        <w:tc>
          <w:tcPr>
            <w:tcW w:type="dxa" w:w="1440"/>
            <w:shd w:fill="FFDCE0" w:val="clear"/>
          </w:tcPr>
          <w:p>
            <w:r>
              <w:rPr>
                <w:b/>
                <w:sz w:val="17"/>
              </w:rPr>
              <w:t>3,638</w:t>
            </w:r>
          </w:p>
        </w:tc>
        <w:tc>
          <w:tcPr>
            <w:tcW w:type="dxa" w:w="1440"/>
            <w:shd w:fill="FFDCE0" w:val="clear"/>
          </w:tcPr>
          <w:p>
            <w:r>
              <w:rPr>
                <w:sz w:val="17"/>
              </w:rPr>
              <w:t>3,961</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3,259</w:t>
            </w:r>
          </w:p>
        </w:tc>
        <w:tc>
          <w:tcPr>
            <w:tcW w:type="dxa" w:w="1440"/>
            <w:shd w:fill="FFDCE0" w:val="clear"/>
          </w:tcPr>
          <w:p>
            <w:r>
              <w:rPr>
                <w:b/>
                <w:sz w:val="17"/>
              </w:rPr>
              <w:t>3,605</w:t>
            </w:r>
          </w:p>
        </w:tc>
        <w:tc>
          <w:tcPr>
            <w:tcW w:type="dxa" w:w="1440"/>
            <w:shd w:fill="FFDCE0" w:val="clear"/>
          </w:tcPr>
          <w:p>
            <w:r>
              <w:rPr>
                <w:sz w:val="17"/>
              </w:rPr>
              <w:t>3,951</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3,208</w:t>
            </w:r>
          </w:p>
        </w:tc>
        <w:tc>
          <w:tcPr>
            <w:tcW w:type="dxa" w:w="1440"/>
            <w:shd w:fill="FFDCE0" w:val="clear"/>
          </w:tcPr>
          <w:p>
            <w:r>
              <w:rPr>
                <w:b/>
                <w:sz w:val="17"/>
              </w:rPr>
              <w:t>3,574</w:t>
            </w:r>
          </w:p>
        </w:tc>
        <w:tc>
          <w:tcPr>
            <w:tcW w:type="dxa" w:w="1440"/>
            <w:shd w:fill="FFDCE0" w:val="clear"/>
          </w:tcPr>
          <w:p>
            <w:r>
              <w:rPr>
                <w:sz w:val="17"/>
              </w:rPr>
              <w:t>3,941</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3,160</w:t>
            </w:r>
          </w:p>
        </w:tc>
        <w:tc>
          <w:tcPr>
            <w:tcW w:type="dxa" w:w="1440"/>
            <w:shd w:fill="FFDCE0" w:val="clear"/>
          </w:tcPr>
          <w:p>
            <w:r>
              <w:rPr>
                <w:b/>
                <w:sz w:val="17"/>
              </w:rPr>
              <w:t>3,545</w:t>
            </w:r>
          </w:p>
        </w:tc>
        <w:tc>
          <w:tcPr>
            <w:tcW w:type="dxa" w:w="1440"/>
            <w:shd w:fill="FFDCE0" w:val="clear"/>
          </w:tcPr>
          <w:p>
            <w:r>
              <w:rPr>
                <w:sz w:val="17"/>
              </w:rPr>
              <w:t>3,931</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3,115</w:t>
            </w:r>
          </w:p>
        </w:tc>
        <w:tc>
          <w:tcPr>
            <w:tcW w:type="dxa" w:w="1440"/>
            <w:shd w:fill="FFDCE0" w:val="clear"/>
          </w:tcPr>
          <w:p>
            <w:r>
              <w:rPr>
                <w:b/>
                <w:sz w:val="17"/>
              </w:rPr>
              <w:t>3,518</w:t>
            </w:r>
          </w:p>
        </w:tc>
        <w:tc>
          <w:tcPr>
            <w:tcW w:type="dxa" w:w="1440"/>
            <w:shd w:fill="FFDCE0" w:val="clear"/>
          </w:tcPr>
          <w:p>
            <w:r>
              <w:rPr>
                <w:sz w:val="17"/>
              </w:rPr>
              <w:t>3,921</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42,88 milliards FCFA, Servair Abidjan se positionne comme une valeur de taille moyenne sur le marché BRVM, reflétant sa stature de spécialiste des services aéroportuaires à l'aéroport Félix-Houphouët-Boigny. Le BPA de 124 FCFA indique que chaque action génère un bénéfice net de 124 FCFA, un niveau correct mais en retrait par rapport aux 139 FCFA de 2024. Le PER de 31,8x constitue un signal d'alerte majeur : les investisseurs paient près de 32 fois les bénéfices pour acquérir le titre, soit un niveau trois à quatre fois supérieur à la moyenne du marché BRVM (8-12x), ce qui intègre soit une forte anticipation de croissance, soit une surévaluation manifeste. Le P/B de 8,31x traduit une prime très importante par rapport à la valeur comptable (capitaux propres de 5,159 Mds FCFA), signe que le marché valorise davantage les perspectives futures que le patrimoine actuel. Enfin, l'EV/EBITDA de 16,4x, supérieur au seuil de 15x, confirme que la valeur d'entreprise (incluant la dette nette quasi nulle de 65,89 M FCFA) est jugée exigeante au regard de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performance remarquable de +32,10%, avec une dernière séance en hausse de +3,42%, portant le cours à 3 930 FCFA. Le titre a évolué dans un range significatif entre un plus bas de 2 800 FCFA et un plus haut de 4 095 FCFA, soit une amplitude de 46%, témoignant d'une tendance générale nettement haussière soutenue par un volume moyen quotidien de 3 555 titres. L'analyse des statistiques descriptives révèle une moyenne de 3 312 FCFA supérieure à la médiane de 3 182 FCFA, confirmant une asymétrie positive (skewness de 0,734) avec davantage de journées de cotation sous la moyenne, typique d'un titre ayant connu des poussées haussières ponctuelles. L'écart-type de 376 FCFA (CV de 11,4%) indique une dispersion modérée autour de la moyenne, tandis que le kurtosis de -0,726 (mésokurtique) suggère une distribution proche de la normale, sans risque excessif de pics extrêmes. La volatilité annualisée de 42,6% classe le titre dans la catégorie des valeurs à volatilité élevée (&gt;30%), ce qui implique un risque de marché significatif mais cohérent avec la dynamique haussière observée.</w:t>
      </w:r>
    </w:p>
    <w:p>
      <w:pPr>
        <w:spacing w:after="120" w:line="276" w:lineRule="auto"/>
      </w:pPr>
      <w:r>
        <w:t>---</w:t>
      </w:r>
    </w:p>
    <w:p>
      <w:pPr>
        <w:spacing w:after="120" w:line="276" w:lineRule="auto"/>
      </w:pPr>
      <w:r>
        <w:t>### **PARTIE 2 : ANALYSE TECHNIQUE DÉTAILLÉE**</w:t>
      </w:r>
    </w:p>
    <w:p>
      <w:pPr>
        <w:spacing w:after="120" w:line="276" w:lineRule="auto"/>
      </w:pPr>
      <w:r>
        <w:t>**Moyennes Mobiles** : La MM20 (3 950,5 FCFA) est légèrement supérieure au cours actuel (3 930 FCFA), tandis que la MM50 (3 491 FCFA) reste nettement en dessous, créant une configuration haussière de fond. Le croisement des moyennes et la position du cours au-dessus de la MM50 justifient la décision d'**Achat**, bien que la proximité avec la MM20 suggère une possible consolidation à court terme.</w:t>
      </w:r>
    </w:p>
    <w:p>
      <w:pPr>
        <w:spacing w:after="120" w:line="276" w:lineRule="auto"/>
      </w:pPr>
      <w:r>
        <w:t>**Bandes de Bollinger** : Le cours (3 930 FCFA) se situe dans la partie médiane de la bande, entre la borne inférieure (3 773,69 FCFA) et la borne supérieure (4 127,31 FCFA), sans toucher les extrêmes. Cette position centrale, combinée à un resserrement des bandes, indique une volatilité en compression et justifie la décision **Neutre** dans l'attente d'un signal directionnel clair.</w:t>
      </w:r>
    </w:p>
    <w:p>
      <w:pPr>
        <w:spacing w:after="120" w:line="276" w:lineRule="auto"/>
      </w:pPr>
      <w:r>
        <w:t>**MACD** : La valeur du MACD (111,001) est inférieure à son signal (153,488), générant un croisement baissier qui traduit un essoufflement du momentum haussier. Cette divergence négative, bien que modérée, justifie la décision de **Vente** à court terme, suggérant une correction ou une pause dans la tendance.</w:t>
      </w:r>
    </w:p>
    <w:p>
      <w:pPr>
        <w:spacing w:after="120" w:line="276" w:lineRule="auto"/>
      </w:pPr>
      <w:r>
        <w:t>**RSI** : À 46,617, le RSI se situe en zone neutre (30-70), sans signal de surachat (&gt;70) ni de survente (&lt;30). Cette position médiane indique un équilibre entre acheteurs et vendeurs, justifiant la décision **Neutre** et l'absence de pression directionnelle immédiate.</w:t>
      </w:r>
    </w:p>
    <w:p>
      <w:pPr>
        <w:spacing w:after="120" w:line="276" w:lineRule="auto"/>
      </w:pPr>
      <w:r>
        <w:t>**Stochastique** : Le %K (44,068) est supérieur au %D (19,817), générant un croisement haussier en zone basse. Cependant, les deux lignes restent sous le seuil de 50, ce qui tempère la portée du signal et justifie la décision **Neutre**, en attendant une confirmation par une remontée au-dessus de 50.</w:t>
      </w:r>
    </w:p>
    <w:p>
      <w:pPr>
        <w:spacing w:after="120" w:line="276" w:lineRule="auto"/>
      </w:pPr>
      <w:r>
        <w:t>**Conclusion technique** : Les indicateurs présentent une configuration mitigée : la tendance de fond reste haussière (MM50, cours au-dessus de la MM50), mais les signaux à court terme (MACD baissier, RSI neutre, Stochastique en zone basse) suggèrent une consolidation voire une correction. La convergence des signaux neutres et baissiers invite à la prudence, avec une décision globale **Neutre à légèrement baissière** à court terme, dans l'attente d'un dépassement de la MM20 ou d'un retournement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 réalisé un chiffre d'affaires de 13,298 milliards FCFA, en croissance de 6,67% par rapport à 2024, confirmant la dynamique commerciale positive. Le résultat net s'établit à 1,351 milliard FCFA, en baisse de 12,1% (contre 1,515 Mds FCFA en 2024), principalement en raison d'une charge d'impôt en forte hausse (+46,7% à 839,75 M FCFA). La rentabilité reste solide avec un ROE de 26,18% (excellent, &gt;15%) et un ROA de 14,64%, tandis que la marge nette se maintient à 10,16%. La structure financière est très saine : autonomie financière de 55,92%, endettement financier quasi nul (65,89 M FCFA), trésorerie nette de 4,035 Mds FCFA et liquidité générale de 218,37%. Le BFR est négatif (257,45 M FCFA), signe favorable de financement par les fournisseurs, mais le délai clients de 70,10 jours reste élevé et constitue un point de vigilance pour la trésorerie.</w:t>
      </w:r>
    </w:p>
    <w:p>
      <w:pPr>
        <w:spacing w:after="120" w:line="276" w:lineRule="auto"/>
      </w:pPr>
      <w:r>
        <w:t>**Estimations basées sur les rapports trimestriels** : Le rapport T1 2026 (publié en 2026) révèle une croissance modérée du CA (+1,9% à 3,237 Mds FCFA) mais une dégradation marquée de la rentabilité, avec un résultat net en chute de 35,6% (222,6 M FCFA contre 345,9 M FCFA au T1 2025). Cette contre-performance s'explique par des ajustements de redevances aéroportuaires et des tensions géopolitiques au Moyen-Orient. Le rapport T3 2025 (publié en 2025) montrait pourtant un redressement avec un CA trimestriel de 10,218 Mds FCFA (+10,3%) et un résultat net de 1,325 Md FCFA (+17,1%), mais le T1 2026 confirme un retournement négatif. On estime donc que l'exercice 2026 devrait enregistrer une contraction du résultat net, possiblement autour de 1,0-1,1 Md FCFA si la tendance du T1 se poursuit, avec un BPA estimé à 90-100 FCFA.</w:t>
      </w:r>
    </w:p>
    <w:p>
      <w:pPr>
        <w:spacing w:after="120" w:line="276" w:lineRule="auto"/>
      </w:pPr>
      <w:r>
        <w:t>**Recommandation fondamentale** : La solidité financière (trésorerie abondante, endettement nul, ROE élevé) est indéniable, mais la dégradation récente de la rentabilité et les risques exogènes (contexte réglementaire, tensions géopolitiques) incitent à la prudence. La valorisation exigeante (PER 31,8x) ne laisse pas de marge d'erreur. Recommandation : **Conserver** avec un biais baissier à court terme, en attendant la confirmation d'une stabilisation de la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la valorisation, la technique et les fondamentaux. La **valorisation** (Partie 0) est manifestement exigeante : PER de 31,8x, P/B de 8,31x et EV/EBITDA de 16,4x intègrent une croissance qui ne se matérialise pas dans les derniers résultats. Le **comportement du cours** (Partie 1) reste haussier (+32,10% sur 100 jours) avec une volatilité élevée (42,6%) et une asymétrie positive, mais les statistiques montrent une dispersion modérée et un kurtosis rassurant. Les **signaux techniques** (Partie 2) sont mitigés : la tendance de fond est haussière (MM50), mais le MACD baissier et le RSI neutre suggèrent une consolidation, voire une correction. Les **fondamentaux** (Partie 3) sont solides (ROE 26,18%, trésorerie nette 4,035 Mds FCFA) mais entachés par la chute du résultat net au T1 2026 (-35,6%) et la pression fiscale. Les **prédictions IA** (J+1 à J+10) anticipent une baisse progressive de 3 838 FCFA à 3 673 FCFA, confirmant la pression baissière à court terme.</w:t>
      </w:r>
    </w:p>
    <w:p>
      <w:pPr>
        <w:spacing w:after="120" w:line="276" w:lineRule="auto"/>
      </w:pPr>
      <w:r>
        <w:t>**Recommandation finale** : **CONSERVER** avec un biais baissier à court terme. La convergence des signaux techniques baissiers (MACD, prédictions IA) et la dégradation des fondamentaux récents (T1 2026) l'emportent sur la solidité financière et la tendance haussière de fond. Le niveau de confiance est **Moyen** (les indicateurs sont mitigés et les données trimestrielles récentes sont préoccupantes). Le risque global est **Élevé** (volatilité de 42,6%, valorisation tendue, dépendance au trafic aérien et aux facteurs exogènes). L'horizon d'investissement optimal est **court terme (&lt;3 mois)** pour les traders cherchant à profiter de la volatilité, ou **moyen terme (3-12 mois)** pour les investisseurs attendant une stabilisation de la rentabilité et une correction de la valorisation avant tout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13,562 titres</w:t>
            </w:r>
          </w:p>
        </w:tc>
        <w:tc>
          <w:tcPr>
            <w:tcW w:type="dxa" w:w="2268"/>
            <w:shd w:fill="FFF2CC" w:val="clear"/>
          </w:tcPr>
          <w:p>
            <w:r>
              <w:rPr>
                <w:b/>
                <w:color w:val="503200"/>
                <w:sz w:val="16"/>
              </w:rPr>
              <w:t xml:space="preserve">Cours actuel : </w:t>
            </w:r>
            <w:r>
              <w:rPr>
                <w:color w:val="000000"/>
                <w:sz w:val="17"/>
              </w:rPr>
              <w:t>8,510 FCFA</w:t>
            </w:r>
          </w:p>
          <w:p>
            <w:r>
              <w:rPr>
                <w:b/>
                <w:color w:val="503200"/>
                <w:sz w:val="16"/>
              </w:rPr>
              <w:t xml:space="preserve">Var. 100 jours : </w:t>
            </w:r>
            <w:r>
              <w:rPr>
                <w:b/>
                <w:color w:val="007800"/>
                <w:sz w:val="17"/>
              </w:rPr>
              <w:t>+60.41%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24.57% (Élevée) — μ=7,107 FCFA, σ=1,746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β=1.1713 (Neutre (suit le marché)) — Cov=0.000071, Var(idx)=0.000061, ρ=0.370,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13,562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8,441</w:t>
            </w:r>
          </w:p>
        </w:tc>
        <w:tc>
          <w:tcPr>
            <w:tcW w:type="dxa" w:w="1440"/>
            <w:shd w:fill="C6EFCE" w:val="clear"/>
          </w:tcPr>
          <w:p>
            <w:r>
              <w:rPr>
                <w:b/>
                <w:sz w:val="17"/>
              </w:rPr>
              <w:t>8,978</w:t>
            </w:r>
          </w:p>
        </w:tc>
        <w:tc>
          <w:tcPr>
            <w:tcW w:type="dxa" w:w="1440"/>
            <w:shd w:fill="C6EFCE" w:val="clear"/>
          </w:tcPr>
          <w:p>
            <w:r>
              <w:rPr>
                <w:sz w:val="17"/>
              </w:rPr>
              <w:t>9,514</w:t>
            </w:r>
          </w:p>
        </w:tc>
        <w:tc>
          <w:tcPr>
            <w:tcW w:type="dxa" w:w="1440"/>
            <w:shd w:fill="C6EFCE" w:val="clear"/>
          </w:tcPr>
          <w:p>
            <w:r>
              <w:rPr>
                <w:b/>
                <w:color w:val="008000"/>
                <w:sz w:val="17"/>
              </w:rPr>
              <w:t>+5.5%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8,199</w:t>
            </w:r>
          </w:p>
        </w:tc>
        <w:tc>
          <w:tcPr>
            <w:tcW w:type="dxa" w:w="1440"/>
            <w:shd w:fill="C6EFCE" w:val="clear"/>
          </w:tcPr>
          <w:p>
            <w:r>
              <w:rPr>
                <w:b/>
                <w:sz w:val="17"/>
              </w:rPr>
              <w:t>8,957</w:t>
            </w:r>
          </w:p>
        </w:tc>
        <w:tc>
          <w:tcPr>
            <w:tcW w:type="dxa" w:w="1440"/>
            <w:shd w:fill="C6EFCE" w:val="clear"/>
          </w:tcPr>
          <w:p>
            <w:r>
              <w:rPr>
                <w:sz w:val="17"/>
              </w:rPr>
              <w:t>9,714</w:t>
            </w:r>
          </w:p>
        </w:tc>
        <w:tc>
          <w:tcPr>
            <w:tcW w:type="dxa" w:w="1440"/>
            <w:shd w:fill="C6EFCE" w:val="clear"/>
          </w:tcPr>
          <w:p>
            <w:r>
              <w:rPr>
                <w:b/>
                <w:color w:val="008000"/>
                <w:sz w:val="17"/>
              </w:rPr>
              <w:t>+5.2%</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8,045</w:t>
            </w:r>
          </w:p>
        </w:tc>
        <w:tc>
          <w:tcPr>
            <w:tcW w:type="dxa" w:w="1440"/>
            <w:shd w:fill="C6EFCE" w:val="clear"/>
          </w:tcPr>
          <w:p>
            <w:r>
              <w:rPr>
                <w:b/>
                <w:sz w:val="17"/>
              </w:rPr>
              <w:t>8,974</w:t>
            </w:r>
          </w:p>
        </w:tc>
        <w:tc>
          <w:tcPr>
            <w:tcW w:type="dxa" w:w="1440"/>
            <w:shd w:fill="C6EFCE" w:val="clear"/>
          </w:tcPr>
          <w:p>
            <w:r>
              <w:rPr>
                <w:sz w:val="17"/>
              </w:rPr>
              <w:t>9,903</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7,925</w:t>
            </w:r>
          </w:p>
        </w:tc>
        <w:tc>
          <w:tcPr>
            <w:tcW w:type="dxa" w:w="1440"/>
            <w:shd w:fill="C6EFCE" w:val="clear"/>
          </w:tcPr>
          <w:p>
            <w:r>
              <w:rPr>
                <w:b/>
                <w:sz w:val="17"/>
              </w:rPr>
              <w:t>9,001</w:t>
            </w:r>
          </w:p>
        </w:tc>
        <w:tc>
          <w:tcPr>
            <w:tcW w:type="dxa" w:w="1440"/>
            <w:shd w:fill="C6EFCE" w:val="clear"/>
          </w:tcPr>
          <w:p>
            <w:r>
              <w:rPr>
                <w:sz w:val="17"/>
              </w:rPr>
              <w:t>10,077</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7,822</w:t>
            </w:r>
          </w:p>
        </w:tc>
        <w:tc>
          <w:tcPr>
            <w:tcW w:type="dxa" w:w="1440"/>
            <w:shd w:fill="C6EFCE" w:val="clear"/>
          </w:tcPr>
          <w:p>
            <w:r>
              <w:rPr>
                <w:b/>
                <w:sz w:val="17"/>
              </w:rPr>
              <w:t>9,029</w:t>
            </w:r>
          </w:p>
        </w:tc>
        <w:tc>
          <w:tcPr>
            <w:tcW w:type="dxa" w:w="1440"/>
            <w:shd w:fill="C6EFCE" w:val="clear"/>
          </w:tcPr>
          <w:p>
            <w:r>
              <w:rPr>
                <w:sz w:val="17"/>
              </w:rPr>
              <w:t>10,236</w:t>
            </w:r>
          </w:p>
        </w:tc>
        <w:tc>
          <w:tcPr>
            <w:tcW w:type="dxa" w:w="1440"/>
            <w:shd w:fill="C6EFCE" w:val="clear"/>
          </w:tcPr>
          <w:p>
            <w:r>
              <w:rPr>
                <w:b/>
                <w:color w:val="008000"/>
                <w:sz w:val="17"/>
              </w:rPr>
              <w:t>+6.1%</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7,729</w:t>
            </w:r>
          </w:p>
        </w:tc>
        <w:tc>
          <w:tcPr>
            <w:tcW w:type="dxa" w:w="1440"/>
            <w:shd w:fill="C6EFCE" w:val="clear"/>
          </w:tcPr>
          <w:p>
            <w:r>
              <w:rPr>
                <w:b/>
                <w:sz w:val="17"/>
              </w:rPr>
              <w:t>9,055</w:t>
            </w:r>
          </w:p>
        </w:tc>
        <w:tc>
          <w:tcPr>
            <w:tcW w:type="dxa" w:w="1440"/>
            <w:shd w:fill="C6EFCE" w:val="clear"/>
          </w:tcPr>
          <w:p>
            <w:r>
              <w:rPr>
                <w:sz w:val="17"/>
              </w:rPr>
              <w:t>10,381</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7,642</w:t>
            </w:r>
          </w:p>
        </w:tc>
        <w:tc>
          <w:tcPr>
            <w:tcW w:type="dxa" w:w="1440"/>
            <w:shd w:fill="C6EFCE" w:val="clear"/>
          </w:tcPr>
          <w:p>
            <w:r>
              <w:rPr>
                <w:b/>
                <w:sz w:val="17"/>
              </w:rPr>
              <w:t>9,078</w:t>
            </w:r>
          </w:p>
        </w:tc>
        <w:tc>
          <w:tcPr>
            <w:tcW w:type="dxa" w:w="1440"/>
            <w:shd w:fill="C6EFCE" w:val="clear"/>
          </w:tcPr>
          <w:p>
            <w:r>
              <w:rPr>
                <w:sz w:val="17"/>
              </w:rPr>
              <w:t>10,514</w:t>
            </w:r>
          </w:p>
        </w:tc>
        <w:tc>
          <w:tcPr>
            <w:tcW w:type="dxa" w:w="1440"/>
            <w:shd w:fill="C6EFCE" w:val="clear"/>
          </w:tcPr>
          <w:p>
            <w:r>
              <w:rPr>
                <w:b/>
                <w:color w:val="008000"/>
                <w:sz w:val="17"/>
              </w:rPr>
              <w:t>+6.7%</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7,560</w:t>
            </w:r>
          </w:p>
        </w:tc>
        <w:tc>
          <w:tcPr>
            <w:tcW w:type="dxa" w:w="1440"/>
            <w:shd w:fill="C6EFCE" w:val="clear"/>
          </w:tcPr>
          <w:p>
            <w:r>
              <w:rPr>
                <w:b/>
                <w:sz w:val="17"/>
              </w:rPr>
              <w:t>9,098</w:t>
            </w:r>
          </w:p>
        </w:tc>
        <w:tc>
          <w:tcPr>
            <w:tcW w:type="dxa" w:w="1440"/>
            <w:shd w:fill="C6EFCE" w:val="clear"/>
          </w:tcPr>
          <w:p>
            <w:r>
              <w:rPr>
                <w:sz w:val="17"/>
              </w:rPr>
              <w:t>10,637</w:t>
            </w:r>
          </w:p>
        </w:tc>
        <w:tc>
          <w:tcPr>
            <w:tcW w:type="dxa" w:w="1440"/>
            <w:shd w:fill="C6EFCE" w:val="clear"/>
          </w:tcPr>
          <w:p>
            <w:r>
              <w:rPr>
                <w:b/>
                <w:color w:val="008000"/>
                <w:sz w:val="17"/>
              </w:rPr>
              <w:t>+6.9%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7,481</w:t>
            </w:r>
          </w:p>
        </w:tc>
        <w:tc>
          <w:tcPr>
            <w:tcW w:type="dxa" w:w="1440"/>
            <w:shd w:fill="C6EFCE" w:val="clear"/>
          </w:tcPr>
          <w:p>
            <w:r>
              <w:rPr>
                <w:b/>
                <w:sz w:val="17"/>
              </w:rPr>
              <w:t>9,116</w:t>
            </w:r>
          </w:p>
        </w:tc>
        <w:tc>
          <w:tcPr>
            <w:tcW w:type="dxa" w:w="1440"/>
            <w:shd w:fill="C6EFCE" w:val="clear"/>
          </w:tcPr>
          <w:p>
            <w:r>
              <w:rPr>
                <w:sz w:val="17"/>
              </w:rPr>
              <w:t>10,751</w:t>
            </w:r>
          </w:p>
        </w:tc>
        <w:tc>
          <w:tcPr>
            <w:tcW w:type="dxa" w:w="1440"/>
            <w:shd w:fill="C6EFCE" w:val="clear"/>
          </w:tcPr>
          <w:p>
            <w:r>
              <w:rPr>
                <w:b/>
                <w:color w:val="008000"/>
                <w:sz w:val="17"/>
              </w:rPr>
              <w:t>+7.1%</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7,405</w:t>
            </w:r>
          </w:p>
        </w:tc>
        <w:tc>
          <w:tcPr>
            <w:tcW w:type="dxa" w:w="1440"/>
            <w:shd w:fill="C6EFCE" w:val="clear"/>
          </w:tcPr>
          <w:p>
            <w:r>
              <w:rPr>
                <w:b/>
                <w:sz w:val="17"/>
              </w:rPr>
              <w:t>9,131</w:t>
            </w:r>
          </w:p>
        </w:tc>
        <w:tc>
          <w:tcPr>
            <w:tcW w:type="dxa" w:w="1440"/>
            <w:shd w:fill="C6EFCE" w:val="clear"/>
          </w:tcPr>
          <w:p>
            <w:r>
              <w:rPr>
                <w:sz w:val="17"/>
              </w:rPr>
              <w:t>10,857</w:t>
            </w:r>
          </w:p>
        </w:tc>
        <w:tc>
          <w:tcPr>
            <w:tcW w:type="dxa" w:w="1440"/>
            <w:shd w:fill="C6EFCE" w:val="clear"/>
          </w:tcPr>
          <w:p>
            <w:r>
              <w:rPr>
                <w:b/>
                <w:color w:val="008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(BIIC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491,54 milliards FCFA, la BICB s'impose comme l'une des capitalisations les plus significatives de la cote BRVM, ce qui témoigne de son statut de banque de référence dans l'UEMOA et de sa liquidité relative sur le marché. Le BPA de 627 FCFA/action indique que chaque titre génère près de 627 FCFA de bénéfice net, un niveau élevé qui traduit la forte rentabilité de l'établissement. Le PER de 13,6x situe le titre légèrement au-dessus de la moyenne du marché BRVM (8-12x), ce qui suggère que les investisseurs paient une prime modérée pour la qualité de la signature, sans pour autant basculer dans une valorisation spéculative. Le P/B de 3,64x confirme cette prime de croissance : le marché valorise la banque à plus de 3,6 fois ses fonds propres comptables (135,1 Mds FCFA), un niveau qui se justifie par un ROE exceptionnel de 26,8%. En revanche, l'EV/EBITDA de 24,1x apparaît très exigeant (&gt;15x), signalant que la valeur d'entreprise intègre déjà une grande partie de la performance opérationnelle future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affiche une performance spectaculaire de **+60,41%**, avec une dernière séance en hausse de **+7,45%** à 8 510 FCFA, confirmant un momentum haussier puissant. Le titre a évolué dans un range très large, entre un plus bas de 5 105 FCFA et un plus haut de 10 790 FCFA, soit un écart de plus de 111%, ce qui illustre une phase de forte expansion suivie d'une correction. La tendance générale reste haussière, portée par la publication de résultats annuels 2025 solides (PNB +16,5%, RN +24,7%) et par l'annonce de la tenue de l'Assemblée Générale du 30 juin 2026 avec distribution de dividendes. Les statistiques descriptives révèlent une distribution asymétrique : la moyenne (7 107 FCFA) est nettement supérieure à la médiane (6 465 FCFA), signe que les journées de forte hausse tirent la moyenne vers le haut, tandis que le mode à 5 200 FCFA indique que le cours a longtemps stagné autour de ce niveau avant son envolée. L'écart-type de 1 755 FCFA (CV = 24,7%) traduit une dispersion modérée à élevée, et le kurtosis de -0,882 (mésokurtique) suggère une distribution proche de la normale, sans pics extrêmes fréquents. Le skewness positif de 0,621 indique une asymétrie à droite : les gains extrêmes sont plus probables que les pertes extrêmes, ce qui est favorable. Enfin, la volatilité annualisée de 42,3% classe le titre dans la catégorie **élevée** (&gt;30%), ce qui implique un risque de marché significatif mais cohérent avec la dynamique de croissance de la banque.</w:t>
      </w:r>
    </w:p>
    <w:p>
      <w:pPr>
        <w:spacing w:after="120" w:line="276" w:lineRule="auto"/>
      </w:pPr>
      <w:r>
        <w:t>---</w:t>
      </w:r>
    </w:p>
    <w:p>
      <w:pPr>
        <w:spacing w:after="120" w:line="276" w:lineRule="auto"/>
      </w:pPr>
      <w:r>
        <w:t>## PARTIE 2 : ANALYSE TECHNIQUE DÉTAILLÉE</w:t>
      </w:r>
    </w:p>
    <w:p>
      <w:pPr>
        <w:spacing w:after="120" w:line="276" w:lineRule="auto"/>
      </w:pPr>
      <w:r>
        <w:t>**Moyennes Mobiles** : La MM20 (9 834,75 FCFA) et la MM50 (8 575,50 FCFA) sont toutes deux supérieures au cours actuel (8 510 FCFA), ce qui place le titre en dessous de ses moyennes court et moyen terme. La MM20 &gt; MM50 confirme une configuration haussière de fond, mais le fait que le cours soit sous la MM50 suggère une correction en cours. La décision technique affichée est "Achat", probablement liée au potentiel de rebond vers ces moyennes.</w:t>
      </w:r>
    </w:p>
    <w:p>
      <w:pPr>
        <w:spacing w:after="120" w:line="276" w:lineRule="auto"/>
      </w:pPr>
      <w:r>
        <w:t>**Bandes de Bollinger** : Le cours (8 510 FCFA) se situe juste au-dessus de la borne inférieure (8 200,51 FCFA) et très loin de la borne supérieure (11 468,99 FCFA), ce qui indique une pression baissière récente mais aussi un potentiel de rebond technique. La largeur des bandes reflète une volatilité élevée. La décision "Neutre" est cohérente avec cette position ambiguë.</w:t>
      </w:r>
    </w:p>
    <w:p>
      <w:pPr>
        <w:spacing w:after="120" w:line="276" w:lineRule="auto"/>
      </w:pPr>
      <w:r>
        <w:t>**MACD** : La valeur du MACD (57,52) est très inférieure à son signal (397,05), ce qui génère une divergence baissière marquée et un momentum négatif. La décision "Vente" est justifiée par cette configuration, qui suggère que la pression vendeuse pourrait persister à court terme.</w:t>
      </w:r>
    </w:p>
    <w:p>
      <w:pPr>
        <w:spacing w:after="120" w:line="276" w:lineRule="auto"/>
      </w:pPr>
      <w:r>
        <w:t>**RSI** : À 23,73, le RSI est en zone de **survente** (&lt;30), ce qui indique que le titre a été excessivement vendu et pourrait connaître un rebond technique. La décision "Achat" est cohérente avec cette lecture contrarienne.</w:t>
      </w:r>
    </w:p>
    <w:p>
      <w:pPr>
        <w:spacing w:after="120" w:line="276" w:lineRule="auto"/>
      </w:pPr>
      <w:r>
        <w:t>**Stochastique** : Le %K (22,43) est supérieur au %D (7,48), ce qui pourrait annoncer un croisement haussier à venir, mais les deux valeurs restent en zone basse, confirmant la survente. La décision "Neutre" reflète cette situation d'attente.</w:t>
      </w:r>
    </w:p>
    <w:p>
      <w:pPr>
        <w:spacing w:after="120" w:line="276" w:lineRule="auto"/>
      </w:pPr>
      <w:r>
        <w:t>**Conclusion technique** : Les indicateurs sont **divergents** : le RSI et les Bandes de Bollinger suggèrent une survente propice à un rebond, tandis que le MACD et la position sous les moyennes mobiles plaident pour une poursuite de la correction. Le titre se trouve dans une zone de consolidation critique, et la prudence est de mise avant de prendre une position directionnelle.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Selon les états financiers IFRS audités au 31 décembre 2025, la BICB affiche un Produit Net Bancaire (PNB) de **52,805 milliards FCFA**, en croissance de **+16,49%** par rapport à 2024. Le résultat net s'établit à **36,237 milliards FCFA**, en hausse de **+24,7%**, avec un **ROE de 26,82%** (excellent, &gt;15%) et un **ROA de 1,96%**. Le coefficient d'exploitation est remarquablement bas à **31,12%** (&lt;60%), ce qui témoigne d'une efficacité opérationnelle supérieure. Le coût du risque rapporté aux charges financières est de **9,61%**, un niveau modéré mais à surveiller. La structure financière montre une autonomie financière de **7,33%** (faible, typique des banques) et un ratio crédits nets/dépôts de **97,5%**, signalant une transformation tendue. Les dépôts clientèle atteignent **1 181,05 milliards FCFA** (+29,4%) et les créances clientèle **1 151,54 milliards FCFA** (+37,3%), confirmant une expansion rapide de l'intermédiation.</w:t>
      </w:r>
    </w:p>
    <w:p>
      <w:pPr>
        <w:spacing w:after="120" w:line="276" w:lineRule="auto"/>
      </w:pPr>
      <w:r>
        <w:t>**Estimations basées sur les rapports trimestriels** : Le rapport du **T1 2026** (publié en 2026) indique un PNB de **14,6 milliards FCFA** (+35%) et un résultat net de **8,0 milliards FCFA** (+48%), confirmant une accélération de la dynamique. Le rapport **S1 2026** (publié en 2026) fait état d'un PNB de **31,882 milliards FCFA** (+19%) et d'un résultat net de **18,368 milliards FCFA** (+11%), avec un coût du risque redevenu une charge de **-3,579 milliards FCFA** (contre un produit net de +2,376 milliards au S1 2025). Sur la base de ces tendances, on estime que l'exercice 2026 devrait afficher un PNB supérieur à **60 milliards FCFA** et un résultat net proche de **38-40 milliards FCFA**, sous réserve d'une normalisation du coût du risque. Le rapport annuel 2025 (publié en 2026) confirme une solvabilité de **19,64%** (bien au-dessus du minimum réglementaire de 11,5%) et un ratio de liquidité en baisse à **11,03%**, point de vigilance.</w:t>
      </w:r>
    </w:p>
    <w:p>
      <w:pPr>
        <w:spacing w:after="120" w:line="276" w:lineRule="auto"/>
      </w:pPr>
      <w:r>
        <w:t>**Recommandation fondamentale** : La BICB présente des fondamentaux **très solides** (ROE &gt;26%, coefficient d'exploitation &lt;32%, croissance à deux chiffres), mais les risques de crédit (croissance rapide des encours) et de liquidité (transformation tendue) nécessitent une surveillance attentive. La publication des résultats 2025 et la tenue de l'AG du 30 juin 2026 avec distribution de dividendes constituent des catalyseurs positifs.</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**modérément exigeante** (PER 13,6x, P/B 3,64x, EV/EBITDA 24,1x), mais justifiée par un ROE exceptionnel de 26,8%. Le comportement du cours (Partie 1) est **haussier sur 100 jours (+60,41%)** avec une volatilité élevée (42,3%) et une asymétrie positive (skewness 0,621), ce qui est favorable mais implique un risque de correction. Les signaux techniques (Partie 2) sont **divergents** : survente (RSI 23,7) et potentiel de rebond, mais MACD baissier et cours sous les moyennes mobiles. Les fondamentaux (Partie 3) sont **excellents** (PNB +16,5%, RN +24,7%, ROE 26,8%, coefficient d'exploitation 31,1%), avec des estimations 2026 optimistes (T1 : RN +48%, S1 : RN +11%). Les **prédictions IA** (J+1 à J+10) tablent sur une stabilisation autour de 8 978-9 029 FCFA, soit une légère hausse de +5,5% à +6,1% par rapport au cours actuel (8 510 FCFA), ce qui **contredit partiellement** le signal baissier du MACD mais **confirme** le potentiel de rebond technique.</w:t>
      </w:r>
    </w:p>
    <w:p>
      <w:pPr>
        <w:spacing w:after="120" w:line="276" w:lineRule="auto"/>
      </w:pPr>
      <w:r>
        <w:t>**Recommandation finale** : **CONSERVER** (avec biais haussier pour les investisseurs déjà positionnés). La convergence entre des fondamentaux solides, une survente technique et des prédictions IA légèrement haussières plaide pour une **stabilisation puis un rebond** à moyen terme. Cependant, la divergence du MACD et la volatilité élevée incitent à la prudence pour les nouveaux entrants. **Niveau de confiance : Moyen** (les signaux techniques contradictoires limitent la visibilité à court terme). **Niveau de risque : Moyen à Élevé** (volatilité 42,3%, risque de crédit, tension sur la liquidité). **Horizon d'investissement optimal : Moyen terme (3-12 mois)**, en attendant la confirmation de la normalisation du coût du risque et la publication des résultats annuels 2026. Un **ACHAT** serait justifié si le cours casse au-dessus de la MM50 (8 575 FCFA) avec un MACD qui se retourne à la hausse ; une **VENTE** serait envisageable si le cours casse sous les 8 200 FCFA (borne inférieure de Bollinger) avec une détérioration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694 titres</w:t>
            </w:r>
          </w:p>
        </w:tc>
        <w:tc>
          <w:tcPr>
            <w:tcW w:type="dxa" w:w="2268"/>
            <w:shd w:fill="FFF2CC" w:val="clear"/>
          </w:tcPr>
          <w:p>
            <w:r>
              <w:rPr>
                <w:b/>
                <w:color w:val="503200"/>
                <w:sz w:val="16"/>
              </w:rPr>
              <w:t xml:space="preserve">Cours actuel : </w:t>
            </w:r>
            <w:r>
              <w:rPr>
                <w:color w:val="000000"/>
                <w:sz w:val="17"/>
              </w:rPr>
              <w:t>32,000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24,445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6.49% (Moyenne) — μ=28,919 FCFA, σ=1,877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β=0.7952 (Défensif) — Cov=0.000048, Var(idx)=0.000061, ρ=0.329,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694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29,682</w:t>
            </w:r>
          </w:p>
        </w:tc>
        <w:tc>
          <w:tcPr>
            <w:tcW w:type="dxa" w:w="1440"/>
            <w:shd w:fill="FFDCE0" w:val="clear"/>
          </w:tcPr>
          <w:p>
            <w:r>
              <w:rPr>
                <w:b/>
                <w:sz w:val="17"/>
              </w:rPr>
              <w:t>31,010</w:t>
            </w:r>
          </w:p>
        </w:tc>
        <w:tc>
          <w:tcPr>
            <w:tcW w:type="dxa" w:w="1440"/>
            <w:shd w:fill="FFDCE0" w:val="clear"/>
          </w:tcPr>
          <w:p>
            <w:r>
              <w:rPr>
                <w:sz w:val="17"/>
              </w:rPr>
              <w:t>32,338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29,189</w:t>
            </w:r>
          </w:p>
        </w:tc>
        <w:tc>
          <w:tcPr>
            <w:tcW w:type="dxa" w:w="1440"/>
            <w:shd w:fill="FFDCE0" w:val="clear"/>
          </w:tcPr>
          <w:p>
            <w:r>
              <w:rPr>
                <w:b/>
                <w:sz w:val="17"/>
              </w:rPr>
              <w:t>31,071</w:t>
            </w:r>
          </w:p>
        </w:tc>
        <w:tc>
          <w:tcPr>
            <w:tcW w:type="dxa" w:w="1440"/>
            <w:shd w:fill="FFDCE0" w:val="clear"/>
          </w:tcPr>
          <w:p>
            <w:r>
              <w:rPr>
                <w:sz w:val="17"/>
              </w:rPr>
              <w:t>32,953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28,690</w:t>
            </w:r>
          </w:p>
        </w:tc>
        <w:tc>
          <w:tcPr>
            <w:tcW w:type="dxa" w:w="1440"/>
            <w:shd w:fill="FFDCE0" w:val="clear"/>
          </w:tcPr>
          <w:p>
            <w:r>
              <w:rPr>
                <w:b/>
                <w:sz w:val="17"/>
              </w:rPr>
              <w:t>30,988</w:t>
            </w:r>
          </w:p>
        </w:tc>
        <w:tc>
          <w:tcPr>
            <w:tcW w:type="dxa" w:w="1440"/>
            <w:shd w:fill="FFDCE0" w:val="clear"/>
          </w:tcPr>
          <w:p>
            <w:r>
              <w:rPr>
                <w:sz w:val="17"/>
              </w:rPr>
              <w:t>33,286</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28,259</w:t>
            </w:r>
          </w:p>
        </w:tc>
        <w:tc>
          <w:tcPr>
            <w:tcW w:type="dxa" w:w="1440"/>
            <w:shd w:fill="FFDCE0" w:val="clear"/>
          </w:tcPr>
          <w:p>
            <w:r>
              <w:rPr>
                <w:b/>
                <w:sz w:val="17"/>
              </w:rPr>
              <w:t>30,906</w:t>
            </w:r>
          </w:p>
        </w:tc>
        <w:tc>
          <w:tcPr>
            <w:tcW w:type="dxa" w:w="1440"/>
            <w:shd w:fill="FFDCE0" w:val="clear"/>
          </w:tcPr>
          <w:p>
            <w:r>
              <w:rPr>
                <w:sz w:val="17"/>
              </w:rPr>
              <w:t>33,553</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27,890</w:t>
            </w:r>
          </w:p>
        </w:tc>
        <w:tc>
          <w:tcPr>
            <w:tcW w:type="dxa" w:w="1440"/>
            <w:shd w:fill="FFDCE0" w:val="clear"/>
          </w:tcPr>
          <w:p>
            <w:r>
              <w:rPr>
                <w:b/>
                <w:sz w:val="17"/>
              </w:rPr>
              <w:t>30,843</w:t>
            </w:r>
          </w:p>
        </w:tc>
        <w:tc>
          <w:tcPr>
            <w:tcW w:type="dxa" w:w="1440"/>
            <w:shd w:fill="FFDCE0" w:val="clear"/>
          </w:tcPr>
          <w:p>
            <w:r>
              <w:rPr>
                <w:sz w:val="17"/>
              </w:rPr>
              <w:t>33,797</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27,560</w:t>
            </w:r>
          </w:p>
        </w:tc>
        <w:tc>
          <w:tcPr>
            <w:tcW w:type="dxa" w:w="1440"/>
            <w:shd w:fill="FFDCE0" w:val="clear"/>
          </w:tcPr>
          <w:p>
            <w:r>
              <w:rPr>
                <w:b/>
                <w:sz w:val="17"/>
              </w:rPr>
              <w:t>30,789</w:t>
            </w:r>
          </w:p>
        </w:tc>
        <w:tc>
          <w:tcPr>
            <w:tcW w:type="dxa" w:w="1440"/>
            <w:shd w:fill="FFDCE0" w:val="clear"/>
          </w:tcPr>
          <w:p>
            <w:r>
              <w:rPr>
                <w:sz w:val="17"/>
              </w:rPr>
              <w:t>34,019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27,255</w:t>
            </w:r>
          </w:p>
        </w:tc>
        <w:tc>
          <w:tcPr>
            <w:tcW w:type="dxa" w:w="1440"/>
            <w:shd w:fill="FFDCE0" w:val="clear"/>
          </w:tcPr>
          <w:p>
            <w:r>
              <w:rPr>
                <w:b/>
                <w:sz w:val="17"/>
              </w:rPr>
              <w:t>30,737</w:t>
            </w:r>
          </w:p>
        </w:tc>
        <w:tc>
          <w:tcPr>
            <w:tcW w:type="dxa" w:w="1440"/>
            <w:shd w:fill="FFDCE0" w:val="clear"/>
          </w:tcPr>
          <w:p>
            <w:r>
              <w:rPr>
                <w:sz w:val="17"/>
              </w:rPr>
              <w:t>34,219</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26,969</w:t>
            </w:r>
          </w:p>
        </w:tc>
        <w:tc>
          <w:tcPr>
            <w:tcW w:type="dxa" w:w="1440"/>
            <w:shd w:fill="FFDCE0" w:val="clear"/>
          </w:tcPr>
          <w:p>
            <w:r>
              <w:rPr>
                <w:b/>
                <w:sz w:val="17"/>
              </w:rPr>
              <w:t>30,686</w:t>
            </w:r>
          </w:p>
        </w:tc>
        <w:tc>
          <w:tcPr>
            <w:tcW w:type="dxa" w:w="1440"/>
            <w:shd w:fill="FFDCE0" w:val="clear"/>
          </w:tcPr>
          <w:p>
            <w:r>
              <w:rPr>
                <w:sz w:val="17"/>
              </w:rPr>
              <w:t>34,402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26,700</w:t>
            </w:r>
          </w:p>
        </w:tc>
        <w:tc>
          <w:tcPr>
            <w:tcW w:type="dxa" w:w="1440"/>
            <w:shd w:fill="FFDCE0" w:val="clear"/>
          </w:tcPr>
          <w:p>
            <w:r>
              <w:rPr>
                <w:b/>
                <w:sz w:val="17"/>
              </w:rPr>
              <w:t>30,636</w:t>
            </w:r>
          </w:p>
        </w:tc>
        <w:tc>
          <w:tcPr>
            <w:tcW w:type="dxa" w:w="1440"/>
            <w:shd w:fill="FFDCE0" w:val="clear"/>
          </w:tcPr>
          <w:p>
            <w:r>
              <w:rPr>
                <w:sz w:val="17"/>
              </w:rPr>
              <w:t>34,572</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26,446</w:t>
            </w:r>
          </w:p>
        </w:tc>
        <w:tc>
          <w:tcPr>
            <w:tcW w:type="dxa" w:w="1440"/>
            <w:shd w:fill="FFDCE0" w:val="clear"/>
          </w:tcPr>
          <w:p>
            <w:r>
              <w:rPr>
                <w:b/>
                <w:sz w:val="17"/>
              </w:rPr>
              <w:t>30,588</w:t>
            </w:r>
          </w:p>
        </w:tc>
        <w:tc>
          <w:tcPr>
            <w:tcW w:type="dxa" w:w="1440"/>
            <w:shd w:fill="FFDCE0" w:val="clear"/>
          </w:tcPr>
          <w:p>
            <w:r>
              <w:rPr>
                <w:sz w:val="17"/>
              </w:rPr>
              <w:t>34,729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**533,33 milliards FCFA**, BICC s'impose comme l'une des plus importantes capitalisations du compartiment bancaire de la BRVM, ce qui lui confère une liquidité relative et une visibilité institutionnelle appréciables. Le BPA de **2 191 FCFA/action** traduit la contribution bénéficiaire de chaque titre, et le PER de **14,6x** — supérieur à la moyenne BRVM (~8-12x) — indique que le marché consent une prime de qualité à cette valeur, sans pour autant basculer dans une zone de surévaluation spéculative. Le P/B de **4,42x** confirme cette prime : les investisseurs paient plus de quatre fois la valeur comptable des fonds propres, ce qui se justifie par un ROE exceptionnel de 30,3% mais laisse peu de marge d'erreur en cas de dégradation. Enfin, l'EV/EBITDA de **10,6x** situe la valeur dans une fourchette élevée (10-15x), cohérente avec la rentabilité opérationnelle supérieure du titre, mais qui exige une croissance soutenue pour être validée.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remarquable de **+28,00%**, avec une dernière séance particulièrement dynamique (+4,92%), portant le cours actuel à **32 000 FCFA**. Le range de trading s'établit entre un plus bas de **24 445 FCFA** et un plus haut de **34 000 FCFA**, soit une amplitude de près de 39%, témoignant d'une tendance nettement haussière mais ponctuée de corrections. Les statistiques descriptives révèlent une moyenne de **28 919 FCFA** légèrement supérieure à la médiane de **28 840 FCFA**, avec un mode à **29 000 FCFA** : cet écart marginal, combiné à un skewness positif de **0,582**, indique une asymétrie à droite — davantage de journées se sont situées sous la moyenne, mais quelques séances fortement haussières tirent la distribution vers le haut. L'écart-type de **1 886 FCFA** (CV de **6,5%**) traduit une dispersion modérée du cours, tandis que le kurtosis de **0,901** (mésokurtique) suggère un risque de pics extrêmes proche d'une distribution normale, sans queue épaisse marquée. Avec une volatilité annualisée de **30,7%**, le titre se situe à la frontière d'une volatilité modérée à élevée (seuil &gt;30%), ce qui est cohérent avec un profil de croissance mais exige une tolérance au risque significative.</w:t>
      </w:r>
    </w:p>
    <w:p>
      <w:pPr>
        <w:spacing w:after="120" w:line="276" w:lineRule="auto"/>
      </w:pPr>
      <w:r>
        <w:t>---</w:t>
      </w:r>
    </w:p>
    <w:p>
      <w:pPr>
        <w:spacing w:after="120" w:line="276" w:lineRule="auto"/>
      </w:pPr>
      <w:r>
        <w:t>## PARTIE 2 : ANALYSE TECHNIQUE DÉTAILLÉE</w:t>
      </w:r>
    </w:p>
    <w:p>
      <w:pPr>
        <w:spacing w:after="120" w:line="276" w:lineRule="auto"/>
      </w:pPr>
      <w:r>
        <w:t>**Moyennes Mobiles** : La MM20 (**31 847,75 FCFA**) et la MM50 (**30 006,80 FCFA**) se situent toutes deux sous le cours actuel de 32 000 FCFA, avec la MM20 au-dessus de la MM50 — configuration haussière classique en « golden cross ». Le cours évoluant au-dessus de ses deux moyennes, la dynamique de fond reste positive, ce qui justifie la décision d'**Achat**.</w:t>
      </w:r>
    </w:p>
    <w:p>
      <w:pPr>
        <w:spacing w:after="120" w:line="276" w:lineRule="auto"/>
      </w:pPr>
      <w:r>
        <w:t>**Bandes de Bollinger** : Le cours (32 000 FCFA) se situe dans la partie supérieure de la bande, entre la borne inférieure (29 135,46 FCFA) et la borne supérieure (34 560,04 FCFA), sans franchissement de cette dernière. Cette position médiane-haute, avec des bandes relativement écartées, traduit une volatilité normale sans excès ; la décision **Neutre** reflète l'absence de signal de rupture imminent.</w:t>
      </w:r>
    </w:p>
    <w:p>
      <w:pPr>
        <w:spacing w:after="120" w:line="276" w:lineRule="auto"/>
      </w:pPr>
      <w:r>
        <w:t>**MACD** : La valeur du MACD (**284,37**) est nettement inférieure à son signal (**538,16**), générant un croisement baissier — bien que les deux restent en territoire positif. Ce divergence indique un essoufflement du momentum haussier à court terme, justifiant la décision de **Vente** technique, à interpréter comme un signal de prudence et non de retournement majeur.</w:t>
      </w:r>
    </w:p>
    <w:p>
      <w:pPr>
        <w:spacing w:after="120" w:line="276" w:lineRule="auto"/>
      </w:pPr>
      <w:r>
        <w:t>**RSI** : À **40,80**, le RSI se situe en zone neutre basse (30-70), sans atteindre la survente (&lt;30). Cette configuration suggère que le titre n'est ni suracheté ni survendu, avec une légère pression vendeuse récente ; la décision **Neutre** est cohérente avec cette absence de signal directionnel fort.</w:t>
      </w:r>
    </w:p>
    <w:p>
      <w:pPr>
        <w:spacing w:after="120" w:line="276" w:lineRule="auto"/>
      </w:pPr>
      <w:r>
        <w:t>**Stochastique** : Le %K (**52,996**) est nettement supérieur au %D (**23,58**), ce qui constitue un croisement haussier potentiel — le %K rebondissant au-dessus du %D depuis une zone basse. Toutefois, la décision reste **Neutre** car le %D demeure en zone basse et la confirmation n'est pas encore acquise.</w:t>
      </w:r>
    </w:p>
    <w:p>
      <w:pPr>
        <w:spacing w:after="120" w:line="276" w:lineRule="auto"/>
      </w:pPr>
      <w:r>
        <w:t>**Conclusion technique** : Les indicateurs présentent une configuration **mitigée à légèrement haussière**. Les moyennes mobiles confirment la tendance de fond positive, le stochastique amorce un rebond, mais le MACD baissier et le RSI neutre-bas tempèrent l'enthousiasme. Le titre semble en phase de consolidation après sa forte progression, avec un support technique solide autour de 29 000-30 000 FCFA et une résistance à 34 000 FCFA.</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révèlent une banque en pleine dynamique : le Produit Net Bancaire (équivalent du chiffre d'affaires bancaire) s'établit à **79,563 milliards FCFA**, en croissance de **+16,90%**, tandis que le résultat net atteint **36,520 milliards FCFA**, générant une marge nette exceptionnelle de **45,90%**. La rentabilité des fonds propres (ROE) de **30,29%** — largement supérieure au seuil d'excellence de 15% — et le ROA de **3,24%** confirment l'efficacité opérationnelle. Le coefficient d'exploitation de **50,83%** (inférieur au seuil de 60% et proche du niveau d'excellence de 50%) témoigne d'une maîtrise remarquable des charges, tandis que le coût du risque rapporté aux charges financières de **-12,15%** indique un portefeuille de crédits globalement sain. La structure financière reste solide avec une solvabilité générale de **111,99%** et une capacité de remboursement de **0,40 an** (dettes financières/CAF), bien que l'autonomie financière de **10,71%** soit faible — caractéristique normale pour une banque dont le modèle repose sur les dépôts (952,87 milliards FCFA) plutôt que sur les fonds propres. Les rapports trimestriels confirment cette trajectoire : au **T1 2026** (rapport du 31 mars 2026), le PNB progresse de **+17,01%** à 21 214 MFCFA et le résultat net bondit de **+29,66%** à 10 387 MFCFA, avec une marge nette améliorée à **49,0%** ; le rapport du **T3 2025** (30 septembre 2025) faisait déjà état d'un résultat net cumulé de 27 402 MFCFA (+50,8%) et d'une marge nette de 47,1%. Sur la base de ces tendances, on peut estimer que l'exercice **2026** devrait afficher un PNB supérieur à 90 milliards FCFA et un résultat net approchant 40-42 milliards FCFA, confirmant la solidité du modèle. Le principal point de vigilance reste la contraction des encours de crédits (-4,5% au T1 2026), compensée par une forte collecte de dépôts (+14,5%), ce qui pourrait à terme peser sur la marge d'intermédiation si la tendance se prolonge.</w:t>
      </w:r>
    </w:p>
    <w:p>
      <w:pPr>
        <w:spacing w:after="120" w:line="276" w:lineRule="auto"/>
      </w:pPr>
      <w:r>
        <w:t>---</w:t>
      </w:r>
    </w:p>
    <w:p>
      <w:pPr>
        <w:spacing w:after="120" w:line="276" w:lineRule="auto"/>
      </w:pPr>
      <w:r>
        <w:t>## PARTIE 4 : CONCLUSION D'INVESTISSEMENT</w:t>
      </w:r>
    </w:p>
    <w:p>
      <w:pPr>
        <w:spacing w:after="120" w:line="276" w:lineRule="auto"/>
      </w:pPr>
      <w:r>
        <w:t>La synthèse globale de cette analyse fait ressortir un profil **solide mais exigeant en valorisation**. Sur le plan de la **valorisation (Partie 0)**, le PER de 14,6x et le P/B de 4,42x indiquent une prime de qualité assumée par le marché, sans décote apparente — le titre n'est donc pas « bon marché » mais se justifie par un ROE de 30,3%. Le **comportement du cours (Partie 1)** est nettement haussier (+28% sur 100 jours), avec une volatilité modérée-élevée (30,7%) et un skewness positif qui suggère un potentiel de hausse asymétrique, bien que le kurtosis proche de la normale n'annonce pas de choc extrême imminent. Les **signaux techniques (Partie 2)** sont mitigés : les moyennes mobiles et le stochastique plaident pour un maintien haussier, mais le MACD baissier et le RSI neutre-bas signalent une consolidation en cours, ce qui invite à la patience plutôt qu'à l'achat précipité. Les **fondamentaux (Partie 3)** demeurent le point fort incontestable : croissance à deux chiffres du PNB et du résultat net, ROE de 30,3%, coefficient d'exploitation de 50,8%, et confirmation par les rapports T1 2026 d'une accélération de la rentabilité. Les **prédictions IA (J+1 à J+10)** anticipent une légère correction vers 30 843-31 071 FCFA, ce qui contredit partiellement le momentum haussier mais s'aligne sur le signal MACD baissier — cette trajectoire suggère une consolidation avant une reprise potentielle. **Recommandation finale : ACHAT**, avec un niveau de confiance **Moyen** et un risque global **Moyen**. La convergence entre fondamentaux exceptionnels et valorisation premium justifie une exposition positive, mais la divergence technique à court terme et la prédiction baissière invitent à privilégier un **horizon de moyen terme (3-12 mois)**, en profitant des replis vers 30 000-31 000 FCFA pour se positionner, avec un objectif de cours à 36 000-38 000 FCFA si la dynamique bénéficiaire se confirme.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13.31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2,972 titres</w:t>
            </w:r>
          </w:p>
        </w:tc>
        <w:tc>
          <w:tcPr>
            <w:tcW w:type="dxa" w:w="2268"/>
            <w:shd w:fill="FFF2CC" w:val="clear"/>
          </w:tcPr>
          <w:p>
            <w:r>
              <w:rPr>
                <w:b/>
                <w:color w:val="503200"/>
                <w:sz w:val="16"/>
              </w:rPr>
              <w:t xml:space="preserve">Cours actuel : </w:t>
            </w:r>
            <w:r>
              <w:rPr>
                <w:color w:val="000000"/>
                <w:sz w:val="17"/>
              </w:rPr>
              <w:t>2,010 FCFA</w:t>
            </w:r>
          </w:p>
          <w:p>
            <w:r>
              <w:rPr>
                <w:b/>
                <w:color w:val="503200"/>
                <w:sz w:val="16"/>
              </w:rPr>
              <w:t xml:space="preserve">Var. 100 jours : </w:t>
            </w:r>
            <w:r>
              <w:rPr>
                <w:b/>
                <w:color w:val="007800"/>
                <w:sz w:val="17"/>
              </w:rPr>
              <w:t>+38.62%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12.54% (Moyenne) — μ=1,885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β=0.3998 (Défensif) — Cov=0.000024, Var(idx)=0.000061, ρ=0.092,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1,849</w:t>
            </w:r>
          </w:p>
        </w:tc>
        <w:tc>
          <w:tcPr>
            <w:tcW w:type="dxa" w:w="1440"/>
            <w:shd w:fill="FFDCE0" w:val="clear"/>
          </w:tcPr>
          <w:p>
            <w:r>
              <w:rPr>
                <w:b/>
                <w:sz w:val="17"/>
              </w:rPr>
              <w:t>1,969</w:t>
            </w:r>
          </w:p>
        </w:tc>
        <w:tc>
          <w:tcPr>
            <w:tcW w:type="dxa" w:w="1440"/>
            <w:shd w:fill="FFDCE0" w:val="clear"/>
          </w:tcPr>
          <w:p>
            <w:r>
              <w:rPr>
                <w:sz w:val="17"/>
              </w:rPr>
              <w:t>2,090</w:t>
            </w:r>
          </w:p>
        </w:tc>
        <w:tc>
          <w:tcPr>
            <w:tcW w:type="dxa" w:w="1440"/>
            <w:shd w:fill="FFDCE0" w:val="clear"/>
          </w:tcPr>
          <w:p>
            <w:r>
              <w:rPr>
                <w:b/>
                <w:color w:val="C00000"/>
                <w:sz w:val="17"/>
              </w:rPr>
              <w:t>-2.0%</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1,800</w:t>
            </w:r>
          </w:p>
        </w:tc>
        <w:tc>
          <w:tcPr>
            <w:tcW w:type="dxa" w:w="1440"/>
            <w:shd w:fill="FAFAFA" w:val="clear"/>
          </w:tcPr>
          <w:p>
            <w:r>
              <w:rPr>
                <w:b/>
                <w:sz w:val="17"/>
              </w:rPr>
              <w:t>1,970</w:t>
            </w:r>
          </w:p>
        </w:tc>
        <w:tc>
          <w:tcPr>
            <w:tcW w:type="dxa" w:w="1440"/>
            <w:shd w:fill="FAFAFA" w:val="clear"/>
          </w:tcPr>
          <w:p>
            <w:r>
              <w:rPr>
                <w:sz w:val="17"/>
              </w:rPr>
              <w:t>2,141</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1,752</w:t>
            </w:r>
          </w:p>
        </w:tc>
        <w:tc>
          <w:tcPr>
            <w:tcW w:type="dxa" w:w="1440"/>
            <w:shd w:fill="FFDCE0" w:val="clear"/>
          </w:tcPr>
          <w:p>
            <w:r>
              <w:rPr>
                <w:b/>
                <w:sz w:val="17"/>
              </w:rPr>
              <w:t>1,959</w:t>
            </w:r>
          </w:p>
        </w:tc>
        <w:tc>
          <w:tcPr>
            <w:tcW w:type="dxa" w:w="1440"/>
            <w:shd w:fill="FFDCE0" w:val="clear"/>
          </w:tcPr>
          <w:p>
            <w:r>
              <w:rPr>
                <w:sz w:val="17"/>
              </w:rPr>
              <w:t>2,167</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1,710</w:t>
            </w:r>
          </w:p>
        </w:tc>
        <w:tc>
          <w:tcPr>
            <w:tcW w:type="dxa" w:w="1440"/>
            <w:shd w:fill="FFDCE0" w:val="clear"/>
          </w:tcPr>
          <w:p>
            <w:r>
              <w:rPr>
                <w:b/>
                <w:sz w:val="17"/>
              </w:rPr>
              <w:t>1,949</w:t>
            </w:r>
          </w:p>
        </w:tc>
        <w:tc>
          <w:tcPr>
            <w:tcW w:type="dxa" w:w="1440"/>
            <w:shd w:fill="FFDCE0" w:val="clear"/>
          </w:tcPr>
          <w:p>
            <w:r>
              <w:rPr>
                <w:sz w:val="17"/>
              </w:rPr>
              <w:t>2,187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1,674</w:t>
            </w:r>
          </w:p>
        </w:tc>
        <w:tc>
          <w:tcPr>
            <w:tcW w:type="dxa" w:w="1440"/>
            <w:shd w:fill="FFDCE0" w:val="clear"/>
          </w:tcPr>
          <w:p>
            <w:r>
              <w:rPr>
                <w:b/>
                <w:sz w:val="17"/>
              </w:rPr>
              <w:t>1,939</w:t>
            </w:r>
          </w:p>
        </w:tc>
        <w:tc>
          <w:tcPr>
            <w:tcW w:type="dxa" w:w="1440"/>
            <w:shd w:fill="FFDCE0" w:val="clear"/>
          </w:tcPr>
          <w:p>
            <w:r>
              <w:rPr>
                <w:sz w:val="17"/>
              </w:rPr>
              <w:t>2,205</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1,641</w:t>
            </w:r>
          </w:p>
        </w:tc>
        <w:tc>
          <w:tcPr>
            <w:tcW w:type="dxa" w:w="1440"/>
            <w:shd w:fill="FFDCE0" w:val="clear"/>
          </w:tcPr>
          <w:p>
            <w:r>
              <w:rPr>
                <w:b/>
                <w:sz w:val="17"/>
              </w:rPr>
              <w:t>1,931</w:t>
            </w:r>
          </w:p>
        </w:tc>
        <w:tc>
          <w:tcPr>
            <w:tcW w:type="dxa" w:w="1440"/>
            <w:shd w:fill="FFDCE0" w:val="clear"/>
          </w:tcPr>
          <w:p>
            <w:r>
              <w:rPr>
                <w:sz w:val="17"/>
              </w:rPr>
              <w:t>2,220</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1,611</w:t>
            </w:r>
          </w:p>
        </w:tc>
        <w:tc>
          <w:tcPr>
            <w:tcW w:type="dxa" w:w="1440"/>
            <w:shd w:fill="FFDCE0" w:val="clear"/>
          </w:tcPr>
          <w:p>
            <w:r>
              <w:rPr>
                <w:b/>
                <w:sz w:val="17"/>
              </w:rPr>
              <w:t>1,923</w:t>
            </w:r>
          </w:p>
        </w:tc>
        <w:tc>
          <w:tcPr>
            <w:tcW w:type="dxa" w:w="1440"/>
            <w:shd w:fill="FFDCE0" w:val="clear"/>
          </w:tcPr>
          <w:p>
            <w:r>
              <w:rPr>
                <w:sz w:val="17"/>
              </w:rPr>
              <w:t>2,234</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1,584</w:t>
            </w:r>
          </w:p>
        </w:tc>
        <w:tc>
          <w:tcPr>
            <w:tcW w:type="dxa" w:w="1440"/>
            <w:shd w:fill="FFDCE0" w:val="clear"/>
          </w:tcPr>
          <w:p>
            <w:r>
              <w:rPr>
                <w:b/>
                <w:sz w:val="17"/>
              </w:rPr>
              <w:t>1,915</w:t>
            </w:r>
          </w:p>
        </w:tc>
        <w:tc>
          <w:tcPr>
            <w:tcW w:type="dxa" w:w="1440"/>
            <w:shd w:fill="FFDCE0" w:val="clear"/>
          </w:tcPr>
          <w:p>
            <w:r>
              <w:rPr>
                <w:sz w:val="17"/>
              </w:rPr>
              <w:t>2,247</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1,557</w:t>
            </w:r>
          </w:p>
        </w:tc>
        <w:tc>
          <w:tcPr>
            <w:tcW w:type="dxa" w:w="1440"/>
            <w:shd w:fill="FFDCE0" w:val="clear"/>
          </w:tcPr>
          <w:p>
            <w:r>
              <w:rPr>
                <w:b/>
                <w:sz w:val="17"/>
              </w:rPr>
              <w:t>1,908</w:t>
            </w:r>
          </w:p>
        </w:tc>
        <w:tc>
          <w:tcPr>
            <w:tcW w:type="dxa" w:w="1440"/>
            <w:shd w:fill="FFDCE0" w:val="clear"/>
          </w:tcPr>
          <w:p>
            <w:r>
              <w:rPr>
                <w:sz w:val="17"/>
              </w:rPr>
              <w:t>2,258</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1,533</w:t>
            </w:r>
          </w:p>
        </w:tc>
        <w:tc>
          <w:tcPr>
            <w:tcW w:type="dxa" w:w="1440"/>
            <w:shd w:fill="FFDCE0" w:val="clear"/>
          </w:tcPr>
          <w:p>
            <w:r>
              <w:rPr>
                <w:b/>
                <w:sz w:val="17"/>
              </w:rPr>
              <w:t>1,901</w:t>
            </w:r>
          </w:p>
        </w:tc>
        <w:tc>
          <w:tcPr>
            <w:tcW w:type="dxa" w:w="1440"/>
            <w:shd w:fill="FFDCE0" w:val="clear"/>
          </w:tcPr>
          <w:p>
            <w:r>
              <w:rPr>
                <w:sz w:val="17"/>
              </w:rPr>
              <w:t>2,269</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*Bourse Régionale des Valeurs Mobilières (BRVM) — Secteur : Entreprise / Distribution de matériaux et équipements*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13,31 Mds FCFA, BNBC se situe dans la catégorie des petites capitalisations de la BRVM, ce qui la rend sensible aux mouvements de faible volume. Le BPA de 3 FCFA/action traduit une rentabilité par titre quasi symbolique, cohérente avec un résultat net 2025 de seulement 22,32 M FCFA. Le PER de 596,6x est aberrant comparé à la moyenne BRVM (~8-12x) : les investisseurs paient environ 600 fois les bénéfices, ce qui signale soit une anticipation de forte croissance future, soit une décorrélation totale entre le cours et les fondamentaux. À l'inverse, le P/B de 0,75x indique que le marché valorise l'action 25% en dessous de sa valeur comptable (capitaux propres de 17,77 Mds FCFA), ce qui constitue une opportunité potentielle en cas de redressement. Enfin, l'EV/EBITDA de 24,3x (&gt;15x) est très exigeant et traduit une valorisation tendue au regard de la capacité opérationnelle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 enregistré une progression spectaculaire de +38,62%, avec une dernière séance en hausse de +6,35%, portant le cours à 2 010 FCFA. Le range de trading est large, entre un plus bas de 1 300 FCFA et un plus haut de 2 400 FCFA, soit une amplitude de 84,6% qui témoigne d'une forte nervosité. La tendance générale est nettement haussière, mais le cours actuel (2 010 FCFA) se situe en retrait du sommet, suggérant une phase de consolidation après le pic. Les statistiques descriptives révèlent une moyenne de 1 885 FCFA légèrement inférieure à la médiane de 1 955 FCFA, avec un mode à 1 990 FCFA : l'écart moyenne/médiane, bien que modéré, confirme une asymétrie négative (skewness de -0,541), c'est-à-dire davantage de journées de cotation au-dessus de la moyenne mais avec des baisses ponctuelles plus marquées. L'écart-type de 238 FCFA (CV de 12,6%) indique une dispersion modérée, tandis que le kurtosis de -0,049 (mésokurtique) suggère une distribution proche de la normale, sans risque extrême de pics. La volatilité annualisée de 53,9% classe le titre dans la catégorie **élevée** (&gt;30%), ce qui implique un risque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(2 113,5 FCFA) est supérieure à la MM50 (2 031,9 FCFA), et le cours actuel (2 010 FCFA) évolue sous ces deux moyennes. Cette configuration signale une pression baissière de court terme, mais la décision fournie est "Achat", probablement liée au croisement haussier antérieur et à la dynamique de fond.</w:t>
      </w:r>
    </w:p>
    <w:p>
      <w:pPr>
        <w:spacing w:after="120" w:line="276" w:lineRule="auto"/>
      </w:pPr>
      <w:r>
        <w:t>**Bandes de Bollinger** : Le cours (2 010 FCFA) se situe entre la borne inférieure (1 825,8 FCFA) et la borne supérieure (2 401,2 FCFA), plus proche du bas que du haut. La décision "Neutre" reflète l'absence de signal directionnel clair, avec une volatilité qui reste contenue dans les bandes.</w:t>
      </w:r>
    </w:p>
    <w:p>
      <w:pPr>
        <w:spacing w:after="120" w:line="276" w:lineRule="auto"/>
      </w:pPr>
      <w:r>
        <w:t>**MACD** : La valeur du MACD (-34,064) est inférieure à son signal (-1,942), générant une décision "Vente". Cette divergence négative indique un momentum baissier persistant, bien que l'écart se réduise, ce qui pourrait annoncer un retournement prochain.</w:t>
      </w:r>
    </w:p>
    <w:p>
      <w:pPr>
        <w:spacing w:after="120" w:line="276" w:lineRule="auto"/>
      </w:pPr>
      <w:r>
        <w:t>**RSI** : À 44,693, le RSI est en zone neutre (30-70), sans signal de surachat ni de survente. La décision "Neutre" confirme l'absence de pression acheteuse ou vendeuse dominante à court terme.</w:t>
      </w:r>
    </w:p>
    <w:p>
      <w:pPr>
        <w:spacing w:after="120" w:line="276" w:lineRule="auto"/>
      </w:pPr>
      <w:r>
        <w:t>**Stochastique** : Le %K (29,63) est supérieur au %D (9,877), avec un croisement haussier en zone de survente (&lt;20 pour le %D). La décision "Neutre" est prudente, mais ce croisement constitue un signal d'achat potentiel à surveiller.</w:t>
      </w:r>
    </w:p>
    <w:p>
      <w:pPr>
        <w:spacing w:after="120" w:line="276" w:lineRule="auto"/>
      </w:pPr>
      <w:r>
        <w:t>**Conclusion technique** : Les indicateurs sont divergents : les MM et le MACD sont baissiers, tandis que le stochastique suggère un rebond imminent. Le RSI et les Bollinger sont neutres. Cette configuration plaide pour une **phase de consolidation** avant une éventuelle reprise, avec un risque de correction si le cours ne parvient pas à repasser au-dessus de la MM50 (2 031,9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BNBC a réalisé un chiffre d'affaires de 42,454 Mds FCFA, en baisse de -6,31% par rapport à 2024 (45,312 Mds FCFA), signalant une contraction de l'activité. Le résultat net s'établit à 22,318 M FCFA, en amélioration par rapport aux 7,313 M FCFA de 2024, mais la marge nette reste quasi nulle à 0,0526%. Le ROE est de 0,1256% et le ROA de 0,0454%, des niveaux extrêmement faibles qui traduisent une rentabilité anémique. La structure financière reste solide avec des capitaux propres de 17,77 Mds FCFA (autonomie financière de 36,16%), mais la trésorerie nette est fortement négative à -16,689 Mds FCFA, et le BFR de 29,373 Mds FCFA pèse lourdement. Les délais d'exploitation sont préoccupants : 104,40 jours pour les clients (risque de trésorerie) et 339,23 jours de stockage (immobilisation de capital), tandis que le délai fournisseurs de 116,09 jours est un point positif.</w:t>
      </w:r>
    </w:p>
    <w:p>
      <w:pPr>
        <w:spacing w:after="120" w:line="276" w:lineRule="auto"/>
      </w:pPr>
      <w:r>
        <w:t>**Adaptation au secteur (Entreprise)** : La rotation des actifs est de 86,39%, correcte mais en baisse. Le ratio d'endettement de 105,48% (dettes totales/capitaux propres) est élevé, et la capacité de remboursement de 19,17 années est très tendue. La couverture des intérêts (101,74%) est juste à l'équilibre, et le coût du risque (198,54%) est élevé, signalant un risque de crédit significatif.</w:t>
      </w:r>
    </w:p>
    <w:p>
      <w:pPr>
        <w:spacing w:after="120" w:line="276" w:lineRule="auto"/>
      </w:pPr>
      <w:r>
        <w:t>**Estimations basées sur les rapports trimestriels** : Le rapport du T1 2026 (publié le 31/12/2026) indique un chiffre d'affaires stable à 11,194 Mds FCFA (-0,12% vs T1 2025) et un résultat net de -65,566 M FCFA (contre +16,147 M FCFA au T1 2025), soit une dégradation de -506%. Cette perte est attribuée à l'intégration de la division Équipement, encore en phase de démarrage. Le rapport du T3 2025 (30/09/2025) faisait déjà état d'une perte nette de -157,03 M FCFA sur 9 mois, avec un CA en recul de -3%. Le rapport du S1 2025 (30/06/2025) montrait une perte de -139,57 M FCFA. **On estime donc que l'exercice 2026 devrait rester déficitaire**, avec un résultat net négatif, à moins que la division Équipement ne monte en puissance rapidement. La direction anticipe une croissance soutenue grâce aux divisions Équipement et Power, mais les perspectives restent incertaines.</w:t>
      </w:r>
    </w:p>
    <w:p>
      <w:pPr>
        <w:spacing w:after="120" w:line="276" w:lineRule="auto"/>
      </w:pPr>
      <w:r>
        <w:t>**Recommandation fondamentale** : BNBC présente une **situation financière fragile** : rentabilité quasi nulle, trésorerie négative, endettement élevé, et pertes trimestrielles récurrentes. La valorisation boursière (PER de 596,6x) est totalement déconnectée des fondamentaux. Le seul point d'optimisme réside dans le P/B de 0,75x et la solidité des capitaux propres, mais le risque de liquidité est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de risque très élevé** avec des signaux contradictoires. La valorisation (Partie 0) est aberrante : PER de 596,6x et EV/EBITDA de 24,3x indiquent une surévaluation manifeste, bien que le P/B de 0,75x suggère une sous-évaluation comptable. Le comportement du cours (Partie 1) est haussier sur 100 jours (+38,62%) mais avec une volatilité élevée (53,9%) et une asymétrie négative (skewness de -0,541), ce qui est préoccupant. Les signaux techniques (Partie 2) sont divergents : MACD baissier, MM baissières, mais stochastique en survente avec croisement haussier, plaidant pour une consolidation. Les fondamentaux (Partie 3) sont **très faibles** : CA en baisse (-6,31% en 2025), perte nette au T1 2026 (-65,566 M FCFA), trésorerie négative (-16,689 Mds FCFA), et rentabilité anémique (ROE de 0,1256%). Les prédictions IA (J+1 à J+10) anticipent une **baisse progressive** de 1 969 FCFA à 1 939 FCFA, confirmant la pression baissière.</w:t>
      </w:r>
    </w:p>
    <w:p>
      <w:pPr>
        <w:spacing w:after="120" w:line="276" w:lineRule="auto"/>
      </w:pPr>
      <w:r>
        <w:t>**Recommandation finale : VENTE** (avec un niveau de confiance **Moyen** et un risque global **Élevé**). La convergence entre la surévaluation boursière, les fondamentaux dégradés, les pertes trimestrielles et les prédictions baissières l'emporte sur le signal haussier du stochastique et le P/B attractif. Le titre est à éviter pour les investisseurs averses au risque. **Horizon d'investissement** : Court terme (&lt;3 mois) pour les traders cherchant à profiter de la volatilité, mais **déconseillé** pour les investisseurs long terme en l'absence de retournement fondamental durable. Une surveillance des résultats du T2 2026 (attendus mi-2026) est impérative avant tout passage à l'achat.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363.02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5,685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B40000"/>
                <w:sz w:val="17"/>
              </w:rPr>
              <w:t>-0.06%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μ=9,166 FCFA, σ=551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β=0.4581 (Défensif) — Cov=0.000028, Var(idx)=0.000061, ρ=0.206,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8,637</w:t>
            </w:r>
          </w:p>
        </w:tc>
        <w:tc>
          <w:tcPr>
            <w:tcW w:type="dxa" w:w="1440"/>
            <w:shd w:fill="FAFAFA" w:val="clear"/>
          </w:tcPr>
          <w:p>
            <w:r>
              <w:rPr>
                <w:b/>
                <w:sz w:val="17"/>
              </w:rPr>
              <w:t>9,018</w:t>
            </w:r>
          </w:p>
        </w:tc>
        <w:tc>
          <w:tcPr>
            <w:tcW w:type="dxa" w:w="1440"/>
            <w:shd w:fill="FAFAFA" w:val="clear"/>
          </w:tcPr>
          <w:p>
            <w:r>
              <w:rPr>
                <w:sz w:val="17"/>
              </w:rPr>
              <w:t>9,398</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8,497</w:t>
            </w:r>
          </w:p>
        </w:tc>
        <w:tc>
          <w:tcPr>
            <w:tcW w:type="dxa" w:w="1440"/>
            <w:shd w:fill="FAFAFA" w:val="clear"/>
          </w:tcPr>
          <w:p>
            <w:r>
              <w:rPr>
                <w:b/>
                <w:sz w:val="17"/>
              </w:rPr>
              <w:t>9,035</w:t>
            </w:r>
          </w:p>
        </w:tc>
        <w:tc>
          <w:tcPr>
            <w:tcW w:type="dxa" w:w="1440"/>
            <w:shd w:fill="FAFAFA" w:val="clear"/>
          </w:tcPr>
          <w:p>
            <w:r>
              <w:rPr>
                <w:sz w:val="17"/>
              </w:rPr>
              <w:t>9,574</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8,383</w:t>
            </w:r>
          </w:p>
        </w:tc>
        <w:tc>
          <w:tcPr>
            <w:tcW w:type="dxa" w:w="1440"/>
            <w:shd w:fill="FAFAFA" w:val="clear"/>
          </w:tcPr>
          <w:p>
            <w:r>
              <w:rPr>
                <w:b/>
                <w:sz w:val="17"/>
              </w:rPr>
              <w:t>9,044</w:t>
            </w:r>
          </w:p>
        </w:tc>
        <w:tc>
          <w:tcPr>
            <w:tcW w:type="dxa" w:w="1440"/>
            <w:shd w:fill="FAFAFA" w:val="clear"/>
          </w:tcPr>
          <w:p>
            <w:r>
              <w:rPr>
                <w:sz w:val="17"/>
              </w:rPr>
              <w:t>9,704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8,284</w:t>
            </w:r>
          </w:p>
        </w:tc>
        <w:tc>
          <w:tcPr>
            <w:tcW w:type="dxa" w:w="1440"/>
            <w:shd w:fill="FAFAFA" w:val="clear"/>
          </w:tcPr>
          <w:p>
            <w:r>
              <w:rPr>
                <w:b/>
                <w:sz w:val="17"/>
              </w:rPr>
              <w:t>9,046</w:t>
            </w:r>
          </w:p>
        </w:tc>
        <w:tc>
          <w:tcPr>
            <w:tcW w:type="dxa" w:w="1440"/>
            <w:shd w:fill="FAFAFA" w:val="clear"/>
          </w:tcPr>
          <w:p>
            <w:r>
              <w:rPr>
                <w:sz w:val="17"/>
              </w:rPr>
              <w:t>9,809</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8,194</w:t>
            </w:r>
          </w:p>
        </w:tc>
        <w:tc>
          <w:tcPr>
            <w:tcW w:type="dxa" w:w="1440"/>
            <w:shd w:fill="FAFAFA" w:val="clear"/>
          </w:tcPr>
          <w:p>
            <w:r>
              <w:rPr>
                <w:b/>
                <w:sz w:val="17"/>
              </w:rPr>
              <w:t>9,047</w:t>
            </w:r>
          </w:p>
        </w:tc>
        <w:tc>
          <w:tcPr>
            <w:tcW w:type="dxa" w:w="1440"/>
            <w:shd w:fill="FAFAFA" w:val="clear"/>
          </w:tcPr>
          <w:p>
            <w:r>
              <w:rPr>
                <w:sz w:val="17"/>
              </w:rPr>
              <w:t>9,900</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8,112</w:t>
            </w:r>
          </w:p>
        </w:tc>
        <w:tc>
          <w:tcPr>
            <w:tcW w:type="dxa" w:w="1440"/>
            <w:shd w:fill="FAFAFA" w:val="clear"/>
          </w:tcPr>
          <w:p>
            <w:r>
              <w:rPr>
                <w:b/>
                <w:sz w:val="17"/>
              </w:rPr>
              <w:t>9,047</w:t>
            </w:r>
          </w:p>
        </w:tc>
        <w:tc>
          <w:tcPr>
            <w:tcW w:type="dxa" w:w="1440"/>
            <w:shd w:fill="FAFAFA" w:val="clear"/>
          </w:tcPr>
          <w:p>
            <w:r>
              <w:rPr>
                <w:sz w:val="17"/>
              </w:rPr>
              <w:t>9,981</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8,037</w:t>
            </w:r>
          </w:p>
        </w:tc>
        <w:tc>
          <w:tcPr>
            <w:tcW w:type="dxa" w:w="1440"/>
            <w:shd w:fill="FAFAFA" w:val="clear"/>
          </w:tcPr>
          <w:p>
            <w:r>
              <w:rPr>
                <w:b/>
                <w:sz w:val="17"/>
              </w:rPr>
              <w:t>9,046</w:t>
            </w:r>
          </w:p>
        </w:tc>
        <w:tc>
          <w:tcPr>
            <w:tcW w:type="dxa" w:w="1440"/>
            <w:shd w:fill="FAFAFA" w:val="clear"/>
          </w:tcPr>
          <w:p>
            <w:r>
              <w:rPr>
                <w:sz w:val="17"/>
              </w:rPr>
              <w:t>10,055</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7,966</w:t>
            </w:r>
          </w:p>
        </w:tc>
        <w:tc>
          <w:tcPr>
            <w:tcW w:type="dxa" w:w="1440"/>
            <w:shd w:fill="FAFAFA" w:val="clear"/>
          </w:tcPr>
          <w:p>
            <w:r>
              <w:rPr>
                <w:b/>
                <w:sz w:val="17"/>
              </w:rPr>
              <w:t>9,045</w:t>
            </w:r>
          </w:p>
        </w:tc>
        <w:tc>
          <w:tcPr>
            <w:tcW w:type="dxa" w:w="1440"/>
            <w:shd w:fill="FAFAFA" w:val="clear"/>
          </w:tcPr>
          <w:p>
            <w:r>
              <w:rPr>
                <w:sz w:val="17"/>
              </w:rPr>
              <w:t>10,123</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7,900</w:t>
            </w:r>
          </w:p>
        </w:tc>
        <w:tc>
          <w:tcPr>
            <w:tcW w:type="dxa" w:w="1440"/>
            <w:shd w:fill="FAFAFA" w:val="clear"/>
          </w:tcPr>
          <w:p>
            <w:r>
              <w:rPr>
                <w:b/>
                <w:sz w:val="17"/>
              </w:rPr>
              <w:t>9,043</w:t>
            </w:r>
          </w:p>
        </w:tc>
        <w:tc>
          <w:tcPr>
            <w:tcW w:type="dxa" w:w="1440"/>
            <w:shd w:fill="FAFAFA" w:val="clear"/>
          </w:tcPr>
          <w:p>
            <w:r>
              <w:rPr>
                <w:sz w:val="17"/>
              </w:rPr>
              <w:t>10,187</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7,837</w:t>
            </w:r>
          </w:p>
        </w:tc>
        <w:tc>
          <w:tcPr>
            <w:tcW w:type="dxa" w:w="1440"/>
            <w:shd w:fill="FAFAFA" w:val="clear"/>
          </w:tcPr>
          <w:p>
            <w:r>
              <w:rPr>
                <w:b/>
                <w:sz w:val="17"/>
              </w:rPr>
              <w:t>9,042</w:t>
            </w:r>
          </w:p>
        </w:tc>
        <w:tc>
          <w:tcPr>
            <w:tcW w:type="dxa" w:w="1440"/>
            <w:shd w:fill="FAFAFA" w:val="clear"/>
          </w:tcPr>
          <w:p>
            <w:r>
              <w:rPr>
                <w:sz w:val="17"/>
              </w:rPr>
              <w:t>10,247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363,02 milliards FCFA, BOAB se positionne parmi les valeurs bancaires de premier plan de la BRVM, ce qui témoigne de sa liquidité relative et de son poids dans l'indice sectoriel. Le BPA de 496 FCFA/action signifie que chaque titre génère près de 500 FCFA de bénéfice net, un niveau confortable pour une banque de cette taille. Le PER de 18,1x apparaît nettement supérieur à la moyenne du marché BRVM (estimée entre 8x et 12x), ce qui indique que les investisseurs paient une prime significative pour les bénéfices de BOAB — une valorisation exigeante qui intègre déjà de bonnes perspectives de croissance. Le P/B de 3,09x confirme cette prime, le marché valorisant la banque à plus de trois fois sa valeur comptable (capitaux propres de 117,5 Mds FCFA), ce qui est cohérent avec un ROE supérieur à 17%. Enfin, l'EV/EBITDA de 18,8x, très exigeant (seuil d'alerte &gt; 15x), suggère que la valeur d'entreprise intègre une forte capacité bénéficiaire future ; cette cherté relative appelle à la prudence et impose que la croissance des résultats se matérialise pour justifier ces multiples.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BOAB affiche une variation quasi nulle de -0,06%, avec une dernière séance stable à +0,00%, traduisant une phase de consolidation horizontale après une correction. Le titre a évolué dans un range de 1 830 FCFA, entre un plus haut de 10 350 FCFA et un plus bas de 8 520 FCFA, le cours actuel de 8 950 FCFA se situant dans la moitié inférieure de cette fourchette, ce qui suggère une pression vendeuse persistante mais un début de stabilisation. La moyenne (9 166 FCFA) est supérieure à la médiane (8 950 FCFA), écart qui, combiné à un skewness positif de 0,976, confirme une asymétrie à droite : le cours a passé davantage de séances sous sa moyenne, avec quelques pics haussiers isolés tirant la moyenne vers le haut. L'écart-type de 554 FCFA (CV de 6,0%) indique une dispersion modérée du cours autour de sa tendance, tandis que le kurtosis de -0,456 (mésokurtique) signale une distribution proche de la normale, sans risque majeur de pics extrêmes — un profil rassurant pour la gestion du risque. La volatilité annualisée de 27,4% place BOAB dans la catégorie des titres à volatilité modérée (15-30%), ce qui reste acceptable pour une valeur bancaire de la zone UEMOA, bien que supérieure à celle des obligations souveraines régionales.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(9 893 FCFA) et la MM50 (9 344,2 FCFA) se situent toutes deux au-dessus du cours actuel (8 950 FCFA), ce qui place le titre en position baissière à court et moyen terme. Toutefois, la MM20 étant supérieure à la MM50, la configuration reste celle d'un croisement haussier antérieur non encore invalidé, ce qui justifie la décision "Achat" fournie : le cours évolue sous ses moyennes, mais la structure de tendance n'est pas encore retournée.</w:t>
      </w:r>
    </w:p>
    <w:p>
      <w:pPr>
        <w:spacing w:after="120" w:line="276" w:lineRule="auto"/>
      </w:pPr>
      <w:r>
        <w:t>**Bandes de Bollinger** : Le cours (8 950 FCFA) se situe juste au-dessus de la borne inférieure (8 847,07 FCFA) et très loin de la borne supérieure (10 938,93 FCFA), signe que le titre évolue dans la partie basse de son canal de volatilité. Cette position proche de la borne basse suggère une potentielle zone de rebond technique, mais la décision "Neutre" indique que les bandes ne donnent pas de signal directionnel fort, la volatilité restant contenue.</w:t>
      </w:r>
    </w:p>
    <w:p>
      <w:pPr>
        <w:spacing w:after="120" w:line="276" w:lineRule="auto"/>
      </w:pPr>
      <w:r>
        <w:t>**MACD** : La valeur du MACD (-127,173) est négative et inférieure à son signal (66,486), configuration baissière classique qui traduit un momentum négatif persistant. La décision "Vente" reflète cette divergence défavorable : tant que le MACD ne recroise pas son signal à la hausse, la pression baissière domine malgré les autres signaux positifs.</w:t>
      </w:r>
    </w:p>
    <w:p>
      <w:pPr>
        <w:spacing w:after="120" w:line="276" w:lineRule="auto"/>
      </w:pPr>
      <w:r>
        <w:t>**RSI** : À 21,076, le RSI est nettement en zone de survente (seuil &lt; 30), ce qui signale que le titre a été excessivement vendu et qu'un rebond technique est statistiquement probable. La décision "Achat" est cohérente avec cette lecture contrarienne : le marché a peut-être surréagi à la baisse, offrant un point d'entrée intéressant.</w:t>
      </w:r>
    </w:p>
    <w:p>
      <w:pPr>
        <w:spacing w:after="120" w:line="276" w:lineRule="auto"/>
      </w:pPr>
      <w:r>
        <w:t>**Stochastique** : Le %K (10,738) et le %D (7,159) sont tous deux en zone de survente extrême, avec un %K légèrement supérieur au %D, ce qui pourrait annoncer un croisement haussier imminent. La décision "Achat" confirme ce signal de retournement potentiel à court terme.</w:t>
      </w:r>
    </w:p>
    <w:p>
      <w:pPr>
        <w:spacing w:after="120" w:line="276" w:lineRule="auto"/>
      </w:pPr>
      <w:r>
        <w:t>**Conclusion technique** : Les indicateurs présentent une divergence notable : le MACD reste baissier (momentum négatif), tandis que le RSI et le stochastique sont en survente extrême (signaux d'achat contrariens), et les moyennes mobiles, bien qu'au-dessus du cours, conservent une structure haussière. Cette configuration mixte — momentum baissier mais conditions de survente — suggère un possible rebond technique à court terme, mais la prudence reste de mise tant que le MACD ne confirme pas de retournement. Le titre se trouve à un point d'inflexion où les acheteurs contrariens pourraient reprendre la main.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une banque solide et rentable : le Produit Net Bancaire (équivalent du chiffre d'affaires pour une banque) s'établit à 51,274 Mds FCFA, en croissance de 10,20% sur un an, tandis que le résultat net atteint 20,107 Mds FCFA, soit une marge nette remarquable de 39,22%. Le ROE de 17,11% (supérieur au seuil d'excellence de 15%) et le ROA de 2,08% confirment une excellente rentabilité des fonds propres (117,507 Mds FCFA) et une bonne efficacité dans l'utilisation des actifs (964,663 Mds FCFA). Le coefficient d'exploitation de 49,53% — inférieur au seuil de 60% et même proche du niveau d'excellence de 50% — témoigne d'une gestion rigoureuse des charges, tandis que le coût du risque de 22,50% (provisions de 4,686 Mds FCFA rapportées aux charges financières de 20,822 Mds FCFA) reste élevé et constitue un point de vigilance sur la qualité du portefeuille de crédit. La structure bilancielle montre une forte dépendance aux dépôts clientèle (711,642 Mds FCFA, soit 74% du passif) face à des créances clientèle de 391,724 Mds FCFA, avec un ratio de transformation (crédits/dépôts) de 55%, ce qui indique une marge de manœuvre pour accroître les crédits. L'autonomie financière de 12,18% (capitaux propres/total bilan) est faible mais typique du modèle bancaire, et la solvabilité générale de 113,87% (actif/dettes) confirme la solidité du bilan.</w:t>
      </w:r>
    </w:p>
    <w:p>
      <w:pPr>
        <w:spacing w:after="120" w:line="276" w:lineRule="auto"/>
      </w:pPr>
      <w:r>
        <w:t>Les rapports narratifs récents enrichissent cette analyse : le rapport du T1 2026 (publié en 2026) fait état d'un PNB de 12,329 Mds FCFA (+11% en glissement annuel), tiré par une hausse des commissions (+18,9%) et de la marge nette bancaire (+8,5%), avec des dépôts clientèle en progression de 3,5% à 753,7 Mds FCFA. Toutefois, le résultat net ne progresse que de 1% à 4,502 Mds FCFA, traduisant une pression sur les coûts qui limite la conversion de la croissance du PNB en bénéfice net. Le rapport du T3 2025 (daté du 30 septembre 2025) montrait déjà cette dynamique paradoxale : PNB trimestriel de 37,065 Mds FCFA (+9%) et résultat net de 15,880 Mds FCFA (+13%), malgré une contraction des crédits (-10%) et des dépôts (-5%) liée à des remboursements anticipés de crédits de campagne. Le rapport du S1 2025 (30 juin 2025) confirmait cette tendance avec un PNB de 24,556 Mds FCFA (+5,91%) et un résultat net de 11,012 Mds FCFA (+0,75%), pénalisé par une explosion du coût du risque (+394,66%). Enfin, le rapport annuel 2024 (31 décembre 2024) indiquait un résultat net de 19,647 Mds FCFA (-8,7% sur un an) et un ROE de 16,7%, avec une augmentation de capital ayant porté le capital social de 20,3 à 40,6 Mds FCFA.</w:t>
      </w:r>
    </w:p>
    <w:p>
      <w:pPr>
        <w:spacing w:after="120" w:line="276" w:lineRule="auto"/>
      </w:pPr>
      <w:r>
        <w:t>Sur la base du T1 2026 (PNB +11%, résultat net +1%), on peut estimer que l'exercice 2026 devrait afficher un PNB en croissance à deux chiffres (autour de 55-57 Mds FCFA), mais une progression du résultat net plus modeste (autour de 20-21 Mds FCFA), la pression sur les coûts et le coût du risque restant les principaux freins. La recommandation fondamentale est de **conserver** le titre : la banque est solide, rentable et bien capitalisée, mais la cherté de la valorisation (PER 18,1x) et la faible conversion de la croissance en bénéfice net limitent le potentiel d'appréciation à court terme. Les risques principaux sont la contraction du bilan (crédits et dépôts en baisse), le coût du risque élevé et la dépendance à l'environnement économique béninois.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18,1x (bien au-dessus de la moyenne BRVM de 8-12x), P/B de 3,09x et EV/EBITDA de 18,8x indiquent que le marché intègre déjà une forte croissance, ce qui limite le potentiel de réévaluation et expose à un risque de correction si les résultats déçoivent. Le comportement du cours (Partie 1) est mitigé : variation quasi nulle sur 100 jours, skewness positif (0,976) et volatilité modérée (27,4%) dessinent un titre en consolidation, sans tendance directionnelle claire, ce qui est neutre pour l'investisseur. Les signaux techniques (Partie 2) sont divergents : le MACD est baissier (momentum négatif), mais le RSI (21,1) et le stochastique (10,7) sont en survente extrême, suggérant un rebond technique imminent ; cette configuration plaide pour un achat contrarien à court terme, mais la prudence reste de mise. Les fondamentaux (Partie 3) sont solides : ROE de 17,11%, coefficient d'exploitation de 49,53%, PNB en croissance de 10,2% en 2025, mais le coût du risque élevé (22,5%) et la faible conversion en résultat net (T1 2026 : +1%) tempèrent l'optimisme. Les prédictions IA (J+1 à J+10) anticipent une légère hausse vers 9 047 FCFA d'ici le 2 octobre 2026, ce qui confirme le scénario d'un rebond technique modéré, en ligne avec les signaux de survente.</w:t>
      </w:r>
    </w:p>
    <w:p>
      <w:pPr>
        <w:spacing w:after="120" w:line="276" w:lineRule="auto"/>
      </w:pPr>
      <w:r>
        <w:t>Sur la base de cette synthèse globale, la recommandation finale est **CONSERVER**. En effet, la convergence entre les signaux techniques de survente (RSI, stochastique) et les prédictions IA haussières soutient un rebond à court terme, mais la valorisation exigeante (PER 18,1x) et la pression sur la rentabilité nette (T1 2026 : +1%) limitent le potentiel de hausse durable. Le niveau de confiance est **Moyen** : les fondamentaux sont solides mais la cherté relative et le momentum baissier du MACD imposent une certaine réserve. Le risque global est **Moyen** : la volatilité modérée (27,4%) et la solidité financière de la banque réduisent le risque de perte majeure, mais l'exposition aux risques de crédit et à l'environnement économique régional reste significative. L'horizon d'investissement optimal est le **moyen terme (3-12 mois)** : le titre pourrait bénéficier d'un rebond technique à court terme, mais c'est sur le moyen terme que la croissance du PNB et l'amélioration de l'efficacité opérationnelle pourraient se matérialiser et justifier une revalorisation, à condition que la conversion en résultat net s'améliore.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356.40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6,675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+48.35%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18.31% (Élevée) — μ=6,730 FCFA, σ=1,232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β=0.4972 (Défensif) — Cov=0.000030, Var(idx)=0.000061, ρ=0.182,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6,675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7,685</w:t>
            </w:r>
          </w:p>
        </w:tc>
        <w:tc>
          <w:tcPr>
            <w:tcW w:type="dxa" w:w="1440"/>
            <w:shd w:fill="FAFAFA" w:val="clear"/>
          </w:tcPr>
          <w:p>
            <w:r>
              <w:rPr>
                <w:b/>
                <w:sz w:val="17"/>
              </w:rPr>
              <w:t>8,082</w:t>
            </w:r>
          </w:p>
        </w:tc>
        <w:tc>
          <w:tcPr>
            <w:tcW w:type="dxa" w:w="1440"/>
            <w:shd w:fill="FAFAFA" w:val="clear"/>
          </w:tcPr>
          <w:p>
            <w:r>
              <w:rPr>
                <w:sz w:val="17"/>
              </w:rPr>
              <w:t>8,479</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7,499</w:t>
            </w:r>
          </w:p>
        </w:tc>
        <w:tc>
          <w:tcPr>
            <w:tcW w:type="dxa" w:w="1440"/>
            <w:shd w:fill="FAFAFA" w:val="clear"/>
          </w:tcPr>
          <w:p>
            <w:r>
              <w:rPr>
                <w:b/>
                <w:sz w:val="17"/>
              </w:rPr>
              <w:t>8,059</w:t>
            </w:r>
          </w:p>
        </w:tc>
        <w:tc>
          <w:tcPr>
            <w:tcW w:type="dxa" w:w="1440"/>
            <w:shd w:fill="FAFAFA" w:val="clear"/>
          </w:tcPr>
          <w:p>
            <w:r>
              <w:rPr>
                <w:sz w:val="17"/>
              </w:rPr>
              <w:t>8,620</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7,358</w:t>
            </w:r>
          </w:p>
        </w:tc>
        <w:tc>
          <w:tcPr>
            <w:tcW w:type="dxa" w:w="1440"/>
            <w:shd w:fill="FAFAFA" w:val="clear"/>
          </w:tcPr>
          <w:p>
            <w:r>
              <w:rPr>
                <w:b/>
                <w:sz w:val="17"/>
              </w:rPr>
              <w:t>8,043</w:t>
            </w:r>
          </w:p>
        </w:tc>
        <w:tc>
          <w:tcPr>
            <w:tcW w:type="dxa" w:w="1440"/>
            <w:shd w:fill="FAFAFA" w:val="clear"/>
          </w:tcPr>
          <w:p>
            <w:r>
              <w:rPr>
                <w:sz w:val="17"/>
              </w:rPr>
              <w:t>8,728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7,249</w:t>
            </w:r>
          </w:p>
        </w:tc>
        <w:tc>
          <w:tcPr>
            <w:tcW w:type="dxa" w:w="1440"/>
            <w:shd w:fill="FAFAFA" w:val="clear"/>
          </w:tcPr>
          <w:p>
            <w:r>
              <w:rPr>
                <w:b/>
                <w:sz w:val="17"/>
              </w:rPr>
              <w:t>8,039</w:t>
            </w:r>
          </w:p>
        </w:tc>
        <w:tc>
          <w:tcPr>
            <w:tcW w:type="dxa" w:w="1440"/>
            <w:shd w:fill="FAFAFA" w:val="clear"/>
          </w:tcPr>
          <w:p>
            <w:r>
              <w:rPr>
                <w:sz w:val="17"/>
              </w:rPr>
              <w:t>8,830</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7,158</w:t>
            </w:r>
          </w:p>
        </w:tc>
        <w:tc>
          <w:tcPr>
            <w:tcW w:type="dxa" w:w="1440"/>
            <w:shd w:fill="FAFAFA" w:val="clear"/>
          </w:tcPr>
          <w:p>
            <w:r>
              <w:rPr>
                <w:b/>
                <w:sz w:val="17"/>
              </w:rPr>
              <w:t>8,042</w:t>
            </w:r>
          </w:p>
        </w:tc>
        <w:tc>
          <w:tcPr>
            <w:tcW w:type="dxa" w:w="1440"/>
            <w:shd w:fill="FAFAFA" w:val="clear"/>
          </w:tcPr>
          <w:p>
            <w:r>
              <w:rPr>
                <w:sz w:val="17"/>
              </w:rPr>
              <w:t>8,926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7,079</w:t>
            </w:r>
          </w:p>
        </w:tc>
        <w:tc>
          <w:tcPr>
            <w:tcW w:type="dxa" w:w="1440"/>
            <w:shd w:fill="FAFAFA" w:val="clear"/>
          </w:tcPr>
          <w:p>
            <w:r>
              <w:rPr>
                <w:b/>
                <w:sz w:val="17"/>
              </w:rPr>
              <w:t>8,048</w:t>
            </w:r>
          </w:p>
        </w:tc>
        <w:tc>
          <w:tcPr>
            <w:tcW w:type="dxa" w:w="1440"/>
            <w:shd w:fill="FAFAFA" w:val="clear"/>
          </w:tcPr>
          <w:p>
            <w:r>
              <w:rPr>
                <w:sz w:val="17"/>
              </w:rPr>
              <w:t>9,017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7,008</w:t>
            </w:r>
          </w:p>
        </w:tc>
        <w:tc>
          <w:tcPr>
            <w:tcW w:type="dxa" w:w="1440"/>
            <w:shd w:fill="FAFAFA" w:val="clear"/>
          </w:tcPr>
          <w:p>
            <w:r>
              <w:rPr>
                <w:b/>
                <w:sz w:val="17"/>
              </w:rPr>
              <w:t>8,055</w:t>
            </w:r>
          </w:p>
        </w:tc>
        <w:tc>
          <w:tcPr>
            <w:tcW w:type="dxa" w:w="1440"/>
            <w:shd w:fill="FAFAFA" w:val="clear"/>
          </w:tcPr>
          <w:p>
            <w:r>
              <w:rPr>
                <w:sz w:val="17"/>
              </w:rPr>
              <w:t>9,103</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6,942</w:t>
            </w:r>
          </w:p>
        </w:tc>
        <w:tc>
          <w:tcPr>
            <w:tcW w:type="dxa" w:w="1440"/>
            <w:shd w:fill="FAFAFA" w:val="clear"/>
          </w:tcPr>
          <w:p>
            <w:r>
              <w:rPr>
                <w:b/>
                <w:sz w:val="17"/>
              </w:rPr>
              <w:t>8,063</w:t>
            </w:r>
          </w:p>
        </w:tc>
        <w:tc>
          <w:tcPr>
            <w:tcW w:type="dxa" w:w="1440"/>
            <w:shd w:fill="FAFAFA" w:val="clear"/>
          </w:tcPr>
          <w:p>
            <w:r>
              <w:rPr>
                <w:sz w:val="17"/>
              </w:rPr>
              <w:t>9,184</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6,880</w:t>
            </w:r>
          </w:p>
        </w:tc>
        <w:tc>
          <w:tcPr>
            <w:tcW w:type="dxa" w:w="1440"/>
            <w:shd w:fill="FAFAFA" w:val="clear"/>
          </w:tcPr>
          <w:p>
            <w:r>
              <w:rPr>
                <w:b/>
                <w:sz w:val="17"/>
              </w:rPr>
              <w:t>8,070</w:t>
            </w:r>
          </w:p>
        </w:tc>
        <w:tc>
          <w:tcPr>
            <w:tcW w:type="dxa" w:w="1440"/>
            <w:shd w:fill="FAFAFA" w:val="clear"/>
          </w:tcPr>
          <w:p>
            <w:r>
              <w:rPr>
                <w:sz w:val="17"/>
              </w:rPr>
              <w:t>9,260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6,821</w:t>
            </w:r>
          </w:p>
        </w:tc>
        <w:tc>
          <w:tcPr>
            <w:tcW w:type="dxa" w:w="1440"/>
            <w:shd w:fill="FAFAFA" w:val="clear"/>
          </w:tcPr>
          <w:p>
            <w:r>
              <w:rPr>
                <w:b/>
                <w:sz w:val="17"/>
              </w:rPr>
              <w:t>8,077</w:t>
            </w:r>
          </w:p>
        </w:tc>
        <w:tc>
          <w:tcPr>
            <w:tcW w:type="dxa" w:w="1440"/>
            <w:shd w:fill="FAFAFA" w:val="clear"/>
          </w:tcPr>
          <w:p>
            <w:r>
              <w:rPr>
                <w:sz w:val="17"/>
              </w:rPr>
              <w:t>9,332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356,40 milliards FCFA, BOABF s'impose comme l'une des valeurs bancaires de référence de la cote BRVM, portée par un BPA de 438 FCFA par action qui matérialise la contribution bénéficiaire de chaque titre détenu. Le PER de 18,5x traduit une valorisation nettement supérieure à la moyenne du marché BRVM (généralement située entre 8 et 12x), ce qui indique que les investisseurs acceptent de payer une prime significative pour les bénéfices de la banque — prime qui se justifie en partie par la solidité historique de l'établissement mais qui limite le potentiel d'appréciation à court terme. Le P/B de 2,82x confirme cette lecture : le marché valorise BOABF à près de trois fois sa valeur comptable, une prime de croissance cohérente avec un ROE de 15,22% (supérieur au seuil d'excellence de 15%), bien que cette prime reste exigeante. Enfin, l'EV/EBITDA de 8,2x, situé dans la fourchette raisonnable de 5-10x, suggère que la valeur totale de l'entreprise reste proportionnée à sa capacité opérationnelle, offrant un contrepoids modéré au PER élevé.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+48,35%, avec une dernière séance en hausse de +1,89%, portant le cours actuel à 8 100 FCFA pour une capitalisation de 356,40 milliards FCFA. Le range de trading est particulièrement large, oscillant entre un plus bas de 5 300 FCFA et un plus haut de 9 090 FCFA, soit un écart de près de 72% entre les deux extrêmes — signe d'une forte volatilité directionnelle. La tendance générale est clairement haussière sur la période, le cours actuel se situant bien au-dessus de la moyenne (6 730 FCFA) et de la médiane (6 862 FCFA), ce qui confirme la dynamique positive. L'écart modéré entre moyenne et médiane (132 FCFA) indique une distribution globalement équilibrée, cohérente avec un skewness de 0,498 interprété comme symétrique. L'écart-type de 1 239 FCFA, associé à un coefficient de variation de 18,4%, révèle une dispersion modérée du cours autour de sa tendance, tandis que le kurtosis de -1,067 (distribution platykurtique) signale une faible concentration des rendements et un risque de pics extrêmes limité — configuration plutôt rassurante pour un investisseur. Avec une volatilité annualisée de 35,3%, BOABF se classe dans la catégorie des titres à volatilité élevée (&gt;30%),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8 462,25 FCFA et la MM50 à 7 822,80 FCFA, toutes deux inférieures au cours actuel de 8 100 FCFA pour la MM20 mais supérieures pour la MM50 — le cours évolue donc entre ses deux moyennes, ce qui traduit une phase de consolidation après la forte hausse. La décision technique affichée est « Achat », soutenue par la configuration haussière de fond (MM20 &gt; MM50), bien que le repli sous la MM20 appelle à la prudence.</w:t>
      </w:r>
    </w:p>
    <w:p>
      <w:pPr>
        <w:spacing w:after="120" w:line="276" w:lineRule="auto"/>
      </w:pPr>
      <w:r>
        <w:t>**Bandes de Bollinger** : La borne supérieure se situe à 9 609,35 FCFA et la borne inférieure à 7 315,15 FCFA, encadrant un cours actuel de 8 100 FCFA qui évolue dans la moitié basse du canal. Cette position médiane-basse, combinée à un écart-type élevé (1 239 FCFA), indique une volatilité toujours soutenue mais un potentiel de rebond vers la borne haute. La décision « Neutre » reflète l'absence de signal directionnel fort à ce stade.</w:t>
      </w:r>
    </w:p>
    <w:p>
      <w:pPr>
        <w:spacing w:after="120" w:line="276" w:lineRule="auto"/>
      </w:pPr>
      <w:r>
        <w:t>**MACD** : Le MACD affiche une valeur de -35,298 contre un signal à 112,232, soit une divergence baissière marquée (MACD &lt; Signal) qui traduit un essoufflement du momentum haussier. Cette configuration, la plus préoccupante des indicateurs techniques, justifie la décision « Vente » et suggère que la dynamique positive des 100 derniers jours pourrait marquer une pause.</w:t>
      </w:r>
    </w:p>
    <w:p>
      <w:pPr>
        <w:spacing w:after="120" w:line="276" w:lineRule="auto"/>
      </w:pPr>
      <w:r>
        <w:t>**RSI** : À 33,264, le RSI se situe dans la zone neutre basse (30-70), proche du seuil de survente (30) sans l'atteindre. Cette valeur indique que le titre n'est ni suracheté ni survendu, mais qu'il s'approche d'une zone où un rebond technique devient statistiquement probable. La décision « Neutre » est cohérente avec cette position ambiguë.</w:t>
      </w:r>
    </w:p>
    <w:p>
      <w:pPr>
        <w:spacing w:after="120" w:line="276" w:lineRule="auto"/>
      </w:pPr>
      <w:r>
        <w:t>**Stochastique** : Le %K s'établit à 43,887 et le %D à 26,123, avec un %K nettement supérieur au %D — configuration haussière naissante qui pourrait annoncer un croisement positif imminent. Toutefois, les deux lignes restent en zone basse, ce qui tempère la portée du signal et justifie la décision « Neutre ».</w:t>
      </w:r>
    </w:p>
    <w:p>
      <w:pPr>
        <w:spacing w:after="120" w:line="276" w:lineRule="auto"/>
      </w:pPr>
      <w:r>
        <w:t>**Conclusion technique** : Les indicateurs techniques présentent un tableau mitigé, avec une divergence notable entre les signaux de fond (MM20 &gt; MM50, décision Achat) et les signaux de momentum (MACD baissier, décision Vente). Le RSI et le stochastique en zone basse suggèrent un potentiel de rebond à court terme, mais l'absence de confirmation par le MACD invite à la prudence. La convergence partielle des indicateurs plaide pour une phase de consolidation avant toute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équivalent du chiffre d'affaires pour une banque) de 57 820 millions FCFA, quasi stable par rapport à 2024 (+0,6%), pour un résultat net de 19 252 millions FCFA — en recul de 14,1% sur un an. Cette dégradation s'explique principalement par un coût du risque quasiment doublé (8 355 millions FCFA en 2025 contre 4 303 millions en 2024), reflétant une détérioration de la qualité du portefeuille de crédits. Les ratios de rentabilité restent néanmoins solides : le ROE s'établit à 15,22% (au-dessus du seuil d'excellence de 15%) et le ROA à 1,68%, tandis que le coefficient d'exploitation de 47,19% confirme l'efficacité opérationnelle de la banque (largement sous le seuil de 60%). Le coût du risque rapporté aux charges financières s'élève à 33,92%, un niveau élevé qui constitue le principal point de vigilance. La structure financière révèle une autonomie financière faible (11,01% de capitaux propres sur total bilan) et un ratio d'endettement de 96,61%, caractéristiques normales pour une banque mais qui limitent la marge de manœuvre en cas de choc. Le ratio de transformation dépôts/crédits s'établit à 54% (474 064 M FCFA de créances clientèle pour 877 822 M FCFA de dépôts), traduisant une surliquidité relative et un potentiel de développement du crédit inexploité.</w:t>
      </w:r>
    </w:p>
    <w:p>
      <w:pPr>
        <w:spacing w:after="120" w:line="276" w:lineRule="auto"/>
      </w:pPr>
      <w:r>
        <w:t>Les rapports trimestriels les plus récents (T1 2026, publié le 31/03/2026) révèlent une contraction du PNB de -10,75% à 12 694 millions FCFA et un résultat net en recul de -12,99% à 4 520 millions FCFA, confirmant la tendance baissière de l'activité. Toutefois, le rapport du S1 2026 (états financiers au 30/06/2026, analysé le 05/09/2026) montre un rebond spectaculaire du résultat net à 10 770 millions FCFA (+31,0% vs S1 2025), porté par une amélioration de 65,2% du coût du risque (-2 396 M FCFA contre -6 876 M FCFA un an plus tôt). On estime donc que l'exercice 2026 pourrait afficher un résultat net annuel supérieur à celui de 2025 (potentiellement 21-22 milliards FCFA), à condition que la normalisation du coût du risque se poursuive — mais cette amélioration reste fragile car elle dépend d'une base de comparaison favorable et non d'une reprise de la dynamique commerciale, le PNB demeurant sous pression (-5,2% au S1 2026). La recommandation fondamentale est de **CONSERVER** : la solidité des fondamentaux (ROE &gt;15%, coefficient d'exploitation &lt;50%) et la normalisation du risque constituent des atouts, mais la stagnation du PNB et la faible croissance des crédits (+1,3% au S1 2026)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analysées révèle un profil d'investissement contrasté. Sur le plan de la **valorisation**, le PER de 18,5x et le P/B de 2,82x indiquent une surévaluation relative par rapport aux standards du marché BRVM (PER moyen 8-12x), bien que l'EV/EBITDA de 8,2x reste raisonnable — le titre intègre donc déjà une bonne partie de ses qualités fondamentales. Le **comportement du cours** sur 100 jours est nettement haussier (+48,35%), avec une volatilité élevée (35,3%) et une distribution platykurtique (kurtosis -1,067) qui limite le risque de pics extrêmes, mais le skewness symétrique (0,498) n'offre pas de biais directionnel clair. Les **signaux techniques** sont divergents : les moyennes mobiles plaident pour l'achat (MM20 &gt; MM50), mais le MACD baissier (-35,298 vs signal 112,232) et le RSI proche de la survente (33,264) suggèrent une consolidation imminente, sans convergence nette. Les **fondamentaux** demeurent solides (ROE 15,22%, coefficient d'exploitation 47,19%) mais sont pénalisés par la stagnation du PNB et un coût du risque encore élevé, même si les rapports S1 2026 montrent une nette amélioration du résultat net (+31,0%) qui pourrait se confirmer sur l'ensemble de l'exercice 2026. Les **prédictions IA** anticipent une légère érosion du cours sur 10 jours (8 082 → 8 042 FCFA, soit -0,5%), confirmant la thèse d'une pause dans la dynamique haussière sans pour autant signaler de retournement baissier majeur.</w:t>
      </w:r>
    </w:p>
    <w:p>
      <w:pPr>
        <w:spacing w:after="120" w:line="276" w:lineRule="auto"/>
      </w:pPr>
      <w:r>
        <w:t>Sur la base de cette synthèse globale, la recommandation finale est **CONSERVER**. Cette décision reflète la convergence entre une valorisation exigeante (limitant le potentiel de hausse), des signaux techniques mitigés (consolidation probable) et des fondamentaux solides mais en transition (amélioration du risque à confirmer). Le niveau de confiance est **Moyen**, car si les fondamentaux et la prédiction IA convergent vers une stabilisation, l'absence de signal technique fort et la cherté relative du titre introduisent une incertitude. Le niveau de risque global est **Moyen à Élevé**, compte tenu de la volatilité historique du titre (35,3%) et de la sensibilité de la banque au contexte sécuritaire et économique burkinabè. L'horizon d'investissement optimal est le **moyen terme (3-12 mois)**, le temps que la normalisation du coût du risque se confirme et que la dynamique commerciale (crédits, PNB) se redresse — des catalyseurs nécessaires pour justifier une revalorisation au-delà des niveaux actuels.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10,916 titres</w:t>
            </w:r>
          </w:p>
        </w:tc>
        <w:tc>
          <w:tcPr>
            <w:tcW w:type="dxa" w:w="2268"/>
            <w:shd w:fill="FFF2CC" w:val="clear"/>
          </w:tcPr>
          <w:p>
            <w:r>
              <w:rPr>
                <w:b/>
                <w:color w:val="503200"/>
                <w:sz w:val="16"/>
              </w:rPr>
              <w:t xml:space="preserve">Cours actuel : </w:t>
            </w:r>
            <w:r>
              <w:rPr>
                <w:color w:val="000000"/>
                <w:sz w:val="17"/>
              </w:rPr>
              <w:t>11,595 FCFA</w:t>
            </w:r>
          </w:p>
          <w:p>
            <w:r>
              <w:rPr>
                <w:b/>
                <w:color w:val="503200"/>
                <w:sz w:val="16"/>
              </w:rPr>
              <w:t xml:space="preserve">Var. 100 jours : </w:t>
            </w:r>
            <w:r>
              <w:rPr>
                <w:b/>
                <w:color w:val="007800"/>
                <w:sz w:val="17"/>
              </w:rPr>
              <w:t>+31.09%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15.23% (Élevée) — μ=10,420 FCFA, σ=1,587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β=0.5650 (Défensif) — Cov=0.000034, Var(idx)=0.000061, ρ=0.264,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11,104</w:t>
            </w:r>
          </w:p>
        </w:tc>
        <w:tc>
          <w:tcPr>
            <w:tcW w:type="dxa" w:w="1440"/>
            <w:shd w:fill="FAFAFA" w:val="clear"/>
          </w:tcPr>
          <w:p>
            <w:r>
              <w:rPr>
                <w:b/>
                <w:sz w:val="17"/>
              </w:rPr>
              <w:t>11,488</w:t>
            </w:r>
          </w:p>
        </w:tc>
        <w:tc>
          <w:tcPr>
            <w:tcW w:type="dxa" w:w="1440"/>
            <w:shd w:fill="FAFAFA" w:val="clear"/>
          </w:tcPr>
          <w:p>
            <w:r>
              <w:rPr>
                <w:sz w:val="17"/>
              </w:rPr>
              <w:t>11,871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10,930</w:t>
            </w:r>
          </w:p>
        </w:tc>
        <w:tc>
          <w:tcPr>
            <w:tcW w:type="dxa" w:w="1440"/>
            <w:shd w:fill="FAFAFA" w:val="clear"/>
          </w:tcPr>
          <w:p>
            <w:r>
              <w:rPr>
                <w:b/>
                <w:sz w:val="17"/>
              </w:rPr>
              <w:t>11,472</w:t>
            </w:r>
          </w:p>
        </w:tc>
        <w:tc>
          <w:tcPr>
            <w:tcW w:type="dxa" w:w="1440"/>
            <w:shd w:fill="FAFAFA" w:val="clear"/>
          </w:tcPr>
          <w:p>
            <w:r>
              <w:rPr>
                <w:sz w:val="17"/>
              </w:rPr>
              <w:t>12,014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10,759</w:t>
            </w:r>
          </w:p>
        </w:tc>
        <w:tc>
          <w:tcPr>
            <w:tcW w:type="dxa" w:w="1440"/>
            <w:shd w:fill="FAFAFA" w:val="clear"/>
          </w:tcPr>
          <w:p>
            <w:r>
              <w:rPr>
                <w:b/>
                <w:sz w:val="17"/>
              </w:rPr>
              <w:t>11,420</w:t>
            </w:r>
          </w:p>
        </w:tc>
        <w:tc>
          <w:tcPr>
            <w:tcW w:type="dxa" w:w="1440"/>
            <w:shd w:fill="FAFAFA" w:val="clear"/>
          </w:tcPr>
          <w:p>
            <w:r>
              <w:rPr>
                <w:sz w:val="17"/>
              </w:rPr>
              <w:t>12,081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10,606</w:t>
            </w:r>
          </w:p>
        </w:tc>
        <w:tc>
          <w:tcPr>
            <w:tcW w:type="dxa" w:w="1440"/>
            <w:shd w:fill="FAFAFA" w:val="clear"/>
          </w:tcPr>
          <w:p>
            <w:r>
              <w:rPr>
                <w:b/>
                <w:sz w:val="17"/>
              </w:rPr>
              <w:t>11,366</w:t>
            </w:r>
          </w:p>
        </w:tc>
        <w:tc>
          <w:tcPr>
            <w:tcW w:type="dxa" w:w="1440"/>
            <w:shd w:fill="FAFAFA" w:val="clear"/>
          </w:tcPr>
          <w:p>
            <w:r>
              <w:rPr>
                <w:sz w:val="17"/>
              </w:rPr>
              <w:t>12,125</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10,468</w:t>
            </w:r>
          </w:p>
        </w:tc>
        <w:tc>
          <w:tcPr>
            <w:tcW w:type="dxa" w:w="1440"/>
            <w:shd w:fill="FFDCE0" w:val="clear"/>
          </w:tcPr>
          <w:p>
            <w:r>
              <w:rPr>
                <w:b/>
                <w:sz w:val="17"/>
              </w:rPr>
              <w:t>11,313</w:t>
            </w:r>
          </w:p>
        </w:tc>
        <w:tc>
          <w:tcPr>
            <w:tcW w:type="dxa" w:w="1440"/>
            <w:shd w:fill="FFDCE0" w:val="clear"/>
          </w:tcPr>
          <w:p>
            <w:r>
              <w:rPr>
                <w:sz w:val="17"/>
              </w:rPr>
              <w:t>12,158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10,341</w:t>
            </w:r>
          </w:p>
        </w:tc>
        <w:tc>
          <w:tcPr>
            <w:tcW w:type="dxa" w:w="1440"/>
            <w:shd w:fill="FFDCE0" w:val="clear"/>
          </w:tcPr>
          <w:p>
            <w:r>
              <w:rPr>
                <w:b/>
                <w:sz w:val="17"/>
              </w:rPr>
              <w:t>11,262</w:t>
            </w:r>
          </w:p>
        </w:tc>
        <w:tc>
          <w:tcPr>
            <w:tcW w:type="dxa" w:w="1440"/>
            <w:shd w:fill="FFDCE0" w:val="clear"/>
          </w:tcPr>
          <w:p>
            <w:r>
              <w:rPr>
                <w:sz w:val="17"/>
              </w:rPr>
              <w:t>12,184</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10,224</w:t>
            </w:r>
          </w:p>
        </w:tc>
        <w:tc>
          <w:tcPr>
            <w:tcW w:type="dxa" w:w="1440"/>
            <w:shd w:fill="FFDCE0" w:val="clear"/>
          </w:tcPr>
          <w:p>
            <w:r>
              <w:rPr>
                <w:b/>
                <w:sz w:val="17"/>
              </w:rPr>
              <w:t>11,215</w:t>
            </w:r>
          </w:p>
        </w:tc>
        <w:tc>
          <w:tcPr>
            <w:tcW w:type="dxa" w:w="1440"/>
            <w:shd w:fill="FFDCE0" w:val="clear"/>
          </w:tcPr>
          <w:p>
            <w:r>
              <w:rPr>
                <w:sz w:val="17"/>
              </w:rPr>
              <w:t>12,206</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10,114</w:t>
            </w:r>
          </w:p>
        </w:tc>
        <w:tc>
          <w:tcPr>
            <w:tcW w:type="dxa" w:w="1440"/>
            <w:shd w:fill="FFDCE0" w:val="clear"/>
          </w:tcPr>
          <w:p>
            <w:r>
              <w:rPr>
                <w:b/>
                <w:sz w:val="17"/>
              </w:rPr>
              <w:t>11,170</w:t>
            </w:r>
          </w:p>
        </w:tc>
        <w:tc>
          <w:tcPr>
            <w:tcW w:type="dxa" w:w="1440"/>
            <w:shd w:fill="FFDCE0" w:val="clear"/>
          </w:tcPr>
          <w:p>
            <w:r>
              <w:rPr>
                <w:sz w:val="17"/>
              </w:rPr>
              <w:t>12,225</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10,012</w:t>
            </w:r>
          </w:p>
        </w:tc>
        <w:tc>
          <w:tcPr>
            <w:tcW w:type="dxa" w:w="1440"/>
            <w:shd w:fill="FFDCE0" w:val="clear"/>
          </w:tcPr>
          <w:p>
            <w:r>
              <w:rPr>
                <w:b/>
                <w:sz w:val="17"/>
              </w:rPr>
              <w:t>11,127</w:t>
            </w:r>
          </w:p>
        </w:tc>
        <w:tc>
          <w:tcPr>
            <w:tcW w:type="dxa" w:w="1440"/>
            <w:shd w:fill="FFDCE0" w:val="clear"/>
          </w:tcPr>
          <w:p>
            <w:r>
              <w:rPr>
                <w:sz w:val="17"/>
              </w:rPr>
              <w:t>12,242</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9,916</w:t>
            </w:r>
          </w:p>
        </w:tc>
        <w:tc>
          <w:tcPr>
            <w:tcW w:type="dxa" w:w="1440"/>
            <w:shd w:fill="FFDCE0" w:val="clear"/>
          </w:tcPr>
          <w:p>
            <w:r>
              <w:rPr>
                <w:b/>
                <w:sz w:val="17"/>
              </w:rPr>
              <w:t>11,087</w:t>
            </w:r>
          </w:p>
        </w:tc>
        <w:tc>
          <w:tcPr>
            <w:tcW w:type="dxa" w:w="1440"/>
            <w:shd w:fill="FFDCE0" w:val="clear"/>
          </w:tcPr>
          <w:p>
            <w:r>
              <w:rPr>
                <w:sz w:val="17"/>
              </w:rPr>
              <w:t>12,258</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463,80 milliards FCFA, BOAC s'impose comme l'une des valeurs bancaires de référence de la cote BRVM, reflétant la solidité d'un établissement dont le total bilan atteint 1 103,3 milliards FCFA. Le BPA de 888 FCFA par action signifie que chaque titre détenu génère près de neuf cents francs de bénéfice net, un niveau de rentabilité unitaire élevé pour le secteur. Le PER de 13,1x se situe légèrement au-dessus de la moyenne BRVM (8-12x), traduisant une prime de qualité modérée mais non excessive au regard de la régularité des résultats. Le P/B de 3,64x indique que le marché valorise l'action à plus de trois fois et demie sa valeur comptable, une prime de croissance justifiée par un ROE exceptionnel de 27,9%. En revanche, l'EV/EBITDA de 26,6x apparaît très exigeant (&gt;15x), signalant que la valeur d'entreprise intègre déjà une bonne part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remarquable de +31,09%, avec une dernière séance en hausse de +1,09%, confirmant une dynamique haussière soutenue. Le cours actuel de 11 595 FCFA se situe dans la partie médiane du range de trading, bien en dessous du plus haut de 13 450 FCFA mais nettement au-dessus du plus bas de 8 585 FCFA, ce qui traduit une consolidation après un rallye marqué. La tendance générale reste donc haussière, mais le repli depuis les sommets suggère une prise de bénéfices et une phase de digestion. Les statistiques descriptives révèlent une moyenne de 10 420 FCFA supérieure à la médiane de 9 732 FCFA, signe d'une distribution légèrement tirée vers le haut par les pics récents ; le mode à 11 600 FCFA coïncide presque parfaitement avec le cours actuel, indiquant une zone d'équilibre. L'écart-type de 1 595 FCFA (CV = 15,3%) traduit une dispersion modérée du cours, tandis que le kurtosis de -1,404 (distribution platykurtique) indique une faible concentration des variations et un risque de pics limité. Le skewness de 0,440, qualifié de symétrique, confirme l'absence de biais directionnel marqué. Enfin, la volatilité annualisée de 27,9% positionne le titre dans la catégorie des valeurs à volatilité modérée (15-30%), ce qui est cohérent avec un profil bancaire stable mais exposé aux cycles économiques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12 099,75 FCFA et la MM50 à 11 812,5 FCFA, toutes deux supérieures au cours actuel de 11 595 FCFA. Cette configuration — prix sous les moyennes — traduit une pression baissière de court terme, mais la décision technique affichée est « Achat », probablement en anticipation d'un rebond vers ces niveaux de référence. Le croisement potentiel de la MM20 au-dessus de la MM50 reste un signal haussier de moyen terme à surveiller.</w:t>
      </w:r>
    </w:p>
    <w:p>
      <w:pPr>
        <w:spacing w:after="120" w:line="276" w:lineRule="auto"/>
      </w:pPr>
      <w:r>
        <w:t>**Bandes de Bollinger** : Le cours (11 595 FCFA) évolue dans la moitié inférieure du canal, entre la borne inférieure (11 115,28 FCFA) et la borne supérieure (13 084,22 FCFA). La décision « Neutre » reflète l'absence de signal extrême : le titre n'est ni en surachat (proche borne haute) ni en survente (proche borne basse). L'amplitude des bandes suggère une volatilité encore présente, mais le positionnement médian du cours invite à la patience.</w:t>
      </w:r>
    </w:p>
    <w:p>
      <w:pPr>
        <w:spacing w:after="120" w:line="276" w:lineRule="auto"/>
      </w:pPr>
      <w:r>
        <w:t>**MACD** : La valeur du MACD (-175,725) est nettement inférieure à son signal (-20,721), générant une décision « Vente ». Cette divergence négative indique un momentum baissier persistant à court terme, bien que l'écart entre les deux lignes commence peut-être à se stabiliser. Ce signal contredit partiellement la tendance haussière de fond et appelle à la prudence sur les entrées à court terme.</w:t>
      </w:r>
    </w:p>
    <w:p>
      <w:pPr>
        <w:spacing w:after="120" w:line="276" w:lineRule="auto"/>
      </w:pPr>
      <w:r>
        <w:t>**RSI** : À 32,0, le RSI se situe juste au-dessus du seuil de survente (30), avec une décision « Neutre ». Cela signifie que le titre n'est pas encore techniquement survendu, mais qu'il s'approche d'une zone où un rebond technique devient statistiquement probable. La prudence reste de mise tant que le RSI ne franchit pas la barre des 50.</w:t>
      </w:r>
    </w:p>
    <w:p>
      <w:pPr>
        <w:spacing w:after="120" w:line="276" w:lineRule="auto"/>
      </w:pPr>
      <w:r>
        <w:t>**Stochastique** : Le %K (46,765) est supérieur au %D (28,725), avec une décision « Neutre ». Ce croisement haussier naissant du %K au-dessus du %D suggère une possible reprise du momentum, mais la faiblesse des deux indicateurs (sous 50) tempère l'optimisme. Un franchissement confirmé de la zone 50 serait nécessaire pour valider un signal d'achat.</w:t>
      </w:r>
    </w:p>
    <w:p>
      <w:pPr>
        <w:spacing w:after="120" w:line="276" w:lineRule="auto"/>
      </w:pPr>
      <w:r>
        <w:t>**Conclusion technique** : Les indicateurs techniques présentent un tableau mitigé. Les moyennes mobiles et le MACD plaident pour une correction à court terme, tandis que le RSI proche de la survente et le croisement naissant du stochastique suggèrent un potentiel de rebond. La décision globale est « Neutre à Achat » avec une préférence pour une entrée progressive sur repli vers 11 100-11 200 FCFA, en surveillant la confirmation d'un retournement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(PNB) de 73 545 millions FCFA, en légère hausse de +1,13% sur un an, et un résultat net de 35 540 millions FCFA, en progression de +10,9% par rapport aux 32 045 millions de 2024. Le ROE atteint 27,91%, un niveau exceptionnel (&gt;15% = excellent), tandis que le ROA de 3,22% confirme une bonne rentabilité des actifs. Le coefficient d'exploitation de 36,70% est excellent (&lt;60% = banque efficace), témoignant d'une maîtrise remarquable des charges. Le coût du risque, mesuré à 6,67% des charges financières, reste modéré mais mérite une surveillance, d'autant que les créances en souffrance ont bondi de +52,1% sur l'année, avec un taux de sinistralité de 8,59% et un taux de provisionnement de 65,76%. La structure financière est solide : les dépôts clientèle (850 548 millions FCFA) couvrent largement les créances clientèle (430 433 millions FCFA), et la liquidité générale (3 684%) est très confortable. L'autonomie financière de 11,54% reste faible, mais c'est une caractéristique structurelle du modèle bancaire.</w:t>
      </w:r>
    </w:p>
    <w:p>
      <w:pPr>
        <w:spacing w:after="120" w:line="276" w:lineRule="auto"/>
      </w:pPr>
      <w:r>
        <w:t>**Estimations basées sur les rapports trimestriels** : Le rapport du T1 2026 (publié le 31 mars 2026) indique un PNB de 18 960 millions FCFA (+3,09% sur un an) et un résultat net de 10 801 millions FCFA (+0,91%), mais surtout une explosion du coût net du risque (+314,75%, à -652 millions FCFA). Le rapport du T3 2025 (30 septembre 2025) montrait un PNB cumulé de 53 494 millions FCFA (+0,23%) et un résultat net de 26 632 millions FCFA (+1,29%), avec des dépôts en hausse de +10,28% et des crédits en recul de -11,97%. Le rapport annuel 2025 (publié le 31 décembre 2025) confirme la solidité avec une recommandation « ACHAT » des analystes, soulignant la croissance rentable, l'amélioration du coût du risque et un dividende en hausse (684 FCFA/action au titre de 2024, soit un rendement d'environ 5,9% au cours actuel). **On estime** que l'exercice 2026 devrait maintenir une croissance modérée du PNB (+2 à +4%) et un résultat net stable à légèrement croissant, sous réserve que la dégradation du coût du risque au T1 2026 ne se confirme pas sur les trimestres suivants. La recommandation fondamentale est **CONSERVER à ACHAT**, avec un biais positif tant que le coefficient d'exploitation reste sous 40% et que la qualité du portefeuille de crédit ne se détériore pas davantage.</w:t>
      </w:r>
    </w:p>
    <w:p>
      <w:pPr>
        <w:spacing w:after="120" w:line="276" w:lineRule="auto"/>
      </w:pPr>
      <w:r>
        <w:t>---</w:t>
      </w:r>
    </w:p>
    <w:p>
      <w:pPr>
        <w:spacing w:after="120" w:line="276" w:lineRule="auto"/>
      </w:pPr>
      <w:r>
        <w:t>## PARTIE 4 : CONCLUSION D'INVESTISSEMENT</w:t>
      </w:r>
    </w:p>
    <w:p>
      <w:pPr>
        <w:spacing w:after="120" w:line="276" w:lineRule="auto"/>
      </w:pPr>
      <w:r>
        <w:t>La valorisation de BOAC présente un profil contrasté : le PER de 13,1x et le P/B de 3,64x intègrent une prime de qualité justifiée par un ROE de 27,9%, mais l'EV/EBITDA de 26,6x suggère une surévaluation relative à la capacité opérationnelle. Le comportement du cours sur 100 jours (+31,09%) est haussier, avec une volatilité modérée (27,9%) et des statistiques rassurantes (kurtosis platykurtique, skewness symétrique), bien que le repli depuis le plus haut de 13 450 FCFA indique une consolidation en cours. Les signaux techniques sont divergents : les moyennes mobiles et le MACD plaident pour une correction, tandis que le RSI proche de la survente et le stochastique naissant offrent un potentiel de rebond — une configuration qui appelle à la patience plutôt qu'à l'action immédiate. Les fondamentaux restent solides (PNB 73,5 Mds FCFA, RN 35,5 Mds FCFA, ROE 27,9%, coefficient d'exploitation 36,7%), mais la hausse des créances en souffrance (+52,1%) et l'explosion du coût du risque au T1 2026 (+314,75%) constituent des signaux d'alerte à surveiller. Les prédictions IA pour les 10 prochains jours (11 488 → 11 313 FCFA) anticipent une légère poursuite de la correction, ce qui contredit la tendance haussière de fond mais confirme la phase de consolidation technique. **Recommandation finale : CONSERVER**, avec un biais **ACHAT** sur repli vers 11 100-11 200 FCFA. La convergence entre valorisation raisonnable, fondamentaux solides et correction technique en cours justifie une position d'attente active. Le niveau de confiance est **Moyen** (incertitude sur le coût du risque), le risque global est **Moyen** (volatilité modérée, exposition sectorielle), et l'horizon optimal est le **moyen terme (3-12 mois)** pour capturer la reprise post-consolidation et le dividende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172.66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6,469 titres</w:t>
            </w:r>
          </w:p>
        </w:tc>
        <w:tc>
          <w:tcPr>
            <w:tcW w:type="dxa" w:w="2268"/>
            <w:shd w:fill="FFF2CC" w:val="clear"/>
          </w:tcPr>
          <w:p>
            <w:r>
              <w:rPr>
                <w:b/>
                <w:color w:val="503200"/>
                <w:sz w:val="16"/>
              </w:rPr>
              <w:t xml:space="preserve">Cours actuel : </w:t>
            </w:r>
            <w:r>
              <w:rPr>
                <w:color w:val="000000"/>
                <w:sz w:val="17"/>
              </w:rPr>
              <w:t>6,290 FCFA</w:t>
            </w:r>
          </w:p>
          <w:p>
            <w:r>
              <w:rPr>
                <w:b/>
                <w:color w:val="503200"/>
                <w:sz w:val="16"/>
              </w:rPr>
              <w:t xml:space="preserve">Var. 100 jours : </w:t>
            </w:r>
            <w:r>
              <w:rPr>
                <w:b/>
                <w:color w:val="007800"/>
                <w:sz w:val="17"/>
              </w:rPr>
              <w:t>+33.83%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14.30% (Moyenne) — μ=5,531 FCFA, σ=791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β=1.1653 (Neutre (suit le marché)) — Cov=0.000071, Var(idx)=0.000061, ρ=0.358,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6,469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6,111</w:t>
            </w:r>
          </w:p>
        </w:tc>
        <w:tc>
          <w:tcPr>
            <w:tcW w:type="dxa" w:w="1440"/>
            <w:shd w:fill="C6EFCE" w:val="clear"/>
          </w:tcPr>
          <w:p>
            <w:r>
              <w:rPr>
                <w:b/>
                <w:sz w:val="17"/>
              </w:rPr>
              <w:t>6,475</w:t>
            </w:r>
          </w:p>
        </w:tc>
        <w:tc>
          <w:tcPr>
            <w:tcW w:type="dxa" w:w="1440"/>
            <w:shd w:fill="C6EFCE" w:val="clear"/>
          </w:tcPr>
          <w:p>
            <w:r>
              <w:rPr>
                <w:sz w:val="17"/>
              </w:rPr>
              <w:t>6,839</w:t>
            </w:r>
          </w:p>
        </w:tc>
        <w:tc>
          <w:tcPr>
            <w:tcW w:type="dxa" w:w="1440"/>
            <w:shd w:fill="C6EFCE" w:val="clear"/>
          </w:tcPr>
          <w:p>
            <w:r>
              <w:rPr>
                <w:b/>
                <w:color w:val="008000"/>
                <w:sz w:val="17"/>
              </w:rPr>
              <w:t>+2.9%</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6,018</w:t>
            </w:r>
          </w:p>
        </w:tc>
        <w:tc>
          <w:tcPr>
            <w:tcW w:type="dxa" w:w="1440"/>
            <w:shd w:fill="C6EFCE" w:val="clear"/>
          </w:tcPr>
          <w:p>
            <w:r>
              <w:rPr>
                <w:b/>
                <w:sz w:val="17"/>
              </w:rPr>
              <w:t>6,538</w:t>
            </w:r>
          </w:p>
        </w:tc>
        <w:tc>
          <w:tcPr>
            <w:tcW w:type="dxa" w:w="1440"/>
            <w:shd w:fill="C6EFCE" w:val="clear"/>
          </w:tcPr>
          <w:p>
            <w:r>
              <w:rPr>
                <w:sz w:val="17"/>
              </w:rPr>
              <w:t>7,058</w:t>
            </w:r>
          </w:p>
        </w:tc>
        <w:tc>
          <w:tcPr>
            <w:tcW w:type="dxa" w:w="1440"/>
            <w:shd w:fill="C6EFCE" w:val="clear"/>
          </w:tcPr>
          <w:p>
            <w:r>
              <w:rPr>
                <w:b/>
                <w:color w:val="008000"/>
                <w:sz w:val="17"/>
              </w:rPr>
              <w:t>+3.9%</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5,930</w:t>
            </w:r>
          </w:p>
        </w:tc>
        <w:tc>
          <w:tcPr>
            <w:tcW w:type="dxa" w:w="1440"/>
            <w:shd w:fill="C6EFCE" w:val="clear"/>
          </w:tcPr>
          <w:p>
            <w:r>
              <w:rPr>
                <w:b/>
                <w:sz w:val="17"/>
              </w:rPr>
              <w:t>6,569</w:t>
            </w:r>
          </w:p>
        </w:tc>
        <w:tc>
          <w:tcPr>
            <w:tcW w:type="dxa" w:w="1440"/>
            <w:shd w:fill="C6EFCE" w:val="clear"/>
          </w:tcPr>
          <w:p>
            <w:r>
              <w:rPr>
                <w:sz w:val="17"/>
              </w:rPr>
              <w:t>7,209</w:t>
            </w:r>
          </w:p>
        </w:tc>
        <w:tc>
          <w:tcPr>
            <w:tcW w:type="dxa" w:w="1440"/>
            <w:shd w:fill="C6EFCE" w:val="clear"/>
          </w:tcPr>
          <w:p>
            <w:r>
              <w:rPr>
                <w:b/>
                <w:color w:val="008000"/>
                <w:sz w:val="17"/>
              </w:rPr>
              <w:t>+4.4%</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5,862</w:t>
            </w:r>
          </w:p>
        </w:tc>
        <w:tc>
          <w:tcPr>
            <w:tcW w:type="dxa" w:w="1440"/>
            <w:shd w:fill="C6EFCE" w:val="clear"/>
          </w:tcPr>
          <w:p>
            <w:r>
              <w:rPr>
                <w:b/>
                <w:sz w:val="17"/>
              </w:rPr>
              <w:t>6,605</w:t>
            </w:r>
          </w:p>
        </w:tc>
        <w:tc>
          <w:tcPr>
            <w:tcW w:type="dxa" w:w="1440"/>
            <w:shd w:fill="C6EFCE" w:val="clear"/>
          </w:tcPr>
          <w:p>
            <w:r>
              <w:rPr>
                <w:sz w:val="17"/>
              </w:rPr>
              <w:t>7,347</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5,811</w:t>
            </w:r>
          </w:p>
        </w:tc>
        <w:tc>
          <w:tcPr>
            <w:tcW w:type="dxa" w:w="1440"/>
            <w:shd w:fill="C6EFCE" w:val="clear"/>
          </w:tcPr>
          <w:p>
            <w:r>
              <w:rPr>
                <w:b/>
                <w:sz w:val="17"/>
              </w:rPr>
              <w:t>6,647</w:t>
            </w:r>
          </w:p>
        </w:tc>
        <w:tc>
          <w:tcPr>
            <w:tcW w:type="dxa" w:w="1440"/>
            <w:shd w:fill="C6EFCE" w:val="clear"/>
          </w:tcPr>
          <w:p>
            <w:r>
              <w:rPr>
                <w:sz w:val="17"/>
              </w:rPr>
              <w:t>7,483</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5,771</w:t>
            </w:r>
          </w:p>
        </w:tc>
        <w:tc>
          <w:tcPr>
            <w:tcW w:type="dxa" w:w="1440"/>
            <w:shd w:fill="C6EFCE" w:val="clear"/>
          </w:tcPr>
          <w:p>
            <w:r>
              <w:rPr>
                <w:b/>
                <w:sz w:val="17"/>
              </w:rPr>
              <w:t>6,693</w:t>
            </w:r>
          </w:p>
        </w:tc>
        <w:tc>
          <w:tcPr>
            <w:tcW w:type="dxa" w:w="1440"/>
            <w:shd w:fill="C6EFCE" w:val="clear"/>
          </w:tcPr>
          <w:p>
            <w:r>
              <w:rPr>
                <w:sz w:val="17"/>
              </w:rPr>
              <w:t>7,614</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5,735</w:t>
            </w:r>
          </w:p>
        </w:tc>
        <w:tc>
          <w:tcPr>
            <w:tcW w:type="dxa" w:w="1440"/>
            <w:shd w:fill="C6EFCE" w:val="clear"/>
          </w:tcPr>
          <w:p>
            <w:r>
              <w:rPr>
                <w:b/>
                <w:sz w:val="17"/>
              </w:rPr>
              <w:t>6,738</w:t>
            </w:r>
          </w:p>
        </w:tc>
        <w:tc>
          <w:tcPr>
            <w:tcW w:type="dxa" w:w="1440"/>
            <w:shd w:fill="C6EFCE" w:val="clear"/>
          </w:tcPr>
          <w:p>
            <w:r>
              <w:rPr>
                <w:sz w:val="17"/>
              </w:rPr>
              <w:t>7,740</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5,702</w:t>
            </w:r>
          </w:p>
        </w:tc>
        <w:tc>
          <w:tcPr>
            <w:tcW w:type="dxa" w:w="1440"/>
            <w:shd w:fill="C6EFCE" w:val="clear"/>
          </w:tcPr>
          <w:p>
            <w:r>
              <w:rPr>
                <w:b/>
                <w:sz w:val="17"/>
              </w:rPr>
              <w:t>6,781</w:t>
            </w:r>
          </w:p>
        </w:tc>
        <w:tc>
          <w:tcPr>
            <w:tcW w:type="dxa" w:w="1440"/>
            <w:shd w:fill="C6EFCE" w:val="clear"/>
          </w:tcPr>
          <w:p>
            <w:r>
              <w:rPr>
                <w:sz w:val="17"/>
              </w:rPr>
              <w:t>7,859</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5,671</w:t>
            </w:r>
          </w:p>
        </w:tc>
        <w:tc>
          <w:tcPr>
            <w:tcW w:type="dxa" w:w="1440"/>
            <w:shd w:fill="C6EFCE" w:val="clear"/>
          </w:tcPr>
          <w:p>
            <w:r>
              <w:rPr>
                <w:b/>
                <w:sz w:val="17"/>
              </w:rPr>
              <w:t>6,821</w:t>
            </w:r>
          </w:p>
        </w:tc>
        <w:tc>
          <w:tcPr>
            <w:tcW w:type="dxa" w:w="1440"/>
            <w:shd w:fill="C6EFCE" w:val="clear"/>
          </w:tcPr>
          <w:p>
            <w:r>
              <w:rPr>
                <w:sz w:val="17"/>
              </w:rPr>
              <w:t>7,972</w:t>
            </w:r>
          </w:p>
        </w:tc>
        <w:tc>
          <w:tcPr>
            <w:tcW w:type="dxa" w:w="1440"/>
            <w:shd w:fill="C6EFCE" w:val="clear"/>
          </w:tcPr>
          <w:p>
            <w:r>
              <w:rPr>
                <w:b/>
                <w:color w:val="008000"/>
                <w:sz w:val="17"/>
              </w:rPr>
              <w:t>+8.4%</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5,640</w:t>
            </w:r>
          </w:p>
        </w:tc>
        <w:tc>
          <w:tcPr>
            <w:tcW w:type="dxa" w:w="1440"/>
            <w:shd w:fill="C6EFCE" w:val="clear"/>
          </w:tcPr>
          <w:p>
            <w:r>
              <w:rPr>
                <w:b/>
                <w:sz w:val="17"/>
              </w:rPr>
              <w:t>6,860</w:t>
            </w:r>
          </w:p>
        </w:tc>
        <w:tc>
          <w:tcPr>
            <w:tcW w:type="dxa" w:w="1440"/>
            <w:shd w:fill="C6EFCE" w:val="clear"/>
          </w:tcPr>
          <w:p>
            <w:r>
              <w:rPr>
                <w:sz w:val="17"/>
              </w:rPr>
              <w:t>8,079</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172,66 milliards FCFA, BOA Mali se positionne comme une valeur de taille intermédiaire sur la BRVM, représentant un poids significatif dans l'indice sectoriel bancaire. Le BPA de 404 FCFA par action signifie que chaque titre génère près de 404 FCFA de bénéfice net, ce qui, rapporté au cours actuel de 6 290 FCFA, donne un PER de 15,6x — un niveau modéré qui se situe au-dessus de la moyenne du marché BRVM (généralement 8-12x), traduisant une prime de qualité accordée par les investisseurs. Le P/B de 3,47x indique que le marché valorise la banque à plus de trois fois sa valeur comptable, une prime de croissance justifiée par la rentabilité élevée des fonds propres (ROE &gt;22%). Enfin, l'EV/EBITDA de 8,1x, bien que calculé sur une base imparfaite pour une banque (l'EBITDA étant peu pertinent dans le secteur bancaire), reste dans une fourchette raisonnable de 5-10x, suggérant que la valeur totale de l'entreprise n'est pas déconnectée de sa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+33,83%, avec une accélération notable lors de la dernière séance (+6,97%), portant le cours actuel à 6 290 FCFA. Le titre a évolué dans un range large entre un plus bas de 4 425 FCFA et un plus haut de 7 195 FCFA, soit une amplitude de trading de 62,6%, témoignant d'une forte volatilité directionnelle. La tendance générale est clairement haussière, portée par des publications financières solides et un intérêt croissant des investisseurs pour le secteur bancaire malien. Les statistiques descriptives révèlent une moyenne de 5 531 FCFA légèrement inférieure à la médiane de 5 588 FCFA, suggérant une distribution quasi-symétrique avec une légère prédominance des valeurs basses. L'écart-type de 795 FCFA (CV=14,4%) indique une dispersion modérée du cours autour de sa moyenne, tandis que le kurtosis de -0,991 (mésokurtique) et le skewness de 0,427 (distribution symétrique) confirment un comportement proche d'une distribution normale, sans risque excessif de pics extrêmes. La volatilité annualisée de 42,8% classe le titre dans la catégorie des valeurs à volatilité élevée (&gt;30%), ce qui est cohérent avec la nature des banques frontalières opérant dans un environnement macroéconomique difficile.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6 594,25 FCFA et la MM50 à 6 193,30 FCFA, toutes deux supérieures au cours actuel de 6 290 FCFA. Cette configuration indique que le titre évolue en dessous de ses moyennes à court et moyen terme, ce qui pourrait signaler une phase de consolidation après la forte hausse récente. Toutefois, la décision technique reste à l'**Achat**, suggérant que la tendance de fond demeure haussière malgré la correction actuelle.</w:t>
      </w:r>
    </w:p>
    <w:p>
      <w:pPr>
        <w:spacing w:after="120" w:line="276" w:lineRule="auto"/>
      </w:pPr>
      <w:r>
        <w:t>**Bandes de Bollinger** : Le cours actuel (6 290 FCFA) se situe dans la partie basse de la bande de Bollinger, entre la borne inférieure (5 649,42 FCFA) et la borne supérieure (7 539,08 FCFA). Cette position médiane-basse indique une volatilité modérée et un potentiel de rebond vers la borne supérieure. La décision est **Neutre**, reflétant l'absence de signal directionnel fort à court terme.</w:t>
      </w:r>
    </w:p>
    <w:p>
      <w:pPr>
        <w:spacing w:after="120" w:line="276" w:lineRule="auto"/>
      </w:pPr>
      <w:r>
        <w:t>**MACD** : La valeur du MACD (-47,777) est nettement inférieure à son signal (101,059), générant une divergence baissière significative. Ce croisement négatif indique un momentum affaibli et une pression vendeuse persistante. La décision technique est à la **Vente**, suggérant que la dynamique haussière récente pourrait s'essouffler.</w:t>
      </w:r>
    </w:p>
    <w:p>
      <w:pPr>
        <w:spacing w:after="120" w:line="276" w:lineRule="auto"/>
      </w:pPr>
      <w:r>
        <w:t>**RSI** : Avec une valeur de 39,895, le RSI se situe dans la zone neutre basse (30-70), sans atteindre la zone de survente (&lt;30). Cela indique que le titre n'est ni suracheté ni survendu, mais que la pression baissière récente a ramené le momentum vers des niveaux plus équilibrés. La décision est **Neutre**, sans signal d'achat ou de vente imminent.</w:t>
      </w:r>
    </w:p>
    <w:p>
      <w:pPr>
        <w:spacing w:after="120" w:line="276" w:lineRule="auto"/>
      </w:pPr>
      <w:r>
        <w:t>**Stochastique** : Le %K (47,536) est supérieur au %D (23,768), générant un croisement haussier potentiel. Cette configuration suggère que le titre pourrait amorcer un rebond à court terme après la correction récente. La décision reste toutefois **Neutre**, le signal n'étant pas encore confirmé.</w:t>
      </w:r>
    </w:p>
    <w:p>
      <w:pPr>
        <w:spacing w:after="120" w:line="276" w:lineRule="auto"/>
      </w:pPr>
      <w:r>
        <w:t>**Conclusion technique** : Les indicateurs techniques présentent un tableau mitigé. Si les moyennes mobiles et le stochastique suggèrent un potentiel de rebond, le MACD baissier et la position médiane du cours dans les bandes de Bollinger incitent à la prudence. Le RSI neutre ne fournit pas de signal directionnel clair. Dans l'ensemble, le titre semble en phase de consolidation après sa forte hausse, avec un risque de correction à court terme mais une tendance de fond toujours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 Mali affiche un Produit Net Bancaire (PNB) de 37,996 milliards FCFA, en croissance de 5,08% par rapport à 2024, confirmant la dynamique commerciale de la banque. Le résultat net s'établit à 11,081 milliards FCFA, en très forte hausse par rapport aux 9,12 milliards de 2024 (+21,5%), porté par une maîtrise des charges et une réduction du coût du risque. Le ROE atteint 22,24%, un niveau excellent (&gt;15%), témoignant d'une rentabilité exceptionnelle des fonds propres, tandis que le ROA de 1,87% reste solide pour le secteur bancaire. Le coefficient d'exploitation de 63,14% est légèrement supérieur au seuil de 60% considéré comme efficace, mais en amélioration par rapport aux exercices précédents. Le coût du risque, mesuré à 43,39% des charges financières, reste élevé et constitue un point de vigilance, bien qu'en baisse par rapport à 2024. La structure financière montre une autonomie financière de 8,39% (faible, mais typique des banques) et un ratio de solvabilité générale de 109,16%, confirmant la solvabilité de l'établissement. Les dépôts clientèle (502,89 milliards FCFA) couvrent largement les créances clientèle (253,65 milliards FCFA), avec un ratio de transformation de 50,4%, indiquant une gestion prudente des liquidités.</w:t>
      </w:r>
    </w:p>
    <w:p>
      <w:pPr>
        <w:spacing w:after="120" w:line="276" w:lineRule="auto"/>
      </w:pPr>
      <w:r>
        <w:t>**Estimations basées sur les rapports trimestriels** : Le rapport du T1 2026 (publié le 31/03/2026) fait état d'un PNB de 10,322 milliards FCFA, en hausse de +22,97% par rapport au T1 2025, et d'un résultat net en forte progression. Le rapport du S1 2026 (publié le 30/06/2026) confirme cette tendance avec un PNB de 21,987 milliards FCFA (+17,5% sur un an). Sur la base de ces performances, on peut estimer que l'exercice 2026 devrait afficher un PNB supérieur à 42 milliards FCFA et un résultat net dépassant 12 milliards FCFA, poursuivant la trajectoire de croissance observée depuis 2024. Le rapport du T3 2025 (30/09/2025) soulignait déjà une croissance du PNB de +5,8% et une hausse du résultat net de +26,2%, confirmant la solidité du modèle d'affaires malgré un contexte sécuritaire et économique difficile au Mali.</w:t>
      </w:r>
    </w:p>
    <w:p>
      <w:pPr>
        <w:spacing w:after="120" w:line="276" w:lineRule="auto"/>
      </w:pPr>
      <w:r>
        <w:t>**Recommandation fondamentale** : BOA Mali présente des fondamentaux solides, avec une rentabilité élevée (ROE &gt;22%), une croissance soutenue du PNB et du résultat net, et une structure financière saine. Les principaux risques résident dans la concentration géographique (Mali), l'environnement sécuritaire instable, et un coût du risque encore élevé. La dynamique des rapports trimestriels 2026 est très positive, ce qui justifie une recommandation **CONSERVER** avec un biais haussier pour les investisseurs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contrastée mais globalement favorable. **Valorisation (Partie 0)** : Le PER de 15,6x et le P/B de 3,47x indiquent une valorisation modérée à légèrement élevée, avec une prime de qualité justifiée par la rentabilité exceptionnelle (ROE &gt;22%). **Comportement du cours (Partie 1)** : La tendance haussière (+33,83% sur 100 jours) et la volatilité élevée (42,8%) sont favorables aux investisseurs dynamiques, mais le kurtosis et le skewness suggèrent un risque de correction limité. **Signaux techniques (Partie 2)** : Les indicateurs sont mitigés — le MACD baissier contredit les moyennes mobiles haussières et le stochastique, créant une divergence qui appelle à la prudence à court terme. **Fondamentaux (Partie 3)** : La solidité financière, la croissance du PNB et du résultat net, ainsi que les estimations positives issues des rapports trimestriels 2026, constituent un socle solide pour l'investissement à moyen terme. **Prédictions IA (J+1 à J+10)** : La trajectoire prédite (6 475 FCFA à 6 647 FCFA) confirme la tendance haussière de fond, avec une progression attendue de +5,7% sur 10 jours, ce qui contredit le signal baissier du MACD et soutient la thèse d'un rebond technique.</w:t>
      </w:r>
    </w:p>
    <w:p>
      <w:pPr>
        <w:spacing w:after="120" w:line="276" w:lineRule="auto"/>
      </w:pPr>
      <w:r>
        <w:t>**Recommandation finale** : **CONSERVER** avec un biais **ACHAT** pour les investisseurs à moyen terme. La convergence entre les fondamentaux solides, les prédictions IA haussières et la tendance de fond positive justifie cette position, malgré les signaux techniques mitigés à court terme. Le niveau de confiance est **Moyen**, en raison de la divergence entre les indicateurs techniques et fondamentaux. Le niveau de risque global est **Moyen**, reflétant la volatilité élevée du titre et les risques macroéconomiques et sécuritaires au Mali. L'horizon d'investissement optimal est le **moyen terme (3-12 mois)**, période nécessaire pour que la croissance des bénéfices se matérialise dans le cours et que les risques à court terme se dissipent.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9,001 titres</w:t>
            </w:r>
          </w:p>
        </w:tc>
        <w:tc>
          <w:tcPr>
            <w:tcW w:type="dxa" w:w="2268"/>
            <w:shd w:fill="FFF2CC" w:val="clear"/>
          </w:tcPr>
          <w:p>
            <w:r>
              <w:rPr>
                <w:b/>
                <w:color w:val="503200"/>
                <w:sz w:val="16"/>
              </w:rPr>
              <w:t xml:space="preserve">Cours actuel : </w:t>
            </w:r>
            <w:r>
              <w:rPr>
                <w:color w:val="000000"/>
                <w:sz w:val="17"/>
              </w:rPr>
              <w:t>5,130 FCFA</w:t>
            </w:r>
          </w:p>
          <w:p>
            <w:r>
              <w:rPr>
                <w:b/>
                <w:color w:val="503200"/>
                <w:sz w:val="16"/>
              </w:rPr>
              <w:t xml:space="preserve">Var. 100 jours : </w:t>
            </w:r>
            <w:r>
              <w:rPr>
                <w:b/>
                <w:color w:val="007800"/>
                <w:sz w:val="17"/>
              </w:rPr>
              <w:t>+41.32%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16.67% (Élevée) — μ=4,581 FCFA, σ=764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β=1.1691 (Neutre (suit le marché)) — Cov=0.000071, Var(idx)=0.000061, ρ=0.392,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9,001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4,697</w:t>
            </w:r>
          </w:p>
        </w:tc>
        <w:tc>
          <w:tcPr>
            <w:tcW w:type="dxa" w:w="1440"/>
            <w:shd w:fill="FFDCE0" w:val="clear"/>
          </w:tcPr>
          <w:p>
            <w:r>
              <w:rPr>
                <w:b/>
                <w:sz w:val="17"/>
              </w:rPr>
              <w:t>4,924</w:t>
            </w:r>
          </w:p>
        </w:tc>
        <w:tc>
          <w:tcPr>
            <w:tcW w:type="dxa" w:w="1440"/>
            <w:shd w:fill="FFDCE0" w:val="clear"/>
          </w:tcPr>
          <w:p>
            <w:r>
              <w:rPr>
                <w:sz w:val="17"/>
              </w:rPr>
              <w:t>5,151</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4,641</w:t>
            </w:r>
          </w:p>
        </w:tc>
        <w:tc>
          <w:tcPr>
            <w:tcW w:type="dxa" w:w="1440"/>
            <w:shd w:fill="FFDCE0" w:val="clear"/>
          </w:tcPr>
          <w:p>
            <w:r>
              <w:rPr>
                <w:b/>
                <w:sz w:val="17"/>
              </w:rPr>
              <w:t>4,965</w:t>
            </w:r>
          </w:p>
        </w:tc>
        <w:tc>
          <w:tcPr>
            <w:tcW w:type="dxa" w:w="1440"/>
            <w:shd w:fill="FFDCE0" w:val="clear"/>
          </w:tcPr>
          <w:p>
            <w:r>
              <w:rPr>
                <w:sz w:val="17"/>
              </w:rPr>
              <w:t>5,289</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4,575</w:t>
            </w:r>
          </w:p>
        </w:tc>
        <w:tc>
          <w:tcPr>
            <w:tcW w:type="dxa" w:w="1440"/>
            <w:shd w:fill="FFDCE0" w:val="clear"/>
          </w:tcPr>
          <w:p>
            <w:r>
              <w:rPr>
                <w:b/>
                <w:sz w:val="17"/>
              </w:rPr>
              <w:t>4,973</w:t>
            </w:r>
          </w:p>
        </w:tc>
        <w:tc>
          <w:tcPr>
            <w:tcW w:type="dxa" w:w="1440"/>
            <w:shd w:fill="FFDCE0" w:val="clear"/>
          </w:tcPr>
          <w:p>
            <w:r>
              <w:rPr>
                <w:sz w:val="17"/>
              </w:rPr>
              <w:t>5,370</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4,516</w:t>
            </w:r>
          </w:p>
        </w:tc>
        <w:tc>
          <w:tcPr>
            <w:tcW w:type="dxa" w:w="1440"/>
            <w:shd w:fill="FFDCE0" w:val="clear"/>
          </w:tcPr>
          <w:p>
            <w:r>
              <w:rPr>
                <w:b/>
                <w:sz w:val="17"/>
              </w:rPr>
              <w:t>4,976</w:t>
            </w:r>
          </w:p>
        </w:tc>
        <w:tc>
          <w:tcPr>
            <w:tcW w:type="dxa" w:w="1440"/>
            <w:shd w:fill="FFDCE0" w:val="clear"/>
          </w:tcPr>
          <w:p>
            <w:r>
              <w:rPr>
                <w:sz w:val="17"/>
              </w:rPr>
              <w:t>5,435</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4,465</w:t>
            </w:r>
          </w:p>
        </w:tc>
        <w:tc>
          <w:tcPr>
            <w:tcW w:type="dxa" w:w="1440"/>
            <w:shd w:fill="FFDCE0" w:val="clear"/>
          </w:tcPr>
          <w:p>
            <w:r>
              <w:rPr>
                <w:b/>
                <w:sz w:val="17"/>
              </w:rPr>
              <w:t>4,978</w:t>
            </w:r>
          </w:p>
        </w:tc>
        <w:tc>
          <w:tcPr>
            <w:tcW w:type="dxa" w:w="1440"/>
            <w:shd w:fill="FFDCE0" w:val="clear"/>
          </w:tcPr>
          <w:p>
            <w:r>
              <w:rPr>
                <w:sz w:val="17"/>
              </w:rPr>
              <w:t>5,492</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4,418</w:t>
            </w:r>
          </w:p>
        </w:tc>
        <w:tc>
          <w:tcPr>
            <w:tcW w:type="dxa" w:w="1440"/>
            <w:shd w:fill="FFDCE0" w:val="clear"/>
          </w:tcPr>
          <w:p>
            <w:r>
              <w:rPr>
                <w:b/>
                <w:sz w:val="17"/>
              </w:rPr>
              <w:t>4,981</w:t>
            </w:r>
          </w:p>
        </w:tc>
        <w:tc>
          <w:tcPr>
            <w:tcW w:type="dxa" w:w="1440"/>
            <w:shd w:fill="FFDCE0" w:val="clear"/>
          </w:tcPr>
          <w:p>
            <w:r>
              <w:rPr>
                <w:sz w:val="17"/>
              </w:rPr>
              <w:t>5,545</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4,375</w:t>
            </w:r>
          </w:p>
        </w:tc>
        <w:tc>
          <w:tcPr>
            <w:tcW w:type="dxa" w:w="1440"/>
            <w:shd w:fill="FFDCE0" w:val="clear"/>
          </w:tcPr>
          <w:p>
            <w:r>
              <w:rPr>
                <w:b/>
                <w:sz w:val="17"/>
              </w:rPr>
              <w:t>4,984</w:t>
            </w:r>
          </w:p>
        </w:tc>
        <w:tc>
          <w:tcPr>
            <w:tcW w:type="dxa" w:w="1440"/>
            <w:shd w:fill="FFDCE0" w:val="clear"/>
          </w:tcPr>
          <w:p>
            <w:r>
              <w:rPr>
                <w:sz w:val="17"/>
              </w:rPr>
              <w:t>5,593</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4,336</w:t>
            </w:r>
          </w:p>
        </w:tc>
        <w:tc>
          <w:tcPr>
            <w:tcW w:type="dxa" w:w="1440"/>
            <w:shd w:fill="FFDCE0" w:val="clear"/>
          </w:tcPr>
          <w:p>
            <w:r>
              <w:rPr>
                <w:b/>
                <w:sz w:val="17"/>
              </w:rPr>
              <w:t>4,987</w:t>
            </w:r>
          </w:p>
        </w:tc>
        <w:tc>
          <w:tcPr>
            <w:tcW w:type="dxa" w:w="1440"/>
            <w:shd w:fill="FFDCE0" w:val="clear"/>
          </w:tcPr>
          <w:p>
            <w:r>
              <w:rPr>
                <w:sz w:val="17"/>
              </w:rPr>
              <w:t>5,638</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4,299</w:t>
            </w:r>
          </w:p>
        </w:tc>
        <w:tc>
          <w:tcPr>
            <w:tcW w:type="dxa" w:w="1440"/>
            <w:shd w:fill="FFDCE0" w:val="clear"/>
          </w:tcPr>
          <w:p>
            <w:r>
              <w:rPr>
                <w:b/>
                <w:sz w:val="17"/>
              </w:rPr>
              <w:t>4,990</w:t>
            </w:r>
          </w:p>
        </w:tc>
        <w:tc>
          <w:tcPr>
            <w:tcW w:type="dxa" w:w="1440"/>
            <w:shd w:fill="FFDCE0" w:val="clear"/>
          </w:tcPr>
          <w:p>
            <w:r>
              <w:rPr>
                <w:sz w:val="17"/>
              </w:rPr>
              <w:t>5,681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4,264</w:t>
            </w:r>
          </w:p>
        </w:tc>
        <w:tc>
          <w:tcPr>
            <w:tcW w:type="dxa" w:w="1440"/>
            <w:shd w:fill="FFDCE0" w:val="clear"/>
          </w:tcPr>
          <w:p>
            <w:r>
              <w:rPr>
                <w:b/>
                <w:sz w:val="17"/>
              </w:rPr>
              <w:t>4,993</w:t>
            </w:r>
          </w:p>
        </w:tc>
        <w:tc>
          <w:tcPr>
            <w:tcW w:type="dxa" w:w="1440"/>
            <w:shd w:fill="FFDCE0" w:val="clear"/>
          </w:tcPr>
          <w:p>
            <w:r>
              <w:rPr>
                <w:sz w:val="17"/>
              </w:rPr>
              <w:t>5,722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106,70 milliards FCFA, BOAN se positionne comme une valeur de moyenne capitalisation sur le marché BRVM, reflétant sa taille modeste à l'échelle régionale mais son statut de banque systémique au Niger. Le BPA de 20 FCFA/action signifie que chaque titre génère théoriquement 20 FCFA de bénéfice net, un niveau extrêmement faible qui traduit l'effondrement de la rentabilité en 2025. Le PER de 260,9x est aberrent et très éloigné de la moyenne BRVM (~8-12x) : les investisseurs paient environ 261 fois les bénéfices actuels, ce qui intègre une anticipation de rebond spectaculaire des profits plutôt qu'une valorisation sur les résultats présents. Le P/B de 2,96x indique que le marché valorise la banque à près de 3 fois ses fonds propres comptables (36,06 Mds FCFA), soit une prime de croissance significative qui contraste avec la faiblesse actuelle du ROE (1,13%). Enfin, l'EV/EBITDA de 39,6x, très supérieur au seuil de 15x généralement considéré comme exigeant, confirme que la valeur d'entreprise intègre des perspectives de redressement opérationnel que les résultats 2025 ne justifient pas encore — ces ratios élevés constituent un signal de prudence majeur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affiche une performance remarquable de +41,32%, avec une dernière séance en forte hausse de +7,32%, portant le cours à 5 130 FCFA. Le titre a évolué dans un range large de 2 250 FCFA, entre un plus bas de 3 395 FCFA et un plus haut de 5 645 FCFA, témoignant d'une tendance générale nettement haussière portée par les anticipations de redressement post-sanctions et les résultats encourageants du T1 2026. Les statistiques descriptives révèlent une moyenne de 4 581 FCFA légèrement inférieure à la médiane de 4 785 FCFA, suggérant une asymétrie négative modérée (confirmée par le skewness de -0,195) : les périodes de baisse ont été plus marquées que les hausses, mais la distribution reste globalement symétrique. L'écart-type de 767 FCFA (CV de 16,8%) indique une dispersion modérée du cours autour de sa moyenne, tandis que le kurtosis de -1,659 (distribution platykurtique) signale une faible concentration des valeurs extrêmes — le risque de pics brutaux est limité, ce qui est rassurant pour la gestion du risque. La volatilité annualisée de 38,9% classe le titre dans la catégorie des valeurs à volatilité élevée (&gt;30%), ce qui est cohérent avec le contexte de redressement incertain et justifie une approche prudente malgré le momentum haussier.</w:t>
      </w:r>
    </w:p>
    <w:p>
      <w:pPr>
        <w:spacing w:after="120" w:line="276" w:lineRule="auto"/>
      </w:pPr>
      <w:r>
        <w:t>---</w:t>
      </w:r>
    </w:p>
    <w:p>
      <w:pPr>
        <w:spacing w:after="120" w:line="276" w:lineRule="auto"/>
      </w:pPr>
      <w:r>
        <w:t>### PARTIE 2 : ANALYSE TECHNIQUE DÉTAILLÉE</w:t>
      </w:r>
    </w:p>
    <w:p>
      <w:pPr>
        <w:spacing w:after="120" w:line="276" w:lineRule="auto"/>
      </w:pPr>
      <w:r>
        <w:t>**Moyennes Mobiles** : La MM20 (5 313 FCFA) et la MM50 (5 279,4 FCFA) sont toutes deux supérieures au cours actuel (5 130 FCFA), ce qui place le titre en position légèrement baissière à court terme malgré la hausse récente. Cependant, la MM20 étant au-dessus de la MM50, la configuration reste haussière sur le moyen terme, justifiant la décision technique d'**Achat** — le cours pourrait revenir tester ces moyennes avant de repartir.</w:t>
      </w:r>
    </w:p>
    <w:p>
      <w:pPr>
        <w:spacing w:after="120" w:line="276" w:lineRule="auto"/>
      </w:pPr>
      <w:r>
        <w:t>**Bandes de Bollinger** : Le cours (5 130 FCFA) se situe dans la partie médiane des bandes, entre la borne inférieure (4 763,76 FCFA) et la borne supérieure (5 862,24 FCFA), sans contact avec les extrêmes. Cette position centrale, couplée à un écart-type élevé, indique une volatilité importante mais sans signal directionnel clair, d'où la décision **Neutre** — le marché est en phase d'indécision.</w:t>
      </w:r>
    </w:p>
    <w:p>
      <w:pPr>
        <w:spacing w:after="120" w:line="276" w:lineRule="auto"/>
      </w:pPr>
      <w:r>
        <w:t>**MACD** : La valeur du MACD (-84,036) est nettement inférieure à son signal (-4,962), générant un histogramme négatif qui traduit un momentum baissier persistant. Cette divergence négative, bien que le cours ait rebondi récemment, suggère que la dynamique haussière s'essouffle, justifiant la décision de **Vente** à court terme.</w:t>
      </w:r>
    </w:p>
    <w:p>
      <w:pPr>
        <w:spacing w:after="120" w:line="276" w:lineRule="auto"/>
      </w:pPr>
      <w:r>
        <w:t>**RSI** : À 41,322, le RSI se situe en zone neutre basse (30-70), sans atteindre la zone de survente (&lt;30). Cette valeur indique que le titre n'est ni suracheté ni survendu, mais penche légèrement vers la faiblesse, ce qui est cohérent avec la correction récente — décision **Neutre**.</w:t>
      </w:r>
    </w:p>
    <w:p>
      <w:pPr>
        <w:spacing w:after="120" w:line="276" w:lineRule="auto"/>
      </w:pPr>
      <w:r>
        <w:t>**Stochastique** : Le %K (55,502) est supérieur au %D (25,837), avec un croisement haussier en cours de formation. Cette configuration suggère un potentiel rebond à court terme, mais la faiblesse du %D indique que la tendance de fond reste fragile — décision **Neutre** en attendant confirmation.</w:t>
      </w:r>
    </w:p>
    <w:p>
      <w:pPr>
        <w:spacing w:after="120" w:line="276" w:lineRule="auto"/>
      </w:pPr>
      <w:r>
        <w:t>**Conclusion technique** : Les indicateurs techniques présentent un tableau mitigé. Les moyennes mobiles restent haussières sur le moyen terme, mais le MACD est clairement baissier et le RSI neutre-faible. Les Bandes de Bollinger et le Stochastique ne dégagent pas de signal directionnel fort. La convergence des signaux penche légèrement vers la prudence à court terme, avec un potentiel de correction vers les 4 800-4 900 FCFA avant une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BOAN a enregistré un Produit Net Bancaire (PNB) de 21 125 millions FCFA, en léger repli de -1,2% par rapport à 2024 (21 380 M FCFA), dans un contexte de contraction du secteur bancaire nigérien. Le résultat net s'est effondré à 409 millions FCFA, contre 5 002 millions en 2024, soit une chute de -91,8%, principalement due à une explosion du coût du risque (+121,5%, à -6 016 M FCFA) incluant une provision exceptionnelle de 4,8 milliards FCFA liée au taux de sinistralité sectoriel de 24%. Les ratios de rentabilité sont catastrophiques : ROE de 1,13% (contre 11,39% en 2024) et ROA de 0,14% (contre 1,49%), bien en deçà des standards bancaires (&gt;15% pour le ROE). Le coefficient d'exploitation se dégrade à 74,37% (contre 61,7% au T3 2025), signe d'une efficacité opérationnelle détériorée, tandis que le coût du risque/charges financières atteint 67,3%, reflétant un portefeuille de crédits très risqué. La structure financière reste fragile avec une autonomie financière de 12,36% (capitaux propres/total bilan) et un ratio d'endettement de 178,6%, bien que la solvabilité générale (114,1%) et le ratio de solvabilité réglementaire (14,06%) demeurent conformes aux exigences UEMOA.</w:t>
      </w:r>
    </w:p>
    <w:p>
      <w:pPr>
        <w:spacing w:after="120" w:line="276" w:lineRule="auto"/>
      </w:pPr>
      <w:r>
        <w:t>**Estimations basées sur les rapports trimestriels** : Le rapport du T1 2026 (publié le 31 mars 2026) marque un début de redressement avec un PNB en hausse de +7,9% à 5 170 M FCFA, un résultat net en progression de +28,9% à 1 467,3 M FCFA, et un coefficient d'exploitation ramené à 56,2% (contre 66,8% un an plus tôt). Le rapport du S2 2025 (publié le 31 décembre 2025) confirme la stratégie de réduction sélective des risques (crédits -20,9% à 128,4 Mds FCFA) et la croissance des dépôts (+4% à 189,9 Mds FCFA), surperformant le secteur. Sur la base de ces tendances, on estime que l'exercice 2026 pourrait afficher un PNB en croissance de +6 à +8% (autour de 22 500 M FCFA) et un résultat net en forte progression, potentiellement entre 4 et 6 milliards FCFA si le coût du risque se normalise — ce qui ramènerait le PER à des niveaux plus raisonnables (20-25x). Cependant, ces estimations restent conditionnées à la levée des sanctions et à la stabilisation du contexte macroéconomique nigérien.</w:t>
      </w:r>
    </w:p>
    <w:p>
      <w:pPr>
        <w:spacing w:after="120" w:line="276" w:lineRule="auto"/>
      </w:pPr>
      <w:r>
        <w:t>**Recommandation fondamentale** : La situation fondamentale de BOAN reste préoccupante à court terme (rentabilité effondrée, coût du risque élevé, structure financière fragile), mais les perspectives de redressement sont réelles, portées par le soutien du groupe BOA, la digitalisation et l'amélioration du contexte économique nigérien (croissance du PIB de 6,6% en 2025, 7% prévu en 2026-2029). La recommandation fondamentale est **CONSERVER** avec une surveillance rapprochée des indicateurs de qualité du portefeuille et de la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marquée entre les signaux. **Valorisation (Partie 0)** : les ratios PER (260,9x), P/B (2,96x) et EV/EBITDA (39,6x) indiquent une surévaluation manifeste sur les résultats 2025, mais intègrent une anticipation de rebond spectaculaire des bénéfices — le marché price déjà le redressement. **Comportement du cours (Partie 1)** : la tendance haussière (+41,32% sur 100 jours) et la volatilité élevée (38,9%) traduisent un optimisme prudent, mais le kurtosis négatif (-1,659) et le skewness légèrement négatif (-0,195) suggèrent un risque de correction modéré. **Signaux techniques (Partie 2)** : les indicateurs sont mitigés — moyennes mobiles haussières mais MACD baissier, RSI neutre-faible, Stochastique en rebond — ce qui plaide pour une phase de consolidation avant une reprise durable. **Fondamentaux (Partie 3)** : la situation 2025 est très dégradée (ROE 1,13%, résultat net -91,8%), mais le T1 2026 marque un début de redressement (résultat net +28,9%, coefficient d'exploitation à 56,2%), et les estimations pour 2026 sont encourageantes. **Prédictions IA (J+1 à J+10)** : la trajectoire prévue (4 924 FCFA à 4 978 FCFA) suggère une légère correction à court terme (-4% par rapport au cours actuel), ce qui contredit le momentum haussier récent mais confirme la phase de consolidation anticipée par les indicateurs techniques.</w:t>
      </w:r>
    </w:p>
    <w:p>
      <w:pPr>
        <w:spacing w:after="120" w:line="276" w:lineRule="auto"/>
      </w:pPr>
      <w:r>
        <w:t>**Recommandation finale** : **CONSERVER** avec un biais prudent. La convergence des signaux — valorisation exigeante, technique mitigée, fondamentaux en redressement mais fragiles, prédictions IA baissières à court terme — ne justifie pas un achat agressif, mais la perspective de redressement 2026 et le soutien du groupe BOA interdisent une vente précipitée. Le niveau de confiance est **Moyen** (les estimations de redressement reposent sur un seul trimestre de reprise), et le niveau de risque global est **Élevé** (contexte macroéconomique nigérien instable, coût du risque élevé, liquidité tendue). L'horizon d'investissement optimal est le **moyen terme (3-12 mois)**, en surveillant la confirmation du redressement sur au moins deux trimestres supplémentaires et l'évolution du coût du risque — un retour durable du ROE au-dessus de 10% constituerait un signal d'achat plus convaincant.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11,155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+14.08%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4.79% (Faible) — μ=7,692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β=0.4905 (Défensif) — Cov=0.000030, Var(idx)=0.000061, ρ=0.232,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7,715</w:t>
            </w:r>
          </w:p>
        </w:tc>
        <w:tc>
          <w:tcPr>
            <w:tcW w:type="dxa" w:w="1440"/>
            <w:shd w:fill="FAFAFA" w:val="clear"/>
          </w:tcPr>
          <w:p>
            <w:r>
              <w:rPr>
                <w:b/>
                <w:sz w:val="17"/>
              </w:rPr>
              <w:t>7,957</w:t>
            </w:r>
          </w:p>
        </w:tc>
        <w:tc>
          <w:tcPr>
            <w:tcW w:type="dxa" w:w="1440"/>
            <w:shd w:fill="FAFAFA" w:val="clear"/>
          </w:tcPr>
          <w:p>
            <w:r>
              <w:rPr>
                <w:sz w:val="17"/>
              </w:rPr>
              <w:t>8,199</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7,594</w:t>
            </w:r>
          </w:p>
        </w:tc>
        <w:tc>
          <w:tcPr>
            <w:tcW w:type="dxa" w:w="1440"/>
            <w:shd w:fill="FFDCE0" w:val="clear"/>
          </w:tcPr>
          <w:p>
            <w:r>
              <w:rPr>
                <w:b/>
                <w:sz w:val="17"/>
              </w:rPr>
              <w:t>7,936</w:t>
            </w:r>
          </w:p>
        </w:tc>
        <w:tc>
          <w:tcPr>
            <w:tcW w:type="dxa" w:w="1440"/>
            <w:shd w:fill="FFDCE0" w:val="clear"/>
          </w:tcPr>
          <w:p>
            <w:r>
              <w:rPr>
                <w:sz w:val="17"/>
              </w:rPr>
              <w:t>8,278</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7,484</w:t>
            </w:r>
          </w:p>
        </w:tc>
        <w:tc>
          <w:tcPr>
            <w:tcW w:type="dxa" w:w="1440"/>
            <w:shd w:fill="FFDCE0" w:val="clear"/>
          </w:tcPr>
          <w:p>
            <w:r>
              <w:rPr>
                <w:b/>
                <w:sz w:val="17"/>
              </w:rPr>
              <w:t>7,901</w:t>
            </w:r>
          </w:p>
        </w:tc>
        <w:tc>
          <w:tcPr>
            <w:tcW w:type="dxa" w:w="1440"/>
            <w:shd w:fill="FFDCE0" w:val="clear"/>
          </w:tcPr>
          <w:p>
            <w:r>
              <w:rPr>
                <w:sz w:val="17"/>
              </w:rPr>
              <w:t>8,318</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7,394</w:t>
            </w:r>
          </w:p>
        </w:tc>
        <w:tc>
          <w:tcPr>
            <w:tcW w:type="dxa" w:w="1440"/>
            <w:shd w:fill="FFDCE0" w:val="clear"/>
          </w:tcPr>
          <w:p>
            <w:r>
              <w:rPr>
                <w:b/>
                <w:sz w:val="17"/>
              </w:rPr>
              <w:t>7,873</w:t>
            </w:r>
          </w:p>
        </w:tc>
        <w:tc>
          <w:tcPr>
            <w:tcW w:type="dxa" w:w="1440"/>
            <w:shd w:fill="FFDCE0" w:val="clear"/>
          </w:tcPr>
          <w:p>
            <w:r>
              <w:rPr>
                <w:sz w:val="17"/>
              </w:rPr>
              <w:t>8,353</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7,315</w:t>
            </w:r>
          </w:p>
        </w:tc>
        <w:tc>
          <w:tcPr>
            <w:tcW w:type="dxa" w:w="1440"/>
            <w:shd w:fill="FFDCE0" w:val="clear"/>
          </w:tcPr>
          <w:p>
            <w:r>
              <w:rPr>
                <w:b/>
                <w:sz w:val="17"/>
              </w:rPr>
              <w:t>7,849</w:t>
            </w:r>
          </w:p>
        </w:tc>
        <w:tc>
          <w:tcPr>
            <w:tcW w:type="dxa" w:w="1440"/>
            <w:shd w:fill="FFDCE0" w:val="clear"/>
          </w:tcPr>
          <w:p>
            <w:r>
              <w:rPr>
                <w:sz w:val="17"/>
              </w:rPr>
              <w:t>8,384</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7,242</w:t>
            </w:r>
          </w:p>
        </w:tc>
        <w:tc>
          <w:tcPr>
            <w:tcW w:type="dxa" w:w="1440"/>
            <w:shd w:fill="FFDCE0" w:val="clear"/>
          </w:tcPr>
          <w:p>
            <w:r>
              <w:rPr>
                <w:b/>
                <w:sz w:val="17"/>
              </w:rPr>
              <w:t>7,826</w:t>
            </w:r>
          </w:p>
        </w:tc>
        <w:tc>
          <w:tcPr>
            <w:tcW w:type="dxa" w:w="1440"/>
            <w:shd w:fill="FFDCE0" w:val="clear"/>
          </w:tcPr>
          <w:p>
            <w:r>
              <w:rPr>
                <w:sz w:val="17"/>
              </w:rPr>
              <w:t>8,410</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7,175</w:t>
            </w:r>
          </w:p>
        </w:tc>
        <w:tc>
          <w:tcPr>
            <w:tcW w:type="dxa" w:w="1440"/>
            <w:shd w:fill="FFDCE0" w:val="clear"/>
          </w:tcPr>
          <w:p>
            <w:r>
              <w:rPr>
                <w:b/>
                <w:sz w:val="17"/>
              </w:rPr>
              <w:t>7,804</w:t>
            </w:r>
          </w:p>
        </w:tc>
        <w:tc>
          <w:tcPr>
            <w:tcW w:type="dxa" w:w="1440"/>
            <w:shd w:fill="FFDCE0" w:val="clear"/>
          </w:tcPr>
          <w:p>
            <w:r>
              <w:rPr>
                <w:sz w:val="17"/>
              </w:rPr>
              <w:t>8,433</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7,112</w:t>
            </w:r>
          </w:p>
        </w:tc>
        <w:tc>
          <w:tcPr>
            <w:tcW w:type="dxa" w:w="1440"/>
            <w:shd w:fill="FFDCE0" w:val="clear"/>
          </w:tcPr>
          <w:p>
            <w:r>
              <w:rPr>
                <w:b/>
                <w:sz w:val="17"/>
              </w:rPr>
              <w:t>7,783</w:t>
            </w:r>
          </w:p>
        </w:tc>
        <w:tc>
          <w:tcPr>
            <w:tcW w:type="dxa" w:w="1440"/>
            <w:shd w:fill="FFDCE0" w:val="clear"/>
          </w:tcPr>
          <w:p>
            <w:r>
              <w:rPr>
                <w:sz w:val="17"/>
              </w:rPr>
              <w:t>8,453</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7,053</w:t>
            </w:r>
          </w:p>
        </w:tc>
        <w:tc>
          <w:tcPr>
            <w:tcW w:type="dxa" w:w="1440"/>
            <w:shd w:fill="FFDCE0" w:val="clear"/>
          </w:tcPr>
          <w:p>
            <w:r>
              <w:rPr>
                <w:b/>
                <w:sz w:val="17"/>
              </w:rPr>
              <w:t>7,762</w:t>
            </w:r>
          </w:p>
        </w:tc>
        <w:tc>
          <w:tcPr>
            <w:tcW w:type="dxa" w:w="1440"/>
            <w:shd w:fill="FFDCE0" w:val="clear"/>
          </w:tcPr>
          <w:p>
            <w:r>
              <w:rPr>
                <w:sz w:val="17"/>
              </w:rPr>
              <w:t>8,472</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6,997</w:t>
            </w:r>
          </w:p>
        </w:tc>
        <w:tc>
          <w:tcPr>
            <w:tcW w:type="dxa" w:w="1440"/>
            <w:shd w:fill="FFDCE0" w:val="clear"/>
          </w:tcPr>
          <w:p>
            <w:r>
              <w:rPr>
                <w:b/>
                <w:sz w:val="17"/>
              </w:rPr>
              <w:t>7,743</w:t>
            </w:r>
          </w:p>
        </w:tc>
        <w:tc>
          <w:tcPr>
            <w:tcW w:type="dxa" w:w="1440"/>
            <w:shd w:fill="FFDCE0" w:val="clear"/>
          </w:tcPr>
          <w:p>
            <w:r>
              <w:rPr>
                <w:sz w:val="17"/>
              </w:rPr>
              <w:t>8,489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BOA SÉNÉGAL (BOAS)</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291,60 Mds FCFA, BOAS s'affirme comme une valeur de premier plan du compartiment bancaire de la BRVM, portée par un BPA de 608 FCFA/action qui traduit la capacité bénéficiaire solide de la banque. Le PER de 13,3x se situe légèrement au-dessus de la moyenne du marché BRVM (8-12x), ce qui suggère que les investisseurs acceptent de payer une prime modérée pour la qualité de la croissance et la régularité des résultats de BOAS, sans pour autant basculer dans une surévaluation manifeste. Le P/B de 3,02x, dans la fourchette 2-4x, confirme cette prime de croissance accordée par le marché, la valeur comptable étant valorisée trois fois — cohérent avec un ROE de 22,69% nettement supérieur au coût des fonds propres. Enfin, l'EV/EBITDA de 8,6x, dans la zone raisonnable de 5-10x, indique que la valeur d'entreprise reste proportionnée à la capacité opérationnelle de génération de résultats, l'ensemble de ces ratios dessinant une valorisation équilibrée, ni bradée ni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 enregistré une progression totale de +14,08%, avec une accélération notable de +4,38% lors de la dernière séance (J-1), confirmant une dynamique haussière soutenue. Le cours actuel de 8 100 FCFA évolue dans un range de trading de 1 400 FCFA, entre un plus bas de 7 100 FCFA et un plus haut de 8 500 FCFA, le titre se situant actuellement à environ 47% de ce range, ce qui laisse une marge de progression vers les sommets. Les statistiques descriptives révèlent une moyenne de 7 692 FCFA légèrement supérieure à la médiane de 7 625 FCFA, avec un mode à 7 700 FCFA, signe d'une distribution relativement équilibrée mais avec une asymétrie positive (skewness de 0,530) indiquant davantage de journées de cotation sous la moyenne — le cours actuel de 8 100 FCFA se situe donc nettement au-dessus de ces repères centraux. L'écart-type de 370 FCFA (CV de 4,8%) traduit une dispersion modérée du cours, tandis que le kurtosis de -0,942 (mésokurtique) suggère une distribution proche de la normale, sans risque majeur de pics extrêmes. La volatilité annualisée de 26,8% positionne le titre dans la catégorie des valeurs à volatilité modérée (15-30%), ce qui est rassurant pour un investisseur recherchant un couple rendement/risque équilibré sur le marché BRVM.</w:t>
      </w:r>
    </w:p>
    <w:p>
      <w:pPr>
        <w:spacing w:after="120" w:line="276" w:lineRule="auto"/>
      </w:pPr>
      <w:r>
        <w:t>---</w:t>
      </w:r>
    </w:p>
    <w:p>
      <w:pPr>
        <w:spacing w:after="120" w:line="276" w:lineRule="auto"/>
      </w:pPr>
      <w:r>
        <w:t>## PARTIE 2 : ANALYSE TECHNIQUE DÉTAILLÉE</w:t>
      </w:r>
    </w:p>
    <w:p>
      <w:pPr>
        <w:spacing w:after="120" w:line="276" w:lineRule="auto"/>
      </w:pPr>
      <w:r>
        <w:t>**Moyennes Mobiles** : La MM20 (8 160 FCFA) et la MM50 (7 958,5 FCFA) se situent toutes deux sous le cours actuel de 8 100 FCFA, avec la MM20 au-dessus de la MM50, configurant un croisement haussier classique. Le cours évoluant au-dessus de ses deux moyennes mobiles, la décision technique est à l'**Achat**, confirmant la tendance positive de moyen terme.</w:t>
      </w:r>
    </w:p>
    <w:p>
      <w:pPr>
        <w:spacing w:after="120" w:line="276" w:lineRule="auto"/>
      </w:pPr>
      <w:r>
        <w:t>**Bandes de Bollinger** : Le cours actuel (8 100 FCFA) se situe dans la partie médiane-haute de la bande, entre la borne inférieure (7 786,57 FCFA) et la borne supérieure (8 533,43 FCFA), sans contact avec les extrêmes. Cette position centrale, couplée à un écart-type modéré, justifie une décision **Neutre**, le titre n'étant ni en zone de surachat ni de survente technique.</w:t>
      </w:r>
    </w:p>
    <w:p>
      <w:pPr>
        <w:spacing w:after="120" w:line="276" w:lineRule="auto"/>
      </w:pPr>
      <w:r>
        <w:t>**MACD** : La valeur du MACD (-21,265) est nettement inférieure à son signal (39,09), générant une divergence baissière qui traduit un essoufflement du momentum haussier malgré la progression récente du cours. Cette configuration justifie une décision de **Vente** à court terme, le signal avancé anticipant un possible retournement ou une consolidation.</w:t>
      </w:r>
    </w:p>
    <w:p>
      <w:pPr>
        <w:spacing w:after="120" w:line="276" w:lineRule="auto"/>
      </w:pPr>
      <w:r>
        <w:t>**RSI** : À 44,795, le RSI se situe dans la zone neutre (30-70), légèrement en dessous du seuil médian de 50, indiquant une absence de pression acheteuse ou vendeuse dominante. La décision est **Neutre**, le titre n'étant ni suracheté ni survendu, avec une légère tendance baissière à surveiller.</w:t>
      </w:r>
    </w:p>
    <w:p>
      <w:pPr>
        <w:spacing w:after="120" w:line="276" w:lineRule="auto"/>
      </w:pPr>
      <w:r>
        <w:t>**Stochastique** : Le %K (64,286) est nettement supérieur au %D (26,667), avec un croisement haussier récent qui suggère une reprise potentielle du momentum à court terme. Toutefois, le %K n'ayant pas encore atteint la zone de surachat (&gt;80), la décision reste **Neutre**, le signal étant précoce mais non confirmé.</w:t>
      </w:r>
    </w:p>
    <w:p>
      <w:pPr>
        <w:spacing w:after="120" w:line="276" w:lineRule="auto"/>
      </w:pPr>
      <w:r>
        <w:t>**Conclusion technique** : Les indicateurs présentent une configuration mitigée, avec des signaux haussiers (moyennes mobiles, stochastique) contrastant avec des signaux baissiers (MACD) et neutres (Bollinger, RSI). La tendance de fond reste positive, portée par le positionnement du cours au-dessus des moyennes mobiles, mais l'essoufflement du MACD invite à la prudence à court terme. Une consolidation voire un léger repli pourrait précéder une nouvelle impulsion haussière, la convergence des signaux n'étant pas suffisante pour valider une accélération immédiate.</w:t>
      </w:r>
    </w:p>
    <w:p>
      <w:pPr>
        <w:spacing w:after="120" w:line="276" w:lineRule="auto"/>
      </w:pPr>
      <w:r>
        <w:t>---</w:t>
      </w:r>
    </w:p>
    <w:p>
      <w:pPr>
        <w:spacing w:after="120" w:line="276" w:lineRule="auto"/>
      </w:pPr>
      <w:r>
        <w:t>## PARTIE 3 : ANALYSE FONDAMENTALE</w:t>
      </w:r>
    </w:p>
    <w:p>
      <w:pPr>
        <w:spacing w:after="120" w:line="276" w:lineRule="auto"/>
      </w:pPr>
      <w:r>
        <w:t>**Données structurées (exercice 2025)** : BOAS affiche des fondamentaux bancaires de haute qualité pour l'exercice 2025, avec un Produit Net Bancaire (PNB) de 51,926 Mds FCFA et un résultat net de 21,905 Mds FCFA, soit une marge nette exceptionnelle de 42,19%. Le ROE s'établit à 22,69%, largement supérieur au seuil d'excellence de 15%, tandis que le ROA de 2,62% reflète une utilisation efficace de l'actif (836,158 Mds FCFA). Le coefficient d'exploitation de 44,02% — inférieur au seuil de 50% — témoigne d'une efficacité opérationnelle remarquable, et le coût du risque de 23,31% des charges financières, bien qu'élevé, reste contenu au regard de la croissance du portefeuille de créances clientèle (386,424 Mds FCFA). La structure financière est solide avec des capitaux propres de 96,526 Mds FCFA, une autonomie financière de 11,54% (faible mais typique du modèle bancaire) et une capacité de remboursement de 1,54 an, très confortable. Le ratio dépôts/créances (686,927 Mds FCFA de dépôts pour 386,424 Mds FCFA de crédits) illustre une surliquidité, la banque collectant près de 1,78 FCFA de dépôts pour chaque franc de crédit accordé.</w:t>
      </w:r>
    </w:p>
    <w:p>
      <w:pPr>
        <w:spacing w:after="120" w:line="276" w:lineRule="auto"/>
      </w:pPr>
      <w:r>
        <w:t>**Estimations basées sur les rapports trimestriels** : Le rapport du T1 2026 (publié en 2026) confirme la dynamique avec un PNB de 12,580 Mds FCFA (+6,82% sur un an) et un résultat net de 5,741 Mds FCFA (+9,78%), le coefficient d'exploitation s'améliorant à 42,1%. Le rapport du T3 2025 (30 septembre 2025) faisait déjà état d'un PNB cumulé de 37,44 Mds FCFA (+6,71%) et d'un résultat net de 16,37 Mds FCFA (+10,01%), avec un coût du risque en baisse à -0,5% du PNB. Sur la base de ces tendances, on estime que l'exercice 2026 devrait enregistrer un PNB annuel d'environ 54-55 Mds FCFA et un résultat net de l'ordre de 23-24 Mds FCFA, prolongeant la croissance à deux chiffres du bénéfice. Le rapport du S1 2025 (30 juin 2025) soulignait déjà une progression du résultat net de +12,70% à 11,62 Mds FCFA, confirmant la trajectoire ascendante. **Recommandation fondamentale** : la solidité du modèle bancaire, la qualité du portefeuille, l'efficacité opérationnelle et la croissance régulière des résultats plaident pour une opinion favorable, avec un risque principal lié à la concentration sur le marché sénégalais et à l'environnement concurrentiel.</w:t>
      </w:r>
    </w:p>
    <w:p>
      <w:pPr>
        <w:spacing w:after="120" w:line="276" w:lineRule="auto"/>
      </w:pPr>
      <w:r>
        <w:t>---</w:t>
      </w:r>
    </w:p>
    <w:p>
      <w:pPr>
        <w:spacing w:after="120" w:line="276" w:lineRule="auto"/>
      </w:pPr>
      <w:r>
        <w:t>## PARTIE 4 : CONCLUSION D'INVESTISSEMENT</w:t>
      </w:r>
    </w:p>
    <w:p>
      <w:pPr>
        <w:spacing w:after="120" w:line="276" w:lineRule="auto"/>
      </w:pPr>
      <w:r>
        <w:t>La valorisation de BOAS (Partie 0) apparaît équilibrée : le PER de 13,3x, légèrement supérieur à la moyenne BRVM, et le P/B de 3,02x traduisent une prime de qualité justifiée par un ROE de 22,69%, sans surévaluation excessive, tandis que l'EV/EBITDA de 8,6x reste raisonnable. Le comportement du cours (Partie 1) est favorable, avec une progression de +14,08% sur 100 jours, une volatilité modérée (26,8%) et une distribution proche de la normale (kurtosis -0,942), l'asymétrie positive (skewness 0,530) suggérant un potentiel de rattrapage. Les signaux techniques (Partie 2) sont mitigés : les moyennes mobiles et le stochastique sont haussiers, mais le MACD baissier et le RSI neutre invitent à la prudence à court terme, plaidant pour une consolidation avant une nouvelle impulsion. Les fondamentaux (Partie 3) sont solides, avec un PNB de 51,926 Mds FCFA, un résultat net de 21,905 Mds FCFA, un coefficient d'exploitation de 44,02% et une croissance estimée à deux chiffres pour 2026, confirmée par les rapports T1 2026 et T3 2025. Les prédictions IA (J+1 à J+10) anticipent une légère correction vers 7 849-7 957 FCFA, contredisant la dynamique haussière récente mais cohérentes avec le signal baissier du MACD. **Recommandation finale : ACHAT**, avec un niveau de confiance **Moyen** et un risque global **Moyen**. La convergence entre valorisation raisonnable, fondamentaux solides et tendance de fond haussière l'emporte sur les signaux techniques à court terme et la correction anticipée par l'IA, qui apparaît comme une opportunité d'entrée pour un **horizon de moyen terme (3-12 mois)**, le temps que la consolidation s'achève et que la croissance des bénéfices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2,077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B40000"/>
                <w:sz w:val="17"/>
              </w:rPr>
              <w:t>-6.98%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7.77% (Moyenne) — μ=3,686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β=0.3125 (Défensif) — Cov=0.000019, Var(idx)=0.000061, ρ=0.085,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3,252</w:t>
            </w:r>
          </w:p>
        </w:tc>
        <w:tc>
          <w:tcPr>
            <w:tcW w:type="dxa" w:w="1440"/>
            <w:shd w:fill="FAFAFA" w:val="clear"/>
          </w:tcPr>
          <w:p>
            <w:r>
              <w:rPr>
                <w:b/>
                <w:sz w:val="17"/>
              </w:rPr>
              <w:t>3,363</w:t>
            </w:r>
          </w:p>
        </w:tc>
        <w:tc>
          <w:tcPr>
            <w:tcW w:type="dxa" w:w="1440"/>
            <w:shd w:fill="FAFAFA" w:val="clear"/>
          </w:tcPr>
          <w:p>
            <w:r>
              <w:rPr>
                <w:sz w:val="17"/>
              </w:rPr>
              <w:t>3,474</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3,211</w:t>
            </w:r>
          </w:p>
        </w:tc>
        <w:tc>
          <w:tcPr>
            <w:tcW w:type="dxa" w:w="1440"/>
            <w:shd w:fill="FAFAFA" w:val="clear"/>
          </w:tcPr>
          <w:p>
            <w:r>
              <w:rPr>
                <w:b/>
                <w:sz w:val="17"/>
              </w:rPr>
              <w:t>3,368</w:t>
            </w:r>
          </w:p>
        </w:tc>
        <w:tc>
          <w:tcPr>
            <w:tcW w:type="dxa" w:w="1440"/>
            <w:shd w:fill="FAFAFA" w:val="clear"/>
          </w:tcPr>
          <w:p>
            <w:r>
              <w:rPr>
                <w:sz w:val="17"/>
              </w:rPr>
              <w:t>3,526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3,162</w:t>
            </w:r>
          </w:p>
        </w:tc>
        <w:tc>
          <w:tcPr>
            <w:tcW w:type="dxa" w:w="1440"/>
            <w:shd w:fill="FAFAFA" w:val="clear"/>
          </w:tcPr>
          <w:p>
            <w:r>
              <w:rPr>
                <w:b/>
                <w:sz w:val="17"/>
              </w:rPr>
              <w:t>3,354</w:t>
            </w:r>
          </w:p>
        </w:tc>
        <w:tc>
          <w:tcPr>
            <w:tcW w:type="dxa" w:w="1440"/>
            <w:shd w:fill="FAFAFA" w:val="clear"/>
          </w:tcPr>
          <w:p>
            <w:r>
              <w:rPr>
                <w:sz w:val="17"/>
              </w:rPr>
              <w:t>3,546</w:t>
            </w:r>
          </w:p>
        </w:tc>
        <w:tc>
          <w:tcPr>
            <w:tcW w:type="dxa" w:w="1440"/>
            <w:shd w:fill="FAFAFA" w:val="clear"/>
          </w:tcPr>
          <w:p>
            <w:r>
              <w:rPr>
                <w:b/>
                <w:color w:val="C00000"/>
                <w:sz w:val="17"/>
              </w:rPr>
              <w:t>-1.4%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3,111</w:t>
            </w:r>
          </w:p>
        </w:tc>
        <w:tc>
          <w:tcPr>
            <w:tcW w:type="dxa" w:w="1440"/>
            <w:shd w:fill="FFDCE0" w:val="clear"/>
          </w:tcPr>
          <w:p>
            <w:r>
              <w:rPr>
                <w:b/>
                <w:sz w:val="17"/>
              </w:rPr>
              <w:t>3,331</w:t>
            </w:r>
          </w:p>
        </w:tc>
        <w:tc>
          <w:tcPr>
            <w:tcW w:type="dxa" w:w="1440"/>
            <w:shd w:fill="FFDCE0" w:val="clear"/>
          </w:tcPr>
          <w:p>
            <w:r>
              <w:rPr>
                <w:sz w:val="17"/>
              </w:rPr>
              <w:t>3,551</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3,058</w:t>
            </w:r>
          </w:p>
        </w:tc>
        <w:tc>
          <w:tcPr>
            <w:tcW w:type="dxa" w:w="1440"/>
            <w:shd w:fill="FFDCE0" w:val="clear"/>
          </w:tcPr>
          <w:p>
            <w:r>
              <w:rPr>
                <w:b/>
                <w:sz w:val="17"/>
              </w:rPr>
              <w:t>3,303</w:t>
            </w:r>
          </w:p>
        </w:tc>
        <w:tc>
          <w:tcPr>
            <w:tcW w:type="dxa" w:w="1440"/>
            <w:shd w:fill="FFDCE0" w:val="clear"/>
          </w:tcPr>
          <w:p>
            <w:r>
              <w:rPr>
                <w:sz w:val="17"/>
              </w:rPr>
              <w:t>3,547</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3,008</w:t>
            </w:r>
          </w:p>
        </w:tc>
        <w:tc>
          <w:tcPr>
            <w:tcW w:type="dxa" w:w="1440"/>
            <w:shd w:fill="FFDCE0" w:val="clear"/>
          </w:tcPr>
          <w:p>
            <w:r>
              <w:rPr>
                <w:b/>
                <w:sz w:val="17"/>
              </w:rPr>
              <w:t>3,272</w:t>
            </w:r>
          </w:p>
        </w:tc>
        <w:tc>
          <w:tcPr>
            <w:tcW w:type="dxa" w:w="1440"/>
            <w:shd w:fill="FFDCE0" w:val="clear"/>
          </w:tcPr>
          <w:p>
            <w:r>
              <w:rPr>
                <w:sz w:val="17"/>
              </w:rPr>
              <w:t>3,537</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2,959</w:t>
            </w:r>
          </w:p>
        </w:tc>
        <w:tc>
          <w:tcPr>
            <w:tcW w:type="dxa" w:w="1440"/>
            <w:shd w:fill="FFDCE0" w:val="clear"/>
          </w:tcPr>
          <w:p>
            <w:r>
              <w:rPr>
                <w:b/>
                <w:sz w:val="17"/>
              </w:rPr>
              <w:t>3,243</w:t>
            </w:r>
          </w:p>
        </w:tc>
        <w:tc>
          <w:tcPr>
            <w:tcW w:type="dxa" w:w="1440"/>
            <w:shd w:fill="FFDCE0" w:val="clear"/>
          </w:tcPr>
          <w:p>
            <w:r>
              <w:rPr>
                <w:sz w:val="17"/>
              </w:rPr>
              <w:t>3,526</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2,914</w:t>
            </w:r>
          </w:p>
        </w:tc>
        <w:tc>
          <w:tcPr>
            <w:tcW w:type="dxa" w:w="1440"/>
            <w:shd w:fill="FFDCE0" w:val="clear"/>
          </w:tcPr>
          <w:p>
            <w:r>
              <w:rPr>
                <w:b/>
                <w:sz w:val="17"/>
              </w:rPr>
              <w:t>3,215</w:t>
            </w:r>
          </w:p>
        </w:tc>
        <w:tc>
          <w:tcPr>
            <w:tcW w:type="dxa" w:w="1440"/>
            <w:shd w:fill="FFDCE0" w:val="clear"/>
          </w:tcPr>
          <w:p>
            <w:r>
              <w:rPr>
                <w:sz w:val="17"/>
              </w:rPr>
              <w:t>3,515</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2,873</w:t>
            </w:r>
          </w:p>
        </w:tc>
        <w:tc>
          <w:tcPr>
            <w:tcW w:type="dxa" w:w="1440"/>
            <w:shd w:fill="FFDCE0" w:val="clear"/>
          </w:tcPr>
          <w:p>
            <w:r>
              <w:rPr>
                <w:b/>
                <w:sz w:val="17"/>
              </w:rPr>
              <w:t>3,189</w:t>
            </w:r>
          </w:p>
        </w:tc>
        <w:tc>
          <w:tcPr>
            <w:tcW w:type="dxa" w:w="1440"/>
            <w:shd w:fill="FFDCE0" w:val="clear"/>
          </w:tcPr>
          <w:p>
            <w:r>
              <w:rPr>
                <w:sz w:val="17"/>
              </w:rPr>
              <w:t>3,505</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2,835</w:t>
            </w:r>
          </w:p>
        </w:tc>
        <w:tc>
          <w:tcPr>
            <w:tcW w:type="dxa" w:w="1440"/>
            <w:shd w:fill="FFDCE0" w:val="clear"/>
          </w:tcPr>
          <w:p>
            <w:r>
              <w:rPr>
                <w:b/>
                <w:sz w:val="17"/>
              </w:rPr>
              <w:t>3,166</w:t>
            </w:r>
          </w:p>
        </w:tc>
        <w:tc>
          <w:tcPr>
            <w:tcW w:type="dxa" w:w="1440"/>
            <w:shd w:fill="FFDCE0" w:val="clear"/>
          </w:tcPr>
          <w:p>
            <w:r>
              <w:rPr>
                <w:sz w:val="17"/>
              </w:rPr>
              <w:t>3,496</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Secteur Industriel**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20,13 Mds FCFA, CABC se positionne comme une valeur de petite capitalisation sur la BRVM, ce qui la rend sensible aux mouvements de faible volume. Le BPA de 243 FCFA/action indique que chaque titre génère un bénéfice unitaire significatif, mais le PER de 14,0x — supérieur à la moyenne BRVM (~8-12x) — suggère que le marché paie une prime de croissance pour ce titre, ce qui contraste avec la volatilité récente du cours. Le P/B de 2,15x montre que le marché valorise l'entreprise à plus du double de sa valeur comptable, traduisant une confiance dans la capacité bénéficiaire future malgré la pression sur les marges. Enfin, l'EV/EBITDA de 7,0x, dans la fourchette raisonnable de 5-10x, indique que la valeur d'entreprise reste cohérente avec la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 enregistré une variation totale de -6,98%, clôturant à 3 400 FCFA après un rebond de +6,25% lors de la dernière séance, signalant une tentative de reprise après une tendance baissière. Le range de trading s'étend de 3 190 FCFA (plus bas) à 4 500 FCFA (plus haut), soit une amplitude de 41%, reflétant une forte dispersion des prix. La moyenne de 3 686 FCFA est supérieure à la médiane de 3 600 FCFA, avec un mode à 3 500 FCFA, confirmant une asymétrie positive (skewness de 0,968) où davantage de séances se sont déroulées sous la moyenne, typique d'une pression vendeuse persistante. L'écart-type de 288 FCFA (CV=7,8%) indique une dispersion modérée autour de la moyenne, tandis que le kurtosis de 0,531 (mésokurtique) suggère une distribution proche de la normale, sans risque extrême de pics. La volatilité annualisée de 46,0% classe le titre dans la catégorie des valeurs à volatilité élevée (&gt;30%), ce qui implique un risque de prix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(3 434 FCFA) et la MM50 (3 542,9 FCFA) se situent toutes deux au-dessus du cours actuel (3 400 FCFA), avec la MM20 en dessous de la MM50, configuration baissière classique. Le cours évoluant sous ses deux moyennes, la décision technique est logiquement « Vente », confirmant la pression baissière de moyen terme.</w:t>
      </w:r>
    </w:p>
    <w:p>
      <w:pPr>
        <w:spacing w:after="120" w:line="276" w:lineRule="auto"/>
      </w:pPr>
      <w:r>
        <w:t>**Bandes de Bollinger** : Le cours (3 400 FCFA) se situe dans la moitié inférieure de la bande, entre la borne inférieure (3 209,885 FCFA) et la borne supérieure (3 658,115 FCFA), sans atteindre les extrêmes. Cette position médiane, couplée à une décision « Neutre », indique une absence de signal directionnel fort, avec une volatilité contenue dans les bornes.</w:t>
      </w:r>
    </w:p>
    <w:p>
      <w:pPr>
        <w:spacing w:after="120" w:line="276" w:lineRule="auto"/>
      </w:pPr>
      <w:r>
        <w:t>**MACD** : La valeur du MACD (-81,435) est inférieure à son signal (-69,059), avec un histogramme négatif, confirmant un momentum baissier. La décision « Vente » reflète cette divergence négative persistante, bien que l'écart entre les deux lignes tende à se réduire, suggérant un possible essoufflement de la baisse.</w:t>
      </w:r>
    </w:p>
    <w:p>
      <w:pPr>
        <w:spacing w:after="120" w:line="276" w:lineRule="auto"/>
      </w:pPr>
      <w:r>
        <w:t>**RSI** : À 41,83, le RSI se situe en zone neutre (30-70), sans signal de surachat ni de survente. La décision « Neutre » indique que le titre n'est ni sous-évalué ni surévalué techniquement, laissant la porte ouverte à une reprise comme à une poursuite de la baisse.</w:t>
      </w:r>
    </w:p>
    <w:p>
      <w:pPr>
        <w:spacing w:after="120" w:line="276" w:lineRule="auto"/>
      </w:pPr>
      <w:r>
        <w:t>**Stochastique** : Le %K (67,742) est nettement supérieur au %D (23,576), avec un croisement haussier en cours de formation. Cette configuration, bien que classée « Neutre », suggère une possible accélération haussière à court terme si le %K se maintient au-dessus du %D.</w:t>
      </w:r>
    </w:p>
    <w:p>
      <w:pPr>
        <w:spacing w:after="120" w:line="276" w:lineRule="auto"/>
      </w:pPr>
      <w:r>
        <w:t>**Conclusion technique** : Les indicateurs sont majoritairement baissiers (MM, MACD) mais tempérés par des signaux neutres (Bollinger, RSI) et un croisement haussier naissant du stochastique. La convergence n'est pas totale, ce qui plaide pour une prudence accrue et une attente de confirmation avant toute décision directionnelle forte.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CABC a réalisé un chiffre d'affaires de 21,263 Mds FCFA, en croissance de 11,18% par rapport à 2024, avec un résultat net de 1,439 Mds FCFA, soit une marge nette de 6,77%. Le ROE s'établit à 15,40% (excellent, &gt;15%) et le ROA à 6,10%, témoignant d'une bonne rentabilité des fonds propres mais d'une efficacité modérée des actifs. La structure financière est saine avec une autonomie financière de 39,58% (&gt;30%) et une liquidité générale de 242,60%, bien que le BFR de 7,186 Mds FCFA et les délais clients (144,69 jours) et de stockage (152,12 jours) révèlent une immobilisation importante de capital et un risque de trésorerie. Les flux opérationnels sont négatifs (-819,66 M FCFA) et le Free Cash Flow de -982,71 M FCFA, signalant une pression sur la trésorerie malgré une CAF positive de 1,593 Mds FCFA.</w:t>
      </w:r>
    </w:p>
    <w:p>
      <w:pPr>
        <w:spacing w:after="120" w:line="276" w:lineRule="auto"/>
      </w:pPr>
      <w:r>
        <w:t>**Estimations basées sur les rapports trimestriels** : Le rapport du 3ème trimestre 2025 (daté du 30/09/2025) indique un CA cumulé de 16 630,0 M FCFA (+13,7%) et un résultat net de 1 329,5 M FCFA (+26,0%), avec une marge nette de 8,0%. Le rapport du 1er semestre 2025 (30/06/2025) affichait un résultat net de 851,5 M FCFA (+55,3%) et une marge nette de 7,9%. Sur cette base, on estime que l'exercice 2025 devrait confirmer une croissance annuelle du CA supérieure à 11%, avec un résultat net annuel proche de 1,4 Md FCFA, cohérent avec les données structurées. Cependant, le rapport du T1 2026 (daté de 2026) signale une perte nette de 221,7 M FCFA (-205,0%) et un CA en baisse de 26,5%, en raison d'une maintenance planifiée et de l'inflation des cours des métaux (+23% en 3 mois), ce qui pourrait compromettre la dynamique de 2025.</w:t>
      </w:r>
    </w:p>
    <w:p>
      <w:pPr>
        <w:spacing w:after="120" w:line="276" w:lineRule="auto"/>
      </w:pPr>
      <w:r>
        <w:t>**Évolution pluriannuelle** : Entre 2019 et 2025, le CA a progressé de 39,9% et le résultat net de 106%, avec une amélioration continue de la marge nette (3,7% en 2021 à 6,8% en 2025). Toutefois, la trésorerie nette a chuté de 25% en 2025 (5 139 M FCFA vs 6 865 M FCFA en 2024) et le taux de distribution de dividendes (52,7% en 2025) pourrait limiter les investissements futurs.</w:t>
      </w:r>
    </w:p>
    <w:p>
      <w:pPr>
        <w:spacing w:after="120" w:line="276" w:lineRule="auto"/>
      </w:pPr>
      <w:r>
        <w:t>**Recommandation fondamentale** : La solidité financière est réelle (ROE &gt;15%, autonomie financière &gt;30%), mais les risques de liquidité (flux opérationnels négatifs, BFR élevé) et la dépendance aux matières premières (cuivre, aluminium) pèsent sur les perspectives. Le rapport T1 2026 (perte nette) confirme ces vulnérabilités. La recommandation fondamentale est **CONSERVER** avec une surveillance active des indicateurs de trésorerie et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montre un PER de 14,0x supérieur à la moyenne BRVM, suggérant une surévaluation relative malgré un EV/EBITDA raisonnable (7,0x). Le comportement du cours (Partie 1) est préoccupant avec une tendance baissière (-6,98% sur 100 jours), une volatilité élevée (46,0%) et une asymétrie positive (skewness 0,968) indiquant une pression vendeuse persistante. Les signaux techniques (Partie 2) sont majoritairement baissiers (MM, MACD) mais tempérés par des signaux neutres (RSI, Bollinger) et un croisement haussier naissant du stochastique, créant une divergence qui appelle à la prudence. Les fondamentaux (Partie 3) révèlent une entreprise solide (ROE 15,40%, CA +11,18% en 2025) mais fragilisée par des flux opérationnels négatifs et un rapport T1 2026 déficitaire (-221,7 M FCFA), ce qui contredit la dynamique de 2025. Les prédictions IA (J+1 à J+10) anticipent une trajectoire baissière (3 363 FCFA à 3 303 FCFA), confirmant les signaux techniques baissiers et les risques fondamentaux à court terme.</w:t>
      </w:r>
    </w:p>
    <w:p>
      <w:pPr>
        <w:spacing w:after="120" w:line="276" w:lineRule="auto"/>
      </w:pPr>
      <w:r>
        <w:t>**Recommandation finale** : **VENTE** (avec surveillance). La convergence entre la surévaluation (PER 14,0x), les signaux techniques baissiers (MM, MACD), les fondamentaux fragilisés (flux opérationnels négatifs, T1 2026 déficitaire) et les prédictions IA baissières justifie une réduction de l'exposition. Le niveau de confiance est **Moyen** (les signaux neutres du RSI et du stochastique tempèrent la conviction), et le niveau de risque global est **Élevé** (volatilité 46%, dépendance aux matières premières, trésorerie tendue). L'horizon d'investissement optimal est **court terme** (&lt;3 mois) pour les investisseurs cherchant à sortir avant une éventuelle détérioration supplémentaire, ou **moyen terme** (3-12 mois) pour ceux attendant une stabilisation des marges et une clarification des perspectives post-T1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1,613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+93.85%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16,250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19.06% (Élevée) — μ=26,026 FCFA, σ=4,959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β=1.4380 (Agressif) — Cov=0.000087, Var(idx)=0.000061, ρ=0.410,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1,613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28,707</w:t>
            </w:r>
          </w:p>
        </w:tc>
        <w:tc>
          <w:tcPr>
            <w:tcW w:type="dxa" w:w="1440"/>
            <w:shd w:fill="FFDCE0" w:val="clear"/>
          </w:tcPr>
          <w:p>
            <w:r>
              <w:rPr>
                <w:b/>
                <w:sz w:val="17"/>
              </w:rPr>
              <w:t>30,131</w:t>
            </w:r>
          </w:p>
        </w:tc>
        <w:tc>
          <w:tcPr>
            <w:tcW w:type="dxa" w:w="1440"/>
            <w:shd w:fill="FFDCE0" w:val="clear"/>
          </w:tcPr>
          <w:p>
            <w:r>
              <w:rPr>
                <w:sz w:val="17"/>
              </w:rPr>
              <w:t>31,555</w:t>
            </w:r>
          </w:p>
        </w:tc>
        <w:tc>
          <w:tcPr>
            <w:tcW w:type="dxa" w:w="1440"/>
            <w:shd w:fill="FFDCE0" w:val="clear"/>
          </w:tcPr>
          <w:p>
            <w:r>
              <w:rPr>
                <w:b/>
                <w:color w:val="C00000"/>
                <w:sz w:val="17"/>
              </w:rPr>
              <w:t>-4.3%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27,478</w:t>
            </w:r>
          </w:p>
        </w:tc>
        <w:tc>
          <w:tcPr>
            <w:tcW w:type="dxa" w:w="1440"/>
            <w:shd w:fill="FFDCE0" w:val="clear"/>
          </w:tcPr>
          <w:p>
            <w:r>
              <w:rPr>
                <w:b/>
                <w:sz w:val="17"/>
              </w:rPr>
              <w:t>29,446</w:t>
            </w:r>
          </w:p>
        </w:tc>
        <w:tc>
          <w:tcPr>
            <w:tcW w:type="dxa" w:w="1440"/>
            <w:shd w:fill="FFDCE0" w:val="clear"/>
          </w:tcPr>
          <w:p>
            <w:r>
              <w:rPr>
                <w:sz w:val="17"/>
              </w:rPr>
              <w:t>31,413</w:t>
            </w:r>
          </w:p>
        </w:tc>
        <w:tc>
          <w:tcPr>
            <w:tcW w:type="dxa" w:w="1440"/>
            <w:shd w:fill="FFDCE0" w:val="clear"/>
          </w:tcPr>
          <w:p>
            <w:r>
              <w:rPr>
                <w:b/>
                <w:color w:val="C00000"/>
                <w:sz w:val="17"/>
              </w:rPr>
              <w:t>-6.5%</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26,779</w:t>
            </w:r>
          </w:p>
        </w:tc>
        <w:tc>
          <w:tcPr>
            <w:tcW w:type="dxa" w:w="1440"/>
            <w:shd w:fill="FFDCE0" w:val="clear"/>
          </w:tcPr>
          <w:p>
            <w:r>
              <w:rPr>
                <w:b/>
                <w:sz w:val="17"/>
              </w:rPr>
              <w:t>29,166</w:t>
            </w:r>
          </w:p>
        </w:tc>
        <w:tc>
          <w:tcPr>
            <w:tcW w:type="dxa" w:w="1440"/>
            <w:shd w:fill="FFDCE0" w:val="clear"/>
          </w:tcPr>
          <w:p>
            <w:r>
              <w:rPr>
                <w:sz w:val="17"/>
              </w:rPr>
              <w:t>31,553</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26,245</w:t>
            </w:r>
          </w:p>
        </w:tc>
        <w:tc>
          <w:tcPr>
            <w:tcW w:type="dxa" w:w="1440"/>
            <w:shd w:fill="FFDCE0" w:val="clear"/>
          </w:tcPr>
          <w:p>
            <w:r>
              <w:rPr>
                <w:b/>
                <w:sz w:val="17"/>
              </w:rPr>
              <w:t>28,984</w:t>
            </w:r>
          </w:p>
        </w:tc>
        <w:tc>
          <w:tcPr>
            <w:tcW w:type="dxa" w:w="1440"/>
            <w:shd w:fill="FFDCE0" w:val="clear"/>
          </w:tcPr>
          <w:p>
            <w:r>
              <w:rPr>
                <w:sz w:val="17"/>
              </w:rPr>
              <w:t>31,724</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25,770</w:t>
            </w:r>
          </w:p>
        </w:tc>
        <w:tc>
          <w:tcPr>
            <w:tcW w:type="dxa" w:w="1440"/>
            <w:shd w:fill="FFDCE0" w:val="clear"/>
          </w:tcPr>
          <w:p>
            <w:r>
              <w:rPr>
                <w:b/>
                <w:sz w:val="17"/>
              </w:rPr>
              <w:t>28,815</w:t>
            </w:r>
          </w:p>
        </w:tc>
        <w:tc>
          <w:tcPr>
            <w:tcW w:type="dxa" w:w="1440"/>
            <w:shd w:fill="FFDCE0" w:val="clear"/>
          </w:tcPr>
          <w:p>
            <w:r>
              <w:rPr>
                <w:sz w:val="17"/>
              </w:rPr>
              <w:t>31,860</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25,350</w:t>
            </w:r>
          </w:p>
        </w:tc>
        <w:tc>
          <w:tcPr>
            <w:tcW w:type="dxa" w:w="1440"/>
            <w:shd w:fill="FFDCE0" w:val="clear"/>
          </w:tcPr>
          <w:p>
            <w:r>
              <w:rPr>
                <w:b/>
                <w:sz w:val="17"/>
              </w:rPr>
              <w:t>28,669</w:t>
            </w:r>
          </w:p>
        </w:tc>
        <w:tc>
          <w:tcPr>
            <w:tcW w:type="dxa" w:w="1440"/>
            <w:shd w:fill="FFDCE0" w:val="clear"/>
          </w:tcPr>
          <w:p>
            <w:r>
              <w:rPr>
                <w:sz w:val="17"/>
              </w:rPr>
              <w:t>31,987</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24,974</w:t>
            </w:r>
          </w:p>
        </w:tc>
        <w:tc>
          <w:tcPr>
            <w:tcW w:type="dxa" w:w="1440"/>
            <w:shd w:fill="FFDCE0" w:val="clear"/>
          </w:tcPr>
          <w:p>
            <w:r>
              <w:rPr>
                <w:b/>
                <w:sz w:val="17"/>
              </w:rPr>
              <w:t>28,543</w:t>
            </w:r>
          </w:p>
        </w:tc>
        <w:tc>
          <w:tcPr>
            <w:tcW w:type="dxa" w:w="1440"/>
            <w:shd w:fill="FFDCE0" w:val="clear"/>
          </w:tcPr>
          <w:p>
            <w:r>
              <w:rPr>
                <w:sz w:val="17"/>
              </w:rPr>
              <w:t>32,112</w:t>
            </w:r>
          </w:p>
        </w:tc>
        <w:tc>
          <w:tcPr>
            <w:tcW w:type="dxa" w:w="1440"/>
            <w:shd w:fill="FFDCE0" w:val="clear"/>
          </w:tcPr>
          <w:p>
            <w:r>
              <w:rPr>
                <w:b/>
                <w:color w:val="C00000"/>
                <w:sz w:val="17"/>
              </w:rPr>
              <w:t>-9.4%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24,633</w:t>
            </w:r>
          </w:p>
        </w:tc>
        <w:tc>
          <w:tcPr>
            <w:tcW w:type="dxa" w:w="1440"/>
            <w:shd w:fill="FFDCE0" w:val="clear"/>
          </w:tcPr>
          <w:p>
            <w:r>
              <w:rPr>
                <w:b/>
                <w:sz w:val="17"/>
              </w:rPr>
              <w:t>28,434</w:t>
            </w:r>
          </w:p>
        </w:tc>
        <w:tc>
          <w:tcPr>
            <w:tcW w:type="dxa" w:w="1440"/>
            <w:shd w:fill="FFDCE0" w:val="clear"/>
          </w:tcPr>
          <w:p>
            <w:r>
              <w:rPr>
                <w:sz w:val="17"/>
              </w:rPr>
              <w:t>32,235</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24,320</w:t>
            </w:r>
          </w:p>
        </w:tc>
        <w:tc>
          <w:tcPr>
            <w:tcW w:type="dxa" w:w="1440"/>
            <w:shd w:fill="FFDCE0" w:val="clear"/>
          </w:tcPr>
          <w:p>
            <w:r>
              <w:rPr>
                <w:b/>
                <w:sz w:val="17"/>
              </w:rPr>
              <w:t>28,338</w:t>
            </w:r>
          </w:p>
        </w:tc>
        <w:tc>
          <w:tcPr>
            <w:tcW w:type="dxa" w:w="1440"/>
            <w:shd w:fill="FFDCE0" w:val="clear"/>
          </w:tcPr>
          <w:p>
            <w:r>
              <w:rPr>
                <w:sz w:val="17"/>
              </w:rPr>
              <w:t>32,356</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24,031</w:t>
            </w:r>
          </w:p>
        </w:tc>
        <w:tc>
          <w:tcPr>
            <w:tcW w:type="dxa" w:w="1440"/>
            <w:shd w:fill="FFDCE0" w:val="clear"/>
          </w:tcPr>
          <w:p>
            <w:r>
              <w:rPr>
                <w:b/>
                <w:sz w:val="17"/>
              </w:rPr>
              <w:t>28,253</w:t>
            </w:r>
          </w:p>
        </w:tc>
        <w:tc>
          <w:tcPr>
            <w:tcW w:type="dxa" w:w="1440"/>
            <w:shd w:fill="FFDCE0" w:val="clear"/>
          </w:tcPr>
          <w:p>
            <w:r>
              <w:rPr>
                <w:sz w:val="17"/>
              </w:rPr>
              <w:t>32,476</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1 008,00 milliards FCFA, CBIBF s'impose comme l'une des toutes premières capitalisations de la BRVM, ce qui en fait un titre de premier plan, liquide et incontournable pour les investisseurs institutionnels de la zone UEMOA. Le BPA de 2 047 FCFA/action signifie que chaque titre génère près de 2 047 FCFA de bénéfice net, un niveau élevé qui traduit la forte rentabilité de la banque. Le PER de 15,4x se situe au-dessus de la moyenne du marché BRVM (généralement comprise entre 8x et 12x), ce qui indique que les investisseurs acceptent de payer une prime de qualité pour ce titre — une valorisation modérée mais non bon marché. L'EV/EBITDA de 11,4x, dans la fourchette 10-15x, confirme cette appréciation élevée de la valeur d'entreprise par rapport à sa capacité opérationnelle, cohérente avec le statut de leader régional de la banque. Le P/B n'étant pas fourni dans les données,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CBIBF a enregistré une progression spectaculaire de **+93,85%**, avec une dernière séance en hausse de **+3,96%**, portant le cours à **31 500 FCFA**. Le titre a évolué dans un range très large, entre un plus bas de **16 250 FCFA** et un plus haut de **34 450 FCFA**, soit un écart de plus de 18 000 FCFA qui témoigne d'une tendance nettement haussière, ponctuée de phases de consolidation. La moyenne (26 026 FCFA) est légèrement inférieure à la médiane (27 350 FCFA), ce qui suggère une distribution très légèrement asymétrique à gauche, cohérente avec le skewness de -0,133 indiquant une distribution quasi symétrique. L'écart-type de 4 984 FCFA, associé à un coefficient de variation de 19,2%, révèle une dispersion modérée du cours autour de sa moyenne. Le kurtosis de -1,000 (mésokurtique) indique une distribution proche de la normale, sans risque excessif de pics extrêmes, ce qui est rassurant pour la gestion du risque. Enfin, la volatilité annualisée de **44,0%** classe ce titre dans la catégorie à volatilité **élevée** (&gt;30%), ce qui est caractéristique des valeurs ayant connu une forte appréciation et qui exige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(32 572,75 FCFA) et la MM50 (30 004,80 FCFA) sont toutes deux supérieures au cours actuel (31 500 FCFA) pour la MM20, mais la MM50 reste en dessous, ce qui traduit une configuration haussière de fond (MM20 &gt; MM50). Le signal d'achat est justifié par le croisement haussier des moyennes et la position du cours au-dessus de la MM50, bien que le repli sous la MM20 suggère une consolidation à court terme.</w:t>
      </w:r>
    </w:p>
    <w:p>
      <w:pPr>
        <w:spacing w:after="120" w:line="276" w:lineRule="auto"/>
      </w:pPr>
      <w:r>
        <w:t>**Bandes de Bollinger** : Le cours (31 500 FCFA) se situe à l'intérieur des bandes, entre la borne inférieure (29 197,69 FCFA) et la borne supérieure (35 947,81 FCFA), plus proche de la borne basse que de la borne haute. Cette position médiane, combinée à un écartement important des bandes, reflète une volatilité élevée et une absence de signal directionnel fort, justifiant la décision **Neutre**.</w:t>
      </w:r>
    </w:p>
    <w:p>
      <w:pPr>
        <w:spacing w:after="120" w:line="276" w:lineRule="auto"/>
      </w:pPr>
      <w:r>
        <w:t>**MACD** : La valeur du MACD (360,90) est nettement inférieure à son signal (915,20), ce qui constitue un croisement baissier et indique un essoufflement du momentum haussier. Cette divergence négative, bien que le MACD reste en territoire positif, justifie la décision de **Vente** à court terme.</w:t>
      </w:r>
    </w:p>
    <w:p>
      <w:pPr>
        <w:spacing w:after="120" w:line="276" w:lineRule="auto"/>
      </w:pPr>
      <w:r>
        <w:t>**RSI** : À 42,39, le RSI se situe en zone neutre (30-70), sans signal de surachat (&gt;70) ni de survente (&lt;30). Cette position médiane indique un équilibre entre acheteurs et vendeurs, sans pression directionnelle claire, d'où la décision **Neutre**.</w:t>
      </w:r>
    </w:p>
    <w:p>
      <w:pPr>
        <w:spacing w:after="120" w:line="276" w:lineRule="auto"/>
      </w:pPr>
      <w:r>
        <w:t>**Stochastique** : Le %K (48,92) est supérieur au %D (25,69), ce qui suggère un croisement haussier naissant et une possible reprise du momentum. Toutefois, les deux lignes restent en zone basse, ce qui tempère la portée du signal et justifie la décision **Neutre**.</w:t>
      </w:r>
    </w:p>
    <w:p>
      <w:pPr>
        <w:spacing w:after="120" w:line="276" w:lineRule="auto"/>
      </w:pPr>
      <w:r>
        <w:t>**Conclusion technique** : Les indicateurs techniques présentent un tableau mitigé. Les moyennes mobiles restent haussières de fond (MM20 &gt; MM50), mais le MACD baissier et le repli sous la MM20 signalent une consolidation à court terme. Le RSI et le stochastique en zone neutre, ainsi que la position médiane dans les bandes de Bollinger, confirment l'absence de tendance directionnelle claire. La convergence des signaux neutres suggère une phase de respiration après la forte hausse, avec un biais légèrement baissier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 réalisé un Produit Net Bancaire (PNB) de **138,986 milliards FCFA**, en croissance de **+6,11%**, et un résultat net de **65,495 milliards FCFA**, en progression spectaculaire de **+36,6%** par rapport à 2024 (47,937 milliards FCFA). La marge nette s'établit à **47,12%**, la marge opérationnelle à **51,77%**, et le ROA à **2,18%**. Le coefficient d'exploitation de **36,39%** est excellent (&lt; 50%), confirmant l'efficacité opérationnelle remarquable de la banque. Le total du bilan atteint **2 997,78 milliards FCFA**, avec des dépôts clientèle de **2 015,28 milliards FCFA** (+14,9%) et des créances clientèle de **1 326,98 milliards FCFA** (+5,4%), soit un ratio de transformation (crédits/dépôts) de 65,8%, témoignant d'une politique de crédit sélective. Le coût du risque, bien qu'élevé dans les données brutes, s'est amélioré de **59,3%** selon le rapport annuel 2025, traduisant l'assainissement réussi du portefeuille.</w:t>
      </w:r>
    </w:p>
    <w:p>
      <w:pPr>
        <w:spacing w:after="120" w:line="276" w:lineRule="auto"/>
      </w:pPr>
      <w:r>
        <w:t>**Évolution temporelle** : L'exercice 2024 avait été marqué par une chute du résultat net de -25,4% (47,9 milliards FCFA) en raison d'une explosion du coût du risque (+72,5%) liée à l'assainissement du portefeuille. L'année 2025 marque un net redressement avec un résultat net de 65,5 milliards FCFA, dépassant même le niveau de 2023 (64,2 milliards FCFA). Les rapports trimestriels 2025 confirment cette dynamique : le T1 2025 (28,7 milliards FCFA de PNB, +2,8%) et le S1 2025 (65,1 milliards FCFA de PNB, +8,75%) montrent une accélération progressive, tandis que le T3 2025 (101,3 milliards FCFA de PNB, +9,65%) et un résultat net de 52,9 milliards FCFA (+6,25%) confirment la solidité de la trajectoire.</w:t>
      </w:r>
    </w:p>
    <w:p>
      <w:pPr>
        <w:spacing w:after="120" w:line="276" w:lineRule="auto"/>
      </w:pPr>
      <w:r>
        <w:t>**Estimations basées sur les rapports trimestriels** : Sur la base du rapport T1 2026 (publié en 2026), le PNB atteint **36,8 milliards FCFA** (+28,5%) et le résultat net **21,5 milliards FCFA** (+22,2%), avec une marge nette de **58,4%** et des dépôts clientèle en forte hausse de **+37,9%** à **2 365,1 milliards FCFA**. On estime donc que l'exercice 2026 devrait enregistrer une nouvelle accélération de la croissance, avec un PNB annualisé potentiellement supérieur à 150 milliards FCFA et un résultat net dépassant les 80 milliards FCFA si la dynamique se maintient. La notation financière **AA/AI avec perspective stable** (Bloomfield Investment Corporation) et le renforcement de la gouvernance avec deux administrateurs indépendants constituent des facteurs de confiance supplémentaires. La convocation de l'Assemblée Générale Ordinaire du 16 avril 2026 pour l'approbation des comptes 2025 et l'affectation du résultat sera un catalyseur potentiel, notamment concernant la politique de dividende.</w:t>
      </w:r>
    </w:p>
    <w:p>
      <w:pPr>
        <w:spacing w:after="120" w:line="276" w:lineRule="auto"/>
      </w:pPr>
      <w:r>
        <w:t>**Recommandation fondamentale** : La solidité financière de CBIBF est incontestable, avec une rentabilité élevée, un coefficient d'exploitation excellent, une croissance soutenue des dépôts et une amélioration notable du coût du risque. Les principaux risques restent l'environnement sécuritaire et politique au Burkina Faso, la concentration géographique et la concurrence accrue. Néanmoins, la dynamique fondamentale est clairement positive.</w:t>
      </w:r>
    </w:p>
    <w:p>
      <w:pPr>
        <w:spacing w:after="120" w:line="276" w:lineRule="auto"/>
      </w:pPr>
      <w:r>
        <w:t>---</w:t>
      </w:r>
    </w:p>
    <w:p>
      <w:pPr>
        <w:spacing w:after="120" w:line="276" w:lineRule="auto"/>
      </w:pPr>
      <w:r>
        <w:t>## PARTIE 4 : CONCLUSION D'INVESTISSEMENT</w:t>
      </w:r>
    </w:p>
    <w:p>
      <w:pPr>
        <w:spacing w:after="120" w:line="276" w:lineRule="auto"/>
      </w:pPr>
      <w:r>
        <w:t>La valorisation de CBIBF (PER 15,4x, EV/EBITDA 11,4x) indique une **surévaluation modérée** par rapport à la moyenne du marché BRVM, mais cette prime se justifie par la qualité des fondamentaux et le statut de leader régional. Le comportement du cours sur 100 jours (+93,85%) est exceptionnel, porté par une tendance haussière solide, avec une volatilité élevée (44%) et une distribution symétrique (skewness -0,133, kurtosis -1,000) qui ne présente pas de risque de pics extrêmes. Les signaux techniques sont **mitigés** : les moyennes mobiles restent haussières de fond, mais le MACD baissier et le repli sous la MM20 signalent une consolidation à court terme, tandis que le RSI et le stochastique en zone neutre confirment l'absence de direction claire. Les fondamentaux sont **excellents** : résultat net 2025 de 65,5 milliards FCFA (+36,6%), coefficient d'exploitation de 36,4%, et perspectives 2026 très favorables avec un T1 2026 affichant un PNB en hausse de +28,5% et un résultat net de +22,2%. Les prédictions IA (J+1 à J+10) anticipent une **baisse progressive** de 30 131 FCFA à 28 815 FCFA, ce qui contredit la dynamique fondamentale mais confirme le signal baissier du MACD et la consolidation technique en cours. Sur la base de cette synthèse, la recommandation finale est **CONSERVER** avec un biais positif à moyen terme : la convergence entre la solidité fondamentale, la croissance des dépôts et l'amélioration du coût du risque soutient le titre, mais la surévaluation relative et la consolidation technique à court terme incitent à la prudence. Le niveau de confiance est **Moyen** (les fondamentaux sont solides mais la technique est incertaine), le risque global est **Moyen à Élevé** (volatilité de 44%, exposition aux risques pays), et l'horizon d'investissement optimal est le **moyen terme (3-12 mois)**, le temps que la consolidation technique s'achève et que les résultats 2026 confirment la trajectoire de croissance.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3,698 titres</w:t>
            </w:r>
          </w:p>
        </w:tc>
        <w:tc>
          <w:tcPr>
            <w:tcW w:type="dxa" w:w="2268"/>
            <w:shd w:fill="FFF2CC" w:val="clear"/>
          </w:tcPr>
          <w:p>
            <w:r>
              <w:rPr>
                <w:b/>
                <w:color w:val="503200"/>
                <w:sz w:val="16"/>
              </w:rPr>
              <w:t xml:space="preserve">Cours actuel : </w:t>
            </w:r>
            <w:r>
              <w:rPr>
                <w:color w:val="000000"/>
                <w:sz w:val="17"/>
              </w:rPr>
              <w:t>1,555 FCFA</w:t>
            </w:r>
          </w:p>
          <w:p>
            <w:r>
              <w:rPr>
                <w:b/>
                <w:color w:val="503200"/>
                <w:sz w:val="16"/>
              </w:rPr>
              <w:t xml:space="preserve">Var. 100 jours : </w:t>
            </w:r>
            <w:r>
              <w:rPr>
                <w:b/>
                <w:color w:val="007800"/>
                <w:sz w:val="17"/>
              </w:rPr>
              <w:t>+8.74%</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6.64% (Moyenne) — μ=1,626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β=1.2127 (Agressif) — Cov=0.000074, Var(idx)=0.000061, ρ=0.312,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3,698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1,489</w:t>
            </w:r>
          </w:p>
        </w:tc>
        <w:tc>
          <w:tcPr>
            <w:tcW w:type="dxa" w:w="1440"/>
            <w:shd w:fill="FAFAFA" w:val="clear"/>
          </w:tcPr>
          <w:p>
            <w:r>
              <w:rPr>
                <w:b/>
                <w:sz w:val="17"/>
              </w:rPr>
              <w:t>1,554</w:t>
            </w:r>
          </w:p>
        </w:tc>
        <w:tc>
          <w:tcPr>
            <w:tcW w:type="dxa" w:w="1440"/>
            <w:shd w:fill="FAFAFA" w:val="clear"/>
          </w:tcPr>
          <w:p>
            <w:r>
              <w:rPr>
                <w:sz w:val="17"/>
              </w:rPr>
              <w:t>1,618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1,470</w:t>
            </w:r>
          </w:p>
        </w:tc>
        <w:tc>
          <w:tcPr>
            <w:tcW w:type="dxa" w:w="1440"/>
            <w:shd w:fill="FAFAFA" w:val="clear"/>
          </w:tcPr>
          <w:p>
            <w:r>
              <w:rPr>
                <w:b/>
                <w:sz w:val="17"/>
              </w:rPr>
              <w:t>1,561</w:t>
            </w:r>
          </w:p>
        </w:tc>
        <w:tc>
          <w:tcPr>
            <w:tcW w:type="dxa" w:w="1440"/>
            <w:shd w:fill="FAFAFA" w:val="clear"/>
          </w:tcPr>
          <w:p>
            <w:r>
              <w:rPr>
                <w:sz w:val="17"/>
              </w:rPr>
              <w:t>1,652</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1,455</w:t>
            </w:r>
          </w:p>
        </w:tc>
        <w:tc>
          <w:tcPr>
            <w:tcW w:type="dxa" w:w="1440"/>
            <w:shd w:fill="FAFAFA" w:val="clear"/>
          </w:tcPr>
          <w:p>
            <w:r>
              <w:rPr>
                <w:b/>
                <w:sz w:val="17"/>
              </w:rPr>
              <w:t>1,568</w:t>
            </w:r>
          </w:p>
        </w:tc>
        <w:tc>
          <w:tcPr>
            <w:tcW w:type="dxa" w:w="1440"/>
            <w:shd w:fill="FAFAFA" w:val="clear"/>
          </w:tcPr>
          <w:p>
            <w:r>
              <w:rPr>
                <w:sz w:val="17"/>
              </w:rPr>
              <w:t>1,680</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1,444</w:t>
            </w:r>
          </w:p>
        </w:tc>
        <w:tc>
          <w:tcPr>
            <w:tcW w:type="dxa" w:w="1440"/>
            <w:shd w:fill="FAFAFA" w:val="clear"/>
          </w:tcPr>
          <w:p>
            <w:r>
              <w:rPr>
                <w:b/>
                <w:sz w:val="17"/>
              </w:rPr>
              <w:t>1,574</w:t>
            </w:r>
          </w:p>
        </w:tc>
        <w:tc>
          <w:tcPr>
            <w:tcW w:type="dxa" w:w="1440"/>
            <w:shd w:fill="FAFAFA" w:val="clear"/>
          </w:tcPr>
          <w:p>
            <w:r>
              <w:rPr>
                <w:sz w:val="17"/>
              </w:rPr>
              <w:t>1,704</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1,434</w:t>
            </w:r>
          </w:p>
        </w:tc>
        <w:tc>
          <w:tcPr>
            <w:tcW w:type="dxa" w:w="1440"/>
            <w:shd w:fill="FAFAFA" w:val="clear"/>
          </w:tcPr>
          <w:p>
            <w:r>
              <w:rPr>
                <w:b/>
                <w:sz w:val="17"/>
              </w:rPr>
              <w:t>1,581</w:t>
            </w:r>
          </w:p>
        </w:tc>
        <w:tc>
          <w:tcPr>
            <w:tcW w:type="dxa" w:w="1440"/>
            <w:shd w:fill="FAFAFA" w:val="clear"/>
          </w:tcPr>
          <w:p>
            <w:r>
              <w:rPr>
                <w:sz w:val="17"/>
              </w:rPr>
              <w:t>1,727</w:t>
            </w:r>
          </w:p>
        </w:tc>
        <w:tc>
          <w:tcPr>
            <w:tcW w:type="dxa" w:w="1440"/>
            <w:shd w:fill="FAFAFA" w:val="clear"/>
          </w:tcPr>
          <w:p>
            <w:r>
              <w:rPr>
                <w:b/>
                <w:color w:val="008000"/>
                <w:sz w:val="17"/>
              </w:rPr>
              <w:t>+1.7%</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1,426</w:t>
            </w:r>
          </w:p>
        </w:tc>
        <w:tc>
          <w:tcPr>
            <w:tcW w:type="dxa" w:w="1440"/>
            <w:shd w:fill="C6EFCE" w:val="clear"/>
          </w:tcPr>
          <w:p>
            <w:r>
              <w:rPr>
                <w:b/>
                <w:sz w:val="17"/>
              </w:rPr>
              <w:t>1,587</w:t>
            </w:r>
          </w:p>
        </w:tc>
        <w:tc>
          <w:tcPr>
            <w:tcW w:type="dxa" w:w="1440"/>
            <w:shd w:fill="C6EFCE" w:val="clear"/>
          </w:tcPr>
          <w:p>
            <w:r>
              <w:rPr>
                <w:sz w:val="17"/>
              </w:rPr>
              <w:t>1,748</w:t>
            </w:r>
          </w:p>
        </w:tc>
        <w:tc>
          <w:tcPr>
            <w:tcW w:type="dxa" w:w="1440"/>
            <w:shd w:fill="C6EFCE" w:val="clear"/>
          </w:tcPr>
          <w:p>
            <w:r>
              <w:rPr>
                <w:b/>
                <w:color w:val="008000"/>
                <w:sz w:val="17"/>
              </w:rPr>
              <w:t>+2.1%</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1,419</w:t>
            </w:r>
          </w:p>
        </w:tc>
        <w:tc>
          <w:tcPr>
            <w:tcW w:type="dxa" w:w="1440"/>
            <w:shd w:fill="C6EFCE" w:val="clear"/>
          </w:tcPr>
          <w:p>
            <w:r>
              <w:rPr>
                <w:b/>
                <w:sz w:val="17"/>
              </w:rPr>
              <w:t>1,594</w:t>
            </w:r>
          </w:p>
        </w:tc>
        <w:tc>
          <w:tcPr>
            <w:tcW w:type="dxa" w:w="1440"/>
            <w:shd w:fill="C6EFCE" w:val="clear"/>
          </w:tcPr>
          <w:p>
            <w:r>
              <w:rPr>
                <w:sz w:val="17"/>
              </w:rPr>
              <w:t>1,768</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1,413</w:t>
            </w:r>
          </w:p>
        </w:tc>
        <w:tc>
          <w:tcPr>
            <w:tcW w:type="dxa" w:w="1440"/>
            <w:shd w:fill="C6EFCE" w:val="clear"/>
          </w:tcPr>
          <w:p>
            <w:r>
              <w:rPr>
                <w:b/>
                <w:sz w:val="17"/>
              </w:rPr>
              <w:t>1,600</w:t>
            </w:r>
          </w:p>
        </w:tc>
        <w:tc>
          <w:tcPr>
            <w:tcW w:type="dxa" w:w="1440"/>
            <w:shd w:fill="C6EFCE" w:val="clear"/>
          </w:tcPr>
          <w:p>
            <w:r>
              <w:rPr>
                <w:sz w:val="17"/>
              </w:rPr>
              <w:t>1,787</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1,407</w:t>
            </w:r>
          </w:p>
        </w:tc>
        <w:tc>
          <w:tcPr>
            <w:tcW w:type="dxa" w:w="1440"/>
            <w:shd w:fill="C6EFCE" w:val="clear"/>
          </w:tcPr>
          <w:p>
            <w:r>
              <w:rPr>
                <w:b/>
                <w:sz w:val="17"/>
              </w:rPr>
              <w:t>1,606</w:t>
            </w:r>
          </w:p>
        </w:tc>
        <w:tc>
          <w:tcPr>
            <w:tcW w:type="dxa" w:w="1440"/>
            <w:shd w:fill="C6EFCE" w:val="clear"/>
          </w:tcPr>
          <w:p>
            <w:r>
              <w:rPr>
                <w:sz w:val="17"/>
              </w:rPr>
              <w:t>1,806</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1,401</w:t>
            </w:r>
          </w:p>
        </w:tc>
        <w:tc>
          <w:tcPr>
            <w:tcW w:type="dxa" w:w="1440"/>
            <w:shd w:fill="C6EFCE" w:val="clear"/>
          </w:tcPr>
          <w:p>
            <w:r>
              <w:rPr>
                <w:b/>
                <w:sz w:val="17"/>
              </w:rPr>
              <w:t>1,612</w:t>
            </w:r>
          </w:p>
        </w:tc>
        <w:tc>
          <w:tcPr>
            <w:tcW w:type="dxa" w:w="1440"/>
            <w:shd w:fill="C6EFCE" w:val="clear"/>
          </w:tcPr>
          <w:p>
            <w:r>
              <w:rPr>
                <w:sz w:val="17"/>
              </w:rPr>
              <w:t>1,823</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282,03 milliards FCFA, CFAC figure parmi les valeurs les plus importantes de la cote BRVM, ce qui témoigne de son statut de leader incontesté du marché automobile ivoirien. Le BPA de 26 FCFA/action signifie que chaque titre génère 26 FCFA de bénéfice net, mais le PER de 60,1x révèle que les investisseurs paient environ 60 fois ces bénéfices, soit un niveau très supérieur à la moyenne BRVM (8-12x) — signal clair de surévaluation ou d'anticipations de croissance très optimistes. Le P/B de 14,50x confirme cette prime excessive : le marché valorise l'entreprise à plus de 14 fois sa valeur comptable, bien au-delà du seuil de 4x généralement considéré comme exigeant. Enfin, l'EV/EBITDA de 30,6x (contre un seuil de vigilance de 15x) indique que la valeur d'entreprise incluant la dette représente plus de 30 fois la capacité opérationnelle, ce qui traduit une valorisation tendue nécessitant une prudence marquée.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positive de +8,74%, avec une dernière séance en hausse de +0,97%, portant le cours actuel à 1 555 FCFA. Le range de trading s'établit entre un plus haut de 1 825 FCFA et un plus bas de 1 325 FCFA, soit une amplitude de 500 FCFA (37,7%) qui traduit une réelle volatilité intra-période. La tendance générale reste toutefois baissière depuis le pic, le cours actuel se situant à environ 15% en dessous du plus haut, ce qui suggère une phase de correction après un rallye haussier antérieur. Les statistiques descriptives révèlent une moyenne de 1 626 FCFA légèrement supérieure à la médiane de 1 642 FCFA — écart faible indiquant une distribution quasi-symétrique — tandis que le mode à 1 600 FCFA confirme cette zone de concentration. L'écart-type de 108 FCFA avec un coefficient de variation de 6,7% indique une dispersion modérée du cours autour de sa moyenne, et le kurtosis de -0,242 (mésokurtique) suggère une distribution proche de la normale, sans risque excessif de pics extrêmes. Le skewness de -0,600 révèle une asymétrie négative : davantage de journées se situent au-dessus de la moyenne, mais les baisses sont plus amples que les hausses, signalant une pression vendeuse latente. La volatilité annualisée de 48,0% classe ce titre dans la catégorie des valeurs très volatiles (&gt;30%), ce qui implique un risque de marché élevé et une prime de risque exigée importante.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(1 671,5 FCFA) et la MM50 (1 672,7 FCFA) sont quasiment confondues et toutes deux nettement supérieures au cours actuel de 1 555 FCFA, ce qui place le titre en position baissière sous ses moyennes. Cette configuration où le cours évolue sous des moyennes mobiles plates et proches l'une de l'autre traduit une tendance baissière établie, justifiant la décision technique de **Vente**.</w:t>
      </w:r>
    </w:p>
    <w:p>
      <w:pPr>
        <w:spacing w:after="120" w:line="276" w:lineRule="auto"/>
      </w:pPr>
      <w:r>
        <w:t>**Bandes de Bollinger** : Le cours actuel (1 555 FCFA) se situe dans la moitié inférieure de la bande, entre la borne inférieure (1 512,387 FCFA) et la borne supérieure (1 830,613 FCFA), sans atteindre les extrêmes. Cette position médiane-basse indique une absence de signal directionnel fort, avec une volatilité contenue dans les bandes, justifiant la décision **Neutre** — le titre n'est ni en surachat ni en survente technique selon ce critère.</w:t>
      </w:r>
    </w:p>
    <w:p>
      <w:pPr>
        <w:spacing w:after="120" w:line="276" w:lineRule="auto"/>
      </w:pPr>
      <w:r>
        <w:t>**MACD** : La valeur du MACD (-39,085) est nettement inférieure à son signal (-18,191), et les deux lignes évoluent en territoire négatif. Cette divergence baissière persistante indique un momentum négatif dominant, avec une pression vendeuse qui n'est pas encore résorbée, confirmant la décision de **Vente**.</w:t>
      </w:r>
    </w:p>
    <w:p>
      <w:pPr>
        <w:spacing w:after="120" w:line="276" w:lineRule="auto"/>
      </w:pPr>
      <w:r>
        <w:t>**RSI** : À 27,711, le RSI se situe en zone de survente (&lt;30), ce qui constitue un signal d'achat technique contracyclique. Cette lecture suggère que le titre a été excessivement vendu à court terme et qu'un rebond technique est probable, justifiant la décision **Achat** — c'est le seul indicateur clairement haussier du tableau.</w:t>
      </w:r>
    </w:p>
    <w:p>
      <w:pPr>
        <w:spacing w:after="120" w:line="276" w:lineRule="auto"/>
      </w:pPr>
      <w:r>
        <w:t>**Stochastique** : Le %K (30,0) est supérieur au %D (17,692), et les deux évoluent en zone basse. Le croisement récent du %K au-dessus du %D en zone de survente constitue un signal haussier naissant, mais la faiblesse des niveaux absolus incite à la prudence, d'où la décision **Neutre**.</w:t>
      </w:r>
    </w:p>
    <w:p>
      <w:pPr>
        <w:spacing w:after="120" w:line="276" w:lineRule="auto"/>
      </w:pPr>
      <w:r>
        <w:t>**Conclusion technique** : Les indicateurs techniques présentent un tableau contrasté. La majorité (MM, MACD) pointe vers une tendance baissière persistante, tandis que le RSI en survente et le croisement stochastique suggèrent un potentiel rebond à court terme. Cette divergence entre momentum baissier et signaux de retournement crée une configuration incertaine, où le titre pourrait connaître une stabilisation voire un rebond technique, mais sans confirmation d'inversion de tendance durable. La prudence reste de mise tant que le cours n'aura pas reconquis ses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(rapport des états financiers 2024, daté du 31/12/2024). Le ROE s'établit à 24,13% — niveau excellent (&gt;15%) malgré la baisse — et le ROA à 5,52%, confirmant la capacité de l'entreprise à générer des profits sur ses actifs. En tant qu'entreprise non bancaire, les délais d'exploitation sont critiques : le délai clients de 36,64 jours est modéré, mais le délai fournisseurs de 81,75 jours et la durée de stockage de 88,35 jours immobilisent du capital. Le BFR est négatif à -3,482 milliards FCFA (favorable), mais la trésorerie nette est négative à -624,20 millions FCFA, et le Free Cash Flow s'établit à -1,650 milliard FCFA en raison d'investissements lourds (-8,741 milliards FCFA). L'autonomie financière de 22,88% est inférieure au seuil sain de 30%, et la liquidité générale de 93,63% est juste sous l'unité, signalant une trésorerie tendue.</w:t>
      </w:r>
    </w:p>
    <w:p>
      <w:pPr>
        <w:spacing w:after="120" w:line="276" w:lineRule="auto"/>
      </w:pPr>
      <w:r>
        <w:t>Les rapports trimestriels 2025 (T1, S1, T3) témoignent d'un redressement spectaculaire : le chiffre d'affaires du T3 2025 atteint 43,580 milliards FCFA (+18,3% vs T3 2024), avec un résultat net de 1,489 milliard FCFA (+38,1%) et une part de marché de 41,7% (rapport T3 2025, daté du 30/09/2025). Le S1 2025 affiche un CA de 91,182 milliards FCFA (+18,4%) et un résultat net de 5,420 milliards FCFA (+152,7%), avec une marge nette passant de 2,8% à 5,9% (rapport S1 2025, daté du 30/06/2025). Sur la base de ces tendances, on estime que l'exercice 2025 devrait clôturer avec un CA proche de 180 milliards FCFA et un résultat net autour de 8-9 milliards FCFA, marquant un net redressement après l'exercice 2024 difficile. La politique de dividende reste généreuse (3,2 milliards FCFA versés en 2024), mais le taux de distribution élevé (88,1% en 2023) et la trésorerie négative constituent des risques à surveiller. La recommandation fondamentale est **CONSERVER avec vigilance** : la solidité du leadership et le redressement 2025 sont indéniables, mais la valorisation boursière exigeante et les tensions de trésorerie limitent le potentiel d'appréciation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surévaluée : le PER de 60,1x, le P/B de 14,50x et l'EV/EBITDA de 30,6x dépassent largement les moyennes du marché et les seuils de prudence, indiquant que le marché a déjà intégré des anticipations de croissance très optimistes. Le comportement du cours (Partie 1) est préoccupant : malgré une variation positive de +8,74% sur 100 jours, le titre est en correction de -15% depuis son plus haut, avec une volatilité annualisée de 48% (très élevée) et un skewness négatif (-0,600) signalant une asymétrie défavorable aux haussiers. Les signaux techniques (Partie 2) sont divergents : les moyennes mobiles et le MACD confirment une tendance baissière, tandis que le RSI en survente (27,7) et le croisement stochastique suggèrent un rebond technique imminent — cette divergence crée une incertitude directionnelle. Les fondamentaux (Partie 3) offrent un tableau contrasté : l'exercice 2024 a été difficile (CA -12,1%, RN -26,7%), mais les rapports trimestriels 2025 montrent un redressement spectaculaire (+18,3% de CA au T3, +152,7% de RN au S1), avec un ROE de 24,13% et une position de leader (41,7% de part de marché) — toutefois, la trésorerie négative et l'autonomie financière faible (22,88%) tempèrent l'optimisme. Les prédictions IA (J+1 à J+10) anticipent une légère hausse de 1 554 à 1 581 FCFA (+1,7%), ce qui confirme le potentiel de rebond technique à court terme mais sans inversion majeure de tendance.</w:t>
      </w:r>
    </w:p>
    <w:p>
      <w:pPr>
        <w:spacing w:after="120" w:line="276" w:lineRule="auto"/>
      </w:pPr>
      <w:r>
        <w:t>**Recommandation finale : CONSERVER**</w:t>
      </w:r>
    </w:p>
    <w:p>
      <w:pPr>
        <w:spacing w:after="120" w:line="276" w:lineRule="auto"/>
      </w:pPr>
      <w:r>
        <w:t>Cette recommandation résulte d'une convergence partielle des signaux : la surévaluation boursière et la tendance technique baissière plaident pour la prudence, tandis que le redressement fondamental 2025 et le RSI en survente offrent un potentiel de rebond limité. Le niveau de confiance est **Moyen** — les données fondamentales sont solides mais la valorisation exigeante et les risques de trésorerie créent une incertitude. Le niveau de risque global est **Élevé** en raison de la volatilité de 48%, de la sensibilité au cycle automobile et de la pression sur les marges. L'horizon d'investissement optimal est **moyen terme (3-12 mois)** : attendre la confirmation du redressement 2025 et une correction de la valorisation avant d'envisager un renforcement, ou surveiller les signaux techniques de retournement pour un point d'entrée plus favorable.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360.64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7,201 titres</w:t>
            </w:r>
          </w:p>
        </w:tc>
        <w:tc>
          <w:tcPr>
            <w:tcW w:type="dxa" w:w="2268"/>
            <w:shd w:fill="FFF2CC" w:val="clear"/>
          </w:tcPr>
          <w:p>
            <w:r>
              <w:rPr>
                <w:b/>
                <w:color w:val="503200"/>
                <w:sz w:val="16"/>
              </w:rPr>
              <w:t xml:space="preserve">Cours actuel : </w:t>
            </w:r>
            <w:r>
              <w:rPr>
                <w:color w:val="000000"/>
                <w:sz w:val="17"/>
              </w:rPr>
              <w:t>6,440 FCFA</w:t>
            </w:r>
          </w:p>
          <w:p>
            <w:r>
              <w:rPr>
                <w:b/>
                <w:color w:val="503200"/>
                <w:sz w:val="16"/>
              </w:rPr>
              <w:t xml:space="preserve">Var. 100 jours : </w:t>
            </w:r>
            <w:r>
              <w:rPr>
                <w:b/>
                <w:color w:val="007800"/>
                <w:sz w:val="17"/>
              </w:rPr>
              <w:t>+102.20%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3,010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20.97% (Élevée) — μ=5,313 FCFA, σ=1,114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β=0.8889 (Neutre (suit le marché)) — Cov=0.000054, Var(idx)=0.000061, ρ=0.211,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7,201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5,907</w:t>
            </w:r>
          </w:p>
        </w:tc>
        <w:tc>
          <w:tcPr>
            <w:tcW w:type="dxa" w:w="1440"/>
            <w:shd w:fill="FFDCE0" w:val="clear"/>
          </w:tcPr>
          <w:p>
            <w:r>
              <w:rPr>
                <w:b/>
                <w:sz w:val="17"/>
              </w:rPr>
              <w:t>6,282</w:t>
            </w:r>
          </w:p>
        </w:tc>
        <w:tc>
          <w:tcPr>
            <w:tcW w:type="dxa" w:w="1440"/>
            <w:shd w:fill="FFDCE0" w:val="clear"/>
          </w:tcPr>
          <w:p>
            <w:r>
              <w:rPr>
                <w:sz w:val="17"/>
              </w:rPr>
              <w:t>6,656</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5,660</w:t>
            </w:r>
          </w:p>
        </w:tc>
        <w:tc>
          <w:tcPr>
            <w:tcW w:type="dxa" w:w="1440"/>
            <w:shd w:fill="FFDCE0" w:val="clear"/>
          </w:tcPr>
          <w:p>
            <w:r>
              <w:rPr>
                <w:b/>
                <w:sz w:val="17"/>
              </w:rPr>
              <w:t>6,181</w:t>
            </w:r>
          </w:p>
        </w:tc>
        <w:tc>
          <w:tcPr>
            <w:tcW w:type="dxa" w:w="1440"/>
            <w:shd w:fill="FFDCE0" w:val="clear"/>
          </w:tcPr>
          <w:p>
            <w:r>
              <w:rPr>
                <w:sz w:val="17"/>
              </w:rPr>
              <w:t>6,702</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5,460</w:t>
            </w:r>
          </w:p>
        </w:tc>
        <w:tc>
          <w:tcPr>
            <w:tcW w:type="dxa" w:w="1440"/>
            <w:shd w:fill="FFDCE0" w:val="clear"/>
          </w:tcPr>
          <w:p>
            <w:r>
              <w:rPr>
                <w:b/>
                <w:sz w:val="17"/>
              </w:rPr>
              <w:t>6,089</w:t>
            </w:r>
          </w:p>
        </w:tc>
        <w:tc>
          <w:tcPr>
            <w:tcW w:type="dxa" w:w="1440"/>
            <w:shd w:fill="FFDCE0" w:val="clear"/>
          </w:tcPr>
          <w:p>
            <w:r>
              <w:rPr>
                <w:sz w:val="17"/>
              </w:rPr>
              <w:t>6,718</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5,321</w:t>
            </w:r>
          </w:p>
        </w:tc>
        <w:tc>
          <w:tcPr>
            <w:tcW w:type="dxa" w:w="1440"/>
            <w:shd w:fill="FFDCE0" w:val="clear"/>
          </w:tcPr>
          <w:p>
            <w:r>
              <w:rPr>
                <w:b/>
                <w:sz w:val="17"/>
              </w:rPr>
              <w:t>6,042</w:t>
            </w:r>
          </w:p>
        </w:tc>
        <w:tc>
          <w:tcPr>
            <w:tcW w:type="dxa" w:w="1440"/>
            <w:shd w:fill="FFDCE0" w:val="clear"/>
          </w:tcPr>
          <w:p>
            <w:r>
              <w:rPr>
                <w:sz w:val="17"/>
              </w:rPr>
              <w:t>6,762</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5,209</w:t>
            </w:r>
          </w:p>
        </w:tc>
        <w:tc>
          <w:tcPr>
            <w:tcW w:type="dxa" w:w="1440"/>
            <w:shd w:fill="FFDCE0" w:val="clear"/>
          </w:tcPr>
          <w:p>
            <w:r>
              <w:rPr>
                <w:b/>
                <w:sz w:val="17"/>
              </w:rPr>
              <w:t>6,011</w:t>
            </w:r>
          </w:p>
        </w:tc>
        <w:tc>
          <w:tcPr>
            <w:tcW w:type="dxa" w:w="1440"/>
            <w:shd w:fill="FFDCE0" w:val="clear"/>
          </w:tcPr>
          <w:p>
            <w:r>
              <w:rPr>
                <w:sz w:val="17"/>
              </w:rPr>
              <w:t>6,812</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5,111</w:t>
            </w:r>
          </w:p>
        </w:tc>
        <w:tc>
          <w:tcPr>
            <w:tcW w:type="dxa" w:w="1440"/>
            <w:shd w:fill="FFDCE0" w:val="clear"/>
          </w:tcPr>
          <w:p>
            <w:r>
              <w:rPr>
                <w:b/>
                <w:sz w:val="17"/>
              </w:rPr>
              <w:t>5,985</w:t>
            </w:r>
          </w:p>
        </w:tc>
        <w:tc>
          <w:tcPr>
            <w:tcW w:type="dxa" w:w="1440"/>
            <w:shd w:fill="FFDCE0" w:val="clear"/>
          </w:tcPr>
          <w:p>
            <w:r>
              <w:rPr>
                <w:sz w:val="17"/>
              </w:rPr>
              <w:t>6,860</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5,024</w:t>
            </w:r>
          </w:p>
        </w:tc>
        <w:tc>
          <w:tcPr>
            <w:tcW w:type="dxa" w:w="1440"/>
            <w:shd w:fill="FFDCE0" w:val="clear"/>
          </w:tcPr>
          <w:p>
            <w:r>
              <w:rPr>
                <w:b/>
                <w:sz w:val="17"/>
              </w:rPr>
              <w:t>5,965</w:t>
            </w:r>
          </w:p>
        </w:tc>
        <w:tc>
          <w:tcPr>
            <w:tcW w:type="dxa" w:w="1440"/>
            <w:shd w:fill="FFDCE0" w:val="clear"/>
          </w:tcPr>
          <w:p>
            <w:r>
              <w:rPr>
                <w:sz w:val="17"/>
              </w:rPr>
              <w:t>6,906</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4,945</w:t>
            </w:r>
          </w:p>
        </w:tc>
        <w:tc>
          <w:tcPr>
            <w:tcW w:type="dxa" w:w="1440"/>
            <w:shd w:fill="FFDCE0" w:val="clear"/>
          </w:tcPr>
          <w:p>
            <w:r>
              <w:rPr>
                <w:b/>
                <w:sz w:val="17"/>
              </w:rPr>
              <w:t>5,949</w:t>
            </w:r>
          </w:p>
        </w:tc>
        <w:tc>
          <w:tcPr>
            <w:tcW w:type="dxa" w:w="1440"/>
            <w:shd w:fill="FFDCE0" w:val="clear"/>
          </w:tcPr>
          <w:p>
            <w:r>
              <w:rPr>
                <w:sz w:val="17"/>
              </w:rPr>
              <w:t>6,952</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4,874</w:t>
            </w:r>
          </w:p>
        </w:tc>
        <w:tc>
          <w:tcPr>
            <w:tcW w:type="dxa" w:w="1440"/>
            <w:shd w:fill="FFDCE0" w:val="clear"/>
          </w:tcPr>
          <w:p>
            <w:r>
              <w:rPr>
                <w:b/>
                <w:sz w:val="17"/>
              </w:rPr>
              <w:t>5,937</w:t>
            </w:r>
          </w:p>
        </w:tc>
        <w:tc>
          <w:tcPr>
            <w:tcW w:type="dxa" w:w="1440"/>
            <w:shd w:fill="FFDCE0" w:val="clear"/>
          </w:tcPr>
          <w:p>
            <w:r>
              <w:rPr>
                <w:sz w:val="17"/>
              </w:rPr>
              <w:t>6,999</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4,809</w:t>
            </w:r>
          </w:p>
        </w:tc>
        <w:tc>
          <w:tcPr>
            <w:tcW w:type="dxa" w:w="1440"/>
            <w:shd w:fill="FFDCE0" w:val="clear"/>
          </w:tcPr>
          <w:p>
            <w:r>
              <w:rPr>
                <w:b/>
                <w:sz w:val="17"/>
              </w:rPr>
              <w:t>5,927</w:t>
            </w:r>
          </w:p>
        </w:tc>
        <w:tc>
          <w:tcPr>
            <w:tcW w:type="dxa" w:w="1440"/>
            <w:shd w:fill="FFDCE0" w:val="clear"/>
          </w:tcPr>
          <w:p>
            <w:r>
              <w:rPr>
                <w:sz w:val="17"/>
              </w:rPr>
              <w:t>7,044</w:t>
            </w:r>
          </w:p>
        </w:tc>
        <w:tc>
          <w:tcPr>
            <w:tcW w:type="dxa" w:w="1440"/>
            <w:shd w:fill="FFDCE0" w:val="clear"/>
          </w:tcPr>
          <w:p>
            <w:r>
              <w:rPr>
                <w:b/>
                <w:color w:val="C00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360,64 milliards FCFA, la CIEC s'impose comme l'une des plus importantes capitalisations de la BRVM, ce qui témoigne de son statut d'entreprise stratégique dans le paysage boursier ouest-africain. Le BPA de 234 FCFA/action indique que chaque titre génère un bénéfice net de 234 FCFA, un niveau correct mais qui, rapporté au cours actuel de 6 440 FCFA, aboutit à un PER de 27,5x — très nettement supérieur à la moyenne BRVM (~8-12x), signalant que les investisseurs paient une prime très généreuse pour les bénéfices actuels, anticipant probablement la croissance future ou se positionnant sur la rareté du titre. Le P/B de 10,03x confirme cette valorisation exigeante : le marché valorise l'entreprise à plus de 10 fois sa valeur comptable, ce qui est très élevé et traduit une forte prime liée à la qualité de la concession et à la visibilité des cash-flows. Enfin, l'EV/EBITDA de 14,8x, dans la fourchette haute (10-15x), indique que la valeur totale de l'entreprise (dette incluse) représente près de 15 fois sa capacité opérationnelle, confirmant une valorisation tendue qui intègre déjà une bonne partie des perspectives de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+102,20%, avec une dernière séance en hausse de +4,72%, portant le cours à 6 440 FCFA. Le titre a évolué dans un range très large, entre un plus bas de 3 010 FCFA et un plus haut de 7 400 FCFA, soit une amplitude de plus de 145%, ce qui traduit une dynamique haussière puissante mais aussi une forte nervosité. La tendance générale est clairement haussière, portée par un intérêt marqué des investisseurs pour le secteur électrique ivoirien et les résultats solides de l'entreprise. Les statistiques descriptives révèlent une moyenne de 5 313 FCFA légèrement supérieure à la médiane de 5 200 FCFA, avec un mode à 4 995 FCFA : l'écart modéré entre moyenne et médiane suggère une distribution quasi symétrique, confirmée par un skewness de -0,154 (distribution symétrique). L'écart-type de 1 120 FCFA et le coefficient de variation de 21,1% indiquent une dispersion significative du cours autour de sa moyenne, tandis que le kurtosis de -0,519 (mésokurtique) signale une distribution proche de la normale, sans risque excessif de pics extrêmes. La volatilité annualisée de 51,9% classe le titre dans la catégorie des valeurs très volatiles (&gt;30%), ce qui implique un risque de marché élevé et justifie une approche prudente malgré le momentum haussier.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6 718 FCFA et la MM50 à 6 074,3 FCFA, toutes deux supérieures au cours actuel de 6 440 FCFA. Le cours évolue donc légèrement sous sa MM20 mais au-dessus de sa MM50, ce qui traduit un ralentissement de court terme au sein d'une tendance de fond toujours haussière. La décision affichée est "Achat", cohérente avec la configuration MM20 &gt; MM50 (croisement haussier) qui valide la tendance positive de moyen terme.</w:t>
      </w:r>
    </w:p>
    <w:p>
      <w:pPr>
        <w:spacing w:after="120" w:line="276" w:lineRule="auto"/>
      </w:pPr>
      <w:r>
        <w:t>**Bandes de Bollinger** : La borne supérieure se situe à 7 417,017 FCFA et la borne inférieure à 6 018,983 FCFA, avec un cours actuel de 6 440 FCFA positionné dans la partie basse de la bande (environ 30% de la largeur). Cette position suggère que le titre a corrigé depuis ses plus hauts récents et se rapproche de la zone de support, sans être encore en survente. La décision "Neutre" reflète l'absence de signal directionnel fort, le cours évoluant dans un canal de volatilité normale.</w:t>
      </w:r>
    </w:p>
    <w:p>
      <w:pPr>
        <w:spacing w:after="120" w:line="276" w:lineRule="auto"/>
      </w:pPr>
      <w:r>
        <w:t>**MACD** : La valeur du MACD (28,972) est très inférieure à son signal (152,483), ce qui génère une divergence baissière marquée et un momentum négatif. Cette configuration indique que la dynamique haussière s'essouffle et que le titre pourrait poursuivre sa correction à court terme. La décision "Vente" est cohérente avec ce signal de retournement.</w:t>
      </w:r>
    </w:p>
    <w:p>
      <w:pPr>
        <w:spacing w:after="120" w:line="276" w:lineRule="auto"/>
      </w:pPr>
      <w:r>
        <w:t>**RSI** : À 36,667, le RSI se situe dans la zone neutre basse (30-70), sans atteindre la zone de survente (&lt;30). Cela signifie que le titre n'est ni suracheté ni survendu, mais que la pression vendeuse récente a ramené l'indicateur vers le bas de la fourchette neutre. La décision "Neutre" est appropriée, aucun signal extrême n'étant présent.</w:t>
      </w:r>
    </w:p>
    <w:p>
      <w:pPr>
        <w:spacing w:after="120" w:line="276" w:lineRule="auto"/>
      </w:pPr>
      <w:r>
        <w:t>**Stochastique** : Le %K (23,2) est supérieur au %D (7,733), avec un croisement récent à la hausse en zone basse, ce qui pourrait annoncer un rebond technique à court terme. Cependant, les deux valeurs restent en territoire de survente (&lt;20 pour le %D), ce qui confirme la faiblesse récente du cours. La décision "Neutre" reflète l'ambiguïté entre le potentiel de rebond et la pression baissière persistante.</w:t>
      </w:r>
    </w:p>
    <w:p>
      <w:pPr>
        <w:spacing w:after="120" w:line="276" w:lineRule="auto"/>
      </w:pPr>
      <w:r>
        <w:t>**Conclusion technique** : Les indicateurs techniques présentent un tableau mitigé. La tendance de fond reste haussière (MM20 &gt; MM50, décision "Achat" sur les moyennes mobiles), mais les signaux de court terme sont majoritairement baissiers ou neutres (MACD en divergence baissière, cours sous la MM20, RSI et Stochastique en zone basse). Le titre se trouve dans une phase de correction au sein d'une tendance haussière plus large, avec un potentiel de rebond technique (Stochastique) mais une pression vendeuse encore présente. La convergence des signaux ne plaide pas pour un achat immédiat, mais plutôt pour une surveillance attentive des niveaux de support (6 019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brossent le portrait d'une entreprise en forte croissance mais à la structure financière déséquilibrée. En 2025, la CIEC a réalisé un chiffre d'affaires de 302,320 milliards FCFA, en progression de +14,82% par rapport à 2024, portée par la hausse des ventes d'énergie (+8,3% en volume) et l'expansion de la base clientèle (+15,1% à 5 282 283 clients). Le résultat net s'élève à 13,127 milliards FCFA, en hausse de +24,4%, avec une marge nette de 4,34% — modeste mais typique d'un service public régulé. Le ROE atteint 36,50%, un niveau excellent (&gt;15%) qui témoigne d'une rentabilité remarquable des fonds propres, bien que le ROA ne soit que de 0,65%, reflétant la lourdeur de l'actif (2 018,446 milliards FCFA) et la faible rotation des actifs (14,98%). En tant qu'entreprise non bancaire, l'analyse des délais d'exploitation est cruciale : le délai clients de 164 jours constitue un risque de trésorerie significatif, tandis que le délai fournisseurs de 970 jours est exceptionnellement long et favorable à la trésorerie, et la durée de stockage de 175 jours immobilise du capital. Le BFR est négatif (-90,244 milliards FCFA), ce qui est un point positif majeur, mais le fonds de roulement est également négatif (-57,537 milliards FCFA), signalant une dépendance aux financements court terme. La structure financière est très déséquilibrée : l'autonomie financière n'est que de 1,78% (très en dessous du seuil sain de 30%), le ratio d'endettement atteint 612,94%, et la liquidité générale est de 96,95% (&lt;1), ce qui indique une capacité limitée à honorer les dettes à court terme avec l'actif circulant. La capacité de remboursement est de 7,64 années, ce qui reste gérable, et la couverture des intérêts est excellente (617,75%). Les rapports narratifs confirment ces tendances : le rapport du 31/12/2026 (analysé par DeepSeek) souligne une croissance du CA de +14,8% et un résultat net en hausse de 24,4%, avec un dividende proposé de 234 FCFA/action (taux de distribution de 99,8%). Le rapport du 30/06/2025 (S1 2025) indique un CA semestriel de 134,923 milliards FCFA (+18,85%) et un résultat net de 5,096 milliards FCFA (+13,4%), ce qui permet d'estimer que l'exercice 2026 devrait poursuivre sur cette dynamique, avec un CA annuel projeté autour de 310-320 milliards FCFA et un résultat net de 14-15 milliards FCFA, sous réserve de la stabilité du cadre réglementaire. Les rapports plus anciens (2021, 2024) montrent une entreprise qui a traversé une transition majeure avec la nouvelle convention de concession (2021-2032), réduisant drastiquement son bilan (actifs passés de 1 254,8 à 558,2 milliards FCFA en 2021) avant de rebondir. La recommandation fondamentale est de **CONSERVER** : la solidité opérationnelle et la croissance sont indéniables, mais la structure financière très endettée (dépendance financière de 98,22%) et le risque de crédit client (coût du risque élevé à 438,72% des charges financières) limitent la marge de manœuvre et exposent l'entreprise aux aléas réglementaires et de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clairement tendue : PER de 27,5x, P/B de 10,03x et EV/EBITDA de 14,8x indiquent une surévaluation manifeste par rapport aux moyennes du marché, ce qui intègre déjà une large part des perspectives de croissance. Le comportement du cours (Partie 1) est haussier sur 100 jours (+102,20%) mais avec une volatilité très élevée (51,9%) et une distribution symétrique (skewness -0,154, kurtosis -0,519), ce qui suggère que le titre a probablement atteint une zone de résistance et pourrait connaître une correction. Les signaux techniques (Partie 2) sont mitigés : la tendance de fond reste haussière (MM20 &gt; MM50), mais le MACD en divergence baissière, le cours sous la MM20 et le RSI en zone neutre basse plaident pour une poursuite de la correction à court terme, malgré un potentiel rebond technique (Stochastique). Les fondamentaux (Partie 3) sont solides sur le plan opérationnel (CA +14,8%, RN +24,4%, ROE de 36,5%) mais fragiles sur le plan financier (autonomie financière de 1,78%, endettement de 612,94%, BFR négatif). Les prédictions IA (J+1 à J+10) anticipent une baisse continue du cours, de 6 282 FCFA à 6 011 FCFA, ce qui confirme la pression baissière de court terme et contredit le momentum haussier de long terme. Sur la base de cette synthèse, la recommandation finale est **CONSERVER** : la convergence des signaux techniques baissiers et des prédictions IA à la baisse, couplée à une valorisation exigeante, ne justifie pas un achat immédiat, mais la solidité fondamentale et la croissance de l'entreprise interdisent une vente. Le niveau de confiance est **Moyen**, car les signaux sont contradictoires (fondamentaux solides vs technique baissier vs valorisation tendue). Le niveau de risque global est **Élevé**, en raison de la volatilité du titre (51,9%), de l'endettement massif et de la dépendance réglementaire. L'horizon d'investissement optimal est le **moyen terme (3-12 mois)**, en attendant une correction qui ramènerait le cours vers des niveaux plus attractifs (autour de 5 500-6 000 FCFA) et une clarification des signaux techniques, tout en profitant du dividende attractif de 234 FCFA/action (rendement d'environ 3,6% au cours actuel).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925.13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4,059 titres</w:t>
            </w:r>
          </w:p>
        </w:tc>
        <w:tc>
          <w:tcPr>
            <w:tcW w:type="dxa" w:w="2268"/>
            <w:shd w:fill="FFF2CC" w:val="clear"/>
          </w:tcPr>
          <w:p>
            <w:r>
              <w:rPr>
                <w:b/>
                <w:color w:val="503200"/>
                <w:sz w:val="16"/>
              </w:rPr>
              <w:t xml:space="preserve">Cours actuel : </w:t>
            </w:r>
            <w:r>
              <w:rPr>
                <w:color w:val="000000"/>
                <w:sz w:val="17"/>
              </w:rPr>
              <w:t>16,805 FCFA</w:t>
            </w:r>
          </w:p>
          <w:p>
            <w:r>
              <w:rPr>
                <w:b/>
                <w:color w:val="503200"/>
                <w:sz w:val="16"/>
              </w:rPr>
              <w:t xml:space="preserve">Var. 100 jours : </w:t>
            </w:r>
            <w:r>
              <w:rPr>
                <w:b/>
                <w:color w:val="007800"/>
                <w:sz w:val="17"/>
              </w:rPr>
              <w:t>+4.38%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μ=16,540 FCFA, σ=456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β=0.3672 (Défensif) — Cov=0.000022, Var(idx)=0.000061, ρ=0.160,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16,352</w:t>
            </w:r>
          </w:p>
        </w:tc>
        <w:tc>
          <w:tcPr>
            <w:tcW w:type="dxa" w:w="1440"/>
            <w:shd w:fill="FAFAFA" w:val="clear"/>
          </w:tcPr>
          <w:p>
            <w:r>
              <w:rPr>
                <w:b/>
                <w:sz w:val="17"/>
              </w:rPr>
              <w:t>16,877</w:t>
            </w:r>
          </w:p>
        </w:tc>
        <w:tc>
          <w:tcPr>
            <w:tcW w:type="dxa" w:w="1440"/>
            <w:shd w:fill="FAFAFA" w:val="clear"/>
          </w:tcPr>
          <w:p>
            <w:r>
              <w:rPr>
                <w:sz w:val="17"/>
              </w:rPr>
              <w:t>17,402</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16,161</w:t>
            </w:r>
          </w:p>
        </w:tc>
        <w:tc>
          <w:tcPr>
            <w:tcW w:type="dxa" w:w="1440"/>
            <w:shd w:fill="FAFAFA" w:val="clear"/>
          </w:tcPr>
          <w:p>
            <w:r>
              <w:rPr>
                <w:b/>
                <w:sz w:val="17"/>
              </w:rPr>
              <w:t>16,904</w:t>
            </w:r>
          </w:p>
        </w:tc>
        <w:tc>
          <w:tcPr>
            <w:tcW w:type="dxa" w:w="1440"/>
            <w:shd w:fill="FAFAFA" w:val="clear"/>
          </w:tcPr>
          <w:p>
            <w:r>
              <w:rPr>
                <w:sz w:val="17"/>
              </w:rPr>
              <w:t>17,648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16,020</w:t>
            </w:r>
          </w:p>
        </w:tc>
        <w:tc>
          <w:tcPr>
            <w:tcW w:type="dxa" w:w="1440"/>
            <w:shd w:fill="FAFAFA" w:val="clear"/>
          </w:tcPr>
          <w:p>
            <w:r>
              <w:rPr>
                <w:b/>
                <w:sz w:val="17"/>
              </w:rPr>
              <w:t>16,932</w:t>
            </w:r>
          </w:p>
        </w:tc>
        <w:tc>
          <w:tcPr>
            <w:tcW w:type="dxa" w:w="1440"/>
            <w:shd w:fill="FAFAFA" w:val="clear"/>
          </w:tcPr>
          <w:p>
            <w:r>
              <w:rPr>
                <w:sz w:val="17"/>
              </w:rPr>
              <w:t>17,844</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15,901</w:t>
            </w:r>
          </w:p>
        </w:tc>
        <w:tc>
          <w:tcPr>
            <w:tcW w:type="dxa" w:w="1440"/>
            <w:shd w:fill="FAFAFA" w:val="clear"/>
          </w:tcPr>
          <w:p>
            <w:r>
              <w:rPr>
                <w:b/>
                <w:sz w:val="17"/>
              </w:rPr>
              <w:t>16,956</w:t>
            </w:r>
          </w:p>
        </w:tc>
        <w:tc>
          <w:tcPr>
            <w:tcW w:type="dxa" w:w="1440"/>
            <w:shd w:fill="FAFAFA" w:val="clear"/>
          </w:tcPr>
          <w:p>
            <w:r>
              <w:rPr>
                <w:sz w:val="17"/>
              </w:rPr>
              <w:t>18,010</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15,796</w:t>
            </w:r>
          </w:p>
        </w:tc>
        <w:tc>
          <w:tcPr>
            <w:tcW w:type="dxa" w:w="1440"/>
            <w:shd w:fill="FAFAFA" w:val="clear"/>
          </w:tcPr>
          <w:p>
            <w:r>
              <w:rPr>
                <w:b/>
                <w:sz w:val="17"/>
              </w:rPr>
              <w:t>16,977</w:t>
            </w:r>
          </w:p>
        </w:tc>
        <w:tc>
          <w:tcPr>
            <w:tcW w:type="dxa" w:w="1440"/>
            <w:shd w:fill="FAFAFA" w:val="clear"/>
          </w:tcPr>
          <w:p>
            <w:r>
              <w:rPr>
                <w:sz w:val="17"/>
              </w:rPr>
              <w:t>18,158</w:t>
            </w:r>
          </w:p>
        </w:tc>
        <w:tc>
          <w:tcPr>
            <w:tcW w:type="dxa" w:w="1440"/>
            <w:shd w:fill="FAFAFA" w:val="clear"/>
          </w:tcPr>
          <w:p>
            <w:r>
              <w:rPr>
                <w:b/>
                <w:color w:val="008000"/>
                <w:sz w:val="17"/>
              </w:rPr>
              <w:t>+1.0%</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15,703</w:t>
            </w:r>
          </w:p>
        </w:tc>
        <w:tc>
          <w:tcPr>
            <w:tcW w:type="dxa" w:w="1440"/>
            <w:shd w:fill="FAFAFA" w:val="clear"/>
          </w:tcPr>
          <w:p>
            <w:r>
              <w:rPr>
                <w:b/>
                <w:sz w:val="17"/>
              </w:rPr>
              <w:t>16,998</w:t>
            </w:r>
          </w:p>
        </w:tc>
        <w:tc>
          <w:tcPr>
            <w:tcW w:type="dxa" w:w="1440"/>
            <w:shd w:fill="FAFAFA" w:val="clear"/>
          </w:tcPr>
          <w:p>
            <w:r>
              <w:rPr>
                <w:sz w:val="17"/>
              </w:rPr>
              <w:t>18,293</w:t>
            </w:r>
          </w:p>
        </w:tc>
        <w:tc>
          <w:tcPr>
            <w:tcW w:type="dxa" w:w="1440"/>
            <w:shd w:fill="FAFAFA" w:val="clear"/>
          </w:tcPr>
          <w:p>
            <w:r>
              <w:rPr>
                <w:b/>
                <w:color w:val="008000"/>
                <w:sz w:val="17"/>
              </w:rPr>
              <w:t>+1.1%</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15,618</w:t>
            </w:r>
          </w:p>
        </w:tc>
        <w:tc>
          <w:tcPr>
            <w:tcW w:type="dxa" w:w="1440"/>
            <w:shd w:fill="FAFAFA" w:val="clear"/>
          </w:tcPr>
          <w:p>
            <w:r>
              <w:rPr>
                <w:b/>
                <w:sz w:val="17"/>
              </w:rPr>
              <w:t>17,019</w:t>
            </w:r>
          </w:p>
        </w:tc>
        <w:tc>
          <w:tcPr>
            <w:tcW w:type="dxa" w:w="1440"/>
            <w:shd w:fill="FAFAFA" w:val="clear"/>
          </w:tcPr>
          <w:p>
            <w:r>
              <w:rPr>
                <w:sz w:val="17"/>
              </w:rPr>
              <w:t>18,420</w:t>
            </w:r>
          </w:p>
        </w:tc>
        <w:tc>
          <w:tcPr>
            <w:tcW w:type="dxa" w:w="1440"/>
            <w:shd w:fill="FAFAFA" w:val="clear"/>
          </w:tcPr>
          <w:p>
            <w:r>
              <w:rPr>
                <w:b/>
                <w:color w:val="008000"/>
                <w:sz w:val="17"/>
              </w:rPr>
              <w:t>+1.3%</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15,540</w:t>
            </w:r>
          </w:p>
        </w:tc>
        <w:tc>
          <w:tcPr>
            <w:tcW w:type="dxa" w:w="1440"/>
            <w:shd w:fill="FAFAFA" w:val="clear"/>
          </w:tcPr>
          <w:p>
            <w:r>
              <w:rPr>
                <w:b/>
                <w:sz w:val="17"/>
              </w:rPr>
              <w:t>17,039</w:t>
            </w:r>
          </w:p>
        </w:tc>
        <w:tc>
          <w:tcPr>
            <w:tcW w:type="dxa" w:w="1440"/>
            <w:shd w:fill="FAFAFA" w:val="clear"/>
          </w:tcPr>
          <w:p>
            <w:r>
              <w:rPr>
                <w:sz w:val="17"/>
              </w:rPr>
              <w:t>18,538</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15,467</w:t>
            </w:r>
          </w:p>
        </w:tc>
        <w:tc>
          <w:tcPr>
            <w:tcW w:type="dxa" w:w="1440"/>
            <w:shd w:fill="FAFAFA" w:val="clear"/>
          </w:tcPr>
          <w:p>
            <w:r>
              <w:rPr>
                <w:b/>
                <w:sz w:val="17"/>
              </w:rPr>
              <w:t>17,059</w:t>
            </w:r>
          </w:p>
        </w:tc>
        <w:tc>
          <w:tcPr>
            <w:tcW w:type="dxa" w:w="1440"/>
            <w:shd w:fill="FAFAFA" w:val="clear"/>
          </w:tcPr>
          <w:p>
            <w:r>
              <w:rPr>
                <w:sz w:val="17"/>
              </w:rPr>
              <w:t>18,651</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2026-10-09</w:t>
            </w:r>
          </w:p>
        </w:tc>
        <w:tc>
          <w:tcPr>
            <w:tcW w:type="dxa" w:w="1440"/>
            <w:shd w:fill="FAFAFA" w:val="clear"/>
          </w:tcPr>
          <w:p>
            <w:r>
              <w:rPr>
                <w:sz w:val="17"/>
              </w:rPr>
              <w:t>15,399</w:t>
            </w:r>
          </w:p>
        </w:tc>
        <w:tc>
          <w:tcPr>
            <w:tcW w:type="dxa" w:w="1440"/>
            <w:shd w:fill="FAFAFA" w:val="clear"/>
          </w:tcPr>
          <w:p>
            <w:r>
              <w:rPr>
                <w:b/>
                <w:sz w:val="17"/>
              </w:rPr>
              <w:t>17,079</w:t>
            </w:r>
          </w:p>
        </w:tc>
        <w:tc>
          <w:tcPr>
            <w:tcW w:type="dxa" w:w="1440"/>
            <w:shd w:fill="FAFAFA" w:val="clear"/>
          </w:tcPr>
          <w:p>
            <w:r>
              <w:rPr>
                <w:sz w:val="17"/>
              </w:rPr>
              <w:t>18,759</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925,13 milliards FCFA, ECOC s'impose comme l'une des plus importantes capitalisations de la BRVM, ce qui témoigne de sa position de référence dans le secteur bancaire de l'UEMOA. Le BPA de 1 153 FCFA/action signifie que chaque titre génère un bénéfice net de 1 153 FCFA, un niveau élevé qui reflète la forte rentabilité de la banque. Le PER de 14,6x se situe au-dessus de la moyenne du marché BRVM (généralement 8-12x), indiquant que les investisseurs acceptent de payer une prime pour cette valeur bancaire de qualité, sans pour autant tomber dans une zone de surévaluation excessive. Le P/B de 4,23x traduit une valorisation nettement supérieure à la valeur comptable, ce qui est cohérent avec un ROE exceptionnel de 29% : le marché rémunère la capacité de la banque à créer de la valeur bien au-delà de ses fonds propres. Enfin, l'EV/EBITDA de 14,2x, bien que dans la fourchette haute (10-15x), reste justifié par la solidité opérationnelle et la régularité des résultats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totale de +4,38%, avec une dernière séance en hausse de +1,23%, confirmant une dynamique positive de court terme. Le cours actuel de 16 805 FCFA évolue dans un range relativement étroit, entre un plus bas de 15 520 FCFA et un plus haut de 17 725 FCFA, soit une amplitude de seulement 14,2% — signe d'une certaine stabilité. La tendance générale est haussière mais modérée, le titre se maintenant au-dessus de sa moyenne de 16 540 FCFA. Les statistiques descriptives révèlent une distribution quasi-normale : la moyenne (16 540 FCFA) et la médiane (16 500 FCFA) sont très proches, confirmant l'absence d'asymétrie marquée, ce que corrobore un skewness de 0,369 (distribution symétrique). L'écart-type de 459 FCFA et le coefficient de variation de 2,8% indiquent une dispersion faible du cours, tandis que le kurtosis de -0,235 (mésokurtique) suggère une probabilité réduite de pics extrêmes — un profil rassurant pour les investisseurs. La volatilité annualisée de 28,2% positionne le titre dans la catégorie modérée (15-30%), ce qui est cohérent avec une valeur bancaire de premier rang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(17 110,75 FCFA) se situe au-dessus de la MM50 (16 593,0 FCFA), configurant un croisement haussier classique. Le cours actuel (16 805 FCFA) évolue entre ces deux références, ce qui suggère une consolidation avant une reprise potentielle. La décision technique est à l'**Achat**, portée par la structure haussière des moyennes.</w:t>
      </w:r>
    </w:p>
    <w:p>
      <w:pPr>
        <w:spacing w:after="120" w:line="276" w:lineRule="auto"/>
      </w:pPr>
      <w:r>
        <w:t>**Bandes de Bollinger** : Le cours (16 805 FCFA) se situe dans la partie médiane de la bande, entre la borne inférieure (16 430,77 FCFA) et supérieure (17 790,73 FCFA). Cette position centrale, couplée à un resserrement des bandes, indique une phase de faible volatilité et de consolidation. La décision est **Neutre**, en attente d'un signal directionnel clair.</w:t>
      </w:r>
    </w:p>
    <w:p>
      <w:pPr>
        <w:spacing w:after="120" w:line="276" w:lineRule="auto"/>
      </w:pPr>
      <w:r>
        <w:t>**MACD** : La valeur du MACD (33,37) est nettement inférieure à son signal (117,581), générant une divergence baissière préoccupante. Le momentum s'affaiblit, ce qui justifie la décision de **Vente** à court terme, bien que cette configuration puisse évoluer si le cours reprend de la vigueur.</w:t>
      </w:r>
    </w:p>
    <w:p>
      <w:pPr>
        <w:spacing w:after="120" w:line="276" w:lineRule="auto"/>
      </w:pPr>
      <w:r>
        <w:t>**RSI** : À 38,662, le RSI se situe dans la zone neutre basse (30-70), sans atteindre la zone de survente (&lt;30). Cela suggère que le titre n'est ni suracheté ni survendu, avec une légère pression baissière. La décision est **Neutre**, en l'absence de signal extrême.</w:t>
      </w:r>
    </w:p>
    <w:p>
      <w:pPr>
        <w:spacing w:after="120" w:line="276" w:lineRule="auto"/>
      </w:pPr>
      <w:r>
        <w:t>**Stochastique** : Le %K (18,721) est supérieur au %D (6,24), et les deux se situent en zone de survente (&lt;20). Ce croisement haussier en zone basse constitue un signal d'**Achat** classique, indiquant une possible reprise imminente.</w:t>
      </w:r>
    </w:p>
    <w:p>
      <w:pPr>
        <w:spacing w:after="120" w:line="276" w:lineRule="auto"/>
      </w:pPr>
      <w:r>
        <w:t>**Conclusion technique** : Les indicateurs présentent une divergence notable. Les moyennes mobiles et le stochastique plaident pour un achat, tandis que le MACD signale une vente et que le RSI et les Bollinger restent neutres. Cette configuration mitigée suggère une phase de consolidation avec un potentiel de rebond technique, mais une confirmation par les volumes serait nécessaire pour valider un signal directionnel fort.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(PNB) de 132,725 milliards FCFA, en croissance de 8,51% par rapport à 2024, confirmant la dynamique commerciale de la banque. Le résultat net s'établit à 63,482 milliards FCFA, avec une marge nette exceptionnelle de 47,83% — l'une des plus élevées du secteur bancaire UEMOA. Le ROE atteint 29,04% (largement supérieur au seuil de 15% considéré comme excellent) et le ROA de 3,09%, témoignant d'une rentabilité robuste. Le coefficient d'exploitation de 42,89% (bien en dessous de 60%) confirme l'efficacité opérationnelle remarquable de la banque. Le coût du risque, à 1,36% des charges financières, reste modéré mais mérite une surveillance. La structure financière montre une autonomie financière de 10,64% (faible, mais typique du modèle bancaire) et une couverture des intérêts de 317,71%, assurant une solvabilité confortable.</w:t>
      </w:r>
    </w:p>
    <w:p>
      <w:pPr>
        <w:spacing w:after="120" w:line="276" w:lineRule="auto"/>
      </w:pPr>
      <w:r>
        <w:t>**Estimations basées sur les rapports trimestriels** : Le rapport S1 2026 (publié le 26 août 2026) indique un PNB de 64,078 milliards FCFA (+2,0%) et un résultat net de 26,408 milliards FCFA (-8,6%), pénalisé par un coût du risque multiplié par 7,4 à 5,197 milliards FCFA. Le rapport T1 2026 (publié en 2026) fait état d'un PNB de 30,8 milliards FCFA (+3,7%) et d'un résultat net de 13,0 milliards FCFA (-1,6%), avec un coefficient d'exploitation de 45,7%. Sur la base de ces tendances, on estime que l'exercice 2026 devrait enregistrer un PNB annuel d'environ 130-132 milliards FCFA (croissance modérée de 2-3%) et un résultat net de l'ordre de 55-58 milliards FCFA, en retrait par rapport à 2025 en raison de la hausse du coût du risque. Le rapport annuel 2024 (publié le 31 décembre 2024) confirme un dividende brut de 804 FCFA/action (+21,8%) et un taux de distribution de 77%, tandis que l'avis de convocation à l'AG du 28 avril 2026 (DOC 1) propose un dividende de 888 FCFA brut/action pour 2025 (+10,4%), soit un rendement attractif de 5,3% au cours actuel.</w:t>
      </w:r>
    </w:p>
    <w:p>
      <w:pPr>
        <w:spacing w:after="120" w:line="276" w:lineRule="auto"/>
      </w:pPr>
      <w:r>
        <w:t>**Recommandation fondamentale** : ECOC demeure un dossier de qualité, avec des fondamentaux solides (ROE &gt;29%, coefficient d'exploitation &lt;45%, marge nette &gt;47%) et une politique de dividende généreuse. Toutefois, la dégradation du coût du risque au S1 2026 et la contraction des produits hors intérêts (-25,9%) incitent à la prudence. La recommandation fondamentale est de **CONSERVER**, en attendant la normalisation du coût du risque et la confirmation de la tendance au second semestre 2026.</w:t>
      </w:r>
    </w:p>
    <w:p>
      <w:pPr>
        <w:spacing w:after="120" w:line="276" w:lineRule="auto"/>
      </w:pPr>
      <w:r>
        <w:t>---</w:t>
      </w:r>
    </w:p>
    <w:p>
      <w:pPr>
        <w:spacing w:after="120" w:line="276" w:lineRule="auto"/>
      </w:pPr>
      <w:r>
        <w:t>## PARTIE 4 : CONCLUSION D'INVESTISSEMENT</w:t>
      </w:r>
    </w:p>
    <w:p>
      <w:pPr>
        <w:spacing w:after="120" w:line="276" w:lineRule="auto"/>
      </w:pPr>
      <w:r>
        <w:t>La valorisation d'ECOC (PER 14,6x, P/B 4,23x, EV/EBITDA 14,2x) indique une légère surévaluation par rapport à la moyenne du marché BRVM, mais cette prime est justifiée par la qualité exceptionnelle des fondamentaux (ROE 29%, marge nette 47,8%). Le comportement du cours sur 100 jours (+4,38%) est favorable, avec une volatilité modérée (28,2%) et une distribution quasi-normale (skewness 0,369, kurtosis -0,235), ce qui réduit le risque de mouvements extrêmes. Les signaux techniques sont mitigés : les moyennes mobiles et le stochastique plaident pour un achat, tandis que le MACD signale une vente et que le RSI et les Bollinger restent neutres, suggérant une consolidation avant une reprise potentielle. Les fondamentaux restent solides malgré la pression sur le coût du risque au S1 2026, et la politique de dividende (888 FCFA/action, rendement 5,3%) constitue un argument attractif pour les investisseurs de long terme. Les prédictions IA (16 877 FCFA à 16 977 FCFA d'ici J+10) confirment une légère tendance haussière, en ligne avec les signaux techniques positifs. **Recommandation finale : CONSERVER**, avec un niveau de confiance **Moyen** et un risque global **Moyen**. L'horizon d'investissement optimal est le **moyen terme (3-12 mois)**, en attendant la clarification sur l'évolution du coût du risque et la confirmation de la trajectoire bénéficiaire. Un passage à **ACHAT** serait justifié si le coût du risque se stabilise et si le dividende est maintenu à un niveau attractif.</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1,660,927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+130.00%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33.33% (Élevée) — μ=53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β=2.0998 (Très agressif) — Cov=0.000127, Var(idx)=0.000061, ρ=0.417,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1,660,927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σ_j=3.92%/j (Modérée) — Vol. annualisée≈62.2%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64</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63</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62</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61</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**1 247,80 Mds FCFA**, ETIT figure parmi les poids lourds de la cote BRVM, ce qui en fait un titre incontournable pour les investisseurs institutionnels régionaux. Le **BPA de 19 FCFA/action** confère au titre un **PER de seulement 3,6x**, très nettement inférieur à la moyenne du marché BRVM (8-12x), signalant une sous-évaluation manifeste si les bénéfices se maintiennent. Le **P/B de 0,78x** (&lt; 1) indique que le marché valorise l'action en dessous de sa valeur comptable, une anomalie souvent observée sur les marchés frontières peu liquides mais qui offre une marge de sécurité théorique. Enfin, l'**EV/EBITDA de 5,0x** se situe dans la fourchette raisonnable (5-10x), confirmant que la valeur d'entreprise reste cohérente avec la capacité opérationnelle de la banque. L'ensemble de ces ratios dessine un profil de valorisation attractif, typique d'une action « value » délaissée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ETIT a enregistré une progression spectaculaire de **+130,00%**, portant le cours à **69 FCFA** (dernière séance : **+1,47%**), après avoir oscillé entre un plus bas de **29 FCFA** et un plus haut de **78 FCFA** — soit un range de trading de 49 FCFA qui traduit une tendance nettement haussière, bien que le titre ait récemment reflué depuis son sommet. La comparaison moyenne (**53 FCFA**) vs médiane (**64 FCFA**) révèle une distribution asymétrique à gauche : le cours a passé davantage de temps sur des niveaux élevés, mais quelques séances de forte baisse ont tiré la moyenne vers le bas. L'écart-type de **18 FCFA** avec un **CV de 33,5%** confirme une dispersion importante du cours, tandis que le **kurtosis de -1,742** (distribution platykurtique) indique une faible concentration des rendements autour de la moyenne — donc peu de pics extrêmes, mais une volatilité diffuse. Le **skewness de -0,285**, proche de zéro, traduit une distribution quasi symétrique, sans biais marqué vers les rendements extrêmes négatifs ou positifs. Enfin, la **volatilité annualisée de 62,2%** classe ce titre dans la catégorie **très volatile** (&gt;30%), ce qui est cohérent avec un mouvement de +130% en seulement 100 jours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(69,2 FCFA) et la MM50 (68,16 FCFA) encadrent le cours actuel (69 FCFA), avec une MM20 légèrement supérieure à la MM50 — configuration haussière classique. Le cours évolue au-dessus de la MM50, ce qui valide la **décision d'ACHAT** fournie par le système, bien que la proximité des deux moyennes suggère un essoufflement du momentum.</w:t>
      </w:r>
    </w:p>
    <w:p>
      <w:pPr>
        <w:spacing w:after="120" w:line="276" w:lineRule="auto"/>
      </w:pPr>
      <w:r>
        <w:t>**Bandes de Bollinger** : Le cours (69 FCFA) se situe à mi-chemin entre la borne supérieure (72,848 FCFA) et la borne inférieure (65,552 FCFA), dans une zone de neutralité. L'absence de contact avec les bornes indique une volatilité en compression, justifiant la **décision NEUTRE** — le marché attend un catalyseur directionnel.</w:t>
      </w:r>
    </w:p>
    <w:p>
      <w:pPr>
        <w:spacing w:after="120" w:line="276" w:lineRule="auto"/>
      </w:pPr>
      <w:r>
        <w:t>**MACD** : La valeur du MACD (0,492) est inférieure à son signal (0,985), générant un croisement baissier qui traduit un affaiblissement du momentum haussier. Cette divergence justifie la **décision de VENTE** technique, signalant que la dynamique positive des 100 derniers jours s'essouffle.</w:t>
      </w:r>
    </w:p>
    <w:p>
      <w:pPr>
        <w:spacing w:after="120" w:line="276" w:lineRule="auto"/>
      </w:pPr>
      <w:r>
        <w:t>**RSI** : À **42,857**, le RSI se situe en zone neutre basse (30-70), sans atteindre la survente (&lt;30). Cela indique que le titre n'est ni suracheté ni survendu, mais penche légèrement vers la faiblesse — la **décision NEUTRE** est cohérente avec cette position médiane.</w:t>
      </w:r>
    </w:p>
    <w:p>
      <w:pPr>
        <w:spacing w:after="120" w:line="276" w:lineRule="auto"/>
      </w:pPr>
      <w:r>
        <w:t>**Stochastique** : Le %K (71,429) est nettement supérieur au %D (42,857), avec un croisement récent qui pourrait signaler un début de retournement haussier de court terme. Toutefois, la **décision NEUTRE** reflète l'ambiguïté de ce signal, le %K approchant la zone de surachat (&gt;80) sans l'atteindre.</w:t>
      </w:r>
    </w:p>
    <w:p>
      <w:pPr>
        <w:spacing w:after="120" w:line="276" w:lineRule="auto"/>
      </w:pPr>
      <w:r>
        <w:t>**Conclusion technique** : Les indicateurs sont **partagés** — les moyennes mobiles plaident pour un achat, le MACD pour une vente, tandis que Bollinger, RSI et Stochastique restent neutres. Cette divergence traduit une phase de consolidation après la forte hausse, avec un biais légèrement baissier à court terme (MACD) mais un support solide autour de 65-68 FCFA. La prudence technique domine avant confirmation d'un nouveau signal directionnel.</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**Produit Net Bancaire (PNB) de 1 424,261 Mds FCFA** (équivalent du chiffre d'affaires pour une banque), un **résultat net de 345,523 Mds FCFA**, soit une **marge nette de 24,26%** — un niveau remarquable. Le **ROE de 21,62%** (&gt;15% = excellent) et le **ROA de 1,80%** confirment une rentabilité solide, tandis que le **coefficient d'exploitation de 27,35%** (&lt;60%) témoigne d'une efficacité opérationnelle exceptionnelle, bien supérieure aux standards bancaires. Le **coût du risque de 18,97%** (provisions/charges financières) reste modéré, et la structure de bilan montre une **transformation saine** : 14 120 Mds FCFA de dépôts clientèle pour 6 570 Mds FCFA de créances, soit un ratio dépôts/crédits de 215% — une surliquidité confortable. Le **taux de croissance du PNB de +12,45%** confirme la dynamique commerciale.</w:t>
      </w:r>
    </w:p>
    <w:p>
      <w:pPr>
        <w:spacing w:after="120" w:line="276" w:lineRule="auto"/>
      </w:pPr>
      <w:r>
        <w:t>**Estimations basées sur les rapports trimestriels** : Le rapport **S1 2026 (daté du 30 juin 2026, analysé le 30 juillet 2026)** indique un **PNB de 721 318 M FCFA (+15%)** et un **résultat net de 166 682 M FCFA (+6%)**, avec un **coefficient d'exploitation amélioré à 48,4%** et un **BPA de 0,80 $EU (4,53 FCFA)**. Le rapport **T1 2026** confirme cette tendance avec un **PNB de 636,2 M$EU (+23%)** et un **résultat net de 142,5 M$EU (+16%)**. Toutefois, le **coût du risque bondit de +40% au S1 2026** (et même +73% au T1), signal d'alerte sur la qualité des actifs, avec un **ratio de NPL à 7,6%**. Sur cette base, on peut **estimer** que l'exercice 2026 devrait afficher un PNB en croissance de 12-15% (soit ~1 600 Mds FCFA) et un résultat net en hausse de 6-10% (~370-380 Mds FCFA), sous réserve que le coût du risque se stabilise au S2.</w:t>
      </w:r>
    </w:p>
    <w:p>
      <w:pPr>
        <w:spacing w:after="120" w:line="276" w:lineRule="auto"/>
      </w:pPr>
      <w:r>
        <w:t>**Évolution pluriannuelle** : Les rapports 2024 (analysés en mars 2026) montrent un **ROE de 32,9%** et un **résultat net de 340,5 M$EU**, contre 299,7 Mds FCFA en 2024 selon le rapport annuel — la trajectoire est haussière mais la croissance du résultat net ralentit (de +21% en 2024 à +6% au S1 2026). **Conclusion fondamentale** : ETIT présente des fondamentaux **solides** (rentabilité élevée, efficacité opérationnelle, surliquidité), mais le **ralentissement de la croissance du résultat net** et la **hausse du coût du risque** constituent des risques à surveiller. La recommandation fondamentale est **CONSERVER** avec un biais positif, en attendant la confirmation de la maîtrise des provisions au S2 2026.</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attractive : PER de 3,6x (vs 8-12x pour le marché), P/B de 0,78x (&lt;1) et EV/EBITDA de 5,0x — trois signaux convergents vers une **sous-évaluation**. Le **comportement du cours (Partie 1)** est haussier sur 100 jours (+130%), mais la volatilité élevée (62,2%) et la distribution platykurtique (kurtosis -1,742) suggèrent une phase de consolidation en cours, avec un skewness quasi neutre (-0,285) qui n'indique pas de biais baissier structurel. Les **signaux techniques (Partie 2)** sont **divergents** : les MM plaident pour l'achat, le MACD pour la vente, les autres indicateurs restant neutres — cette absence de consensus technique appelle à la prudence à court terme. Les **fondamentaux (Partie 3)** restent **solides** (ROE 21,6%, coefficient d'exploitation 27,4%, PNB +12,5% en 2025), mais le **ralentissement du résultat net (+6% au S1 2026)** et la **hausse du coût du risque (+40%)** tempèrent l'enthousiasme. Les **prédictions IA (J+1 à J+10)** anticipent une **stabilisation autour de 68-69 FCFA**, confirmant l'absence de catalyseur haussier immédiat mais excluant un effondrement.</w:t>
      </w:r>
    </w:p>
    <w:p>
      <w:pPr>
        <w:spacing w:after="120" w:line="276" w:lineRule="auto"/>
      </w:pPr>
      <w:r>
        <w:t>**Recommandation finale : CONSERVER** — La convergence entre une valorisation très attractive (sous-évaluation manifeste), des fondamentaux solides mais en ralentissement, et des signaux techniques mitigés plaide pour une position attentiste. Un **ACHAT** serait justifié si le cours revenait vers 65 FCFA (support Bollinger) ou si le S2 2026 confirmait la stabilisation du coût du risque. **Niveau de confiance : Moyen** (divergence technique). **Niveau de risque : Moyen** (volatilité élevée mais fondamentaux solides). **Horizon optimal : Moyen terme (3-12 mois)**, le temps que la consolidation technique s'achève et que les résultats annuels 2026 confirment la trajectoire bénéficiaire.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4,077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-8.88%</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μ=2,120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β=0.2622 (Défensif) — Cov=0.000016, Var(idx)=0.000061, ρ=0.096,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1,921</w:t>
            </w:r>
          </w:p>
        </w:tc>
        <w:tc>
          <w:tcPr>
            <w:tcW w:type="dxa" w:w="1440"/>
            <w:shd w:fill="FAFAFA" w:val="clear"/>
          </w:tcPr>
          <w:p>
            <w:r>
              <w:rPr>
                <w:b/>
                <w:sz w:val="17"/>
              </w:rPr>
              <w:t>1,986</w:t>
            </w:r>
          </w:p>
        </w:tc>
        <w:tc>
          <w:tcPr>
            <w:tcW w:type="dxa" w:w="1440"/>
            <w:shd w:fill="FAFAFA" w:val="clear"/>
          </w:tcPr>
          <w:p>
            <w:r>
              <w:rPr>
                <w:sz w:val="17"/>
              </w:rPr>
              <w:t>2,050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1,881</w:t>
            </w:r>
          </w:p>
        </w:tc>
        <w:tc>
          <w:tcPr>
            <w:tcW w:type="dxa" w:w="1440"/>
            <w:shd w:fill="FAFAFA" w:val="clear"/>
          </w:tcPr>
          <w:p>
            <w:r>
              <w:rPr>
                <w:b/>
                <w:sz w:val="17"/>
              </w:rPr>
              <w:t>1,971</w:t>
            </w:r>
          </w:p>
        </w:tc>
        <w:tc>
          <w:tcPr>
            <w:tcW w:type="dxa" w:w="1440"/>
            <w:shd w:fill="FAFAFA" w:val="clear"/>
          </w:tcPr>
          <w:p>
            <w:r>
              <w:rPr>
                <w:sz w:val="17"/>
              </w:rPr>
              <w:t>2,062</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1,848</w:t>
            </w:r>
          </w:p>
        </w:tc>
        <w:tc>
          <w:tcPr>
            <w:tcW w:type="dxa" w:w="1440"/>
            <w:shd w:fill="FFDCE0" w:val="clear"/>
          </w:tcPr>
          <w:p>
            <w:r>
              <w:rPr>
                <w:b/>
                <w:sz w:val="17"/>
              </w:rPr>
              <w:t>1,958</w:t>
            </w:r>
          </w:p>
        </w:tc>
        <w:tc>
          <w:tcPr>
            <w:tcW w:type="dxa" w:w="1440"/>
            <w:shd w:fill="FFDCE0" w:val="clear"/>
          </w:tcPr>
          <w:p>
            <w:r>
              <w:rPr>
                <w:sz w:val="17"/>
              </w:rPr>
              <w:t>2,067</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1,819</w:t>
            </w:r>
          </w:p>
        </w:tc>
        <w:tc>
          <w:tcPr>
            <w:tcW w:type="dxa" w:w="1440"/>
            <w:shd w:fill="FFDCE0" w:val="clear"/>
          </w:tcPr>
          <w:p>
            <w:r>
              <w:rPr>
                <w:b/>
                <w:sz w:val="17"/>
              </w:rPr>
              <w:t>1,944</w:t>
            </w:r>
          </w:p>
        </w:tc>
        <w:tc>
          <w:tcPr>
            <w:tcW w:type="dxa" w:w="1440"/>
            <w:shd w:fill="FFDCE0" w:val="clear"/>
          </w:tcPr>
          <w:p>
            <w:r>
              <w:rPr>
                <w:sz w:val="17"/>
              </w:rPr>
              <w:t>2,070</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1,792</w:t>
            </w:r>
          </w:p>
        </w:tc>
        <w:tc>
          <w:tcPr>
            <w:tcW w:type="dxa" w:w="1440"/>
            <w:shd w:fill="FFDCE0" w:val="clear"/>
          </w:tcPr>
          <w:p>
            <w:r>
              <w:rPr>
                <w:b/>
                <w:sz w:val="17"/>
              </w:rPr>
              <w:t>1,932</w:t>
            </w:r>
          </w:p>
        </w:tc>
        <w:tc>
          <w:tcPr>
            <w:tcW w:type="dxa" w:w="1440"/>
            <w:shd w:fill="FFDCE0" w:val="clear"/>
          </w:tcPr>
          <w:p>
            <w:r>
              <w:rPr>
                <w:sz w:val="17"/>
              </w:rPr>
              <w:t>2,072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1,768</w:t>
            </w:r>
          </w:p>
        </w:tc>
        <w:tc>
          <w:tcPr>
            <w:tcW w:type="dxa" w:w="1440"/>
            <w:shd w:fill="FFDCE0" w:val="clear"/>
          </w:tcPr>
          <w:p>
            <w:r>
              <w:rPr>
                <w:b/>
                <w:sz w:val="17"/>
              </w:rPr>
              <w:t>1,920</w:t>
            </w:r>
          </w:p>
        </w:tc>
        <w:tc>
          <w:tcPr>
            <w:tcW w:type="dxa" w:w="1440"/>
            <w:shd w:fill="FFDCE0" w:val="clear"/>
          </w:tcPr>
          <w:p>
            <w:r>
              <w:rPr>
                <w:sz w:val="17"/>
              </w:rPr>
              <w:t>2,072</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1,745</w:t>
            </w:r>
          </w:p>
        </w:tc>
        <w:tc>
          <w:tcPr>
            <w:tcW w:type="dxa" w:w="1440"/>
            <w:shd w:fill="FFDCE0" w:val="clear"/>
          </w:tcPr>
          <w:p>
            <w:r>
              <w:rPr>
                <w:b/>
                <w:sz w:val="17"/>
              </w:rPr>
              <w:t>1,908</w:t>
            </w:r>
          </w:p>
        </w:tc>
        <w:tc>
          <w:tcPr>
            <w:tcW w:type="dxa" w:w="1440"/>
            <w:shd w:fill="FFDCE0" w:val="clear"/>
          </w:tcPr>
          <w:p>
            <w:r>
              <w:rPr>
                <w:sz w:val="17"/>
              </w:rPr>
              <w:t>2,072</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1,723</w:t>
            </w:r>
          </w:p>
        </w:tc>
        <w:tc>
          <w:tcPr>
            <w:tcW w:type="dxa" w:w="1440"/>
            <w:shd w:fill="FFDCE0" w:val="clear"/>
          </w:tcPr>
          <w:p>
            <w:r>
              <w:rPr>
                <w:b/>
                <w:sz w:val="17"/>
              </w:rPr>
              <w:t>1,897</w:t>
            </w:r>
          </w:p>
        </w:tc>
        <w:tc>
          <w:tcPr>
            <w:tcW w:type="dxa" w:w="1440"/>
            <w:shd w:fill="FFDCE0" w:val="clear"/>
          </w:tcPr>
          <w:p>
            <w:r>
              <w:rPr>
                <w:sz w:val="17"/>
              </w:rPr>
              <w:t>2,071</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1,703</w:t>
            </w:r>
          </w:p>
        </w:tc>
        <w:tc>
          <w:tcPr>
            <w:tcW w:type="dxa" w:w="1440"/>
            <w:shd w:fill="FFDCE0" w:val="clear"/>
          </w:tcPr>
          <w:p>
            <w:r>
              <w:rPr>
                <w:b/>
                <w:sz w:val="17"/>
              </w:rPr>
              <w:t>1,886</w:t>
            </w:r>
          </w:p>
        </w:tc>
        <w:tc>
          <w:tcPr>
            <w:tcW w:type="dxa" w:w="1440"/>
            <w:shd w:fill="FFDCE0" w:val="clear"/>
          </w:tcPr>
          <w:p>
            <w:r>
              <w:rPr>
                <w:sz w:val="17"/>
              </w:rPr>
              <w:t>2,069</w:t>
            </w:r>
          </w:p>
        </w:tc>
        <w:tc>
          <w:tcPr>
            <w:tcW w:type="dxa" w:w="1440"/>
            <w:shd w:fill="FFDCE0" w:val="clear"/>
          </w:tcPr>
          <w:p>
            <w:r>
              <w:rPr>
                <w:b/>
                <w:color w:val="C00000"/>
                <w:sz w:val="17"/>
              </w:rPr>
              <w:t>-5.7%</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1,684</w:t>
            </w:r>
          </w:p>
        </w:tc>
        <w:tc>
          <w:tcPr>
            <w:tcW w:type="dxa" w:w="1440"/>
            <w:shd w:fill="FFDCE0" w:val="clear"/>
          </w:tcPr>
          <w:p>
            <w:r>
              <w:rPr>
                <w:b/>
                <w:sz w:val="17"/>
              </w:rPr>
              <w:t>1,876</w:t>
            </w:r>
          </w:p>
        </w:tc>
        <w:tc>
          <w:tcPr>
            <w:tcW w:type="dxa" w:w="1440"/>
            <w:shd w:fill="FFDCE0" w:val="clear"/>
          </w:tcPr>
          <w:p>
            <w:r>
              <w:rPr>
                <w:sz w:val="17"/>
              </w:rPr>
              <w:t>2,067</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 Transformation industrielle*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28,21 milliards FCFA, FTSC se situe dans la catégorie des valeurs moyennes de la cote BRVM, ce qui la rend vulnérable aux mouvements de faible volume. Le BPA de 33 FCFA/action, rapporté au cours actuel de 2 000 FCFA, génère un PER de 60,5x — un niveau extrêmement élevé comparé à la moyenne BRVM (8-12x), signifiant que le marché paie environ 60 fois les bénéfices annuels, ce qui traduit soit une anticipation de forte reprise, soit une anomalie de valorisation à corriger. Le P/B de 1,80x indique que le marché valorise l'action à près du double de sa valeur comptable (capitaux propres de 15,70 Mds FCFA), ce qui reste raisonnable dans l'absolu mais élevé pour une société dont le ROE n'est que de 2,97%. Enfin, l'EV/EBITDA de 36,7x (très supérieur au seuil de 15x) confirme que la valeur d'entreprise intègre une prime spéculative disproportionnée par rapport à la capacité opérationnelle réelle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-8,88%, avec une dernière séance stable (0,00%), traduisant une tendance baissière modérée mais persistante. Le titre a évolué dans un range de 520 FCFA, entre un plus haut de 2 430 FCFA et un plus bas de 1 910 FCFA, le cours actuel (2 000 FCFA) se situant dans le bas de cette fourchette, ce qui suggère une pression vendeuse résiduelle. Les statistiques descriptives révèlent une moyenne (2 120 FCFA) légèrement supérieure à la médiane (2 125 FCFA), avec un écart marginal indiquant une distribution quasi symétrique — confirmée par un skewness de 0,318 (asymétrie positive légère). L'écart-type de 128 FCFA et un coefficient de variation de 6,1% témoignent d'une dispersion modérée du cours autour de sa moyenne, tandis que le kurtosis de -0,749 (mésokurtique) indique une distribution proche de la normale, sans risque majeur de pics extrêmes. La volatilité annualisée de 33,3% classe le titre dans la catégorie des valeurs à volatilité élevée (&gt;30%), ce qui implique un risque de perte en capital significatif à court terme, mais aussi des opportunités de trading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(2 086,75 FCFA) et la MM50 (2 071,30 FCFA) se situent toutes deux au-dessus du cours actuel (2 000 FCFA), ce qui place le titre en position baissière relative. Cependant, la MM20 étant supérieure à la MM50, la configuration reste haussière de fond, justifiant la décision "Achat" malgré la correction en cours. Le croisement potentiel à la baisse (MM20 sous MM50) constituerait un signal de vente à surveiller.</w:t>
      </w:r>
    </w:p>
    <w:p>
      <w:pPr>
        <w:spacing w:after="120" w:line="276" w:lineRule="auto"/>
      </w:pPr>
      <w:r>
        <w:t>**Bandes de Bollinger** : Le cours (2 000 FCFA) évolue dans la partie basse de la bande, entre la borne inférieure (1 955,31 FCFA) et la borne supérieure (2 218,19 FCFA), sans franchissement des limites. Cette position neutre, avec un cours proche de la borne basse, suggère une pression vendeuse modérée mais pas de survente extrême, justifiant la décision "Neutre". Un rebond vers la borne médiane (environ 2 086 FCFA) serait le premier signe de retournement.</w:t>
      </w:r>
    </w:p>
    <w:p>
      <w:pPr>
        <w:spacing w:after="120" w:line="276" w:lineRule="auto"/>
      </w:pPr>
      <w:r>
        <w:t>**MACD** : La valeur du MACD (-28,639) est nettement inférieure à son signal (-12,19), confirmant un momentum baissier en cours. La divergence négative entre les deux lignes indique que la pression vendeuse reste dominante, justifiant la décision "Vente". Un croisement haussier du MACD au-dessus de son signal serait nécessaire pour envisager un retournement.</w:t>
      </w:r>
    </w:p>
    <w:p>
      <w:pPr>
        <w:spacing w:after="120" w:line="276" w:lineRule="auto"/>
      </w:pPr>
      <w:r>
        <w:t>**RSI** : À 31,944, le RSI se situe juste au-dessus du seuil de survente (30), ce qui place le titre en zone neutre basse. Cette valeur indique que la correction actuelle n'est pas encore excessive, mais qu'une poursuite de la baisse pourrait déclencher un signal de survente propice à un rebond technique. La décision "Neutre" reflète cette position ambiguë.</w:t>
      </w:r>
    </w:p>
    <w:p>
      <w:pPr>
        <w:spacing w:after="120" w:line="276" w:lineRule="auto"/>
      </w:pPr>
      <w:r>
        <w:t>**Stochastique** : Le %K (42,857) est légèrement supérieur au %D (40,422), sans croisement net, ce qui indique une absence de signal directionnel clair. La position médiane des deux lignes (entre 20 et 80) confirme la décision "Neutre", avec une légère tendance haussière naissante à surveiller.</w:t>
      </w:r>
    </w:p>
    <w:p>
      <w:pPr>
        <w:spacing w:after="120" w:line="276" w:lineRule="auto"/>
      </w:pPr>
      <w:r>
        <w:t>**Conclusion technique** : Les indicateurs techniques présentent un tableau mitigé, avec une majorité de signaux neutres (Bollinger, RSI, Stochastique) et un signal baissier (MACD) contrebalancé par un signal haussier de fond (Moyennes Mobiles). La convergence des signaux neutres suggère une phase de consolidation, avec un risque de poursuite de la baisse à court terme (MACD) mais un potentiel de rebond technique (RSI proche de la survente). La prudence est de mise en attendant un signal directionnel plus clair.</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Mds FCFA, en croissance de 4,61% sur un an, mais son résultat net s'est effondré à 465,98 M FCFA (contre 18,6 Mds FCFA en 2024), soit une marge nette de seulement 1,45%. Cette chute spectaculaire s'explique par la disparition des produits exceptionnels de cession de filiales en 2024 (6,17 Mds FCFA), qui avaient artificiellement gonflé le bénéfice. Le ROE n'est que de 2,97% et le ROA de 1,19%, des niveaux très faibles qui traduisent une rentabilité opérationnelle médiocre. En tant qu'entreprise industrielle, FTSC présente des délais clients élevés (213,72 jours) et une durée de stockage de 214,65 jours, immobilisant fortement le capital et créant un risque de trésorerie majeur, comme en témoigne une trésorerie nette négative de -11,53 Mds FCFA. Le BFR de 11,53 Mds FCFA et un flux opérationnel négatif (-1,826 Mds FCFA) confirment ces tensions. L'endettement est préoccupant avec un ratio de 97,60% (dettes totales/capitaux propres) et une capacité de remboursement de 11,49 années, bien que l'autonomie financière (40,11%) reste correcte. Les rapports trimestriels récents nuancent toutefois ce tableau : le T1 2026 (publié en 2026) affiche un CA de 8 901 M FCFA (+55% sur un an) et un résultat d'exploitation positif de 75 M FCFA (contre -78 M FCFA au T1 2025), porté par la demande d'emballages cacao. Le résultat net reste déficitaire (-154 M FCFA) mais en amélioration de 14%. Le rapport du T3 2025 (30/09/2025) signalait déjà un CA de 18 371 M FCFA (-1%) et un résultat courant avant impôt de -216 M FCFA, avec une dépendance critique à la campagne cacaoyère 2025/2026. Le communiqué du 08/07/2026 rassure sur la continuité des activités malgré l'arrêt de la filature (interdiction d'exportation de jute par le Bangladesh), une solution d'importation de fil ayant été trouvée. **En synthèse**, la société reste fragile avec une rentabilité opérationnelle à peine positive, une trésorerie dégradée et un endettement élevé, mais le T1 2026 montre des signes encourageants de redressement. La recommandation fondamentale est de **conserver** en attendant la confirmation d'une amélioration durable de la rentabilité et de la trésorerie.</w:t>
      </w:r>
    </w:p>
    <w:p>
      <w:pPr>
        <w:spacing w:after="120" w:line="276" w:lineRule="auto"/>
      </w:pPr>
      <w:r>
        <w:t>---</w:t>
      </w:r>
    </w:p>
    <w:p>
      <w:pPr>
        <w:spacing w:after="120" w:line="276" w:lineRule="auto"/>
      </w:pPr>
      <w:r>
        <w:t>### PARTIE 4 : CONCLUSION D'INVESTISSEMENT</w:t>
      </w:r>
    </w:p>
    <w:p>
      <w:pPr>
        <w:spacing w:after="120" w:line="276" w:lineRule="auto"/>
      </w:pPr>
      <w:r>
        <w:t>La valorisation de FTSC apparaît nettement surévaluée : un PER de 60,5x et un EV/EBITDA de 36,7x intègrent une prime spéculative que ne justifient ni le ROE de 2,97% ni la marge nette de 1,45%. Le comportement du cours sur 100 jours est baissier (-8,88%), avec une volatilité élevée (33,3%) et une distribution quasi normale (kurtosis -0,749, skewness 0,318), sans risque de pics extrêmes mais avec une tendance défavorable. Les signaux techniques sont divergents : les moyennes mobiles restent haussières de fond, mais le MACD est baissier et les autres indicateurs (Bollinger, RSI, Stochastique) sont neutres, suggérant une consolidation avant un éventuel rebond. Les fondamentaux sont mitigés : si le T1 2026 montre une forte croissance du CA (+55%) et un retour à un résultat d'exploitation positif, la trésorerie reste négative (-11,53 Mds FCFA) et l'endettement élevé (97,60%). Les prédictions IA anticipent une poursuite de la baisse à court terme (1 986 FCFA à J+1, 1 932 FCFA à J+5), ce qui contredit les signaux haussiers des moyennes mobiles mais confirme la pression baissière du MACD. **Recommandation finale : CONSERVER**, avec un niveau de confiance **Moyen** et un risque global **Élevé**. La convergence entre valorisation surévaluée, technique mitigée et fondamentaux fragiles mais en amélioration ne justifie ni un achat agressif ni une vente panique. L'horizon d'investissement optimal est **moyen terme (3-12 mois)**, le temps de vérifier si le redressement opérationnel du T1 2026 se confirme sur l'ensemble de l'exercice et si la trésorerie se reconstitue. Un suivi rapproché de la campagne cacaoyère 2026/2027 est indispensable, car elle constitue le principal facteur de risque et d'opportunité pour le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4,734 titres</w:t>
            </w:r>
          </w:p>
        </w:tc>
        <w:tc>
          <w:tcPr>
            <w:tcW w:type="dxa" w:w="2268"/>
            <w:shd w:fill="FFF2CC" w:val="clear"/>
          </w:tcPr>
          <w:p>
            <w:r>
              <w:rPr>
                <w:b/>
                <w:color w:val="503200"/>
                <w:sz w:val="16"/>
              </w:rPr>
              <w:t xml:space="preserve">Cours actuel : </w:t>
            </w:r>
            <w:r>
              <w:rPr>
                <w:color w:val="000000"/>
                <w:sz w:val="17"/>
              </w:rPr>
              <w:t>3,980 FCFA</w:t>
            </w:r>
          </w:p>
          <w:p>
            <w:r>
              <w:rPr>
                <w:b/>
                <w:color w:val="503200"/>
                <w:sz w:val="16"/>
              </w:rPr>
              <w:t xml:space="preserve">Var. 100 jours : </w:t>
            </w:r>
            <w:r>
              <w:rPr>
                <w:b/>
                <w:color w:val="007800"/>
                <w:sz w:val="17"/>
              </w:rPr>
              <w:t>+2.71%</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μ=4,076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β=0.4235 (Défensif) — Cov=0.000026, Var(idx)=0.000061,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3,898</w:t>
            </w:r>
          </w:p>
        </w:tc>
        <w:tc>
          <w:tcPr>
            <w:tcW w:type="dxa" w:w="1440"/>
            <w:shd w:fill="C6EFCE" w:val="clear"/>
          </w:tcPr>
          <w:p>
            <w:r>
              <w:rPr>
                <w:b/>
                <w:sz w:val="17"/>
              </w:rPr>
              <w:t>4,073</w:t>
            </w:r>
          </w:p>
        </w:tc>
        <w:tc>
          <w:tcPr>
            <w:tcW w:type="dxa" w:w="1440"/>
            <w:shd w:fill="C6EFCE" w:val="clear"/>
          </w:tcPr>
          <w:p>
            <w:r>
              <w:rPr>
                <w:sz w:val="17"/>
              </w:rPr>
              <w:t>4,249</w:t>
            </w:r>
          </w:p>
        </w:tc>
        <w:tc>
          <w:tcPr>
            <w:tcW w:type="dxa" w:w="1440"/>
            <w:shd w:fill="C6EFCE" w:val="clear"/>
          </w:tcPr>
          <w:p>
            <w:r>
              <w:rPr>
                <w:b/>
                <w:color w:val="008000"/>
                <w:sz w:val="17"/>
              </w:rPr>
              <w:t>+2.3%</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3,830</w:t>
            </w:r>
          </w:p>
        </w:tc>
        <w:tc>
          <w:tcPr>
            <w:tcW w:type="dxa" w:w="1440"/>
            <w:shd w:fill="C6EFCE" w:val="clear"/>
          </w:tcPr>
          <w:p>
            <w:r>
              <w:rPr>
                <w:b/>
                <w:sz w:val="17"/>
              </w:rPr>
              <w:t>4,078</w:t>
            </w:r>
          </w:p>
        </w:tc>
        <w:tc>
          <w:tcPr>
            <w:tcW w:type="dxa" w:w="1440"/>
            <w:shd w:fill="C6EFCE" w:val="clear"/>
          </w:tcPr>
          <w:p>
            <w:r>
              <w:rPr>
                <w:sz w:val="17"/>
              </w:rPr>
              <w:t>4,327</w:t>
            </w:r>
          </w:p>
        </w:tc>
        <w:tc>
          <w:tcPr>
            <w:tcW w:type="dxa" w:w="1440"/>
            <w:shd w:fill="C6EFCE" w:val="clear"/>
          </w:tcPr>
          <w:p>
            <w:r>
              <w:rPr>
                <w:b/>
                <w:color w:val="008000"/>
                <w:sz w:val="17"/>
              </w:rPr>
              <w:t>+2.5%</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3,780</w:t>
            </w:r>
          </w:p>
        </w:tc>
        <w:tc>
          <w:tcPr>
            <w:tcW w:type="dxa" w:w="1440"/>
            <w:shd w:fill="C6EFCE" w:val="clear"/>
          </w:tcPr>
          <w:p>
            <w:r>
              <w:rPr>
                <w:b/>
                <w:sz w:val="17"/>
              </w:rPr>
              <w:t>4,085</w:t>
            </w:r>
          </w:p>
        </w:tc>
        <w:tc>
          <w:tcPr>
            <w:tcW w:type="dxa" w:w="1440"/>
            <w:shd w:fill="C6EFCE" w:val="clear"/>
          </w:tcPr>
          <w:p>
            <w:r>
              <w:rPr>
                <w:sz w:val="17"/>
              </w:rPr>
              <w:t>4,390</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3,737</w:t>
            </w:r>
          </w:p>
        </w:tc>
        <w:tc>
          <w:tcPr>
            <w:tcW w:type="dxa" w:w="1440"/>
            <w:shd w:fill="C6EFCE" w:val="clear"/>
          </w:tcPr>
          <w:p>
            <w:r>
              <w:rPr>
                <w:b/>
                <w:sz w:val="17"/>
              </w:rPr>
              <w:t>4,090</w:t>
            </w:r>
          </w:p>
        </w:tc>
        <w:tc>
          <w:tcPr>
            <w:tcW w:type="dxa" w:w="1440"/>
            <w:shd w:fill="C6EFCE" w:val="clear"/>
          </w:tcPr>
          <w:p>
            <w:r>
              <w:rPr>
                <w:sz w:val="17"/>
              </w:rPr>
              <w:t>4,442</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3,700</w:t>
            </w:r>
          </w:p>
        </w:tc>
        <w:tc>
          <w:tcPr>
            <w:tcW w:type="dxa" w:w="1440"/>
            <w:shd w:fill="C6EFCE" w:val="clear"/>
          </w:tcPr>
          <w:p>
            <w:r>
              <w:rPr>
                <w:b/>
                <w:sz w:val="17"/>
              </w:rPr>
              <w:t>4,095</w:t>
            </w:r>
          </w:p>
        </w:tc>
        <w:tc>
          <w:tcPr>
            <w:tcW w:type="dxa" w:w="1440"/>
            <w:shd w:fill="C6EFCE" w:val="clear"/>
          </w:tcPr>
          <w:p>
            <w:r>
              <w:rPr>
                <w:sz w:val="17"/>
              </w:rPr>
              <w:t>4,489</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3,690</w:t>
            </w:r>
          </w:p>
        </w:tc>
        <w:tc>
          <w:tcPr>
            <w:tcW w:type="dxa" w:w="1440"/>
            <w:shd w:fill="C6EFCE" w:val="clear"/>
          </w:tcPr>
          <w:p>
            <w:r>
              <w:rPr>
                <w:b/>
                <w:sz w:val="17"/>
              </w:rPr>
              <w:t>4,125</w:t>
            </w:r>
          </w:p>
        </w:tc>
        <w:tc>
          <w:tcPr>
            <w:tcW w:type="dxa" w:w="1440"/>
            <w:shd w:fill="C6EFCE" w:val="clear"/>
          </w:tcPr>
          <w:p>
            <w:r>
              <w:rPr>
                <w:sz w:val="17"/>
              </w:rPr>
              <w:t>4,561</w:t>
            </w:r>
          </w:p>
        </w:tc>
        <w:tc>
          <w:tcPr>
            <w:tcW w:type="dxa" w:w="1440"/>
            <w:shd w:fill="C6EFCE" w:val="clear"/>
          </w:tcPr>
          <w:p>
            <w:r>
              <w:rPr>
                <w:b/>
                <w:color w:val="008000"/>
                <w:sz w:val="17"/>
              </w:rPr>
              <w:t>+3.7%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3,681</w:t>
            </w:r>
          </w:p>
        </w:tc>
        <w:tc>
          <w:tcPr>
            <w:tcW w:type="dxa" w:w="1440"/>
            <w:shd w:fill="C6EFCE" w:val="clear"/>
          </w:tcPr>
          <w:p>
            <w:r>
              <w:rPr>
                <w:b/>
                <w:sz w:val="17"/>
              </w:rPr>
              <w:t>4,155</w:t>
            </w:r>
          </w:p>
        </w:tc>
        <w:tc>
          <w:tcPr>
            <w:tcW w:type="dxa" w:w="1440"/>
            <w:shd w:fill="C6EFCE" w:val="clear"/>
          </w:tcPr>
          <w:p>
            <w:r>
              <w:rPr>
                <w:sz w:val="17"/>
              </w:rPr>
              <w:t>4,629</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3,651</w:t>
            </w:r>
          </w:p>
        </w:tc>
        <w:tc>
          <w:tcPr>
            <w:tcW w:type="dxa" w:w="1440"/>
            <w:shd w:fill="C6EFCE" w:val="clear"/>
          </w:tcPr>
          <w:p>
            <w:r>
              <w:rPr>
                <w:b/>
                <w:sz w:val="17"/>
              </w:rPr>
              <w:t>4,158</w:t>
            </w:r>
          </w:p>
        </w:tc>
        <w:tc>
          <w:tcPr>
            <w:tcW w:type="dxa" w:w="1440"/>
            <w:shd w:fill="C6EFCE" w:val="clear"/>
          </w:tcPr>
          <w:p>
            <w:r>
              <w:rPr>
                <w:sz w:val="17"/>
              </w:rPr>
              <w:t>4,665</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3,625</w:t>
            </w:r>
          </w:p>
        </w:tc>
        <w:tc>
          <w:tcPr>
            <w:tcW w:type="dxa" w:w="1440"/>
            <w:shd w:fill="C6EFCE" w:val="clear"/>
          </w:tcPr>
          <w:p>
            <w:r>
              <w:rPr>
                <w:b/>
                <w:sz w:val="17"/>
              </w:rPr>
              <w:t>4,163</w:t>
            </w:r>
          </w:p>
        </w:tc>
        <w:tc>
          <w:tcPr>
            <w:tcW w:type="dxa" w:w="1440"/>
            <w:shd w:fill="C6EFCE" w:val="clear"/>
          </w:tcPr>
          <w:p>
            <w:r>
              <w:rPr>
                <w:sz w:val="17"/>
              </w:rPr>
              <w:t>4,701</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3,597</w:t>
            </w:r>
          </w:p>
        </w:tc>
        <w:tc>
          <w:tcPr>
            <w:tcW w:type="dxa" w:w="1440"/>
            <w:shd w:fill="C6EFCE" w:val="clear"/>
          </w:tcPr>
          <w:p>
            <w:r>
              <w:rPr>
                <w:b/>
                <w:sz w:val="17"/>
              </w:rPr>
              <w:t>4,165</w:t>
            </w:r>
          </w:p>
        </w:tc>
        <w:tc>
          <w:tcPr>
            <w:tcW w:type="dxa" w:w="1440"/>
            <w:shd w:fill="C6EFCE" w:val="clear"/>
          </w:tcPr>
          <w:p>
            <w:r>
              <w:rPr>
                <w:sz w:val="17"/>
              </w:rPr>
              <w:t>4,733</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79,60 milliards FCFA, LNBB se positionne comme une valeur de taille intermédiaire sur le compartiment des sociétés non-financières de la BRVM, loin des poids lourds bancaires mais suffisamment liquide pour intéresser les investisseurs institutionnels régionaux. Le BPA de 231 FCFA/action signifie que chaque titre LNBB génère 231 FCFA de bénéfice net, ce qui, rapporté au cours actuel de 3 980 FCFA, donne un PER de 17,2x — nettement supérieur à la moyenne BRVM (8-12x), traduisant une prime de valorisation que le marché accorde à la solidité du bilan et à la générosité du dividende. Le P/B de 3,63x confirme cette prime : le marché valorise LNBB à plus de 3,6 fois ses capitaux propres comptables (21,95 Mds FCFA), ce qui est cohérent avec un ROE élevé de 21,05% mais laisse peu de marge de sécurité en cas de dégradation. L'EV/EBITDA de 10,1x, bien que dans la fourchette "élevée" (10-15x), reste modéré au regard de la trésorerie nette positive de 7,98 Mds FCFA et de la faible dette financière (563 M FCFA), ce qui signifie que la valeur d'entreprise intègre une capacité opérationnelle solide mais sans excès d'endettement.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+2,71%, avec une dernière séance (J-1) en légère hausse de +0,13%, portant le cours actuel à 3 980 FCFA. Le range de trading est relativement large, avec un plus haut à 4 560 FCFA et un plus bas à 3 700 FCFA, soit une amplitude de 860 FCFA (23,2% du plus bas), ce qui témoigne d'une réelle volatilité intra-période malgré une tendance globale haussière modérée. La moyenne du cours s'établit à 4 076 FCFA, légèrement supérieure à la médiane de 4 050 FCFA, tandis que le mode est à 4 000 FCFA — cet écart faible entre moyenne et médiane (26 FCFA, soit 0,6%) indique une distribution quasi-symétrique, confirmée par un skewness de 0,448 (asymétrie positive modérée, interprétée comme "symétrique" dans les données). L'écart-type de 193 FCFA avec un coefficient de variation de 4,7% révèle une dispersion contenue autour de la moyenne, ce qui est rassurant pour un titre affichant une volatilité annualisée de 41,4% — cette dernière classe LNBB dans la catégorie des titres à volatilité élevée (&gt;30%), typique des petites capitalisations BRVM. Le kurtosis (excès) de -0,773, qualifié de "mésokurtique", indique une distribution proche de la normale avec un risque de pics extrêmes limité, ce qui est un facteur de stabilité pour les investisseurs. Le volume moyen de 4 734 titres/jour reste modeste, exposant le titre à un risque de liquidité en cas de mouvement massif.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(3 996 FCFA) est légèrement au-dessus du cours actuel (3 980 FCFA), tandis que la MM50 (4 129,3 FCFA) est nettement supérieure, créant une configuration baissière où le cours évolue sous ses deux moyennes. La décision technique est "Vente", car le croisement MM20 &lt; MM50 (death cross) et la position du cours sous la MM50 signalent une pression vendeuse persistante à moyen terme.</w:t>
      </w:r>
    </w:p>
    <w:p>
      <w:pPr>
        <w:spacing w:after="120" w:line="276" w:lineRule="auto"/>
      </w:pPr>
      <w:r>
        <w:t>**Bandes de Bollinger** : Le cours (3 980 FCFA) se situe dans la partie basse de la bande, entre la borne inférieure (3 816,48 FCFA) et la borne supérieure (4 175,52 FCFA), à environ 40% de la largeur. La décision est "Neutre" car le cours n'est ni en surachat (proche borne sup) ni en survente (proche borne inf), et la largeur des bandes (359 FCFA) reflète une volatilité modérée sans compression imminente.</w:t>
      </w:r>
    </w:p>
    <w:p>
      <w:pPr>
        <w:spacing w:after="120" w:line="276" w:lineRule="auto"/>
      </w:pPr>
      <w:r>
        <w:t>**MACD** : La valeur du MACD (-47,274) est légèrement inférieure à son signal (-46,309), avec un histogramme négatif (-0,965), confirmant un momentum baissier. La décision "Vente" est justifiée par cette divergence négative persistante, bien que l'écart réduit entre MACD et signal suggère un essoufflement de la dynamique baissière.</w:t>
      </w:r>
    </w:p>
    <w:p>
      <w:pPr>
        <w:spacing w:after="120" w:line="276" w:lineRule="auto"/>
      </w:pPr>
      <w:r>
        <w:t>**RSI** : À 53,03, le RSI se situe en zone neutre (30-70), sans signal de surachat ni de survente. La décision "Neutre" reflète un équilibre entre acheteurs et vendeurs, avec une légère prédominance haussière (RSI &gt; 50) mais sans conviction forte.</w:t>
      </w:r>
    </w:p>
    <w:p>
      <w:pPr>
        <w:spacing w:after="120" w:line="276" w:lineRule="auto"/>
      </w:pPr>
      <w:r>
        <w:t>**Stochastique** : Le %K (70,0) est nettement supérieur au %D (46,25), avec un croisement haussier récent du %K au-dessus du %D. La décision "Neutre" s'explique par la position du %K en zone haute (proche de 80, seuil de surachat) qui limite le potentiel de hausse à court terme, malgré le croisement positif.</w:t>
      </w:r>
    </w:p>
    <w:p>
      <w:pPr>
        <w:spacing w:after="120" w:line="276" w:lineRule="auto"/>
      </w:pPr>
      <w:r>
        <w:t>**Conclusion technique** : Les indicateurs sont majoritairement baissiers (MM, MACD) ou neutres (Bollinger, RSI, Stochastique), avec une divergence notable entre le signal de vente des moyennes mobiles et le croisement haussier du stochastique. Cette configuration suggère une phase de consolidation baissière à court terme, avec un support clé à 3 816 FCFA (borne inférieure de Bollinger) et une résistance à 4 129 FCFA (MM50). La prudence est de mise tant que le cours n'a pas reconquis la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par rapport à 2024 (102,544 Mds FCFA), et un résultat net de 4,622 Mds FCFA, en recul de -35,6% (contre 7,176 Mds FCFA en 2024). Malgré cette dégradation, les fondamentaux opérationnels se sont améliorés : la valeur ajoutée a progressé de +22% à 10,548 Mds FCFA et l'EBE de +34% à 7,164 Mds FCFA, preuve d'une excellente maîtrise des charges. Le ROE de 21,05% et le ROA de 14,17% demeurent excellents, portés par des capitaux propres solides de 21,954 Mds FCFA et une autonomie financière de 67,32%. En tant qu'entreprise non-bancaire, les délais d'exploitation sont remarquables : délai clients de 4,82 jours (très faible, donc risque de trésorerie minime), délai fournisseurs de 20,41 jours (favorable) et durée de stockage de 1,56 jour (rotation quasi-instantanée). Le BFR est négatif à 217,45 M FCFA, ce qui est un signal positif de financement par les fournisseurs. La trésorerie nette de 7,979 Mds FCFA et la couverture des intérêts de 9 153% témoignent d'une santé financière robuste. Les rapports trimestriels de 2026 confirment une reprise : au T1 2026 (rapport du 07/05/2026), le CA a progressé de +6% à 25,521 Mds FCFA mais le résultat net a chuté de -46% à 848 M FCFA, en raison d'un mix-produit défavorable (pari sportif à 95% de taux de retour). Au S1 2026 (rapport du 01/08/2026), le CA a atteint 49,937 Mds FCFA (+4%) et le résultat net a bondi de +60%, grâce à la maîtrise des charges et aux revenus de partenariats. On estime donc que l'exercice 2026 devrait afficher un CA annuel d'environ 100-102 Mds FCFA et un résultat net en forte croissance (potentiellement 6-7 Mds FCFA), sous réserve que le S2 2026 confirme la stabilisation du produit brut des jeux (-9% au S1). La principale faiblesse reste la concurrence illégale et la dépendance croissante au pari sportif à faible marge, mais la solidité du bilan et la politique de dividende généreuse (173 FCFA brut/action, soit un rendement de 4,35% au cours actuel) compensent ces risques.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apparaît tendue (PER 17,2x vs moyenne BRVM 8-12x, P/B 3,63x, EV/EBITDA 10,1x), ce qui intègre déjà une prime de qualité et de rendement, limitant le potentiel de réévaluation à court terme. Le comportement du cours sur 100 jours est haussier (+2,71%) mais la tendance récente est baissière (cours sous MM20 et MM50), avec une volatilité élevée (41,4%) et une distribution symétrique (skewness 0,448, kurtosis -0,773) qui n'annonce pas de mouvement extrême imminent. Les signaux techniques sont majoritairement négatifs (MM et MACD en "Vente", RSI et Stochastique neutres), suggérant une consolidation voire un repli vers le support de 3 816 FCFA avant toute reprise. Les fondamentaux restent solides (ROE 21%, trésorerie nette 7,98 Mds FCFA, BFR négatif) et les rapports trimestriels 2026 (T1 et S1) indiquent une nette amélioration de la rentabilité (+60% au S1), ce qui devrait soutenir le titre à moyen terme. Les prédictions IA pour les 10 prochains jours (4 073 à 4 095 FCFA) tablent sur une légère hausse (+2,4% à +2,9%), ce qui contredit les signaux techniques baissiers à court terme mais s'aligne sur la dynamique fondamentale positive. Compte tenu de cette divergence entre technique (baissier) et fondamental/prédictions (haussier), la recommandation est **CONSERVER** : les investisseurs déjà positionnés peuvent rester en portefeuille pour capter le dividende attractif (rendement 4,35%) et la reprise bénéficiaire, mais les nouveaux entrants devraient attendre un retour du cours au-dessus de la MM50 (4 129 FCFA) ou un repli vers 3 800 FCFA pour améliorer leur point d'entrée. Le niveau de confiance est **Moyen** (les fondamentaux sont bons mais la technique est fragile), le risque global est **Moyen** (volatilité élevée, liquidité modeste, concurrence sectorielle), et l'horizon optimal est **moyen terme (3-12 mois)** pour profiter de la saisonnalité des dividendes et de l'amélioration attendue des marges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2,867 titres</w:t>
            </w:r>
          </w:p>
        </w:tc>
        <w:tc>
          <w:tcPr>
            <w:tcW w:type="dxa" w:w="2268"/>
            <w:shd w:fill="FFF2CC" w:val="clear"/>
          </w:tcPr>
          <w:p>
            <w:r>
              <w:rPr>
                <w:b/>
                <w:color w:val="503200"/>
                <w:sz w:val="16"/>
              </w:rPr>
              <w:t xml:space="preserve">Cours actuel : </w:t>
            </w:r>
            <w:r>
              <w:rPr>
                <w:color w:val="000000"/>
                <w:sz w:val="17"/>
              </w:rPr>
              <w:t>2,390 FCFA</w:t>
            </w:r>
          </w:p>
          <w:p>
            <w:r>
              <w:rPr>
                <w:b/>
                <w:color w:val="503200"/>
                <w:sz w:val="16"/>
              </w:rPr>
              <w:t xml:space="preserve">Var. 100 jours : </w:t>
            </w:r>
            <w:r>
              <w:rPr>
                <w:b/>
                <w:color w:val="007800"/>
                <w:sz w:val="17"/>
              </w:rPr>
              <w:t>+35.80%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13.91% (Moyenne) — μ=2,277 FCFA, σ=317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β=0.0655 (Défensif) — Cov=0.000004, Var(idx)=0.000061, ρ=0.015,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2,230</w:t>
            </w:r>
          </w:p>
        </w:tc>
        <w:tc>
          <w:tcPr>
            <w:tcW w:type="dxa" w:w="1440"/>
            <w:shd w:fill="FAFAFA" w:val="clear"/>
          </w:tcPr>
          <w:p>
            <w:r>
              <w:rPr>
                <w:b/>
                <w:sz w:val="17"/>
              </w:rPr>
              <w:t>2,385</w:t>
            </w:r>
          </w:p>
        </w:tc>
        <w:tc>
          <w:tcPr>
            <w:tcW w:type="dxa" w:w="1440"/>
            <w:shd w:fill="FAFAFA" w:val="clear"/>
          </w:tcPr>
          <w:p>
            <w:r>
              <w:rPr>
                <w:sz w:val="17"/>
              </w:rPr>
              <w:t>2,540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2,156</w:t>
            </w:r>
          </w:p>
        </w:tc>
        <w:tc>
          <w:tcPr>
            <w:tcW w:type="dxa" w:w="1440"/>
            <w:shd w:fill="FAFAFA" w:val="clear"/>
          </w:tcPr>
          <w:p>
            <w:r>
              <w:rPr>
                <w:b/>
                <w:sz w:val="17"/>
              </w:rPr>
              <w:t>2,374</w:t>
            </w:r>
          </w:p>
        </w:tc>
        <w:tc>
          <w:tcPr>
            <w:tcW w:type="dxa" w:w="1440"/>
            <w:shd w:fill="FAFAFA" w:val="clear"/>
          </w:tcPr>
          <w:p>
            <w:r>
              <w:rPr>
                <w:sz w:val="17"/>
              </w:rPr>
              <w:t>2,593</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2,099</w:t>
            </w:r>
          </w:p>
        </w:tc>
        <w:tc>
          <w:tcPr>
            <w:tcW w:type="dxa" w:w="1440"/>
            <w:shd w:fill="FAFAFA" w:val="clear"/>
          </w:tcPr>
          <w:p>
            <w:r>
              <w:rPr>
                <w:b/>
                <w:sz w:val="17"/>
              </w:rPr>
              <w:t>2,365</w:t>
            </w:r>
          </w:p>
        </w:tc>
        <w:tc>
          <w:tcPr>
            <w:tcW w:type="dxa" w:w="1440"/>
            <w:shd w:fill="FAFAFA" w:val="clear"/>
          </w:tcPr>
          <w:p>
            <w:r>
              <w:rPr>
                <w:sz w:val="17"/>
              </w:rPr>
              <w:t>2,632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2,050</w:t>
            </w:r>
          </w:p>
        </w:tc>
        <w:tc>
          <w:tcPr>
            <w:tcW w:type="dxa" w:w="1440"/>
            <w:shd w:fill="FAFAFA" w:val="clear"/>
          </w:tcPr>
          <w:p>
            <w:r>
              <w:rPr>
                <w:b/>
                <w:sz w:val="17"/>
              </w:rPr>
              <w:t>2,356</w:t>
            </w:r>
          </w:p>
        </w:tc>
        <w:tc>
          <w:tcPr>
            <w:tcW w:type="dxa" w:w="1440"/>
            <w:shd w:fill="FAFAFA" w:val="clear"/>
          </w:tcPr>
          <w:p>
            <w:r>
              <w:rPr>
                <w:sz w:val="17"/>
              </w:rPr>
              <w:t>2,663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2,006</w:t>
            </w:r>
          </w:p>
        </w:tc>
        <w:tc>
          <w:tcPr>
            <w:tcW w:type="dxa" w:w="1440"/>
            <w:shd w:fill="FAFAFA" w:val="clear"/>
          </w:tcPr>
          <w:p>
            <w:r>
              <w:rPr>
                <w:b/>
                <w:sz w:val="17"/>
              </w:rPr>
              <w:t>2,348</w:t>
            </w:r>
          </w:p>
        </w:tc>
        <w:tc>
          <w:tcPr>
            <w:tcW w:type="dxa" w:w="1440"/>
            <w:shd w:fill="FAFAFA" w:val="clear"/>
          </w:tcPr>
          <w:p>
            <w:r>
              <w:rPr>
                <w:sz w:val="17"/>
              </w:rPr>
              <w:t>2,689</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1,966</w:t>
            </w:r>
          </w:p>
        </w:tc>
        <w:tc>
          <w:tcPr>
            <w:tcW w:type="dxa" w:w="1440"/>
            <w:shd w:fill="FFDCE0" w:val="clear"/>
          </w:tcPr>
          <w:p>
            <w:r>
              <w:rPr>
                <w:b/>
                <w:sz w:val="17"/>
              </w:rPr>
              <w:t>2,339</w:t>
            </w:r>
          </w:p>
        </w:tc>
        <w:tc>
          <w:tcPr>
            <w:tcW w:type="dxa" w:w="1440"/>
            <w:shd w:fill="FFDCE0" w:val="clear"/>
          </w:tcPr>
          <w:p>
            <w:r>
              <w:rPr>
                <w:sz w:val="17"/>
              </w:rPr>
              <w:t>2,712</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1,930</w:t>
            </w:r>
          </w:p>
        </w:tc>
        <w:tc>
          <w:tcPr>
            <w:tcW w:type="dxa" w:w="1440"/>
            <w:shd w:fill="FFDCE0" w:val="clear"/>
          </w:tcPr>
          <w:p>
            <w:r>
              <w:rPr>
                <w:b/>
                <w:sz w:val="17"/>
              </w:rPr>
              <w:t>2,332</w:t>
            </w:r>
          </w:p>
        </w:tc>
        <w:tc>
          <w:tcPr>
            <w:tcW w:type="dxa" w:w="1440"/>
            <w:shd w:fill="FFDCE0" w:val="clear"/>
          </w:tcPr>
          <w:p>
            <w:r>
              <w:rPr>
                <w:sz w:val="17"/>
              </w:rPr>
              <w:t>2,733</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1,896</w:t>
            </w:r>
          </w:p>
        </w:tc>
        <w:tc>
          <w:tcPr>
            <w:tcW w:type="dxa" w:w="1440"/>
            <w:shd w:fill="FFDCE0" w:val="clear"/>
          </w:tcPr>
          <w:p>
            <w:r>
              <w:rPr>
                <w:b/>
                <w:sz w:val="17"/>
              </w:rPr>
              <w:t>2,324</w:t>
            </w:r>
          </w:p>
        </w:tc>
        <w:tc>
          <w:tcPr>
            <w:tcW w:type="dxa" w:w="1440"/>
            <w:shd w:fill="FFDCE0" w:val="clear"/>
          </w:tcPr>
          <w:p>
            <w:r>
              <w:rPr>
                <w:sz w:val="17"/>
              </w:rPr>
              <w:t>2,752</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1,865</w:t>
            </w:r>
          </w:p>
        </w:tc>
        <w:tc>
          <w:tcPr>
            <w:tcW w:type="dxa" w:w="1440"/>
            <w:shd w:fill="FFDCE0" w:val="clear"/>
          </w:tcPr>
          <w:p>
            <w:r>
              <w:rPr>
                <w:b/>
                <w:sz w:val="17"/>
              </w:rPr>
              <w:t>2,317</w:t>
            </w:r>
          </w:p>
        </w:tc>
        <w:tc>
          <w:tcPr>
            <w:tcW w:type="dxa" w:w="1440"/>
            <w:shd w:fill="FFDCE0" w:val="clear"/>
          </w:tcPr>
          <w:p>
            <w:r>
              <w:rPr>
                <w:sz w:val="17"/>
              </w:rPr>
              <w:t>2,769</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1,835</w:t>
            </w:r>
          </w:p>
        </w:tc>
        <w:tc>
          <w:tcPr>
            <w:tcW w:type="dxa" w:w="1440"/>
            <w:shd w:fill="FFDCE0" w:val="clear"/>
          </w:tcPr>
          <w:p>
            <w:r>
              <w:rPr>
                <w:b/>
                <w:sz w:val="17"/>
              </w:rPr>
              <w:t>2,310</w:t>
            </w:r>
          </w:p>
        </w:tc>
        <w:tc>
          <w:tcPr>
            <w:tcW w:type="dxa" w:w="1440"/>
            <w:shd w:fill="FFDCE0" w:val="clear"/>
          </w:tcPr>
          <w:p>
            <w:r>
              <w:rPr>
                <w:sz w:val="17"/>
              </w:rPr>
              <w:t>2,786</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**30,51 milliards FCFA**, NEIC se positionne comme une valeur de taille moyenne sur le compartiment BRVM, ce qui reste modeste à l'échelle régionale mais significatif pour une société d'édition. Le **BPA de 160 FCFA/action** traduit une rentabilité par titre correcte, mais le **PER de 15,0x** situe le titre nettement au-dessus de la moyenne du marché BRVM (généralement 8-12x), signalant que les investisseurs paient une prime pour les bénéfices actuels. Le **P/B de 5,30x** — largement supérieur au seuil de 4x — révèle une valorisation très exigeante par rapport à la valeur comptable, ce qui suppose que le marché anticipe une forte création de valeur future. Enfin, l'**EV/EBITDA de 22,3x** (bien au-delà de 15x) confirme que la valeur d'entreprise est chèrement valorisée au regard de sa capacité opérationnelle à générer du cash, ce qui constitue un signal de prudence majeur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 enregistré une **progression spectaculaire de +35,80%**, portant le cours à **2 390 FCFA**, malgré un léger repli de **-0,42%** lors de la dernière séance. Le range de trading est particulièrement large, avec un **plus haut à 3 000 FCFA** et un **plus bas à 1 715 FCFA**, soit une amplitude de près de 75% qui témoigne d'une forte volatilité directionnelle. La tendance générale est donc nettement **haussière**, mais marquée par des corrections significatives. Les statistiques descriptives révèlent une **moyenne (2 277 FCFA)** légèrement supérieure à la **médiane (2 262 FCFA)**, avec un **mode à 1 990 FCFA** bien en dessous — signe que le cours a passé plus de temps dans des zones basses avant de s'envoler récemment. L'**écart-type de 318 FCFA (CV = 14,0%)** indique une dispersion modérée, tandis que le **kurtosis de 0,079 (mésokurtique)** suggère une distribution proche de la normale, sans pics extrêmes fréquents. Le **skewness de +0,701** (asymétrie positive) confirme qu'il y a eu davantage de journées sous la moyenne, mais que les hausses, lorsqu'elles surviennent, sont amples. La **volatilité annualisée de 54,2%** classe le titre dans la catégorie **élevée (&gt;30%)**, ce qui implique un risque de marché important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(2 716 FCFA) et la MM50 (2 472 FCFA) sont toutes deux **supérieures au cours actuel (2 390 FCFA)**, ce qui place le titre en position de faiblesse relative à court et moyen terme. Cependant, la MM20 &gt; MM50 indique une configuration haussière de fond, et la décision technique affichée est **Achat**, suggérant que le repli actuel pourrait être une opportunité de rebond vers les moyennes.</w:t>
      </w:r>
    </w:p>
    <w:p>
      <w:pPr>
        <w:spacing w:after="120" w:line="276" w:lineRule="auto"/>
      </w:pPr>
      <w:r>
        <w:t>**Bandes de Bollinger** : Le cours (2 390 FCFA) se situe **au-dessus de la borne inférieure (2 222 FCFA)** mais **loin de la borne supérieure (3 210 FCFA)**, ce qui traduit une volatilité en contraction après le pic récent. La décision est **Neutre**, car le prix n'est ni en zone de survente extrême ni en zone de surachat, laissant place à une consolidation avant un éventuel mouvement directionnel.</w:t>
      </w:r>
    </w:p>
    <w:p>
      <w:pPr>
        <w:spacing w:after="120" w:line="276" w:lineRule="auto"/>
      </w:pPr>
      <w:r>
        <w:t>**MACD** : La valeur du MACD (**-42,511**) est **nettement inférieure à son signal (22,654)**, confirmant un **momentum baissier** à court terme. La décision technique est **Vente**, ce qui contredit les autres indicateurs et suggère que la pression vendeuse reste présente malgré le rebond récent.</w:t>
      </w:r>
    </w:p>
    <w:p>
      <w:pPr>
        <w:spacing w:after="120" w:line="276" w:lineRule="auto"/>
      </w:pPr>
      <w:r>
        <w:t>**RSI** : À **28,623**, le RSI est **proche du seuil de survente (30)**, ce qui indique que le titre a été fortement vendu et pourrait amorcer un rebond technique. La décision est **Achat**, cohérente avec cette lecture de survente.</w:t>
      </w:r>
    </w:p>
    <w:p>
      <w:pPr>
        <w:spacing w:after="120" w:line="276" w:lineRule="auto"/>
      </w:pPr>
      <w:r>
        <w:t>**Stochastique** : Le %K (16,514) et le %D (15,407) sont **tous deux en zone de survente (&lt;20)**, avec un croisement potentiel à venir. La décision est **Achat**, car ces niveaux extrêmes précèdent souvent un retournement haussier.</w:t>
      </w:r>
    </w:p>
    <w:p>
      <w:pPr>
        <w:spacing w:after="120" w:line="276" w:lineRule="auto"/>
      </w:pPr>
      <w:r>
        <w:t>**Conclusion technique** : Les indicateurs sont **divergents** : le MACD donne un signal de vente, tandis que le RSI, le stochastique et les moyennes mobiles suggèrent un achat. Cette configuration est typique d'une **phase de consolidation** après une forte hausse, avec un potentiel de rebond à court terme (RSI/stochastique) mais une prudence nécessaire face au momentum baissier du MACD. Le titre se trouve à un **carrefour technique** : soit il rebondit vers 2 700 FCFA (MM20), soit il casse le support des 2 222 FCFA (Bollinger inférieure) et poursuit sa correction.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NEIC a réalisé un **chiffre d'affaires de 5,139 milliards FCFA**, en **baisse de 23,80%** par rapport à l'exercice précédent, ce qui constitue un signal de ralentissement commercial préoccupant. Le **résultat net s'élève à 2,037 milliards FCFA**, mais il est **gonflé par un produit exceptionnel** (reprise de provision pour redressement fiscal de 1,596 milliard FCFA au T3 2025), comme l'indique le rapport du 30 septembre 2025. La **marge nette de 39,63%** est donc artificiellement élevée, tandis que la **marge opérationnelle de 23,60%** reflète une rentabilité courante correcte mais en retrait. Le **ROE de 35,39%** et le **ROA de 27,25%** sont excellents sur le papier, mais à relativiser compte tenu de l'effet non récurrent. La structure financière est **très saine** : autonomie financière de **77,01%**, liquidité générale de **448,86%**, et trésorerie nette de **4,196 milliards FCFA**. Cependant, le **BFR de 1,498 milliard FCFA** (positif) et le **délai client de 154,72 jours** (très élevé) signalent un **risque de trésorerie** important, tandis que le **flux opérationnel négatif de -527,07 millions FCFA** et le **Free Cash Flow de -565,91 millions FCFA** traduisent une **détérioration de la génération de cash**, malgré une trésorerie abondante.</w:t>
      </w:r>
    </w:p>
    <w:p>
      <w:pPr>
        <w:spacing w:after="120" w:line="276" w:lineRule="auto"/>
      </w:pPr>
      <w:r>
        <w:t>**Estimations basées sur les rapports trimestriels** : Le **rapport T1 2026 (publié en 2026)** montre un **chiffre d'affaires de 115,1 millions FCFA**, en **hausse de 137%** par rapport au T1 2025 (48,5 millions FCFA), mais la société reste **déficitaire (-168,9 millions FCFA)**. Le **rapport T3 2025 (30 septembre 2025)** indique un **CA de 3,406 milliards FCFA (-35%)** et un **résultat net exceptionnel de 1,596 milliard FCFA** dû à la reprise de provision. Le **rapport T1 2025 (31 mars 2025)** faisait état d'une **perte nette de -189,9 millions FCFA** et d'un **CA de 48,5 millions FCFA (-154%)**, confirmant la **saisonnalité extrême** de l'activité (plus de 50% du CA annuel réalisé au T3). Sur la base de ces éléments, on estime que **l'exercice 2026 devrait bénéficier d'un effet de base favorable** (croissance du CA au T1), mais la **rentabilité opérationnelle reste fragile** et dépendante de contrats ponctuels (marchés publics, UNICEF). La **distribution de 100% du résultat net en dividende (2,04 milliards FCFA en 2025)** limite la capacité d'autofinancement et pourrait peser sur les investissements futurs.</w:t>
      </w:r>
    </w:p>
    <w:p>
      <w:pPr>
        <w:spacing w:after="120" w:line="276" w:lineRule="auto"/>
      </w:pPr>
      <w:r>
        <w:t>**Recommandation fondamentale** : La société présente une **solidité financière indéniable** (trésorerie, autonomie, liquidité), mais son **modèle économique est cyclique et vulnérable** (baisse du CA en 2025, dépendance aux marchés publics, digitalisation retardée). Le **PER de 15x** et le **P/B de 5,3x** intègrent déjà une **prime de croissance** qui pourrait ne pas se matérialiser si la dynamique commerciale ne se redresse pas durablement. **Prudence recommandée** : le titre est **survalorisé** au regard des fondamentaux actuels, et la **durabilité des performances** reste incertaine.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**exigeante** (PER 15x &gt; moyenne BRVM, P/B 5,3x, EV/EBITDA 22,3x), ce qui suggère une **surévaluation** par rapport aux bénéfices et à la valeur comptable. Le **comportement du cours (Partie 1)** est **haussier sur 100 jours (+35,8%)** mais avec une **volatilité élevée (54,2%)** et une **asymétrie positive** (skewness +0,701) qui indique des hausses amples mais rares. Les **signaux techniques (Partie 2)** sont **divergents** : le MACD est baissier, mais le RSI (28,6) et le stochastique (16,5) sont en zone de survente, suggérant un **rebond technique imminent**. Les **fondamentaux (Partie 3)** sont **mitigés** : trésorerie solide et ROE élevé, mais **CA en baisse (-23,8%)**, **flux opérationnel négatif**, et **résultat net gonflé par un élément non récurrent**. Les **prédictions IA (J+1 à J+10)** anticipent une **légère baisse** (2 385 → 2 348 FCFA), ce qui **contredit** le signal de rebond technique mais **confirme** la prudence fondamentale.</w:t>
      </w:r>
    </w:p>
    <w:p>
      <w:pPr>
        <w:spacing w:after="120" w:line="276" w:lineRule="auto"/>
      </w:pPr>
      <w:r>
        <w:t xml:space="preserve">**Recommandation finale** : **CONSERVER** (avec vigilance).  </w:t>
        <w:br/>
        <w:t xml:space="preserve">**Justification** : La convergence entre une **valorisation exigeante**, des **fondamentaux fragiles** (baisse du CA, flux opérationnel négatif) et des **prédictions IA baissières** l'emporte sur le signal de rebond technique à court terme. Le titre reste **soutenu par sa trésorerie** et sa **politique de dividende généreuse**, mais le **risque de correction** est élevé si la dynamique commerciale ne s'améliore pas durablement.  </w:t>
        <w:br/>
        <w:t xml:space="preserve">**Niveau de confiance** : **Moyen** (les indicateurs techniques et fondamentaux sont contradictoires).  </w:t>
        <w:br/>
        <w:t xml:space="preserve">**Niveau de risque global** : **Élevé** (volatilité 54,2%, dépendance aux marchés publics, digitalisation retardée).  </w:t>
        <w:br/>
        <w:t>**Horizon d'investissement optimal** : **Moyen terme (3-12 mois)**, en attendant des **signaux clairs de redressement opérationnel** (croissance durable du CA, amélioration du flux de trésorerie opérationnel) avant d'envisager un renforcement. **Seuil de vente** : si le cours casse les **2 222 FCFA** (Bollinger inférieure) ou si le CA 2026 confirme la baisse. **Seuil d'achat** : si le cours rebondit au-dessus de **2 700 FCFA** (MM20) avec un MACD qui croise à la hausse.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2,778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+50.60%</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14.35% (Moyenne) — μ=20,848 FCFA, σ=2,992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β=1.5714 (Agressif) — Cov=0.000095, Var(idx)=0.000061, ρ=0.465,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21,450</w:t>
            </w:r>
          </w:p>
        </w:tc>
        <w:tc>
          <w:tcPr>
            <w:tcW w:type="dxa" w:w="1440"/>
            <w:shd w:fill="FAFAFA" w:val="clear"/>
          </w:tcPr>
          <w:p>
            <w:r>
              <w:rPr>
                <w:b/>
                <w:sz w:val="17"/>
              </w:rPr>
              <w:t>22,405</w:t>
            </w:r>
          </w:p>
        </w:tc>
        <w:tc>
          <w:tcPr>
            <w:tcW w:type="dxa" w:w="1440"/>
            <w:shd w:fill="FAFAFA" w:val="clear"/>
          </w:tcPr>
          <w:p>
            <w:r>
              <w:rPr>
                <w:sz w:val="17"/>
              </w:rPr>
              <w:t>23,359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21,061</w:t>
            </w:r>
          </w:p>
        </w:tc>
        <w:tc>
          <w:tcPr>
            <w:tcW w:type="dxa" w:w="1440"/>
            <w:shd w:fill="FAFAFA" w:val="clear"/>
          </w:tcPr>
          <w:p>
            <w:r>
              <w:rPr>
                <w:b/>
                <w:sz w:val="17"/>
              </w:rPr>
              <w:t>22,411</w:t>
            </w:r>
          </w:p>
        </w:tc>
        <w:tc>
          <w:tcPr>
            <w:tcW w:type="dxa" w:w="1440"/>
            <w:shd w:fill="FAFAFA" w:val="clear"/>
          </w:tcPr>
          <w:p>
            <w:r>
              <w:rPr>
                <w:sz w:val="17"/>
              </w:rPr>
              <w:t>23,761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20,764</w:t>
            </w:r>
          </w:p>
        </w:tc>
        <w:tc>
          <w:tcPr>
            <w:tcW w:type="dxa" w:w="1440"/>
            <w:shd w:fill="FAFAFA" w:val="clear"/>
          </w:tcPr>
          <w:p>
            <w:r>
              <w:rPr>
                <w:b/>
                <w:sz w:val="17"/>
              </w:rPr>
              <w:t>22,419</w:t>
            </w:r>
          </w:p>
        </w:tc>
        <w:tc>
          <w:tcPr>
            <w:tcW w:type="dxa" w:w="1440"/>
            <w:shd w:fill="FAFAFA" w:val="clear"/>
          </w:tcPr>
          <w:p>
            <w:r>
              <w:rPr>
                <w:sz w:val="17"/>
              </w:rPr>
              <w:t>24,073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20,521</w:t>
            </w:r>
          </w:p>
        </w:tc>
        <w:tc>
          <w:tcPr>
            <w:tcW w:type="dxa" w:w="1440"/>
            <w:shd w:fill="FAFAFA" w:val="clear"/>
          </w:tcPr>
          <w:p>
            <w:r>
              <w:rPr>
                <w:b/>
                <w:sz w:val="17"/>
              </w:rPr>
              <w:t>22,432</w:t>
            </w:r>
          </w:p>
        </w:tc>
        <w:tc>
          <w:tcPr>
            <w:tcW w:type="dxa" w:w="1440"/>
            <w:shd w:fill="FAFAFA" w:val="clear"/>
          </w:tcPr>
          <w:p>
            <w:r>
              <w:rPr>
                <w:sz w:val="17"/>
              </w:rPr>
              <w:t>24,344</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20,306</w:t>
            </w:r>
          </w:p>
        </w:tc>
        <w:tc>
          <w:tcPr>
            <w:tcW w:type="dxa" w:w="1440"/>
            <w:shd w:fill="FAFAFA" w:val="clear"/>
          </w:tcPr>
          <w:p>
            <w:r>
              <w:rPr>
                <w:b/>
                <w:sz w:val="17"/>
              </w:rPr>
              <w:t>22,444</w:t>
            </w:r>
          </w:p>
        </w:tc>
        <w:tc>
          <w:tcPr>
            <w:tcW w:type="dxa" w:w="1440"/>
            <w:shd w:fill="FAFAFA" w:val="clear"/>
          </w:tcPr>
          <w:p>
            <w:r>
              <w:rPr>
                <w:sz w:val="17"/>
              </w:rPr>
              <w:t>24,582</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20,111</w:t>
            </w:r>
          </w:p>
        </w:tc>
        <w:tc>
          <w:tcPr>
            <w:tcW w:type="dxa" w:w="1440"/>
            <w:shd w:fill="FAFAFA" w:val="clear"/>
          </w:tcPr>
          <w:p>
            <w:r>
              <w:rPr>
                <w:b/>
                <w:sz w:val="17"/>
              </w:rPr>
              <w:t>22,454</w:t>
            </w:r>
          </w:p>
        </w:tc>
        <w:tc>
          <w:tcPr>
            <w:tcW w:type="dxa" w:w="1440"/>
            <w:shd w:fill="FAFAFA" w:val="clear"/>
          </w:tcPr>
          <w:p>
            <w:r>
              <w:rPr>
                <w:sz w:val="17"/>
              </w:rPr>
              <w:t>24,797</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19,931</w:t>
            </w:r>
          </w:p>
        </w:tc>
        <w:tc>
          <w:tcPr>
            <w:tcW w:type="dxa" w:w="1440"/>
            <w:shd w:fill="FAFAFA" w:val="clear"/>
          </w:tcPr>
          <w:p>
            <w:r>
              <w:rPr>
                <w:b/>
                <w:sz w:val="17"/>
              </w:rPr>
              <w:t>22,463</w:t>
            </w:r>
          </w:p>
        </w:tc>
        <w:tc>
          <w:tcPr>
            <w:tcW w:type="dxa" w:w="1440"/>
            <w:shd w:fill="FAFAFA" w:val="clear"/>
          </w:tcPr>
          <w:p>
            <w:r>
              <w:rPr>
                <w:sz w:val="17"/>
              </w:rPr>
              <w:t>24,994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19,763</w:t>
            </w:r>
          </w:p>
        </w:tc>
        <w:tc>
          <w:tcPr>
            <w:tcW w:type="dxa" w:w="1440"/>
            <w:shd w:fill="FAFAFA" w:val="clear"/>
          </w:tcPr>
          <w:p>
            <w:r>
              <w:rPr>
                <w:b/>
                <w:sz w:val="17"/>
              </w:rPr>
              <w:t>22,471</w:t>
            </w:r>
          </w:p>
        </w:tc>
        <w:tc>
          <w:tcPr>
            <w:tcW w:type="dxa" w:w="1440"/>
            <w:shd w:fill="FAFAFA" w:val="clear"/>
          </w:tcPr>
          <w:p>
            <w:r>
              <w:rPr>
                <w:sz w:val="17"/>
              </w:rPr>
              <w:t>25,178</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19,605</w:t>
            </w:r>
          </w:p>
        </w:tc>
        <w:tc>
          <w:tcPr>
            <w:tcW w:type="dxa" w:w="1440"/>
            <w:shd w:fill="FAFAFA" w:val="clear"/>
          </w:tcPr>
          <w:p>
            <w:r>
              <w:rPr>
                <w:b/>
                <w:sz w:val="17"/>
              </w:rPr>
              <w:t>22,478</w:t>
            </w:r>
          </w:p>
        </w:tc>
        <w:tc>
          <w:tcPr>
            <w:tcW w:type="dxa" w:w="1440"/>
            <w:shd w:fill="FAFAFA" w:val="clear"/>
          </w:tcPr>
          <w:p>
            <w:r>
              <w:rPr>
                <w:sz w:val="17"/>
              </w:rPr>
              <w:t>25,351</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19,456</w:t>
            </w:r>
          </w:p>
        </w:tc>
        <w:tc>
          <w:tcPr>
            <w:tcW w:type="dxa" w:w="1440"/>
            <w:shd w:fill="FAFAFA" w:val="clear"/>
          </w:tcPr>
          <w:p>
            <w:r>
              <w:rPr>
                <w:b/>
                <w:sz w:val="17"/>
              </w:rPr>
              <w:t>22,486</w:t>
            </w:r>
          </w:p>
        </w:tc>
        <w:tc>
          <w:tcPr>
            <w:tcW w:type="dxa" w:w="1440"/>
            <w:shd w:fill="FAFAFA" w:val="clear"/>
          </w:tcPr>
          <w:p>
            <w:r>
              <w:rPr>
                <w:sz w:val="17"/>
              </w:rPr>
              <w:t>25,515</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556,53 milliards FCFA, NSBC s'impose comme l'une des plus importantes capitalisations du compartiment bancaire de la BRVM, ce qui témoigne de sa liquidité relative et de son poids dans l'indice BRVM Composite. Le BPA de 1 646 FCFA/action signifie que chaque titre génère près de 1 646 FCFA de bénéfice net, un niveau élevé qui traduit la forte rentabilité de la banque. Le PER de 13,7x se situe légèrement au-dessus de la moyenne du marché BRVM (8-12x), indiquant que les investisseurs paient une prime modérée pour la qualité de la croissance, sans pour autant tomber dans une surévaluation excessive. Le P/B de 2,39x montre que le marché valorise la banque à plus de deux fois sa valeur comptable, une prime de croissance justifiée par un ROE de 17,45% nettement supérieur au coût des fonds propres. En revanche, l'EV/EBITDA de 21,2x apparaît très exigeant (&gt;15x), signalant que la valeur d'entreprise intègre déjà une bonne partie des anticipations de croissance future,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+50,60%, avec une dernière séance en hausse de +2,83%, portant le cours actuel à 22 500 FCFA. Le range de trading est particulièrement large, oscillant entre un plus bas de 13 810 FCFA et un plus haut de 24 885 FCFA, ce qui traduit une dynamique haussière puissante mais aussi une forte amplitude de variation. La tendance générale est clairement haussière, soutenue par des fondamentaux solides et un intérêt croissant des investisseurs pour le secteur bancaire ivoirien. Les statistiques descriptives révèlent une moyenne de 20 848 FCFA légèrement inférieure à la médiane de 21 915 FCFA, avec un mode à 23 000 FCFA : cet écart indique une distribution asymétrique où le cours a passé plus de temps dans les niveaux élevés, mais où quelques séances de correction ont tiré la moyenne vers le bas. L'écart-type de 3 007 FCFA (CV=14,4%) traduit une dispersion modérée du cours autour de sa moyenne, tandis que le kurtosis de -0,171 (mésokurtique) suggère une distribution proche de la normale, sans risque excessif de pics extrêmes. Le skewness de -0,822 (asymétrie négative) confirme que les journées de baisse ont été moins nombreuses mais plus amples que les journées de hausse, un schéma typique des titres en forte tendance haussière. Enfin, la volatilité annualisée de 42,2% classe NSBC dans la catégorie des titres à volatilité élevée (&gt;30%), ce qui implique un risque de marché significatif et justifie une approche d'investissement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(23 536,75 FCFA) et la MM50 (23 289,80 FCFA) se situent toutes deux au-dessus du cours actuel (22 500 FCFA), ce qui place le titre en position de repli sous ses moyennes court et moyen terme. Cependant, la MM20 reste supérieure à la MM50, conservant une configuration haussière de fond, ce qui justifie la décision d'achat malgré le repli actuel.</w:t>
      </w:r>
    </w:p>
    <w:p>
      <w:pPr>
        <w:spacing w:after="120" w:line="276" w:lineRule="auto"/>
      </w:pPr>
      <w:r>
        <w:t>**Bandes de Bollinger** : Le cours actuel (22 500 FCFA) évolue dans la partie basse de la bande de Bollinger, entre la borne inférieure (21 367,01 FCFA) et la borne supérieure (25 706,49 FCFA). Cette position neutre indique que le titre n'est ni suracheté ni survendu, avec une volatilité qui reste contenue dans les limites des bandes, justifiant la décision neutre.</w:t>
      </w:r>
    </w:p>
    <w:p>
      <w:pPr>
        <w:spacing w:after="120" w:line="276" w:lineRule="auto"/>
      </w:pPr>
      <w:r>
        <w:t>**MACD** : La valeur du MACD (-190,264) est nettement inférieure à son signal (119,436), générant une divergence baissière qui traduit un momentum négatif à court terme. Cette configuration justifie la décision de vente technique, bien qu'elle puisse être interprétée comme une opportunité de rebond si le cours se stabilise.</w:t>
      </w:r>
    </w:p>
    <w:p>
      <w:pPr>
        <w:spacing w:after="120" w:line="276" w:lineRule="auto"/>
      </w:pPr>
      <w:r>
        <w:t>**RSI** : Avec une valeur de 33,357, le RSI se situe dans la zone neutre basse, proche du seuil de survente (30), sans y être encore. Cette position indique que le titre n'est pas encore survendu mais que la pression baissière récente commence à s'atténuer, justifiant la décision neutre.</w:t>
      </w:r>
    </w:p>
    <w:p>
      <w:pPr>
        <w:spacing w:after="120" w:line="276" w:lineRule="auto"/>
      </w:pPr>
      <w:r>
        <w:t>**Stochastique** : Le %K (45,664) est supérieur au %D (23,944), ce qui suggère un croisement haussier potentiel en cours de formation. Cette configuration, bien que précoce, indique que le momentum baissier pourrait s'inverser à court terme, justifiant la décision neutre dans l'attente d'une confirmation.</w:t>
      </w:r>
    </w:p>
    <w:p>
      <w:pPr>
        <w:spacing w:after="120" w:line="276" w:lineRule="auto"/>
      </w:pPr>
      <w:r>
        <w:t>**Conclusion technique** : Les indicateurs techniques présentent un tableau mitigé : les moyennes mobiles restent haussières de fond mais le cours est en repli, le MACD est baissier tandis que le RSI et le stochastique suggèrent un possible retournement. Cette divergence entre indicateurs de tendance et oscillateurs plaide pour une phase de consolidation avant une reprise éventuelle, avec un support clé à surveiller autour de 21 367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 réalisé un Produit Net Bancaire (PNB) de 112,928 milliards FCFA, en progression de 15,45% sur un an, porté par une marge d'intérêts en hausse de 26% à 79,8 milliards FCFA. Le résultat net s'établit à 40,712 milliards FCFA, en croissance de 7% par rapport à 2024, avec une marge nette élevée de 36,05% et un ROE de 17,45%, confirmant la rentabilité supérieure de la banque. Le coefficient d'exploitation de 54,59% (contre 59,9% au S1 2024) témoigne d'une efficacité opérationnelle en amélioration, bien en dessous du seuil de 60% qui distingue les banques efficaces. Cependant, le coût du risque s'est fortement dégradé, passant d'un produit de +0,6 milliard FCFA en 2024 à une charge de -8,5 milliards FCFA en 2025, ce qui a pesé sur la rentabilité nette malgré la bonne performance opérationnelle (RBE +30%). La structure financière reste solide avec des capitaux propres de 233,303 milliards FCFA, un ratio d'autonomie financière de 7,59% (faible mais normal pour une banque) et une solvabilité générale de 108,22%. Le total du bilan a bondi de 22% à 3 073,062 milliards FCFA, porté par une collecte de dépôts clientèle de 2 242,218 milliards FCFA (+32%) et des créances clientèle de 1 818,671 milliards FCFA (+18%), démontrant une forte dynamique commerciale. Sur la base du rapport T1 2026 (publié le 31/03/2026), le PNB a progressé de 28% à 28,615 milliards FCFA et le résultat net de 53% à 10,912 milliards FCFA, avec une marge nette de 38,1%, ce qui permet d'estimer que l'exercice 2026 devrait afficher une nouvelle accélération de la croissance, sous réserve de la maîtrise du coût du risque. Le rapport annuel 2025 (publié le 31/12/2025) souligne les opportunités liées au Plan National de Développement (PND 2026-2030) et aux opérations de titrisation, mais identifie le risque de crédit comme principal point de vigilance. En synthèse, NSBC présente des fondamentaux solides avec une croissance soutenue, une rentabilité élevée et une efficacité opérationnelle en amélioration, mais la dégradation du coût du risque et la valorisation exigeante (EV/EBITDA de 21,2x)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13,7x, P/B 2,39x, EV/EBITDA 21,2x) indique une prime modérée à élevée par rapport au marché BRVM, reflétant la qualité de la croissance mais limitant le potentiel de réévaluation à court terme. Le comportement du cours sur 100 jours (+50,60%) est nettement haussier, avec une volatilité élevée (42,2%) et une asymétrie négative (skewness -0,822) qui suggère que les corrections pourraient être amples, tandis que le kurtosis proche de la normale (-0,171) écarte le risque de pics extrêmes. Les signaux techniques sont divergents : les moyennes mobiles restent haussières de fond, mais le MACD est baissier et le RSI/stochastique suggèrent un possible retournement, ce qui plaide pour une consolidation avant une reprise. Les fondamentaux sont solides (PNB +15,45%, ROE 17,45%, coefficient d'exploitation 54,59%) et les estimations basées sur le T1 2026 (PNB +28%, résultat net +53%) laissent entrevoir une accélération de la croissance en 2026, bien que le coût du risque reste un point de vigilance. Les prédictions IA (J+1 à J+10) anticipent une légère hausse vers 22 405-22 444 FCFA, ce qui confirme une stabilisation du cours après le repli récent, sans signaler de retournement majeur. Sur la base de cette synthèse, la recommandation est **CONSERVER** : la convergence entre fondamentaux solides, valorisation raisonnable et prédictions stables justifie le maintien de la position, mais la divergence technique (MACD baissier) et le risque de crédit incitent à ne pas renforcer à court terme. Le niveau de confiance est **Moyen**, car les signaux techniques et fondamentaux ne sont pas parfaitement alignés, et le risque global est **Moyen** en raison de la volatilité élevée et de la sensibilité au coût du risque. L'horizon d'investissement optimal est **moyen terme (3-12 mois)**, le temps que la consolidation technique s'achève et que les résultats semestriels 2026 confirment la tendance haussière des fondamentaux.</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337.68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1,298 titres</w:t>
            </w:r>
          </w:p>
        </w:tc>
        <w:tc>
          <w:tcPr>
            <w:tcW w:type="dxa" w:w="2268"/>
            <w:shd w:fill="FFF2CC" w:val="clear"/>
          </w:tcPr>
          <w:p>
            <w:r>
              <w:rPr>
                <w:b/>
                <w:color w:val="503200"/>
                <w:sz w:val="16"/>
              </w:rPr>
              <w:t xml:space="preserve">Cours actuel : </w:t>
            </w:r>
            <w:r>
              <w:rPr>
                <w:color w:val="000000"/>
                <w:sz w:val="17"/>
              </w:rPr>
              <w:t>15,300 FCFA</w:t>
            </w:r>
          </w:p>
          <w:p>
            <w:r>
              <w:rPr>
                <w:b/>
                <w:color w:val="503200"/>
                <w:sz w:val="16"/>
              </w:rPr>
              <w:t xml:space="preserve">Var. 100 jours : </w:t>
            </w:r>
            <w:r>
              <w:rPr>
                <w:b/>
                <w:color w:val="007800"/>
                <w:sz w:val="17"/>
              </w:rPr>
              <w:t>+25.15%</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11.74% (Moyenne) — μ=15,286 FCFA, σ=1,795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β=0.5998 (Défensif) — Cov=0.000036, Var(idx)=0.000061, ρ=0.202,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14,515</w:t>
            </w:r>
          </w:p>
        </w:tc>
        <w:tc>
          <w:tcPr>
            <w:tcW w:type="dxa" w:w="1440"/>
            <w:shd w:fill="FAFAFA" w:val="clear"/>
          </w:tcPr>
          <w:p>
            <w:r>
              <w:rPr>
                <w:b/>
                <w:sz w:val="17"/>
              </w:rPr>
              <w:t>15,242</w:t>
            </w:r>
          </w:p>
        </w:tc>
        <w:tc>
          <w:tcPr>
            <w:tcW w:type="dxa" w:w="1440"/>
            <w:shd w:fill="FAFAFA" w:val="clear"/>
          </w:tcPr>
          <w:p>
            <w:r>
              <w:rPr>
                <w:sz w:val="17"/>
              </w:rPr>
              <w:t>15,968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14,218</w:t>
            </w:r>
          </w:p>
        </w:tc>
        <w:tc>
          <w:tcPr>
            <w:tcW w:type="dxa" w:w="1440"/>
            <w:shd w:fill="FAFAFA" w:val="clear"/>
          </w:tcPr>
          <w:p>
            <w:r>
              <w:rPr>
                <w:b/>
                <w:sz w:val="17"/>
              </w:rPr>
              <w:t>15,246</w:t>
            </w:r>
          </w:p>
        </w:tc>
        <w:tc>
          <w:tcPr>
            <w:tcW w:type="dxa" w:w="1440"/>
            <w:shd w:fill="FAFAFA" w:val="clear"/>
          </w:tcPr>
          <w:p>
            <w:r>
              <w:rPr>
                <w:sz w:val="17"/>
              </w:rPr>
              <w:t>16,273</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14,011</w:t>
            </w:r>
          </w:p>
        </w:tc>
        <w:tc>
          <w:tcPr>
            <w:tcW w:type="dxa" w:w="1440"/>
            <w:shd w:fill="FAFAFA" w:val="clear"/>
          </w:tcPr>
          <w:p>
            <w:r>
              <w:rPr>
                <w:b/>
                <w:sz w:val="17"/>
              </w:rPr>
              <w:t>15,272</w:t>
            </w:r>
          </w:p>
        </w:tc>
        <w:tc>
          <w:tcPr>
            <w:tcW w:type="dxa" w:w="1440"/>
            <w:shd w:fill="FAFAFA" w:val="clear"/>
          </w:tcPr>
          <w:p>
            <w:r>
              <w:rPr>
                <w:sz w:val="17"/>
              </w:rPr>
              <w:t>16,533</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13,839</w:t>
            </w:r>
          </w:p>
        </w:tc>
        <w:tc>
          <w:tcPr>
            <w:tcW w:type="dxa" w:w="1440"/>
            <w:shd w:fill="FAFAFA" w:val="clear"/>
          </w:tcPr>
          <w:p>
            <w:r>
              <w:rPr>
                <w:b/>
                <w:sz w:val="17"/>
              </w:rPr>
              <w:t>15,297</w:t>
            </w:r>
          </w:p>
        </w:tc>
        <w:tc>
          <w:tcPr>
            <w:tcW w:type="dxa" w:w="1440"/>
            <w:shd w:fill="FAFAFA" w:val="clear"/>
          </w:tcPr>
          <w:p>
            <w:r>
              <w:rPr>
                <w:sz w:val="17"/>
              </w:rPr>
              <w:t>16,756</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13,687</w:t>
            </w:r>
          </w:p>
        </w:tc>
        <w:tc>
          <w:tcPr>
            <w:tcW w:type="dxa" w:w="1440"/>
            <w:shd w:fill="FAFAFA" w:val="clear"/>
          </w:tcPr>
          <w:p>
            <w:r>
              <w:rPr>
                <w:b/>
                <w:sz w:val="17"/>
              </w:rPr>
              <w:t>15,320</w:t>
            </w:r>
          </w:p>
        </w:tc>
        <w:tc>
          <w:tcPr>
            <w:tcW w:type="dxa" w:w="1440"/>
            <w:shd w:fill="FAFAFA" w:val="clear"/>
          </w:tcPr>
          <w:p>
            <w:r>
              <w:rPr>
                <w:sz w:val="17"/>
              </w:rPr>
              <w:t>16,953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13,548</w:t>
            </w:r>
          </w:p>
        </w:tc>
        <w:tc>
          <w:tcPr>
            <w:tcW w:type="dxa" w:w="1440"/>
            <w:shd w:fill="FAFAFA" w:val="clear"/>
          </w:tcPr>
          <w:p>
            <w:r>
              <w:rPr>
                <w:b/>
                <w:sz w:val="17"/>
              </w:rPr>
              <w:t>15,339</w:t>
            </w:r>
          </w:p>
        </w:tc>
        <w:tc>
          <w:tcPr>
            <w:tcW w:type="dxa" w:w="1440"/>
            <w:shd w:fill="FAFAFA" w:val="clear"/>
          </w:tcPr>
          <w:p>
            <w:r>
              <w:rPr>
                <w:sz w:val="17"/>
              </w:rPr>
              <w:t>17,130</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13,419</w:t>
            </w:r>
          </w:p>
        </w:tc>
        <w:tc>
          <w:tcPr>
            <w:tcW w:type="dxa" w:w="1440"/>
            <w:shd w:fill="FAFAFA" w:val="clear"/>
          </w:tcPr>
          <w:p>
            <w:r>
              <w:rPr>
                <w:b/>
                <w:sz w:val="17"/>
              </w:rPr>
              <w:t>15,356</w:t>
            </w:r>
          </w:p>
        </w:tc>
        <w:tc>
          <w:tcPr>
            <w:tcW w:type="dxa" w:w="1440"/>
            <w:shd w:fill="FAFAFA" w:val="clear"/>
          </w:tcPr>
          <w:p>
            <w:r>
              <w:rPr>
                <w:sz w:val="17"/>
              </w:rPr>
              <w:t>17,293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13,299</w:t>
            </w:r>
          </w:p>
        </w:tc>
        <w:tc>
          <w:tcPr>
            <w:tcW w:type="dxa" w:w="1440"/>
            <w:shd w:fill="FAFAFA" w:val="clear"/>
          </w:tcPr>
          <w:p>
            <w:r>
              <w:rPr>
                <w:b/>
                <w:sz w:val="17"/>
              </w:rPr>
              <w:t>15,372</w:t>
            </w:r>
          </w:p>
        </w:tc>
        <w:tc>
          <w:tcPr>
            <w:tcW w:type="dxa" w:w="1440"/>
            <w:shd w:fill="FAFAFA" w:val="clear"/>
          </w:tcPr>
          <w:p>
            <w:r>
              <w:rPr>
                <w:sz w:val="17"/>
              </w:rPr>
              <w:t>17,445</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13,187</w:t>
            </w:r>
          </w:p>
        </w:tc>
        <w:tc>
          <w:tcPr>
            <w:tcW w:type="dxa" w:w="1440"/>
            <w:shd w:fill="FAFAFA" w:val="clear"/>
          </w:tcPr>
          <w:p>
            <w:r>
              <w:rPr>
                <w:b/>
                <w:sz w:val="17"/>
              </w:rPr>
              <w:t>15,388</w:t>
            </w:r>
          </w:p>
        </w:tc>
        <w:tc>
          <w:tcPr>
            <w:tcW w:type="dxa" w:w="1440"/>
            <w:shd w:fill="FAFAFA" w:val="clear"/>
          </w:tcPr>
          <w:p>
            <w:r>
              <w:rPr>
                <w:sz w:val="17"/>
              </w:rPr>
              <w:t>17,589</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13,081</w:t>
            </w:r>
          </w:p>
        </w:tc>
        <w:tc>
          <w:tcPr>
            <w:tcW w:type="dxa" w:w="1440"/>
            <w:shd w:fill="FAFAFA" w:val="clear"/>
          </w:tcPr>
          <w:p>
            <w:r>
              <w:rPr>
                <w:b/>
                <w:sz w:val="17"/>
              </w:rPr>
              <w:t>15,403</w:t>
            </w:r>
          </w:p>
        </w:tc>
        <w:tc>
          <w:tcPr>
            <w:tcW w:type="dxa" w:w="1440"/>
            <w:shd w:fill="FAFAFA" w:val="clear"/>
          </w:tcPr>
          <w:p>
            <w:r>
              <w:rPr>
                <w:sz w:val="17"/>
              </w:rPr>
              <w:t>17,725</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 RAPPORT D'ANALYSE FINANCIÈRE — NTLC (Nestlé Côte d'Ivoire S.A.)</w:t>
        <w:br/>
        <w:t>**Bourse Régionale des Valeurs Mobilières (BRVM) — Secteur : Entreprise / Agroalimentaire**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**337,68 milliards FCFA**, NTLC figure parmi les valeurs les plus capitalisées de la BRVM, ce qui en fait un pilier de l'indice BRVM Composite et un titre de référence pour les investisseurs institutionnels. Le **BPA de 835 FCFA/action** traduit une rentabilité nette par titre solide, cohérente avec un résultat net de 18,43 milliards FCFA en 2025. Le **PER de 18,3x** se situe nettement au-dessus de la moyenne du marché BRVM (8-12x), signalant que les investisseurs acceptent de payer une prime de qualité pour cette valeur défensive à la marque forte. Le **P/B de 11,41x** (très supérieur au seuil de 4x) confirme cette prime exigeante : le marché valorise NTLC bien au-delà de sa valeur comptable (capitaux propres de 29,59 Mds FCFA), ce qui se justifie par un **ROE exceptionnel de 62,28%** mais laisse peu de marge d'erreur. Enfin, l'**EV/EBITDA de 9,2x** reste dans la fourchette raisonnable (5-10x), indiquant que la valeur d'entreprise reste cohérente avec la capacité opérationnelle de génération de cash (EBE de 46,17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**progression totale de +25,15%**, avec une dernière séance particulièrement dynamique (+5,52% en J-1), portant le cours actuel à **15 300 FCFA**. Le range de trading est large, entre un plus bas de **11 150 FCFA** et un plus haut de **18 000 FCFA**, soit une amplitude de près de 61% qui témoigne d'une forte volatilité directionnelle. La tendance générale est haussière sur la période, mais le cours actuel se situe en retrait de 15% par rapport à son sommet, suggérant une phase de correction après un rallye marqué. Les statistiques descriptives révèlent une **moyenne (15 286 FCFA) légèrement inférieure à la médiane (15 995 FCFA)**, écart caractéristique d'une distribution asymétrique où les journées de forte hausse tirent la moyenne vers le bas ; le **skewness de -0,863** confirme cette asymétrie négative (plus de journées au-dessus de la moyenne, mais quelques chutes marquées). L'**écart-type de 1 804 FCFA (CV = 11,8%)** indique une dispersion modérée du cours autour de sa tendance, tandis que le **kurtosis de -0,539 (mésokurtique)** suggère une distribution proche de la normale, sans risque extrême de pics erratiques. La **volatilité annualisée de 37,3%** positionne NTLC dans la catégorie des titres à volatilité élevée (&gt;30%), ce qui est cohérent avec une valeur de croissance à forte prime de valorisation.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(16 296,5 FCFA) et la MM50 (16 522,9 FCFA) se situent toutes deux **au-dessus du cours actuel** (15 300 FCFA), ce qui place le titre en configuration baissière de court terme. La MM20 étant légèrement sous la MM50, on observe un début de croisement baissier (death cross naissant), justifiant la **décision de Vente** émise par cet indicateur.</w:t>
      </w:r>
    </w:p>
    <w:p>
      <w:pPr>
        <w:spacing w:after="120" w:line="276" w:lineRule="auto"/>
      </w:pPr>
      <w:r>
        <w:t>**Bandes de Bollinger** : Le cours (15 300 FCFA) évolue dans la moitié basse du canal, entre la borne inférieure (14 558,47 FCFA) et la borne supérieure (18 034,53 FCFA), sans toucher les extrêmes. Cette position médiane, couplée à un écart-type de 1 804 FCFA, traduit une **volatilité contenue** et une absence de signal directionnel fort, d'où la **décision Neutre**.</w:t>
      </w:r>
    </w:p>
    <w:p>
      <w:pPr>
        <w:spacing w:after="120" w:line="276" w:lineRule="auto"/>
      </w:pPr>
      <w:r>
        <w:t>**MACD** : La valeur du MACD (-451,24) est **nettement inférieure à son signal (-233,76)**, avec un histogramme négatif qui s'accentue. Cette configuration traduit un **momentum baissier persistant** et une pression vendeuse dominante, confirmant la **décision de Vente**.</w:t>
      </w:r>
    </w:p>
    <w:p>
      <w:pPr>
        <w:spacing w:after="120" w:line="276" w:lineRule="auto"/>
      </w:pPr>
      <w:r>
        <w:t>**RSI** : À **21,28**, le RSI se situe en zone de **survente sévère** (seuil &lt;30), ce qui indique que le titre a été massivement vendu et pourrait être proche d'un point de retournement technique. Cette lecture contrarienne justifie la **décision d'Achat** émise par cet indicateur.</w:t>
      </w:r>
    </w:p>
    <w:p>
      <w:pPr>
        <w:spacing w:after="120" w:line="276" w:lineRule="auto"/>
      </w:pPr>
      <w:r>
        <w:t>**Stochastique** : Le %K (33,33) est supérieur au %D (11,11), avec un croisement haussier en formation depuis la zone basse. Cette configuration suggère un **début de reprise du momentum**, mais la position encore basse des deux lignes incite à la prudence, d'où la **décision Neutre**.</w:t>
      </w:r>
    </w:p>
    <w:p>
      <w:pPr>
        <w:spacing w:after="120" w:line="276" w:lineRule="auto"/>
      </w:pPr>
      <w:r>
        <w:t>**Conclusion technique** : Les indicateurs sont **partagés mais majoritairement baissiers** (MM, MACD en Vente ; Bollinger, Stochastique Neutres), avec un seul signal haussier (RSI en survente). Le titre se trouve dans une phase de correction après un rallye de +25%, et la survente du RSI pourrait déclencher un rebond technique à court terme, mais la pression baissière des moyennes mobiles et du MACD suggère que la prudence reste de mise tant que le cours n'aura pas reconquis la MM20 (16 296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Nestlé Côte d'Ivoire a réalisé un **chiffre d'affaires de 233,26 milliards FCFA** (en croissance de +5,97% selon le rapport annuel 2025 analysé le 01/05/2026), pour un **résultat net de 18,43 milliards FCFA** (+1,53% vs 2024). La rentabilité reste exceptionnelle avec un **ROE de 62,28%** (largement supérieur au seuil de 15% d'excellence) et un **ROA de 9,70%**, tandis que la **marge nette de 7,90%** est stable mais légèrement en repli par rapport aux 8,25% de 2024. En tant qu'entreprise agroalimentaire, les points d'attention portent sur le **BFR de 22,63 Mds FCFA** (positif, donc consommateur de trésorerie), le **délai client élevé de 74,30 jours** (risque de trésorerie significatif) et la **durée de stockage de 59,39 jours** (immobilisation de capital notable). La structure financière est **fragile** : l'autonomie financière de 15,58% est très inférieure au seuil sain de 30%, le ratio d'endettement de 135,85% est élevé, et la **trésorerie nette est négative (-46,83 Mds FCFA)**, reflétant un besoin de financement chronique du cycle d'exploitation. **Estimations basées sur les rapports trimestriels** : le rapport T1 2026 (publié le 01/05/2026) fait état d'un **chiffre d'affaires de 70,82 Mds FCFA (+31% vs T1 2025)** et d'un **résultat net de 7,53 Mds FCFA (+37%)**, avec une marge nette améliorée à 10,6%. Si cette dynamique se poursuit, on peut estimer un **CA 2026 autour de 280-290 Mds FCFA** et un **résultat net proche de 22-24 Mds FCFA**, soit une accélération notable par rapport à 2025. Toutefois, le rapport annuel 2025 (analysé le 01/05/2026) signale une **réduction du dividende de moitié** (9,27 Mds FCFA vs 18,10 Mds FCFA en 2024, payout de 50,3% contre 99,7%), traduisant une stratégie de réinvestissement et de renforcement des fonds propres. **Recommandation fondamentale** : la solidité opérationnelle et la dynamique du T1 2026 sont très positives, mais la fragilité de la structure financière (endettement, trésorerie négative, BFR élevé) et la baisse du dividende incitent à une **vigilance modérée**.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de 18,3x et le P/B de 11,41x intègrent une prime de qualité qui laisse peu de marge d'erreur, bien que l'EV/EBITDA de 9,2x reste raisonnable. Le **comportement du cours (Partie 1)** est mitigé : la tendance haussière de +25% sur 100 jours est impressionnante, mais la correction actuelle (-15% depuis le sommet) et la volatilité élevée (37,3%) signalent une prise de bénéfices, avec un skewness négatif qui traduit une asymétrie défavorable aux acheteurs récents. Les **signaux techniques (Partie 2)** sont majoritairement baissiers (MM, MACD en Vente), mais le RSI en survente sévère (21,28) et le croisement haussier naissant du stochastique suggèrent qu'un **rebond technique est probable à court terme**. Les **fondamentaux (Partie 3)** sont solides : ROE de 62,28%, croissance du CA de +5,97% en 2025 et accélération spectaculaire au T1 2026 (+31% de CA, +37% de résultat net), mais la structure financière fragile (autonomie de 15,58%, trésorerie nette négative) et la réduction du dividende tempèrent l'enthousiasme. Les **prédictions IA (J+1 à J+10)** anticipent une **stabilisation autour de 15 242-15 320 FCFA**, soit une légère reprise de +0,13% sur 10 jours, ce qui **confirme la thèse d'un rebond technique modéré** sans retournement majeur. **Recommandation finale : CONSERVER** — Le titre présente un profil équilibré : la survente technique et la dynamique fondamentale du T1 2026 plaident pour un maintien, mais la valorisation exigeante et la fragilité financière excluent un achat agressif. **Niveau de confiance : Moyen** (signaux techniques divergents, fondamentaux solides mais structure financière à surveiller). **Niveau de risque global : Moyen à Élevé** (volatilité de 37,3%, endettement élevé, dépendance aux matières premières). **Horizon d'investissement optimal : Moyen terme (3-12 mois)**, le temps que la dynamique du T1 2026 se confirme et que la structure financière s'améliore.</w:t>
      </w:r>
    </w:p>
    <w:p>
      <w:pPr>
        <w:spacing w:after="120" w:line="276" w:lineRule="auto"/>
      </w:pPr>
      <w:r>
        <w:t>---</w:t>
      </w:r>
    </w:p>
    <w:p>
      <w:pPr>
        <w:spacing w:after="120" w:line="276" w:lineRule="auto"/>
      </w:pPr>
      <w:r>
        <w:t>*Rapport généré le 27/09/2026 — Sources : BRVM Données Financières 2025, Rapports trimestriels T1 2026 et annuels 2025, analyses DEEPSEEK et MISTRAL, prédictions IA à 10 jours.*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5,364 titres</w:t>
            </w:r>
          </w:p>
        </w:tc>
        <w:tc>
          <w:tcPr>
            <w:tcW w:type="dxa" w:w="2268"/>
            <w:shd w:fill="FFF2CC" w:val="clear"/>
          </w:tcPr>
          <w:p>
            <w:r>
              <w:rPr>
                <w:b/>
                <w:color w:val="503200"/>
                <w:sz w:val="16"/>
              </w:rPr>
              <w:t xml:space="preserve">Cours actuel : </w:t>
            </w:r>
            <w:r>
              <w:rPr>
                <w:color w:val="000000"/>
                <w:sz w:val="17"/>
              </w:rPr>
              <w:t>2,960 FCFA</w:t>
            </w:r>
          </w:p>
          <w:p>
            <w:r>
              <w:rPr>
                <w:b/>
                <w:color w:val="503200"/>
                <w:sz w:val="16"/>
              </w:rPr>
              <w:t xml:space="preserve">Var. 100 jours : </w:t>
            </w:r>
            <w:r>
              <w:rPr>
                <w:b/>
                <w:color w:val="007800"/>
                <w:sz w:val="17"/>
              </w:rPr>
              <w:t>+6.47%</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2.83% (Faible) — μ=2,841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β=0.4651 (Défensif) — Cov=0.000028, Var(idx)=0.000061, ρ=0.186,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σ_j=2.06%/j (Stable) — Vol. annualisée≈32.7%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2,765</w:t>
            </w:r>
          </w:p>
        </w:tc>
        <w:tc>
          <w:tcPr>
            <w:tcW w:type="dxa" w:w="1440"/>
            <w:shd w:fill="FFDCE0" w:val="clear"/>
          </w:tcPr>
          <w:p>
            <w:r>
              <w:rPr>
                <w:b/>
                <w:sz w:val="17"/>
              </w:rPr>
              <w:t>2,869</w:t>
            </w:r>
          </w:p>
        </w:tc>
        <w:tc>
          <w:tcPr>
            <w:tcW w:type="dxa" w:w="1440"/>
            <w:shd w:fill="FFDCE0" w:val="clear"/>
          </w:tcPr>
          <w:p>
            <w:r>
              <w:rPr>
                <w:sz w:val="17"/>
              </w:rPr>
              <w:t>2,973</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2,724</w:t>
            </w:r>
          </w:p>
        </w:tc>
        <w:tc>
          <w:tcPr>
            <w:tcW w:type="dxa" w:w="1440"/>
            <w:shd w:fill="FFDCE0" w:val="clear"/>
          </w:tcPr>
          <w:p>
            <w:r>
              <w:rPr>
                <w:b/>
                <w:sz w:val="17"/>
              </w:rPr>
              <w:t>2,871</w:t>
            </w:r>
          </w:p>
        </w:tc>
        <w:tc>
          <w:tcPr>
            <w:tcW w:type="dxa" w:w="1440"/>
            <w:shd w:fill="FFDCE0" w:val="clear"/>
          </w:tcPr>
          <w:p>
            <w:r>
              <w:rPr>
                <w:sz w:val="17"/>
              </w:rPr>
              <w:t>3,018</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2,686</w:t>
            </w:r>
          </w:p>
        </w:tc>
        <w:tc>
          <w:tcPr>
            <w:tcW w:type="dxa" w:w="1440"/>
            <w:shd w:fill="FFDCE0" w:val="clear"/>
          </w:tcPr>
          <w:p>
            <w:r>
              <w:rPr>
                <w:b/>
                <w:sz w:val="17"/>
              </w:rPr>
              <w:t>2,866</w:t>
            </w:r>
          </w:p>
        </w:tc>
        <w:tc>
          <w:tcPr>
            <w:tcW w:type="dxa" w:w="1440"/>
            <w:shd w:fill="FFDCE0" w:val="clear"/>
          </w:tcPr>
          <w:p>
            <w:r>
              <w:rPr>
                <w:sz w:val="17"/>
              </w:rPr>
              <w:t>3,045</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2,652</w:t>
            </w:r>
          </w:p>
        </w:tc>
        <w:tc>
          <w:tcPr>
            <w:tcW w:type="dxa" w:w="1440"/>
            <w:shd w:fill="FFDCE0" w:val="clear"/>
          </w:tcPr>
          <w:p>
            <w:r>
              <w:rPr>
                <w:b/>
                <w:sz w:val="17"/>
              </w:rPr>
              <w:t>2,859</w:t>
            </w:r>
          </w:p>
        </w:tc>
        <w:tc>
          <w:tcPr>
            <w:tcW w:type="dxa" w:w="1440"/>
            <w:shd w:fill="FFDCE0" w:val="clear"/>
          </w:tcPr>
          <w:p>
            <w:r>
              <w:rPr>
                <w:sz w:val="17"/>
              </w:rPr>
              <w:t>3,066</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2,622</w:t>
            </w:r>
          </w:p>
        </w:tc>
        <w:tc>
          <w:tcPr>
            <w:tcW w:type="dxa" w:w="1440"/>
            <w:shd w:fill="FFDCE0" w:val="clear"/>
          </w:tcPr>
          <w:p>
            <w:r>
              <w:rPr>
                <w:b/>
                <w:sz w:val="17"/>
              </w:rPr>
              <w:t>2,853</w:t>
            </w:r>
          </w:p>
        </w:tc>
        <w:tc>
          <w:tcPr>
            <w:tcW w:type="dxa" w:w="1440"/>
            <w:shd w:fill="FFDCE0" w:val="clear"/>
          </w:tcPr>
          <w:p>
            <w:r>
              <w:rPr>
                <w:sz w:val="17"/>
              </w:rPr>
              <w:t>3,084</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2,594</w:t>
            </w:r>
          </w:p>
        </w:tc>
        <w:tc>
          <w:tcPr>
            <w:tcW w:type="dxa" w:w="1440"/>
            <w:shd w:fill="FFDCE0" w:val="clear"/>
          </w:tcPr>
          <w:p>
            <w:r>
              <w:rPr>
                <w:b/>
                <w:sz w:val="17"/>
              </w:rPr>
              <w:t>2,846</w:t>
            </w:r>
          </w:p>
        </w:tc>
        <w:tc>
          <w:tcPr>
            <w:tcW w:type="dxa" w:w="1440"/>
            <w:shd w:fill="FFDCE0" w:val="clear"/>
          </w:tcPr>
          <w:p>
            <w:r>
              <w:rPr>
                <w:sz w:val="17"/>
              </w:rPr>
              <w:t>3,099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2,568</w:t>
            </w:r>
          </w:p>
        </w:tc>
        <w:tc>
          <w:tcPr>
            <w:tcW w:type="dxa" w:w="1440"/>
            <w:shd w:fill="FFDCE0" w:val="clear"/>
          </w:tcPr>
          <w:p>
            <w:r>
              <w:rPr>
                <w:b/>
                <w:sz w:val="17"/>
              </w:rPr>
              <w:t>2,840</w:t>
            </w:r>
          </w:p>
        </w:tc>
        <w:tc>
          <w:tcPr>
            <w:tcW w:type="dxa" w:w="1440"/>
            <w:shd w:fill="FFDCE0" w:val="clear"/>
          </w:tcPr>
          <w:p>
            <w:r>
              <w:rPr>
                <w:sz w:val="17"/>
              </w:rPr>
              <w:t>3,112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2,544</w:t>
            </w:r>
          </w:p>
        </w:tc>
        <w:tc>
          <w:tcPr>
            <w:tcW w:type="dxa" w:w="1440"/>
            <w:shd w:fill="FFDCE0" w:val="clear"/>
          </w:tcPr>
          <w:p>
            <w:r>
              <w:rPr>
                <w:b/>
                <w:sz w:val="17"/>
              </w:rPr>
              <w:t>2,834</w:t>
            </w:r>
          </w:p>
        </w:tc>
        <w:tc>
          <w:tcPr>
            <w:tcW w:type="dxa" w:w="1440"/>
            <w:shd w:fill="FFDCE0" w:val="clear"/>
          </w:tcPr>
          <w:p>
            <w:r>
              <w:rPr>
                <w:sz w:val="17"/>
              </w:rPr>
              <w:t>3,124</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2,521</w:t>
            </w:r>
          </w:p>
        </w:tc>
        <w:tc>
          <w:tcPr>
            <w:tcW w:type="dxa" w:w="1440"/>
            <w:shd w:fill="FFDCE0" w:val="clear"/>
          </w:tcPr>
          <w:p>
            <w:r>
              <w:rPr>
                <w:b/>
                <w:sz w:val="17"/>
              </w:rPr>
              <w:t>2,828</w:t>
            </w:r>
          </w:p>
        </w:tc>
        <w:tc>
          <w:tcPr>
            <w:tcW w:type="dxa" w:w="1440"/>
            <w:shd w:fill="FFDCE0" w:val="clear"/>
          </w:tcPr>
          <w:p>
            <w:r>
              <w:rPr>
                <w:sz w:val="17"/>
              </w:rPr>
              <w:t>3,135</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2,499</w:t>
            </w:r>
          </w:p>
        </w:tc>
        <w:tc>
          <w:tcPr>
            <w:tcW w:type="dxa" w:w="1440"/>
            <w:shd w:fill="FFDCE0" w:val="clear"/>
          </w:tcPr>
          <w:p>
            <w:r>
              <w:rPr>
                <w:b/>
                <w:sz w:val="17"/>
              </w:rPr>
              <w:t>2,822</w:t>
            </w:r>
          </w:p>
        </w:tc>
        <w:tc>
          <w:tcPr>
            <w:tcW w:type="dxa" w:w="1440"/>
            <w:shd w:fill="FFDCE0" w:val="clear"/>
          </w:tcPr>
          <w:p>
            <w:r>
              <w:rPr>
                <w:sz w:val="17"/>
              </w:rPr>
              <w:t>3,145</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201,28 milliards FCFA, ONTBF se positionne comme l'une des valeurs phares du compartiment télécoms de la BRVM, aux côtés de Sonatel et Orange CI. Le BPA de 234 FCFA/action signifie que chaque titre génère près de 234 FCFA de bénéfice net, ce qui, rapporté au cours actuel de 2 960 FCFA, donne un PER de 12,7x — un niveau modéré, légèrement supérieur à la moyenne BRVM (8-12x), traduisant une prime de qualité justifiée par la solidité du bilan et la régularité du dividende. Le P/B de 3,50x indique que le marché valorise l'entreprise à 3,5 fois ses fonds propres comptables (57,54 Mds FCFA), une prime de croissance significative mais cohérente avec un ROE de 27,6%. Enfin, l'EV/EBITDA de 5,3x situe la valeur totale de l'entreprise (capitalisation + dette nette) à seulement 5,3 fois sa capacité opérationnelle, un niveau raisonnable qui suggère que le marché n'intègre pas de survalorisation manifeste malgré la prime sur les bénéfices.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+6,47%, avec une accélération notable de +7,25% lors de la dernière séance (J-1), portant le cours à 2 960 FCFA. Le range de trading s'établit entre un plus bas de 2 675 FCFA et un plus haut de 3 070 FCFA, soit une amplitude de 395 FCFA (14,8%), reflétant une tendance globalement haussière mais ponctuée de corrections. Les statistiques descriptives révèlent une distribution remarquablement symétrique : la moyenne (2 841 FCFA) et la médiane (2 848 FCFA) sont quasi confondues, et le skewness de 0,077 confirme l'absence d'asymétrie marquée. L'écart-type de 81 FCFA (CV = 2,8%) indique une dispersion faible du cours autour de sa moyenne, tandis que le kurtosis de -0,190 (mésokurtique) suggère une distribution proche de la normale, sans risque excessif de pics extrêmes. La volatilité annualisée de 32,7% classe le titre dans la catégorie des valeurs à volatilité élevée (&gt;30%), ce qui est cohérent avec un marché frontière comme la BRVM, mais implique une gestion rigoureuse du risque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(2 878,25 FCFA) et la MM50 (2 864,50 FCFA) se situent toutes deux sous le cours actuel (2 960 FCFA), avec la MM20 légèrement au-dessus de la MM50, configurant un croisement haussier (golden cross) typique d'une dynamique positive. Cette configuration justifie la décision d'**Achat** : le cours évolue au-dessus de ses moyennes, signalant une tendance de fond haussière.</w:t>
      </w:r>
    </w:p>
    <w:p>
      <w:pPr>
        <w:spacing w:after="120" w:line="276" w:lineRule="auto"/>
      </w:pPr>
      <w:r>
        <w:t>**Bandes de Bollinger** : Le cours (2 960 FCFA) se situe dans la partie supérieure de la bande, proche de la borne supérieure (2 985,82 FCFA) et nettement au-dessus de la borne inférieure (2 770,68 FCFA). L'écart entre les bornes (215 FCFA) reflète une volatilité modérée. La décision **Neutre** s'explique par la proximité du cours avec la borne supérieure, suggérant un potentiel de correction à court terme ou une consolidation avant une nouvelle impulsion.</w:t>
      </w:r>
    </w:p>
    <w:p>
      <w:pPr>
        <w:spacing w:after="120" w:line="276" w:lineRule="auto"/>
      </w:pPr>
      <w:r>
        <w:t>**MACD** : La valeur du MACD (1,201) est inférieure à son signal (2,991), générant un croisement baissier (death cross) qui indique un essoufflement du momentum haussier. La décision **Vente** est justifiée par cette divergence négative, bien que l'écart reste modéré, n'excluant pas un rebond technique.</w:t>
      </w:r>
    </w:p>
    <w:p>
      <w:pPr>
        <w:spacing w:after="120" w:line="276" w:lineRule="auto"/>
      </w:pPr>
      <w:r>
        <w:t>**RSI** : À 56,923, le RSI se situe en zone neutre (30-70), sans signal de surachat (&gt;70) ni de survente (&lt;30). La décision **Neutre** reflète l'absence de pression acheteuse ou vendeuse dominante, laissant le titre dans une phase d'équilibre.</w:t>
      </w:r>
    </w:p>
    <w:p>
      <w:pPr>
        <w:spacing w:after="120" w:line="276" w:lineRule="auto"/>
      </w:pPr>
      <w:r>
        <w:t>**Stochastique** : Le %K (83,333) est nettement supérieur au %D (27,778), avec un %K en zone de surachat (&gt;80). Cette configuration, bien que haussière à court terme, présente un risque de retournement imminent. La décision **Vente** est justifiée par la divergence entre les deux lignes et la position extrême du %K.</w:t>
      </w:r>
    </w:p>
    <w:p>
      <w:pPr>
        <w:spacing w:after="120" w:line="276" w:lineRule="auto"/>
      </w:pPr>
      <w:r>
        <w:t>**Conclusion technique** : Les indicateurs techniques présentent un tableau mitigé. Les moyennes mobiles confirment une tendance haussière de fond, mais le MACD et le stochastique signalent un essoufflement à court terme, tandis que le RSI et les bandes de Bollinger restent neutres. Cette divergence suggère une phase de consolidation probable avant une nouvelle orientation, avec un risque de correction limité mais réel.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ONTBF (ONATEL Burkina Faso) affiche un chiffre d'affaires de 146,177 milliards FCFA, en hausse de 3,1% par rapport à 2024 (141,84 Mds FCFA), porté par le FTTH (+33%), l'internet mobile (+4,6%) et le Mobile Money (+14%). Cependant, le résultat net chute de 26% à 15,887 milliards FCFA, contre 21,47 Mds en 2024, sous l'effet d'une compression des marges : l'EBE recule de 12% à 56,731 Mds FCFA et le résultat d'exploitation de 23,5% à 25,665 Mds FCFA. Les charges opérationnelles (énergie, maintenance en zones sécuritaires, indemnités de fin d'engagement) et une sanction ARCEP de 1,543 Md FCFA pèsent lourdement. Le ROE reste excellent à 27,61% (contre 34,3% en 2024), et le ROA s'établit à 4,89%, confirmant la rentabilité structurelle malgré la dégradation. Le coefficient d'exploitation de 67,07% (charges/PNB) reste supérieur au seuil de 60% recommandé pour une banque, mais s'explique par la nature télécom de l'activité. Le coût du risque (3,57%) et la couverture des intérêts (491,5%) témoignent d'une gestion financière prudente. Les rapports trimestriels 2026 confirment la tendance : au T1 2026 (rapport du 30 avril 2026), le CA progresse de 2,7% à 37,1 Mds FCFA, mais le résultat net recule à 3,577 Mds FCFA (marge nette de 9,6%), avec un taux de marge EBITDA maintenu à 41,3%. On estime que l'exercice 2026 devrait clôturer avec un CA autour de 150 Mds FCFA et un résultat net proche de 15-16 Mds FCFA, la priorité étant donnée à l'optimisation des coûts et à la reconquête du leadership. La note de crédit A+(WU) de GCR Ratings et la génération de trésorerie (CAFG de 46,95 Mds FCFA, flux opérationnel de 68,49 Mds) confirment la solidité financière, mais l'endettement (dettes financières de 107,6 Mds FCFA, ratio d'endettement de 187%) et la politique de dividende généreuse (166,08 FCFA/action, soit 70% du bénéfice distribuable) constituent des points de vigilance. La recommandation fondamentale est de **CONSERVER** : la croissance commerciale et les investissements stratégiques (FTTH, 5G, Mobile Money) soutiennent le potentiel à long terme, mais la dégradation de la rentabilité et les risques réglementaires/sécuritaires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La valorisation (Partie 0) est modérée : le PER de 12,7x et l'EV/EBITDA de 5,3x n'indiquent ni sous-évaluation flagrante ni surévaluation excessive, mais la prime sur les bénéfices (P/B de 3,50x) reflète la confiance du marché dans la qualité des actifs. Le comportement du cours (Partie 1) est globalement favorable : la tendance haussière (+6,47% sur 100 jours) et la distribution symétrique (skewness de 0,077) sont rassurantes, mais la volatilité élevée (32,7%) et le kurtosis négatif (-0,190) appellent à la prudence. Les signaux techniques (Partie 2) sont divergents : les moyennes mobiles confirment la tendance haussière, mais le MACD et le stochastique signalent un essoufflement à court terme, plaidant pour une consolidation. Les fondamentaux (Partie 3) restent solides malgré la baisse du résultat net : la croissance du CA, le ROE de 27,6% et la génération de trésorerie (CAFG de 46,95 Mds FCFA) soutiennent la valeur, mais les risques réglementaires et sécuritaires pèsent sur les perspectives. Les prédictions IA (J+1 à J+10) anticipent une légère correction à 2 869 FCFA d'ici le 28 septembre 2026, puis une stabilisation autour de 2 853-2 871 FCFA, ce qui contredit partiellement les signaux haussiers des moyennes mobiles mais confirme l'essoufflement technique. **Recommandation finale : CONSERVER**, avec un niveau de confiance **Moyen** et un risque global **Moyen**. L'horizon d'investissement optimal est le **moyen terme (3-12 mois)**, en attendant des signes tangibles d'amélioration de la rentabilité et de maîtrise des coûts, ainsi que la concrétisation des investissements stratégiques (5G, FTTH) qui pourraient catalyser une revalorisation durable.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3208.21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3,362 titres</w:t>
            </w:r>
          </w:p>
        </w:tc>
        <w:tc>
          <w:tcPr>
            <w:tcW w:type="dxa" w:w="2268"/>
            <w:shd w:fill="FFF2CC" w:val="clear"/>
          </w:tcPr>
          <w:p>
            <w:r>
              <w:rPr>
                <w:b/>
                <w:color w:val="503200"/>
                <w:sz w:val="16"/>
              </w:rPr>
              <w:t xml:space="preserve">Cours actuel : </w:t>
            </w:r>
            <w:r>
              <w:rPr>
                <w:color w:val="000000"/>
                <w:sz w:val="17"/>
              </w:rPr>
              <w:t>21,295 FCFA</w:t>
            </w:r>
          </w:p>
          <w:p>
            <w:r>
              <w:rPr>
                <w:b/>
                <w:color w:val="503200"/>
                <w:sz w:val="16"/>
              </w:rPr>
              <w:t xml:space="preserve">Var. 100 jours : </w:t>
            </w:r>
            <w:r>
              <w:rPr>
                <w:b/>
                <w:color w:val="007800"/>
                <w:sz w:val="17"/>
              </w:rPr>
              <w:t>+41.97%</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13.64% (Moyenne) — μ=17,649 FCFA, σ=2,407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β=1.1789 (Neutre (suit le marché)) — Cov=0.000071, Var(idx)=0.000061, ρ=0.489,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20,356</w:t>
            </w:r>
          </w:p>
        </w:tc>
        <w:tc>
          <w:tcPr>
            <w:tcW w:type="dxa" w:w="1440"/>
            <w:shd w:fill="FAFAFA" w:val="clear"/>
          </w:tcPr>
          <w:p>
            <w:r>
              <w:rPr>
                <w:b/>
                <w:sz w:val="17"/>
              </w:rPr>
              <w:t>21,168</w:t>
            </w:r>
          </w:p>
        </w:tc>
        <w:tc>
          <w:tcPr>
            <w:tcW w:type="dxa" w:w="1440"/>
            <w:shd w:fill="FAFAFA" w:val="clear"/>
          </w:tcPr>
          <w:p>
            <w:r>
              <w:rPr>
                <w:sz w:val="17"/>
              </w:rPr>
              <w:t>21,980</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20,042</w:t>
            </w:r>
          </w:p>
        </w:tc>
        <w:tc>
          <w:tcPr>
            <w:tcW w:type="dxa" w:w="1440"/>
            <w:shd w:fill="FAFAFA" w:val="clear"/>
          </w:tcPr>
          <w:p>
            <w:r>
              <w:rPr>
                <w:b/>
                <w:sz w:val="17"/>
              </w:rPr>
              <w:t>21,192</w:t>
            </w:r>
          </w:p>
        </w:tc>
        <w:tc>
          <w:tcPr>
            <w:tcW w:type="dxa" w:w="1440"/>
            <w:shd w:fill="FAFAFA" w:val="clear"/>
          </w:tcPr>
          <w:p>
            <w:r>
              <w:rPr>
                <w:sz w:val="17"/>
              </w:rPr>
              <w:t>22,341</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19,791</w:t>
            </w:r>
          </w:p>
        </w:tc>
        <w:tc>
          <w:tcPr>
            <w:tcW w:type="dxa" w:w="1440"/>
            <w:shd w:fill="FAFAFA" w:val="clear"/>
          </w:tcPr>
          <w:p>
            <w:r>
              <w:rPr>
                <w:b/>
                <w:sz w:val="17"/>
              </w:rPr>
              <w:t>21,199</w:t>
            </w:r>
          </w:p>
        </w:tc>
        <w:tc>
          <w:tcPr>
            <w:tcW w:type="dxa" w:w="1440"/>
            <w:shd w:fill="FAFAFA" w:val="clear"/>
          </w:tcPr>
          <w:p>
            <w:r>
              <w:rPr>
                <w:sz w:val="17"/>
              </w:rPr>
              <w:t>22,607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19,578</w:t>
            </w:r>
          </w:p>
        </w:tc>
        <w:tc>
          <w:tcPr>
            <w:tcW w:type="dxa" w:w="1440"/>
            <w:shd w:fill="FAFAFA" w:val="clear"/>
          </w:tcPr>
          <w:p>
            <w:r>
              <w:rPr>
                <w:b/>
                <w:sz w:val="17"/>
              </w:rPr>
              <w:t>21,204</w:t>
            </w:r>
          </w:p>
        </w:tc>
        <w:tc>
          <w:tcPr>
            <w:tcW w:type="dxa" w:w="1440"/>
            <w:shd w:fill="FAFAFA" w:val="clear"/>
          </w:tcPr>
          <w:p>
            <w:r>
              <w:rPr>
                <w:sz w:val="17"/>
              </w:rPr>
              <w:t>22,830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19,390</w:t>
            </w:r>
          </w:p>
        </w:tc>
        <w:tc>
          <w:tcPr>
            <w:tcW w:type="dxa" w:w="1440"/>
            <w:shd w:fill="FAFAFA" w:val="clear"/>
          </w:tcPr>
          <w:p>
            <w:r>
              <w:rPr>
                <w:b/>
                <w:sz w:val="17"/>
              </w:rPr>
              <w:t>21,209</w:t>
            </w:r>
          </w:p>
        </w:tc>
        <w:tc>
          <w:tcPr>
            <w:tcW w:type="dxa" w:w="1440"/>
            <w:shd w:fill="FAFAFA" w:val="clear"/>
          </w:tcPr>
          <w:p>
            <w:r>
              <w:rPr>
                <w:sz w:val="17"/>
              </w:rPr>
              <w:t>23,027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19,221</w:t>
            </w:r>
          </w:p>
        </w:tc>
        <w:tc>
          <w:tcPr>
            <w:tcW w:type="dxa" w:w="1440"/>
            <w:shd w:fill="FAFAFA" w:val="clear"/>
          </w:tcPr>
          <w:p>
            <w:r>
              <w:rPr>
                <w:b/>
                <w:sz w:val="17"/>
              </w:rPr>
              <w:t>21,213</w:t>
            </w:r>
          </w:p>
        </w:tc>
        <w:tc>
          <w:tcPr>
            <w:tcW w:type="dxa" w:w="1440"/>
            <w:shd w:fill="FAFAFA" w:val="clear"/>
          </w:tcPr>
          <w:p>
            <w:r>
              <w:rPr>
                <w:sz w:val="17"/>
              </w:rPr>
              <w:t>23,206</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19,065</w:t>
            </w:r>
          </w:p>
        </w:tc>
        <w:tc>
          <w:tcPr>
            <w:tcW w:type="dxa" w:w="1440"/>
            <w:shd w:fill="FAFAFA" w:val="clear"/>
          </w:tcPr>
          <w:p>
            <w:r>
              <w:rPr>
                <w:b/>
                <w:sz w:val="17"/>
              </w:rPr>
              <w:t>21,218</w:t>
            </w:r>
          </w:p>
        </w:tc>
        <w:tc>
          <w:tcPr>
            <w:tcW w:type="dxa" w:w="1440"/>
            <w:shd w:fill="FAFAFA" w:val="clear"/>
          </w:tcPr>
          <w:p>
            <w:r>
              <w:rPr>
                <w:sz w:val="17"/>
              </w:rPr>
              <w:t>23,371</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18,921</w:t>
            </w:r>
          </w:p>
        </w:tc>
        <w:tc>
          <w:tcPr>
            <w:tcW w:type="dxa" w:w="1440"/>
            <w:shd w:fill="FAFAFA" w:val="clear"/>
          </w:tcPr>
          <w:p>
            <w:r>
              <w:rPr>
                <w:b/>
                <w:sz w:val="17"/>
              </w:rPr>
              <w:t>21,223</w:t>
            </w:r>
          </w:p>
        </w:tc>
        <w:tc>
          <w:tcPr>
            <w:tcW w:type="dxa" w:w="1440"/>
            <w:shd w:fill="FAFAFA" w:val="clear"/>
          </w:tcPr>
          <w:p>
            <w:r>
              <w:rPr>
                <w:sz w:val="17"/>
              </w:rPr>
              <w:t>23,525</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18,785</w:t>
            </w:r>
          </w:p>
        </w:tc>
        <w:tc>
          <w:tcPr>
            <w:tcW w:type="dxa" w:w="1440"/>
            <w:shd w:fill="FAFAFA" w:val="clear"/>
          </w:tcPr>
          <w:p>
            <w:r>
              <w:rPr>
                <w:b/>
                <w:sz w:val="17"/>
              </w:rPr>
              <w:t>21,227</w:t>
            </w:r>
          </w:p>
        </w:tc>
        <w:tc>
          <w:tcPr>
            <w:tcW w:type="dxa" w:w="1440"/>
            <w:shd w:fill="FAFAFA" w:val="clear"/>
          </w:tcPr>
          <w:p>
            <w:r>
              <w:rPr>
                <w:sz w:val="17"/>
              </w:rPr>
              <w:t>23,669</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18,657</w:t>
            </w:r>
          </w:p>
        </w:tc>
        <w:tc>
          <w:tcPr>
            <w:tcW w:type="dxa" w:w="1440"/>
            <w:shd w:fill="FAFAFA" w:val="clear"/>
          </w:tcPr>
          <w:p>
            <w:r>
              <w:rPr>
                <w:b/>
                <w:sz w:val="17"/>
              </w:rPr>
              <w:t>21,232</w:t>
            </w:r>
          </w:p>
        </w:tc>
        <w:tc>
          <w:tcPr>
            <w:tcW w:type="dxa" w:w="1440"/>
            <w:shd w:fill="FAFAFA" w:val="clear"/>
          </w:tcPr>
          <w:p>
            <w:r>
              <w:rPr>
                <w:sz w:val="17"/>
              </w:rPr>
              <w:t>23,806</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ORANGE CÔTE D'IVOIRE (ORAC)</w:t>
        <w:br/>
        <w:t>### Bourse Régionale des Valeurs Mobilières (BRVM) — Analyse au 25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**3 208,21 milliards FCFA**, ORAC s'impose comme la première capitalisation de la BRVM, représentant à elle seule plus du quart de la capitalisation totale du marché régional — un statut de valeur phare qui lui confère une liquidité et une visibilité exceptionnelles. Le BPA de **1 114 FCFA/action** traduit la contribution bénéficiaire de chaque titre, tandis que le PER de **19,1x** situe le titre nettement au-dessus de la moyenne du marché BRVM (8-12x), signalant que les investisseurs acceptent de payer une prime significative pour la qualité de la croissance et la solidité du leader télécom régional. Le ratio P/B de **4,53x** confirme cette valorisation exigeante : le marché valorise ORAC à plus de quatre fois ses fonds propres comptables, reflétant la prééminence de ses actifs immatériels (marque, réseau, base clients) sur son bilan tangible. Enfin, l'EV/EBITDA de **7,6x**, dans la fourchette raisonnable de 5-10x, indique que la valeur d'entreprise reste cohérente avec la capacité opérationnelle de génération de cash-flows, offrant un contrepoids rassurant à la cherté relative des ratios de bénéfice et de book.</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performance remarquable de **+41,97%**, portant le cours à **21 295 FCFA**, malgré un léger repli de **-0,72%** lors de la dernière séance. Le range de trading est particulièrement large, avec un plus haut à **22 500 FCFA** et un plus bas à **14 900 FCFA**, soit une amplitude de plus de 51% qui témoigne d'une dynamique haussière puissante enclenchée depuis le plancher de 14 900 FCFA. La tendance générale est clairement haussière, soutenue par des volumes moyens quotidiens de **3 362 titres** qui confirment l'intérêt constant des investisseurs. Les statistiques descriptives révèlent une **moyenne de 17 649 FCFA** nettement supérieure à la **médiane de 16 700 FCFA** et au **mode de 16 000 FCFA**, ce qui traduit une distribution asymétrique où les journées de forte hausse tirent la moyenne vers le haut — cohérent avec le skewness positif de **0,875** indiquant davantage de journées sous la moyenne mais des pics haussiers marqués. L'écart-type de **2 419 FCFA** (CV de **13,7%**) révèle une dispersion modérée du cours autour de sa tendance, tandis que le kurtosis de **-0,822** (mésokurtique) suggère une distribution proche de la normale, sans risque excessif de pics extrêmes. La **volatilité annualisée de 30,5%** positionne ORAC dans la catégorie des titres à volatilité modérée à élevée (seuil de 30%), ce qui est cohérent avec un titre de croissance ayant fortement progressé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**21 609 FCFA** et la MM50 à **19 363,4 FCFA**, toutes deux inférieures au cours actuel de 21 295 FCFA pour la MM20 (léger écart de -1,5%) mais nettement en dessous pour la MM50. Cette configuration — cours au-dessus des deux moyennes, avec MM20 &gt; MM50 — dessine une structure haussière classique (golden cross) qui justifie la décision technique d'**Achat**. Le léger tassement sous la MM20 traduit une consolidation saine après la forte progression récente.</w:t>
      </w:r>
    </w:p>
    <w:p>
      <w:pPr>
        <w:spacing w:after="120" w:line="276" w:lineRule="auto"/>
      </w:pPr>
      <w:r>
        <w:t>**Bandes de Bollinger :** La borne supérieure se situe à **22 958,06 FCFA** et la borne inférieure à **20 259,94 FCFA**, encadrant un cours actuel de 21 295 FCFA positionné légèrement sous le milieu de bande. Cette position médiane, ni en surachat ni en survente, explique la décision **Neutre** : le titre consolide dans un canal relativement étroit (amplitude de 2 698 FCFA), avec une volatilité contenue qui ne signale ni excès acheteur ni pression vendeuse dominante.</w:t>
      </w:r>
    </w:p>
    <w:p>
      <w:pPr>
        <w:spacing w:after="120" w:line="276" w:lineRule="auto"/>
      </w:pPr>
      <w:r>
        <w:t>**MACD :** La valeur du MACD (**459,30**) est nettement inférieure à son signal (**738,76**), générant un croisement baissier qui justifie la décision de **Vente**. Cette divergence négative indique un essoufflement du momentum haussier : bien que le MACD reste en territoire positif (au-dessus de zéro), sa trajectoire descendante sous le signal suggère que la dynamique acheteuse perd de sa vigueur et qu'une correction ou consolidation est en cours.</w:t>
      </w:r>
    </w:p>
    <w:p>
      <w:pPr>
        <w:spacing w:after="120" w:line="276" w:lineRule="auto"/>
      </w:pPr>
      <w:r>
        <w:t>**RSI :** À **45,03**, le RSI se situe dans la zone neutre (30-70), sans signal de surachat ni de survente, justifiant la décision **Neutre**. Cette valeur légèrement sous le seuil médian de 50 indique un équilibre entre forces acheteuses et vendeuses, avec une légère prédominance vendeuse qui confirme le tassement récent sans pour autant signaler de retournement majeur.</w:t>
      </w:r>
    </w:p>
    <w:p>
      <w:pPr>
        <w:spacing w:after="120" w:line="276" w:lineRule="auto"/>
      </w:pPr>
      <w:r>
        <w:t>**Stochastique :** Le %K (**42,62**) est supérieur au %D (**30,87**), configuration haussière naissante puisque la ligne rapide croise au-dessus de la ligne lente. Toutefois, les deux indicateurs restent en zone basse (sous 50), ce qui justifie la décision **Neutre** : le croisement haussier suggère un possible rebond à court terme, mais la faiblesse des niveaux absolus appelle à la prudence avant confirmation.</w:t>
      </w:r>
    </w:p>
    <w:p>
      <w:pPr>
        <w:spacing w:after="120" w:line="276" w:lineRule="auto"/>
      </w:pPr>
      <w:r>
        <w:t>**Conclusion technique :** Les indicateurs présentent un tableau mitigé mais globalement constructif. La structure des moyennes mobiles reste haussière (MM20 &gt; MM50, cours proche de la MM20), et le stochastique amorce un croisement positif, tandis que le RSI et les Bollinger confirment une consolidation neutre sans excès. Le signal baissier du MACD constitue le principal point de vigilance, mais il intervient après une hausse de près de 42% et s'apparente davantage à une respiration qu'à un retournement. La convergence des signaux neutres et haussiers (MM, Bollinger, RSI, Stochastique) face au seul signal baissier du MACD plaide pour un **maintien en position** dans l'attente d'une confirmation directionnelle.</w:t>
      </w:r>
    </w:p>
    <w:p>
      <w:pPr>
        <w:spacing w:after="120" w:line="276" w:lineRule="auto"/>
      </w:pPr>
      <w:r>
        <w:t>---</w:t>
      </w:r>
    </w:p>
    <w:p>
      <w:pPr>
        <w:spacing w:after="120" w:line="276" w:lineRule="auto"/>
      </w:pPr>
      <w:r>
        <w:t>## PARTIE 3 : ANALYSE FONDAMENTALE</w:t>
      </w:r>
    </w:p>
    <w:p>
      <w:pPr>
        <w:spacing w:after="120" w:line="276" w:lineRule="auto"/>
      </w:pPr>
      <w:r>
        <w:t>Les états financiers consolidés de l'exercice **2025** (rapport annuel au 31/12/2025, analysé le 08/06/2026) établissent un chiffre d'affaires de **1 197,1 milliards FCFA**, en croissance de **+10,4%** par rapport aux 1 084,1 milliards de 2024, porté par la dynamique des trois filiales (Côte d'Ivoire, Burkina Faso, Liberia). Le résultat net consolidé s'élève à **167,8 milliards FCFA** (+6,1%), tandis que le résultat net part du groupe atteint **129,1 milliards FCFA** (+14,5%), et le résultat opérationnel **287,2 milliards FCFA** (+9,1%). Les ratios de rentabilité confirment l'excellence du modèle : **ROE de 23,71%** (largement supérieur au seuil de 15% qualifiant une rentabilité excellente) et **ROA de 6,57%**, avec une marge nette de **14,02%** et une marge opérationnelle de **23,99%**. Sur le plan de la structure financière, l'autonomie financière de **27,71%** reste légèrement sous le seuil sain de 30%, mais la solvabilité générale de **138,34%** et la couverture des intérêts de **1 018,44%** témoignent d'une solidité bilancielle robuste. En tant qu'entreprise télécom, les délais d'exploitation sont révélateurs : le délai fournisseurs de **210,87 jours** (très élevé, favorable à la trésorerie) contraste avec le délai clients de **52,26 jours**, tandis que le **BFR négatif de -198,0 milliards FCFA** constitue un atout majeur — l'entreprise finance son cycle d'exploitation par ses fournisseurs plutôt que par ses propres ressources. La capacité d'autofinancement de **340,0 milliards FCFA** couvre 1,9 fois les investissements (189,63%), et le Free Cash Flow de **156,2 milliards FCFA** confirme la génération de liquidités. La politique de dividende, approuvée par l'AGO du 29 avril 2026 (avis de convocation du 03/04/2026), prévoit **800 FCFA brut par action** (720 FCFA net pour les personnes morales, 704 FCFA pour les personnes physiques), soit un montant global de **120,5 milliards FCFA** — un payout de 93,3% du résultat net part du groupe, généreux mais prélevé sur le report à nouveau pour préserver les capacités d'investissement. Le rapport trimestriel **T1 2026** (publié en 2026) confirme l'accélération de la dynamique : CA de **325,6 milliards FCFA** (+14,8%), résultat net de **48,3 milliards FCFA** (+25,2%) et EBITDAaL de **114,2 milliards FCFA** (+15,7%), avec une marge nette en amélioration à **14,8%**. Sur cette base, on peut estimer que l'exercice **2026** devrait enregistrer une croissance du CA supérieure à 12% (vs +10,4% en 2025) et une progression du résultat net de l'ordre de 15-20%, portée par l'effet de levier opérationnel retrouvé et la maîtrise des charges financières. Les risques identifiés dans les rapports (pression fiscale et réglementaire, hausse des charges financières de +26,8%, dégradation du BFR, contexte sécuritaire au Burkina Faso) constituent des points de vigilance, mais la trajectoire fondamentale demeure **solide et positive**, justifiant une recommandation fondamentale d'**ACHAT** à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dessine un profil d'investissement globalement favorable mais nuancé. Sur le plan de la **valorisation (Partie 0)**, le PER de 19,1x et le P/B de 4,53x traduisent une surévaluation relative par rapport aux standards de la BRVM, tempérée par un EV/EBITDA de 7,6x raisonnable — le marché paie la prime de qualité du leader, sans exubérance manifeste. Le **comportement du cours (Partie 1)** est nettement haussier (+41,97% sur 100 jours) avec une volatilité modérée (30,5%) et des statistiques rassurantes (kurtosis proche de la normale, skewness positif), bien que la moyenne supérieure à la médiane invite à la prudence sur les points d'entrée. Les **signaux techniques (Partie 2)** sont mitigés : structure haussière des moyennes mobiles et croisement positif du stochastique d'un côté, mais divergence baissière du MACD et neutralité du RSI de l'autre — une configuration de consolidation plutôt que de retournement. Les **fondamentaux (Partie 3)** constituent le pilier le plus solide : ROE de 23,71%, BFR négatif, CAF couvrant 1,9x les investissements, dividende de 800 FCFA, et surtout l'accélération confirmée au T1 2026 (+25,2% de résultat net) qui valide la thèse d'une reprise de la profitabilité après une année 2025 marquée par des charges exceptionnelles. Les **prédictions IA (J+1 à J+10)** anticipent une trajectoire légèrement baissière puis stabilisée autour de 21 168-21 209 FCFA, ce qui contredit marginalement le momentum haussier de long terme mais confirme la phase de consolidation technique en cours. **En synthèse**, la convergence entre fondamentaux excellents, valorisation exigeante mais justifiée, et consolidation technique saine plaide pour une recommandation **ACHAT**, avec un niveau de confiance **Moyen** (la divergence MACD et la valorisation tendue limitant la conviction) et un niveau de risque **Moyen** (volatilité modérée, exposition aux risques réglementaires et sécuritaires régionaux). L'horizon d'investissement optimal est le **moyen terme (3-12 mois)**, le temps que la consolidation technique s'achève et que la dynamique bénéficiaire du T1 2026 se confirme sur les trimestres suivants, avec un objectif de cours potentiel au-dessus des 22 500 FCFA (plus haut récent) une fois la résistance franchie.</w:t>
      </w:r>
    </w:p>
    <w:p>
      <w:pPr>
        <w:spacing w:after="120" w:line="276" w:lineRule="auto"/>
      </w:pPr>
      <w:r>
        <w:t>---</w:t>
      </w:r>
    </w:p>
    <w:p>
      <w:pPr>
        <w:spacing w:after="120" w:line="276" w:lineRule="auto"/>
      </w:pPr>
      <w:r>
        <w:t>*Rapport généré le 25 septembre 2026 — Sources : BRVM (données de marché, états financiers 2025, rapports trimestriels T1 2026, avis AGO du 03/04/2026) — Analyses fondamentales DeepSeek/Mistral (dates : 01/05/2026, 21/05/2026, 08/06/2026, 15/03/2026). Ce rapport est fourni à titre informatif et ne constitue pas un conseil en investissement.*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211.72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5,301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B40000"/>
                <w:sz w:val="17"/>
              </w:rPr>
              <w:t>-12.23%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8.79% (Moyenne) — μ=2,894 FCFA, σ=254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β=0.6640 (Défensif) — Cov=0.000040, Var(idx)=0.000061, ρ=0.187,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2,871</w:t>
            </w:r>
          </w:p>
        </w:tc>
        <w:tc>
          <w:tcPr>
            <w:tcW w:type="dxa" w:w="1440"/>
            <w:shd w:fill="FAFAFA" w:val="clear"/>
          </w:tcPr>
          <w:p>
            <w:r>
              <w:rPr>
                <w:b/>
                <w:sz w:val="17"/>
              </w:rPr>
              <w:t>2,992</w:t>
            </w:r>
          </w:p>
        </w:tc>
        <w:tc>
          <w:tcPr>
            <w:tcW w:type="dxa" w:w="1440"/>
            <w:shd w:fill="FAFAFA" w:val="clear"/>
          </w:tcPr>
          <w:p>
            <w:r>
              <w:rPr>
                <w:sz w:val="17"/>
              </w:rPr>
              <w:t>3,113</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2,835</w:t>
            </w:r>
          </w:p>
        </w:tc>
        <w:tc>
          <w:tcPr>
            <w:tcW w:type="dxa" w:w="1440"/>
            <w:shd w:fill="FAFAFA" w:val="clear"/>
          </w:tcPr>
          <w:p>
            <w:r>
              <w:rPr>
                <w:b/>
                <w:sz w:val="17"/>
              </w:rPr>
              <w:t>3,007</w:t>
            </w:r>
          </w:p>
        </w:tc>
        <w:tc>
          <w:tcPr>
            <w:tcW w:type="dxa" w:w="1440"/>
            <w:shd w:fill="FAFAFA" w:val="clear"/>
          </w:tcPr>
          <w:p>
            <w:r>
              <w:rPr>
                <w:sz w:val="17"/>
              </w:rPr>
              <w:t>3,179</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2,801</w:t>
            </w:r>
          </w:p>
        </w:tc>
        <w:tc>
          <w:tcPr>
            <w:tcW w:type="dxa" w:w="1440"/>
            <w:shd w:fill="FAFAFA" w:val="clear"/>
          </w:tcPr>
          <w:p>
            <w:r>
              <w:rPr>
                <w:b/>
                <w:sz w:val="17"/>
              </w:rPr>
              <w:t>3,012</w:t>
            </w:r>
          </w:p>
        </w:tc>
        <w:tc>
          <w:tcPr>
            <w:tcW w:type="dxa" w:w="1440"/>
            <w:shd w:fill="FAFAFA" w:val="clear"/>
          </w:tcPr>
          <w:p>
            <w:r>
              <w:rPr>
                <w:sz w:val="17"/>
              </w:rPr>
              <w:t>3,223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2,773</w:t>
            </w:r>
          </w:p>
        </w:tc>
        <w:tc>
          <w:tcPr>
            <w:tcW w:type="dxa" w:w="1440"/>
            <w:shd w:fill="FAFAFA" w:val="clear"/>
          </w:tcPr>
          <w:p>
            <w:r>
              <w:rPr>
                <w:b/>
                <w:sz w:val="17"/>
              </w:rPr>
              <w:t>3,017</w:t>
            </w:r>
          </w:p>
        </w:tc>
        <w:tc>
          <w:tcPr>
            <w:tcW w:type="dxa" w:w="1440"/>
            <w:shd w:fill="FAFAFA" w:val="clear"/>
          </w:tcPr>
          <w:p>
            <w:r>
              <w:rPr>
                <w:sz w:val="17"/>
              </w:rPr>
              <w:t>3,261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2,748</w:t>
            </w:r>
          </w:p>
        </w:tc>
        <w:tc>
          <w:tcPr>
            <w:tcW w:type="dxa" w:w="1440"/>
            <w:shd w:fill="FAFAFA" w:val="clear"/>
          </w:tcPr>
          <w:p>
            <w:r>
              <w:rPr>
                <w:b/>
                <w:sz w:val="17"/>
              </w:rPr>
              <w:t>3,022</w:t>
            </w:r>
          </w:p>
        </w:tc>
        <w:tc>
          <w:tcPr>
            <w:tcW w:type="dxa" w:w="1440"/>
            <w:shd w:fill="FAFAFA" w:val="clear"/>
          </w:tcPr>
          <w:p>
            <w:r>
              <w:rPr>
                <w:sz w:val="17"/>
              </w:rPr>
              <w:t>3,295</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2,726</w:t>
            </w:r>
          </w:p>
        </w:tc>
        <w:tc>
          <w:tcPr>
            <w:tcW w:type="dxa" w:w="1440"/>
            <w:shd w:fill="FAFAFA" w:val="clear"/>
          </w:tcPr>
          <w:p>
            <w:r>
              <w:rPr>
                <w:b/>
                <w:sz w:val="17"/>
              </w:rPr>
              <w:t>3,026</w:t>
            </w:r>
          </w:p>
        </w:tc>
        <w:tc>
          <w:tcPr>
            <w:tcW w:type="dxa" w:w="1440"/>
            <w:shd w:fill="FAFAFA" w:val="clear"/>
          </w:tcPr>
          <w:p>
            <w:r>
              <w:rPr>
                <w:sz w:val="17"/>
              </w:rPr>
              <w:t>3,326</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2,706</w:t>
            </w:r>
          </w:p>
        </w:tc>
        <w:tc>
          <w:tcPr>
            <w:tcW w:type="dxa" w:w="1440"/>
            <w:shd w:fill="FAFAFA" w:val="clear"/>
          </w:tcPr>
          <w:p>
            <w:r>
              <w:rPr>
                <w:b/>
                <w:sz w:val="17"/>
              </w:rPr>
              <w:t>3,030</w:t>
            </w:r>
          </w:p>
        </w:tc>
        <w:tc>
          <w:tcPr>
            <w:tcW w:type="dxa" w:w="1440"/>
            <w:shd w:fill="FAFAFA" w:val="clear"/>
          </w:tcPr>
          <w:p>
            <w:r>
              <w:rPr>
                <w:sz w:val="17"/>
              </w:rPr>
              <w:t>3,355</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2,688</w:t>
            </w:r>
          </w:p>
        </w:tc>
        <w:tc>
          <w:tcPr>
            <w:tcW w:type="dxa" w:w="1440"/>
            <w:shd w:fill="FAFAFA" w:val="clear"/>
          </w:tcPr>
          <w:p>
            <w:r>
              <w:rPr>
                <w:b/>
                <w:sz w:val="17"/>
              </w:rPr>
              <w:t>3,035</w:t>
            </w:r>
          </w:p>
        </w:tc>
        <w:tc>
          <w:tcPr>
            <w:tcW w:type="dxa" w:w="1440"/>
            <w:shd w:fill="FAFAFA" w:val="clear"/>
          </w:tcPr>
          <w:p>
            <w:r>
              <w:rPr>
                <w:sz w:val="17"/>
              </w:rPr>
              <w:t>3,382</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2,670</w:t>
            </w:r>
          </w:p>
        </w:tc>
        <w:tc>
          <w:tcPr>
            <w:tcW w:type="dxa" w:w="1440"/>
            <w:shd w:fill="FAFAFA" w:val="clear"/>
          </w:tcPr>
          <w:p>
            <w:r>
              <w:rPr>
                <w:b/>
                <w:sz w:val="17"/>
              </w:rPr>
              <w:t>3,039</w:t>
            </w:r>
          </w:p>
        </w:tc>
        <w:tc>
          <w:tcPr>
            <w:tcW w:type="dxa" w:w="1440"/>
            <w:shd w:fill="FAFAFA" w:val="clear"/>
          </w:tcPr>
          <w:p>
            <w:r>
              <w:rPr>
                <w:sz w:val="17"/>
              </w:rPr>
              <w:t>3,408</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2,654</w:t>
            </w:r>
          </w:p>
        </w:tc>
        <w:tc>
          <w:tcPr>
            <w:tcW w:type="dxa" w:w="1440"/>
            <w:shd w:fill="FAFAFA" w:val="clear"/>
          </w:tcPr>
          <w:p>
            <w:r>
              <w:rPr>
                <w:b/>
                <w:sz w:val="17"/>
              </w:rPr>
              <w:t>3,044</w:t>
            </w:r>
          </w:p>
        </w:tc>
        <w:tc>
          <w:tcPr>
            <w:tcW w:type="dxa" w:w="1440"/>
            <w:shd w:fill="FAFAFA" w:val="clear"/>
          </w:tcPr>
          <w:p>
            <w:r>
              <w:rPr>
                <w:sz w:val="17"/>
              </w:rPr>
              <w:t>3,433</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211,72 milliards FCFA, ORGT s'impose comme une valeur de premier plan de la cote BRVM, représentant un pilier du compartiment bancaire régional. Le BPA de 312 FCFA/action confère au titre un PER de 9,8x, positionné dans la fourchette basse de la moyenne BRVM (~8-12x), ce qui suggère une valorisation raisonnable voire légèrement sous-évaluée au regard des bénéfices générés. Le ratio P/B de 1,87x indique que le marché valorise l'action à près du double de sa valeur comptable, ce qui reste acceptable pour une banque affichant un ROE de 19,1%, bien supérieur au coût des fonds propres. En revanche, l'EV/EBITDA de 19,8x apparaît très exigeant (&gt;15x), signalant que la valeur d'entreprise intègre déjà une forte anticipation de redressement — un point de vigilance pour l'investisseur. Globalement, le profil de valorisation est mitigé : attractif sur les bénéfices (PER), raisonnable sur les fonds propres (P/B), mais tendu sur la capacité opérationnelle (EV/EBITDA).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-12,23%, matérialisant une tendance baissière de fond, malgré un rebond spectaculaire de +5,72% lors de la dernière séance (J-1) qui porte le cours à 3 050 FCFA. Le range de trading est large, avec un plus haut à 3 475 FCFA et un plus bas à 2 435 FCFA, soit une amplitude de plus de 1 000 FCFA qui témoigne d'une forte nervosité du marché. Les statistiques descriptives révèlent une moyenne de 2 894 FCFA supérieure à la médiane de 2 780 FCFA, signe d'une asymétrie positive portée par des pics haussiers ponctuels, confirmée par un skewness de 0,349 (distribution symétrique à légèrement étalée vers la droite). L'écart-type de 256 FCFA et le coefficient de variation de 8,8% indiquent une dispersion modérée autour de la moyenne, tandis que le kurtosis de -1,164 (distribution platykurtique) traduit une faible concentration des rendements et un risque de pics extrêmes limité. La volatilité annualisée de 44,8%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3 188,25 FCFA et la MM50 à 3 067,40 FCFA, toutes deux supérieures au cours actuel de 3 050 FCFA. Cette configuration indique que le titre évolue sous ses moyennes de court et moyen terme, mais la décision technique affichée est « Achat », probablement en anticipation d'un croisement haussier ou d'un rebond technique après la forte hausse de J-1. La proximité du cours avec la MM50 (écart de seulement 0,6%) suggère une zone de support potentielle à surveiller.</w:t>
      </w:r>
    </w:p>
    <w:p>
      <w:pPr>
        <w:spacing w:after="120" w:line="276" w:lineRule="auto"/>
      </w:pPr>
      <w:r>
        <w:t>**Bandes de Bollinger** : La borne supérieure se situe à 3 498,35 FCFA et la borne inférieure à 2 878,15 FCFA, avec un cours actuel de 3 050 FCFA positionné dans la moitié basse du canal. La décision est « Neutre », ce qui reflète l'absence de signal directionnel fort : le titre n'est ni en surachat (proche borne supérieure) ni en survente (proche borne inférieure). L'amplitude des bandes (620 FCFA) confirme la volatilité élevée du titre.</w:t>
      </w:r>
    </w:p>
    <w:p>
      <w:pPr>
        <w:spacing w:after="120" w:line="276" w:lineRule="auto"/>
      </w:pPr>
      <w:r>
        <w:t>**MACD** : La valeur du MACD est de -31,888 contre un signal à 17,378, soit une divergence baissière marquée (MACD sous son signal). Cette configuration traduit un momentum négatif persistant et justifie la décision « Vente ». Toutefois, l'écart entre les deux lignes commence peut-être à se réduire, ce qui pourrait annoncer un retournement si le rebond de J-1 se confirme.</w:t>
      </w:r>
    </w:p>
    <w:p>
      <w:pPr>
        <w:spacing w:after="120" w:line="276" w:lineRule="auto"/>
      </w:pPr>
      <w:r>
        <w:t>**RSI** : À 33,645, le RSI se situe dans la zone neutre basse (30-70), proche du seuil de survente (30). La décision est « Neutre », mais cette valeur suggère que le titre pourrait être proche d'un point de retournement haussier si la pression vendeuse s'essouffle. Un RSI sous 30 déclencherait un signal d'achat technique.</w:t>
      </w:r>
    </w:p>
    <w:p>
      <w:pPr>
        <w:spacing w:after="120" w:line="276" w:lineRule="auto"/>
      </w:pPr>
      <w:r>
        <w:t>**Stochastique** : Le %K s'établit à 42,017 et le %D à 18,728, avec un %K nettement supérieur au %D. Cette configuration indique un croisement haussier en formation (le %K croise le %D à la hausse), signal potentiellement positif. La décision affichée est « Neutre », mais la dynamique du stochastique plaide pour une amélioration à court terme.</w:t>
      </w:r>
    </w:p>
    <w:p>
      <w:pPr>
        <w:spacing w:after="120" w:line="276" w:lineRule="auto"/>
      </w:pPr>
      <w:r>
        <w:t>**Conclusion technique** : Les indicateurs techniques présentent un tableau mitigé. Les moyennes mobiles et le MACD restent baissiers, mais le RSI proche de la survente et le croisement haussier du stochastique suggèrent un possible rebond à court terme. La décision « Achat » des MM contraste avec la « Vente » du MACD, créant une divergence qui appelle à la prudence. Le titre se trouve à un point d'inflexion technique : soit il confirme son rebond au-dessus de la MM50 (3 067 FCFA), soit il reprend sa tendance baissière.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 enregistré un Produit Net Bancaire (PNB) de 186,609 milliards FCFA, en baisse de -4,52% par rapport à 2024 (195,436 milliards FCFA), reflétant une contraction de l'activité commerciale. Le résultat net consolidé s'établit à 21,643 milliards FCFA, marquant un redressement spectaculaire après la perte de -44,363 milliards FCFA en 2024. Le ROE atteint 19,13% (excellent, &gt;15%) et le ROA 0,54%, tandis que le coefficient d'exploitation de 42,85% classe la banque parmi les établissements très efficaces (&lt;50%). Le coût du risque, mesuré par le ratio provisions/charges financières, est de 3,74%, un niveau faible qui témoigne d'un portefeuille de crédits assaini. La structure financière reste toutefois fragile avec une autonomie financière de seulement 2,82% (capitaux propres/total bilan) et un ratio d'endettement de 444,94%, typique du modèle bancaire mais à surveiller.</w:t>
      </w:r>
    </w:p>
    <w:p>
      <w:pPr>
        <w:spacing w:after="120" w:line="276" w:lineRule="auto"/>
      </w:pPr>
      <w:r>
        <w:t>**Adaptation au secteur bancaire** : Le ratio dépôts/crédits s'établit à 3 088,698/1 523,765 = 2,03x, indiquant une surliquidité structurelle — la banque collecte deux fois plus de dépôts qu'elle n'accorde de crédits, ce qui limite la marge d'intérêt mais réduit le risque de liquidité. Les créances interbancaires (275,515 milliards FCFA) et les dettes interbancaires (432,668 milliards FCFA) montrent une activité de refinancement significative.</w:t>
      </w:r>
    </w:p>
    <w:p>
      <w:pPr>
        <w:spacing w:after="120" w:line="276" w:lineRule="auto"/>
      </w:pPr>
      <w:r>
        <w:t>**Estimations basées sur les rapports trimestriels** : Le rapport T1 2026 (publié en 2026) indique un PNB de 50,124 milliards FCFA (-2% sur un an) et un résultat net de 6,555 milliards FCFA (+37%), avec une amélioration du coût du risque (-10%) et une maîtrise des frais généraux (-44%). Sur cette base, on peut estimer que l'exercice 2026 devrait confirmer la tendance au redressement, avec un résultat net annualisé potentiel de l'ordre de 26-28 milliards FCFA si la dynamique se poursuit. Le rapport S1 2025 (daté du 30 juin 2025) faisait déjà état d'un bénéfice net de 18,3 milliards FCFA (+232%), et le rapport T3 2025 (30 septembre 2025) d'un résultat net de 19,6 milliards FCFA (+248%), confirmant la solidité de la reprise. Le rapport annuel 2025 (publié en 2026) souligne que le retour à la rentabilité est principalement dû à la réduction drastique du coût du risque (-90%) et à la baisse des frais généraux (-12%), mais que la baisse du PNB (-5%) reste un signal d'alerte sur la dynamique commerciale.</w:t>
      </w:r>
    </w:p>
    <w:p>
      <w:pPr>
        <w:spacing w:after="120" w:line="276" w:lineRule="auto"/>
      </w:pPr>
      <w:r>
        <w:t>**Évolution pluriannuelle** : De 2024 à 2025, on observe une amélioration spectaculaire : passage d'une perte de -44,4 milliards à un bénéfice de 21,6 milliards FCFA, renforcement des capitaux propres de 96,7 à 113,2 milliards FCFA (+17%), et réduction du coût du risque de 69,1 à 7,0 milliards FCFA. La recommandation fondamentale est « CONSERVER » : la solidité financière s'améliore, les risques baissent, mais l'absence de croissance du PNB et l'absence de dividende (0 FCFA proposé à l'AG du 23 juillet 2026) limitent l'attrait à court terme.</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mitigée — PER attractif à 9,8x, P/B raisonnable à 1,87x, mais EV/EBITDA exigeant à 19,8x. Le comportement du cours (Partie 1) est baissier sur 100 jours (-12,23%) avec une volatilité élevée (44,8%) et une distribution platykurtique (kurtosis -1,164) qui limite le risque de pics extrêmes, mais le rebond de +5,72% en J-1 et le skewness positif (0,349) suggèrent un potentiel de retournement. Les signaux techniques (Partie 2) sont divergents : MM « Achat », MACD « Vente », RSI et Stochastique « Neutres » avec un croisement haussier en formation. Les fondamentaux (Partie 3) sont en nette amélioration — ROE de 19,13%, coefficient d'exploitation de 42,85%, coût du risque maîtrisé — mais le PNB recule et aucun dividende n'est versé. Les prédictions IA (J+1 à J+10) anticipent une légère hausse de 2 992 à 3 022 FCFA, confirmant la possibilité d'un rebond technique à court terme.</w:t>
      </w:r>
    </w:p>
    <w:p>
      <w:pPr>
        <w:spacing w:after="120" w:line="276" w:lineRule="auto"/>
      </w:pPr>
      <w:r>
        <w:t>**Recommandation finale** : **CONSERVER**. La convergence entre le rebond technique (stochastique, RSI proche survente), les fondamentaux assainis (ROE &gt;15%, coût du risque faible) et les prédictions IA haussières plaide pour ne pas vendre. Toutefois, la divergence du MACD, la baisse du PNB et l'absence de dividende empêchent de recommander un ACHAT massif. **Niveau de confiance : Moyen** — les signaux sont contradictoires mais penchent légèrement vers le positif. **Niveau de risque : Élevé** — volatilité de 44,8%, endettement élevé (444,94%), et dépendance à la poursuite de l'amélioration du coût du risque. **Horizon d'investissement optimal : Moyen terme (3-12 mois)** — le temps que la dynamique commerciale se confirme et que le PNB reprenne sa croissance. Un passage à ACHAT serait justifié si le PNB se stabilise ou progresse lors des prochains trimestres, et si un dividende est annoncé pour l'exercice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125.22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4,003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+15.71%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6.20% (Moyenne) — μ=8,582 FCFA, σ=532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β=-0.0086 (Contre-cyclique) — Cov=-0.000001, Var(idx)=0.000061, ρ=-0.003,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7,847</w:t>
            </w:r>
          </w:p>
        </w:tc>
        <w:tc>
          <w:tcPr>
            <w:tcW w:type="dxa" w:w="1440"/>
            <w:shd w:fill="FAFAFA" w:val="clear"/>
          </w:tcPr>
          <w:p>
            <w:r>
              <w:rPr>
                <w:b/>
                <w:sz w:val="17"/>
              </w:rPr>
              <w:t>8,077</w:t>
            </w:r>
          </w:p>
        </w:tc>
        <w:tc>
          <w:tcPr>
            <w:tcW w:type="dxa" w:w="1440"/>
            <w:shd w:fill="FAFAFA" w:val="clear"/>
          </w:tcPr>
          <w:p>
            <w:r>
              <w:rPr>
                <w:sz w:val="17"/>
              </w:rPr>
              <w:t>8,308</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7,745</w:t>
            </w:r>
          </w:p>
        </w:tc>
        <w:tc>
          <w:tcPr>
            <w:tcW w:type="dxa" w:w="1440"/>
            <w:shd w:fill="FAFAFA" w:val="clear"/>
          </w:tcPr>
          <w:p>
            <w:r>
              <w:rPr>
                <w:b/>
                <w:sz w:val="17"/>
              </w:rPr>
              <w:t>8,071</w:t>
            </w:r>
          </w:p>
        </w:tc>
        <w:tc>
          <w:tcPr>
            <w:tcW w:type="dxa" w:w="1440"/>
            <w:shd w:fill="FAFAFA" w:val="clear"/>
          </w:tcPr>
          <w:p>
            <w:r>
              <w:rPr>
                <w:sz w:val="17"/>
              </w:rPr>
              <w:t>8,398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7,665</w:t>
            </w:r>
          </w:p>
        </w:tc>
        <w:tc>
          <w:tcPr>
            <w:tcW w:type="dxa" w:w="1440"/>
            <w:shd w:fill="FAFAFA" w:val="clear"/>
          </w:tcPr>
          <w:p>
            <w:r>
              <w:rPr>
                <w:b/>
                <w:sz w:val="17"/>
              </w:rPr>
              <w:t>8,065</w:t>
            </w:r>
          </w:p>
        </w:tc>
        <w:tc>
          <w:tcPr>
            <w:tcW w:type="dxa" w:w="1440"/>
            <w:shd w:fill="FAFAFA" w:val="clear"/>
          </w:tcPr>
          <w:p>
            <w:r>
              <w:rPr>
                <w:sz w:val="17"/>
              </w:rPr>
              <w:t>8,464</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7,597</w:t>
            </w:r>
          </w:p>
        </w:tc>
        <w:tc>
          <w:tcPr>
            <w:tcW w:type="dxa" w:w="1440"/>
            <w:shd w:fill="FAFAFA" w:val="clear"/>
          </w:tcPr>
          <w:p>
            <w:r>
              <w:rPr>
                <w:b/>
                <w:sz w:val="17"/>
              </w:rPr>
              <w:t>8,057</w:t>
            </w:r>
          </w:p>
        </w:tc>
        <w:tc>
          <w:tcPr>
            <w:tcW w:type="dxa" w:w="1440"/>
            <w:shd w:fill="FAFAFA" w:val="clear"/>
          </w:tcPr>
          <w:p>
            <w:r>
              <w:rPr>
                <w:sz w:val="17"/>
              </w:rPr>
              <w:t>8,518</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7,536</w:t>
            </w:r>
          </w:p>
        </w:tc>
        <w:tc>
          <w:tcPr>
            <w:tcW w:type="dxa" w:w="1440"/>
            <w:shd w:fill="FAFAFA" w:val="clear"/>
          </w:tcPr>
          <w:p>
            <w:r>
              <w:rPr>
                <w:b/>
                <w:sz w:val="17"/>
              </w:rPr>
              <w:t>8,051</w:t>
            </w:r>
          </w:p>
        </w:tc>
        <w:tc>
          <w:tcPr>
            <w:tcW w:type="dxa" w:w="1440"/>
            <w:shd w:fill="FAFAFA" w:val="clear"/>
          </w:tcPr>
          <w:p>
            <w:r>
              <w:rPr>
                <w:sz w:val="17"/>
              </w:rPr>
              <w:t>8,565</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7,481</w:t>
            </w:r>
          </w:p>
        </w:tc>
        <w:tc>
          <w:tcPr>
            <w:tcW w:type="dxa" w:w="1440"/>
            <w:shd w:fill="FAFAFA" w:val="clear"/>
          </w:tcPr>
          <w:p>
            <w:r>
              <w:rPr>
                <w:b/>
                <w:sz w:val="17"/>
              </w:rPr>
              <w:t>8,044</w:t>
            </w:r>
          </w:p>
        </w:tc>
        <w:tc>
          <w:tcPr>
            <w:tcW w:type="dxa" w:w="1440"/>
            <w:shd w:fill="FAFAFA" w:val="clear"/>
          </w:tcPr>
          <w:p>
            <w:r>
              <w:rPr>
                <w:sz w:val="17"/>
              </w:rPr>
              <w:t>8,607</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7,430</w:t>
            </w:r>
          </w:p>
        </w:tc>
        <w:tc>
          <w:tcPr>
            <w:tcW w:type="dxa" w:w="1440"/>
            <w:shd w:fill="FAFAFA" w:val="clear"/>
          </w:tcPr>
          <w:p>
            <w:r>
              <w:rPr>
                <w:b/>
                <w:sz w:val="17"/>
              </w:rPr>
              <w:t>8,037</w:t>
            </w:r>
          </w:p>
        </w:tc>
        <w:tc>
          <w:tcPr>
            <w:tcW w:type="dxa" w:w="1440"/>
            <w:shd w:fill="FAFAFA" w:val="clear"/>
          </w:tcPr>
          <w:p>
            <w:r>
              <w:rPr>
                <w:sz w:val="17"/>
              </w:rPr>
              <w:t>8,645</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7,382</w:t>
            </w:r>
          </w:p>
        </w:tc>
        <w:tc>
          <w:tcPr>
            <w:tcW w:type="dxa" w:w="1440"/>
            <w:shd w:fill="FAFAFA" w:val="clear"/>
          </w:tcPr>
          <w:p>
            <w:r>
              <w:rPr>
                <w:b/>
                <w:sz w:val="17"/>
              </w:rPr>
              <w:t>8,031</w:t>
            </w:r>
          </w:p>
        </w:tc>
        <w:tc>
          <w:tcPr>
            <w:tcW w:type="dxa" w:w="1440"/>
            <w:shd w:fill="FAFAFA" w:val="clear"/>
          </w:tcPr>
          <w:p>
            <w:r>
              <w:rPr>
                <w:sz w:val="17"/>
              </w:rPr>
              <w:t>8,681</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7,337</w:t>
            </w:r>
          </w:p>
        </w:tc>
        <w:tc>
          <w:tcPr>
            <w:tcW w:type="dxa" w:w="1440"/>
            <w:shd w:fill="FAFAFA" w:val="clear"/>
          </w:tcPr>
          <w:p>
            <w:r>
              <w:rPr>
                <w:b/>
                <w:sz w:val="17"/>
              </w:rPr>
              <w:t>8,025</w:t>
            </w:r>
          </w:p>
        </w:tc>
        <w:tc>
          <w:tcPr>
            <w:tcW w:type="dxa" w:w="1440"/>
            <w:shd w:fill="FAFAFA" w:val="clear"/>
          </w:tcPr>
          <w:p>
            <w:r>
              <w:rPr>
                <w:sz w:val="17"/>
              </w:rPr>
              <w:t>8,713</w:t>
            </w:r>
          </w:p>
        </w:tc>
        <w:tc>
          <w:tcPr>
            <w:tcW w:type="dxa" w:w="1440"/>
            <w:shd w:fill="FAFAFA" w:val="clear"/>
          </w:tcPr>
          <w:p>
            <w:r>
              <w:rPr>
                <w:b/>
                <w:color w:val="C00000"/>
                <w:sz w:val="17"/>
              </w:rPr>
              <w:t>-0.9%</w:t>
            </w:r>
          </w:p>
        </w:tc>
      </w:tr>
      <w:tr>
        <w:tc>
          <w:tcPr>
            <w:tcW w:type="dxa" w:w="1440"/>
            <w:shd w:fill="FAFAFA" w:val="clear"/>
          </w:tcPr>
          <w:p>
            <w:r>
              <w:rPr>
                <w:sz w:val="17"/>
              </w:rPr>
              <w:t>J+10  Moyenne</w:t>
            </w:r>
          </w:p>
        </w:tc>
        <w:tc>
          <w:tcPr>
            <w:tcW w:type="dxa" w:w="1440"/>
            <w:shd w:fill="FAFAFA" w:val="clear"/>
          </w:tcPr>
          <w:p>
            <w:r>
              <w:rPr>
                <w:sz w:val="17"/>
              </w:rPr>
              <w:t>2026-10-09</w:t>
            </w:r>
          </w:p>
        </w:tc>
        <w:tc>
          <w:tcPr>
            <w:tcW w:type="dxa" w:w="1440"/>
            <w:shd w:fill="FAFAFA" w:val="clear"/>
          </w:tcPr>
          <w:p>
            <w:r>
              <w:rPr>
                <w:sz w:val="17"/>
              </w:rPr>
              <w:t>7,295</w:t>
            </w:r>
          </w:p>
        </w:tc>
        <w:tc>
          <w:tcPr>
            <w:tcW w:type="dxa" w:w="1440"/>
            <w:shd w:fill="FAFAFA" w:val="clear"/>
          </w:tcPr>
          <w:p>
            <w:r>
              <w:rPr>
                <w:b/>
                <w:sz w:val="17"/>
              </w:rPr>
              <w:t>8,019</w:t>
            </w:r>
          </w:p>
        </w:tc>
        <w:tc>
          <w:tcPr>
            <w:tcW w:type="dxa" w:w="1440"/>
            <w:shd w:fill="FAFAFA" w:val="clear"/>
          </w:tcPr>
          <w:p>
            <w:r>
              <w:rPr>
                <w:sz w:val="17"/>
              </w:rPr>
              <w:t>8,744</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125,22 milliards FCFA, PALC se positionne comme une valeur de premier plan de la cote BRVM, représentant un acteur agro-industriel majeur de la zone UEMOA. Le BPA de 1 003 FCFA par action signifie que chaque titre génère un bénéfice net d'environ mille francs CFA, ce qui, rapporté au cours actuel de 8 100 FCFA, offre un rendement bénéficiaire implicite de 12,4 %. Le PER de 8,1x situe le titre dans la fourchette basse de la moyenne BRVM (8-12x), suggérant que les investisseurs ne paient pas cher pour les bénéfices actuels, voire sous-évaluent le potentiel de la société. Le P/B de 0,88x est particulièrement notable : le marché valorise PALC en dessous de sa valeur comptable (capitaux propres de 142,6 Mds FCFA pour une capitalisation de 125,2 Mds FCFA), ce qui constitue historiquement un signal d'opportunité potentielle. Enfin, l'EV/EBITDA de 4,0x, très inférieur au seuil de 5x, indique que la valeur d'entreprise est couverte moins de quatre fois par la capacité opérationnelle de génération de cash, un niveau attractif pour un industriel intégré.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progression totale de +15,71 %, avec une dernière séance en hausse de +0,56 %, confirmant une dynamique haussière de fond malgré des à-coups. Le titre a évolué dans un range de 2 640 FCFA, entre un plus bas de 7 000 FCFA et un plus haut de 9 640 FCFA, soit une amplitude de 37,7 % qui traduit une réelle nervosité du marché. La moyenne (8 582 FCFA) est légèrement inférieure à la médiane (8 690 FCFA), ce qui révèle une asymétrie négative : les quelques séances de forte baisse ont tiré la moyenne vers le bas, cohérent avec le skewness de -0,467 (distribution étalée vers la gauche). L'écart-type de 535 FCFA et le coefficient de variation de 6,2 % indiquent une dispersion modérée du cours autour de sa tendance, tandis que le kurtosis de -0,077 (mésokurtique) suggère une distribution proche de la normale, sans risque excessif de pics extrêmes. La volatilité annualisée de 34,4 % classe le titre dans la catégorie des valeurs à volatilité élevée (&gt;30 %), ce qui est typique des petites et moyennes capitalisations agro-industrielles exposées aux cours mondiaux des matières premières. Le mode à 7 800 FCFA, inférieur au cours actuel, suggère que le titre a longtemps stagné avant de s'apprécier récemment.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(8 584,75 FCFA) est légèrement supérieure au cours actuel (8 100 FCFA), tandis que la MM50 (8 858,90 FCFA) se situe nettement au-dessus, confirmant que le titre évolue sous ses deux moyennes de référence. Cette configuration baissière à court et moyen terme justifie la décision technique de **Vente**, le cours n'ayant pas encore réussi à reconquérir ces niveaux.</w:t>
      </w:r>
    </w:p>
    <w:p>
      <w:pPr>
        <w:spacing w:after="120" w:line="276" w:lineRule="auto"/>
      </w:pPr>
      <w:r>
        <w:t>**Bandes de Bollinger** : Le cours (8 100 FCFA) se situe dans la partie basse du canal, entre la borne inférieure (7 780,33 FCFA) et la borne supérieure (9 389,18 FCFA), sans franchissement des extrêmes. La décision est **Neutre**, le titre n'étant ni en survente extrême ni en surachat, avec une volatilité contenue dans le canal.</w:t>
      </w:r>
    </w:p>
    <w:p>
      <w:pPr>
        <w:spacing w:after="120" w:line="276" w:lineRule="auto"/>
      </w:pPr>
      <w:r>
        <w:t>**MACD** : La valeur du MACD (-241,61) est inférieure à son signal (-188,56), confirmant une divergence baissière et un momentum négatif. La décision de **Vente** est cohérente avec cette configuration, le MACD n'ayant pas encore amorcé de retournement à la hausse.</w:t>
      </w:r>
    </w:p>
    <w:p>
      <w:pPr>
        <w:spacing w:after="120" w:line="276" w:lineRule="auto"/>
      </w:pPr>
      <w:r>
        <w:t>**RSI** : À 25,18, le RSI se situe nettement en zone de survente (&lt;30), signalant que le titre a été excessivement vendu à court terme. La décision d'**Achat** est justifiée par cette configuration de rebond potentiel, le RSI étant proche de ses plus bas historiques.</w:t>
      </w:r>
    </w:p>
    <w:p>
      <w:pPr>
        <w:spacing w:after="120" w:line="276" w:lineRule="auto"/>
      </w:pPr>
      <w:r>
        <w:t>**Stochastique** : Le %K (8,26) et le %D (2,75) sont tous deux en zone de survente profonde, avec un %K supérieur au %D qui pourrait amorcer un croisement haussier imminent. La décision d'**Achat** est cohérente avec cette configuration de retournement potentiel.</w:t>
      </w:r>
    </w:p>
    <w:p>
      <w:pPr>
        <w:spacing w:after="120" w:line="276" w:lineRule="auto"/>
      </w:pPr>
      <w:r>
        <w:t>**Conclusion technique** : Les indicateurs présentent une divergence notable : les moyennes mobiles et le MACD plaident pour une poursuite de la correction, tandis que le RSI et le stochastique signalent une survente extrême propice à un rebond technique. Cette configuration contradictoire suggère une phase de consolidation avant un éventuel retournement haussier, le titre étant techniquement survendu mais sans confirmation de retournement de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 milliards FCFA, en croissance de +14,8 % par rapport à 2024 (172,2 Mds FCFA), portée par une hausse des volumes et des prix de l'huile de palme brute. Le résultat net s'établit à 15,51 milliards FCFA, en léger recul de -2,2 % par rapport à 2024 (15,9 Mds FCFA), avec une marge nette de 7,85 % contre 9,2 % un an plus tôt. Le ROE de 10,87 % et le ROA de 7,79 % demeurent corrects mais en deçà du seuil d'excellence de 15 %, reflétant une rentabilité sous pression. La structure financière reste très solide avec une autonomie financière de 71,64 % (capitaux propres de 142,64 Mds FCFA pour un total bilan de 199,12 Mds FCFA) et un ratio d'endettement quasi nul (0,56 %), la dette financière ayant été réduite à 796,56 millions FCFA. Le BFR de 44,62 milliards FCFA est positif, avec un délai client élevé de 142,58 jours qui constitue un point de vigilance pour la trésorerie, tandis que la trésorerie nette est négative à -4,56 milliards FCFA. Les rapports trimestriels de 2025 confirment cette dynamique : le T1 2025 (rapport du 31 mars 2025) affichait un CA de 67,5 Mds FCFA (+32 %) et un résultat net de 11,6 Mds FCFA (+65 %), le S1 2025 (rapport du 30 juin 2025) un CA de 134,8 Mds FCFA (+25 %) et un résultat net de 22,9 Mds FCFA (+37 %), et le T3 2025 (rapport du 30 septembre 2025) un CA cumulé de 168,9 Mds FCFA (+18 %) pour un résultat net de 18,0 Mds FCFA (+11 %). Cependant, le rapport du T1 2026 (publié en 2026) révèle un effondrement spectaculaire : le CA chute de -27 % à 49,4 Mds FCFA et le résultat net de -86 % à 1,6 Md FCFA, la direction évoquant un simple décalage temporel des ventes. Sur la base de ces éléments, on estime que l'exercice 2026 pourrait être nettement moins favorable que 2025, avec un résultat net potentiellement divisé par deux si le redressement attendu au T2 ne se matérialise pas. La politique de dividende, avec un DPA de 502 FCFA en 2025 (en baisse de -19 %), offre un rendement d'environ 6,2 % au cours actuel, ce qui reste attractif mais en retrait par rapport aux années fastes (1 374 FCFA en 2021). En synthèse, PALC demeure un acteur solide et peu endetté, mais sa rentabilité est sous pression et le T1 2026 constitue un signal d'alerte majeur qui nécessite une surveillance rapprochée.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présente un profil attractif : PER de 8,1x, P/B de 0,88x et EV/EBITDA de 4,0x suggèrent une sous-évaluation relative par rapport aux fondamentaux historiques et au marché BRVM. Le comportement du cours sur 100 jours (+15,71 %) est haussier, mais la volatilité élevée (34,4 %) et le skewness négatif (-0,467) indiquent une sensibilité accrue aux chocs baissiers. Les signaux techniques sont divergents : le RSI (25,18) et le stochastique (8,26/2,75) plaident pour un rebond technique imminent, tandis que les moyennes mobiles et le MACD confirment une tendance baissière de court terme. Les fondamentaux révèlent une société solide (autonomie financière de 71,6 %, endettement quasi nul) mais confrontée à un ralentissement brutal au T1 2026 (CA -27 %, résultat net -86 %), ce qui remet en cause les prévisions optimistes pour 2026. Les prédictions IA (J+1 à J+10) anticipent une légère dérive baissière vers 8 051 FCFA, en ligne avec la pression technique actuelle mais en contradiction avec le potentiel de rebond signalé par le RSI. Dans ce contexte de divergence entre valorisation attractive, technique survendue et fondamentaux dégradés, la recommandation est de **CONSERVER** avec un niveau de confiance **Moyen** et un risque global **Élevé**. L'horizon d'investissement optimal est le **moyen terme (3-12 mois)**, le temps que la situation opérationnelle se clarifie et que le titre confirme ou infirme le rebond technique attendu. Un passage à l'achat serait justifié si le T2 2026 confirme le redressement des ventes et si le cours franchit la MM50 (8 858 FCFA), tandis qu'une vente serait recommandée en cas de dégradation supplémentaire de la trésorerie ou de confirmation d'un problème structurel au T2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1,169 titres</w:t>
            </w:r>
          </w:p>
        </w:tc>
        <w:tc>
          <w:tcPr>
            <w:tcW w:type="dxa" w:w="2268"/>
            <w:shd w:fill="FFF2CC" w:val="clear"/>
          </w:tcPr>
          <w:p>
            <w:r>
              <w:rPr>
                <w:b/>
                <w:color w:val="503200"/>
                <w:sz w:val="16"/>
              </w:rPr>
              <w:t xml:space="preserve">Cours actuel : </w:t>
            </w:r>
            <w:r>
              <w:rPr>
                <w:color w:val="000000"/>
                <w:sz w:val="17"/>
              </w:rPr>
              <w:t>4,195 FCFA</w:t>
            </w:r>
          </w:p>
          <w:p>
            <w:r>
              <w:rPr>
                <w:b/>
                <w:color w:val="503200"/>
                <w:sz w:val="16"/>
              </w:rPr>
              <w:t xml:space="preserve">Var. 100 jours : </w:t>
            </w:r>
            <w:r>
              <w:rPr>
                <w:b/>
                <w:color w:val="B40000"/>
                <w:sz w:val="17"/>
              </w:rPr>
              <w:t>-1.41%</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μ=4,341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β=-0.1084 (Contre-cyclique) — Cov=-0.000007, Var(idx)=0.000061, ρ=-0.036,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4,043</w:t>
            </w:r>
          </w:p>
        </w:tc>
        <w:tc>
          <w:tcPr>
            <w:tcW w:type="dxa" w:w="1440"/>
            <w:shd w:fill="FAFAFA" w:val="clear"/>
          </w:tcPr>
          <w:p>
            <w:r>
              <w:rPr>
                <w:b/>
                <w:sz w:val="17"/>
              </w:rPr>
              <w:t>4,148</w:t>
            </w:r>
          </w:p>
        </w:tc>
        <w:tc>
          <w:tcPr>
            <w:tcW w:type="dxa" w:w="1440"/>
            <w:shd w:fill="FAFAFA" w:val="clear"/>
          </w:tcPr>
          <w:p>
            <w:r>
              <w:rPr>
                <w:sz w:val="17"/>
              </w:rPr>
              <w:t>4,254</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4,000</w:t>
            </w:r>
          </w:p>
        </w:tc>
        <w:tc>
          <w:tcPr>
            <w:tcW w:type="dxa" w:w="1440"/>
            <w:shd w:fill="FAFAFA" w:val="clear"/>
          </w:tcPr>
          <w:p>
            <w:r>
              <w:rPr>
                <w:b/>
                <w:sz w:val="17"/>
              </w:rPr>
              <w:t>4,149</w:t>
            </w:r>
          </w:p>
        </w:tc>
        <w:tc>
          <w:tcPr>
            <w:tcW w:type="dxa" w:w="1440"/>
            <w:shd w:fill="FAFAFA" w:val="clear"/>
          </w:tcPr>
          <w:p>
            <w:r>
              <w:rPr>
                <w:sz w:val="17"/>
              </w:rPr>
              <w:t>4,298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3,962</w:t>
            </w:r>
          </w:p>
        </w:tc>
        <w:tc>
          <w:tcPr>
            <w:tcW w:type="dxa" w:w="1440"/>
            <w:shd w:fill="FAFAFA" w:val="clear"/>
          </w:tcPr>
          <w:p>
            <w:r>
              <w:rPr>
                <w:b/>
                <w:sz w:val="17"/>
              </w:rPr>
              <w:t>4,144</w:t>
            </w:r>
          </w:p>
        </w:tc>
        <w:tc>
          <w:tcPr>
            <w:tcW w:type="dxa" w:w="1440"/>
            <w:shd w:fill="FAFAFA" w:val="clear"/>
          </w:tcPr>
          <w:p>
            <w:r>
              <w:rPr>
                <w:sz w:val="17"/>
              </w:rPr>
              <w:t>4,326</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3,928</w:t>
            </w:r>
          </w:p>
        </w:tc>
        <w:tc>
          <w:tcPr>
            <w:tcW w:type="dxa" w:w="1440"/>
            <w:shd w:fill="FAFAFA" w:val="clear"/>
          </w:tcPr>
          <w:p>
            <w:r>
              <w:rPr>
                <w:b/>
                <w:sz w:val="17"/>
              </w:rPr>
              <w:t>4,138</w:t>
            </w:r>
          </w:p>
        </w:tc>
        <w:tc>
          <w:tcPr>
            <w:tcW w:type="dxa" w:w="1440"/>
            <w:shd w:fill="FAFAFA" w:val="clear"/>
          </w:tcPr>
          <w:p>
            <w:r>
              <w:rPr>
                <w:sz w:val="17"/>
              </w:rPr>
              <w:t>4,348</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3,898</w:t>
            </w:r>
          </w:p>
        </w:tc>
        <w:tc>
          <w:tcPr>
            <w:tcW w:type="dxa" w:w="1440"/>
            <w:shd w:fill="FAFAFA" w:val="clear"/>
          </w:tcPr>
          <w:p>
            <w:r>
              <w:rPr>
                <w:b/>
                <w:sz w:val="17"/>
              </w:rPr>
              <w:t>4,132</w:t>
            </w:r>
          </w:p>
        </w:tc>
        <w:tc>
          <w:tcPr>
            <w:tcW w:type="dxa" w:w="1440"/>
            <w:shd w:fill="FAFAFA" w:val="clear"/>
          </w:tcPr>
          <w:p>
            <w:r>
              <w:rPr>
                <w:sz w:val="17"/>
              </w:rPr>
              <w:t>4,367</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3,870</w:t>
            </w:r>
          </w:p>
        </w:tc>
        <w:tc>
          <w:tcPr>
            <w:tcW w:type="dxa" w:w="1440"/>
            <w:shd w:fill="FAFAFA" w:val="clear"/>
          </w:tcPr>
          <w:p>
            <w:r>
              <w:rPr>
                <w:b/>
                <w:sz w:val="17"/>
              </w:rPr>
              <w:t>4,127</w:t>
            </w:r>
          </w:p>
        </w:tc>
        <w:tc>
          <w:tcPr>
            <w:tcW w:type="dxa" w:w="1440"/>
            <w:shd w:fill="FAFAFA" w:val="clear"/>
          </w:tcPr>
          <w:p>
            <w:r>
              <w:rPr>
                <w:sz w:val="17"/>
              </w:rPr>
              <w:t>4,384</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3,845</w:t>
            </w:r>
          </w:p>
        </w:tc>
        <w:tc>
          <w:tcPr>
            <w:tcW w:type="dxa" w:w="1440"/>
            <w:shd w:fill="FAFAFA" w:val="clear"/>
          </w:tcPr>
          <w:p>
            <w:r>
              <w:rPr>
                <w:b/>
                <w:sz w:val="17"/>
              </w:rPr>
              <w:t>4,122</w:t>
            </w:r>
          </w:p>
        </w:tc>
        <w:tc>
          <w:tcPr>
            <w:tcW w:type="dxa" w:w="1440"/>
            <w:shd w:fill="FAFAFA" w:val="clear"/>
          </w:tcPr>
          <w:p>
            <w:r>
              <w:rPr>
                <w:sz w:val="17"/>
              </w:rPr>
              <w:t>4,400</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3,822</w:t>
            </w:r>
          </w:p>
        </w:tc>
        <w:tc>
          <w:tcPr>
            <w:tcW w:type="dxa" w:w="1440"/>
            <w:shd w:fill="FAFAFA" w:val="clear"/>
          </w:tcPr>
          <w:p>
            <w:r>
              <w:rPr>
                <w:b/>
                <w:sz w:val="17"/>
              </w:rPr>
              <w:t>4,118</w:t>
            </w:r>
          </w:p>
        </w:tc>
        <w:tc>
          <w:tcPr>
            <w:tcW w:type="dxa" w:w="1440"/>
            <w:shd w:fill="FAFAFA" w:val="clear"/>
          </w:tcPr>
          <w:p>
            <w:r>
              <w:rPr>
                <w:sz w:val="17"/>
              </w:rPr>
              <w:t>4,414</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3,799</w:t>
            </w:r>
          </w:p>
        </w:tc>
        <w:tc>
          <w:tcPr>
            <w:tcW w:type="dxa" w:w="1440"/>
            <w:shd w:fill="FAFAFA" w:val="clear"/>
          </w:tcPr>
          <w:p>
            <w:r>
              <w:rPr>
                <w:b/>
                <w:sz w:val="17"/>
              </w:rPr>
              <w:t>4,113</w:t>
            </w:r>
          </w:p>
        </w:tc>
        <w:tc>
          <w:tcPr>
            <w:tcW w:type="dxa" w:w="1440"/>
            <w:shd w:fill="FAFAFA" w:val="clear"/>
          </w:tcPr>
          <w:p>
            <w:r>
              <w:rPr>
                <w:sz w:val="17"/>
              </w:rPr>
              <w:t>4,427</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3,778</w:t>
            </w:r>
          </w:p>
        </w:tc>
        <w:tc>
          <w:tcPr>
            <w:tcW w:type="dxa" w:w="1440"/>
            <w:shd w:fill="FFDCE0" w:val="clear"/>
          </w:tcPr>
          <w:p>
            <w:r>
              <w:rPr>
                <w:b/>
                <w:sz w:val="17"/>
              </w:rPr>
              <w:t>4,109</w:t>
            </w:r>
          </w:p>
        </w:tc>
        <w:tc>
          <w:tcPr>
            <w:tcW w:type="dxa" w:w="1440"/>
            <w:shd w:fill="FFDCE0" w:val="clear"/>
          </w:tcPr>
          <w:p>
            <w:r>
              <w:rPr>
                <w:sz w:val="17"/>
              </w:rPr>
              <w:t>4,439</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42,96 milliards FCFA, PRSC se positionne comme une valeur de taille intermédiaire sur le compartiment des sociétés non financières de la BRVM, représentant un poids modéré dans l'indice composite. Le BPA de 231 FCFA/action signifie que chaque titre génère un bénéfice net de 231 FCFA, ce qui, rapporté au cours actuel de 4 195 FCFA, donne un PER de 18,1x — nettement supérieur à la moyenne du marché BRVM (8-12x), suggérant que les investisseurs paient une prime significative pour les bénéfices de la société. Le P/B de 3,73x indique que le marché valorise PRSC à près de quatre fois sa valeur comptable (capitaux propres de 11,531 Mds FCFA), traduisant une forte prime de croissance accordée par le marché. Enfin, l'EV/EBITDA de 9,4x situe la valeur d'entreprise (capitalisation + dette nette) à 9,4 fois l'EBE de 5,787 Mds FCFA, un niveau raisonnable dans la fourchette 5-10x, cohérent avec la capacité opérationnelle de la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quasi stable de -1,41%, mais la dernière séance (J-1) enregistre un rebond notable de +2,82%, portant le cours à 4 195 FCFA. Le range de trading est significatif, avec un plus haut à 4 740 FCFA et un plus bas à 3 620 FCFA, soit une amplitude de 1 120 FCFA (environ 31% du cours bas), témoignant d'une réelle volatilité intra-période. La tendance générale apparaît baissière sur fond de consolidation, le cours actuel (4 195 FCFA) se situant sous la moyenne (4 341 FCFA) et la médiane (4 402 FCFA), ce qui confirme une pression vendeuse persistante. Les statistiques descriptives révèlent un écart entre moyenne et médiane (4 341 vs 4 402 FCFA), signe d'une distribution asymétrique, confirmée par le skewness de -1,296 (asymétrie négative : plus de journées au-dessus de la moyenne, mais des baisses plus amples). L'écart-type de 271 FCFA avec un coefficient de variation de 6,2% indique une dispersion modérée du cours autour de sa moyenne. Le kurtosis de 1,009 (leptokurtique) signale des queues épaisses, donc un risque de pics de volatilité brutaux. La volatilité annualisée de 37,6% classe le titre dans la catégorie **élevée** (&gt;30%), ce qui implique un risque de marché conséquent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(4 355,75 FCFA) et la MM50 (4 441,40 FCFA) se situent toutes deux au-dessus du cours actuel (4 195 FCFA), avec une MM20 inférieure à la MM50 — configuration baissière classique (death cross). Le cours évoluant sous ses deux moyennes, la décision technique est **Vente**, confirmant la pression baissière de court et moyen terme.</w:t>
      </w:r>
    </w:p>
    <w:p>
      <w:pPr>
        <w:spacing w:after="120" w:line="276" w:lineRule="auto"/>
      </w:pPr>
      <w:r>
        <w:t>**Bandes de Bollinger** : La borne supérieure est à 4 579,03 FCFA et la borne inférieure à 4 132,47 FCFA, avec un cours actuel de 4 195 FCFA qui se situe dans la moitié basse de la bande, proche de la borne inférieure. Cette position indique une pression vendeuse mais sans rupture imminente, la décision étant **Neutre** — le titre n'est ni en surachat ni en survente extrême.</w:t>
      </w:r>
    </w:p>
    <w:p>
      <w:pPr>
        <w:spacing w:after="120" w:line="276" w:lineRule="auto"/>
      </w:pPr>
      <w:r>
        <w:t>**MACD** : La valeur du MACD (-72,296) est inférieure à son signal (-45,841), avec un histogramme négatif. Cette divergence baissière indique un momentum négatif persistant, bien que l'écart entre les deux lignes se réduise légèrement. La décision reste **Vente**, le croisement n'étant pas encore amorcé.</w:t>
      </w:r>
    </w:p>
    <w:p>
      <w:pPr>
        <w:spacing w:after="120" w:line="276" w:lineRule="auto"/>
      </w:pPr>
      <w:r>
        <w:t>**RSI** : À 41,243, le RSI se situe dans la zone neutre (30-70), sans signal de surachat ni de survente. La décision est **Neutre**, le titre conservant un potentiel de baisse modéré sans être techniquement survendu.</w:t>
      </w:r>
    </w:p>
    <w:p>
      <w:pPr>
        <w:spacing w:after="120" w:line="276" w:lineRule="auto"/>
      </w:pPr>
      <w:r>
        <w:t>**Stochastique** : Le %K (27,711) est supérieur au %D (9,237), avec un croisement haussier en zone de survente (&lt;20 pour le %D). Cette configuration suggère un possible rebond technique à court terme, bien que la décision affichée soit **Neutre** — signal à surveiller.</w:t>
      </w:r>
    </w:p>
    <w:p>
      <w:pPr>
        <w:spacing w:after="120" w:line="276" w:lineRule="auto"/>
      </w:pPr>
      <w:r>
        <w:t>**Conclusion technique** : Les indicateurs sont majoritairement baissiers (MM, MACD) ou neutres (Bollinger, RSI, Stochastique), avec un cours sous ses moyennes mobiles et un momentum négatif. Le seul signal positif émane du stochastique (croisement haussier en survente), mais il reste insuffisant pour inverser la tendance. La configuration technique plaide pour une **prudence** à court terme, avec un risque de poursuite de la consolidation baissière.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PRSC (Tractafric Motors CI) affiche un chiffre d'affaires de 81,127 Mds FCFA, en croissance de 8,64% sur un an, porté par la dynamique du marché automobile ivoirien. Le résultat net s'établit à 2,367 Mds FCFA, avec une marge nette de 2,92% — faible mais stable. Le ROE atteint 20,53%, un niveau excellent (&gt;15%), tandis que le ROA est de 4,95%, reflétant une rotation des actifs de 169,59%. La structure financière montre une autonomie financière de 24,10% (inférieure au seuil de 30% considéré comme sain) et un ratio d'endettement de 314,86%, avec une solvabilité générale de 131,76% (positive). Le BFR s'élève à 11,267 Mds FCFA, avec des délais clients de 45,99 jours (risque de trésorerie modéré), des délais fournisseurs de 102,65 jours (favorable) et une durée de stockage de 150,51 jours (élevée, immobilisant du capital). La trésorerie nette est négative à -4,092 Mds FCFA, et le Free Cash Flow ressort à -2,616 Mds FCFA, signalant une tension de liquidité.</w:t>
      </w:r>
    </w:p>
    <w:p>
      <w:pPr>
        <w:spacing w:after="120" w:line="276" w:lineRule="auto"/>
      </w:pPr>
      <w:r>
        <w:t>**Estimations basées sur les rapports trimestriels** : Le rapport d'activité du S1 2025 (daté du 30/06/2025) révèle un CA de 39,968 Mds FCFA (+15,1% vs S1 2024) et un résultat net de 1,436 Md FCFA (×28 vs S1 2024), avec une marge nette de 3,6%. Sur cette base, on estime que l'exercice 2025 devrait confirmer cette dynamique, avec un résultat net annuel autour de 2,3-2,4 Mds FCFA (cohérent avec les 2,367 Mds FCFA publiés). Le rapport annuel 2025 (daté du 31/12/2025) confirme un CA de 81,1 Mds FCFA (+9,5%) et un résultat net de 2,37 Mds FCFA, avec un dividende proposé de 209 FCFA/action (rendement de ~5% au cours actuel). Les rapports antérieurs (2022-2024) montrent une volatilité du résultat net : 3,64 Mds FCFA en 2022, 2,04 Mds en 2023, 2,18 Mds en 2024, puis 2,37 Mds en 2025 — une reprise progressive après le creux de 2023.</w:t>
      </w:r>
    </w:p>
    <w:p>
      <w:pPr>
        <w:spacing w:after="120" w:line="276" w:lineRule="auto"/>
      </w:pPr>
      <w:r>
        <w:t>**Recommandation fondamentale** : PRSC présente une **solidité financière correcte** (ROE élevé, solvabilité positive) mais des **faiblesses structurelles** (marge nette faible, endettement élevé, trésorerie négative, BFR important). La croissance du CA et l'amélioration du résultat net en 2025 sont des points positifs, mais la dépendance au marché automobile et la pression sur les marges restent des risques majeurs. Le dividende de 209 FCFA/action (rendement ~5%) constitue un argument attractif pour les investisseurs en revenu. La recommandation fondamentale est **CONSERVER**, avec une surveillance accrue de la trésorerie et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**Synthèse des 4 parties** : La valorisation (Partie 0) montre un PER de 18,1x et un P/B de 3,73x, indiquant une **surévaluation relative** par rapport à la moyenne du marché BRVM (PER 8-12x), bien que l'EV/EBITDA de 9,4x reste raisonnable. Le comportement du cours (Partie 1) est **préoccupant** : tendance baissière (-1,41% sur 100 jours), volatilité élevée (37,6%), skewness négatif (-1,296) et kurtosis leptokurtique (1,009) signalant un risque de pics baissiers. Les signaux techniques (Partie 2) sont **majoritairement baissiers** (MM, MACD en vente ; Bollinger, RSI, Stochastique neutres), avec un cours sous ses moyennes mobiles. Les fondamentaux (Partie 3) sont **mitigés** : croissance du CA (+8,64%) et ROE excellent (20,53%), mais marge nette faible (2,92%), endettement élevé (314,86%) et trésorerie négative (-4,092 Mds FCFA). Les prédictions IA (J+1 à J+10) anticipent une **légère baisse** du cours, de 4 148 FCFA à 4 132 FCFA, confirmant la pression baissière de court terme.</w:t>
      </w:r>
    </w:p>
    <w:p>
      <w:pPr>
        <w:spacing w:after="120" w:line="276" w:lineRule="auto"/>
      </w:pPr>
      <w:r>
        <w:t>**Recommandation finale** : **CONSERVER** (avec vigilance). La convergence des signaux techniques baissiers et des prédictions IA à la baisse, couplée à une valorisation tendue (PER 18,1x), plaide contre un achat immédiat. Cependant, la solidité du ROE (20,53%), la croissance du CA (+8,64%) et le dividende attractif (209 FCFA/action, rendement ~5%) justifient de ne pas vendre, surtout pour les investisseurs déjà positionnés. **Niveau de confiance : Moyen** — les fondamentaux sont corrects mais les risques de trésorerie et de marges persistent. **Niveau de risque global : Élevé** — volatilité annualisée de 37,6%, endettement important et dépendance sectorielle. **Horizon d'investissement optimal : Moyen terme (3-12 mois)** — le temps que la société confirme l'amélioration de sa rentabilité et stabilise sa trésorerie, avec un potentiel de rebond technique si le stochastique se confirme.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8,976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+28.74%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16.75% (Élevée) — μ=4,604 FCFA, σ=771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β=0.9958 (Neutre (suit le marché)) — Cov=0.000060, Var(idx)=0.000061, ρ=0.207,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4,160</w:t>
            </w:r>
          </w:p>
        </w:tc>
        <w:tc>
          <w:tcPr>
            <w:tcW w:type="dxa" w:w="1440"/>
            <w:shd w:fill="C6EFCE" w:val="clear"/>
          </w:tcPr>
          <w:p>
            <w:r>
              <w:rPr>
                <w:b/>
                <w:sz w:val="17"/>
              </w:rPr>
              <w:t>4,462</w:t>
            </w:r>
          </w:p>
        </w:tc>
        <w:tc>
          <w:tcPr>
            <w:tcW w:type="dxa" w:w="1440"/>
            <w:shd w:fill="C6EFCE" w:val="clear"/>
          </w:tcPr>
          <w:p>
            <w:r>
              <w:rPr>
                <w:sz w:val="17"/>
              </w:rPr>
              <w:t>4,763</w:t>
            </w:r>
          </w:p>
        </w:tc>
        <w:tc>
          <w:tcPr>
            <w:tcW w:type="dxa" w:w="1440"/>
            <w:shd w:fill="C6EFCE" w:val="clear"/>
          </w:tcPr>
          <w:p>
            <w:r>
              <w:rPr>
                <w:b/>
                <w:color w:val="008000"/>
                <w:sz w:val="17"/>
              </w:rPr>
              <w:t>+3.8%</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4,181</w:t>
            </w:r>
          </w:p>
        </w:tc>
        <w:tc>
          <w:tcPr>
            <w:tcW w:type="dxa" w:w="1440"/>
            <w:shd w:fill="C6EFCE" w:val="clear"/>
          </w:tcPr>
          <w:p>
            <w:r>
              <w:rPr>
                <w:b/>
                <w:sz w:val="17"/>
              </w:rPr>
              <w:t>4,623</w:t>
            </w:r>
          </w:p>
        </w:tc>
        <w:tc>
          <w:tcPr>
            <w:tcW w:type="dxa" w:w="1440"/>
            <w:shd w:fill="C6EFCE" w:val="clear"/>
          </w:tcPr>
          <w:p>
            <w:r>
              <w:rPr>
                <w:sz w:val="17"/>
              </w:rPr>
              <w:t>5,066</w:t>
            </w:r>
          </w:p>
        </w:tc>
        <w:tc>
          <w:tcPr>
            <w:tcW w:type="dxa" w:w="1440"/>
            <w:shd w:fill="C6EFCE" w:val="clear"/>
          </w:tcPr>
          <w:p>
            <w:r>
              <w:rPr>
                <w:b/>
                <w:color w:val="008000"/>
                <w:sz w:val="17"/>
              </w:rPr>
              <w:t>+7.5%</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4,161</w:t>
            </w:r>
          </w:p>
        </w:tc>
        <w:tc>
          <w:tcPr>
            <w:tcW w:type="dxa" w:w="1440"/>
            <w:shd w:fill="C6EFCE" w:val="clear"/>
          </w:tcPr>
          <w:p>
            <w:r>
              <w:rPr>
                <w:b/>
                <w:sz w:val="17"/>
              </w:rPr>
              <w:t>4,713</w:t>
            </w:r>
          </w:p>
        </w:tc>
        <w:tc>
          <w:tcPr>
            <w:tcW w:type="dxa" w:w="1440"/>
            <w:shd w:fill="C6EFCE" w:val="clear"/>
          </w:tcPr>
          <w:p>
            <w:r>
              <w:rPr>
                <w:sz w:val="17"/>
              </w:rPr>
              <w:t>5,265</w:t>
            </w:r>
          </w:p>
        </w:tc>
        <w:tc>
          <w:tcPr>
            <w:tcW w:type="dxa" w:w="1440"/>
            <w:shd w:fill="C6EFCE" w:val="clear"/>
          </w:tcPr>
          <w:p>
            <w:r>
              <w:rPr>
                <w:b/>
                <w:color w:val="008000"/>
                <w:sz w:val="17"/>
              </w:rPr>
              <w:t>+9.6%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4,131</w:t>
            </w:r>
          </w:p>
        </w:tc>
        <w:tc>
          <w:tcPr>
            <w:tcW w:type="dxa" w:w="1440"/>
            <w:shd w:fill="C6EFCE" w:val="clear"/>
          </w:tcPr>
          <w:p>
            <w:r>
              <w:rPr>
                <w:b/>
                <w:sz w:val="17"/>
              </w:rPr>
              <w:t>4,777</w:t>
            </w:r>
          </w:p>
        </w:tc>
        <w:tc>
          <w:tcPr>
            <w:tcW w:type="dxa" w:w="1440"/>
            <w:shd w:fill="C6EFCE" w:val="clear"/>
          </w:tcPr>
          <w:p>
            <w:r>
              <w:rPr>
                <w:sz w:val="17"/>
              </w:rPr>
              <w:t>5,423</w:t>
            </w:r>
          </w:p>
        </w:tc>
        <w:tc>
          <w:tcPr>
            <w:tcW w:type="dxa" w:w="1440"/>
            <w:shd w:fill="C6EFCE" w:val="clear"/>
          </w:tcPr>
          <w:p>
            <w:r>
              <w:rPr>
                <w:b/>
                <w:color w:val="008000"/>
                <w:sz w:val="17"/>
              </w:rPr>
              <w:t>+11.1%</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4,098</w:t>
            </w:r>
          </w:p>
        </w:tc>
        <w:tc>
          <w:tcPr>
            <w:tcW w:type="dxa" w:w="1440"/>
            <w:shd w:fill="C6EFCE" w:val="clear"/>
          </w:tcPr>
          <w:p>
            <w:r>
              <w:rPr>
                <w:b/>
                <w:sz w:val="17"/>
              </w:rPr>
              <w:t>4,829</w:t>
            </w:r>
          </w:p>
        </w:tc>
        <w:tc>
          <w:tcPr>
            <w:tcW w:type="dxa" w:w="1440"/>
            <w:shd w:fill="C6EFCE" w:val="clear"/>
          </w:tcPr>
          <w:p>
            <w:r>
              <w:rPr>
                <w:sz w:val="17"/>
              </w:rPr>
              <w:t>5,560</w:t>
            </w:r>
          </w:p>
        </w:tc>
        <w:tc>
          <w:tcPr>
            <w:tcW w:type="dxa" w:w="1440"/>
            <w:shd w:fill="C6EFCE" w:val="clear"/>
          </w:tcPr>
          <w:p>
            <w:r>
              <w:rPr>
                <w:b/>
                <w:color w:val="008000"/>
                <w:sz w:val="17"/>
              </w:rPr>
              <w:t>+12.3%</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4,065</w:t>
            </w:r>
          </w:p>
        </w:tc>
        <w:tc>
          <w:tcPr>
            <w:tcW w:type="dxa" w:w="1440"/>
            <w:shd w:fill="C6EFCE" w:val="clear"/>
          </w:tcPr>
          <w:p>
            <w:r>
              <w:rPr>
                <w:b/>
                <w:sz w:val="17"/>
              </w:rPr>
              <w:t>4,873</w:t>
            </w:r>
          </w:p>
        </w:tc>
        <w:tc>
          <w:tcPr>
            <w:tcW w:type="dxa" w:w="1440"/>
            <w:shd w:fill="C6EFCE" w:val="clear"/>
          </w:tcPr>
          <w:p>
            <w:r>
              <w:rPr>
                <w:sz w:val="17"/>
              </w:rPr>
              <w:t>5,680</w:t>
            </w:r>
          </w:p>
        </w:tc>
        <w:tc>
          <w:tcPr>
            <w:tcW w:type="dxa" w:w="1440"/>
            <w:shd w:fill="C6EFCE" w:val="clear"/>
          </w:tcPr>
          <w:p>
            <w:r>
              <w:rPr>
                <w:b/>
                <w:color w:val="008000"/>
                <w:sz w:val="17"/>
              </w:rPr>
              <w:t>+13.3%</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4,031</w:t>
            </w:r>
          </w:p>
        </w:tc>
        <w:tc>
          <w:tcPr>
            <w:tcW w:type="dxa" w:w="1440"/>
            <w:shd w:fill="C6EFCE" w:val="clear"/>
          </w:tcPr>
          <w:p>
            <w:r>
              <w:rPr>
                <w:b/>
                <w:sz w:val="17"/>
              </w:rPr>
              <w:t>4,910</w:t>
            </w:r>
          </w:p>
        </w:tc>
        <w:tc>
          <w:tcPr>
            <w:tcW w:type="dxa" w:w="1440"/>
            <w:shd w:fill="C6EFCE" w:val="clear"/>
          </w:tcPr>
          <w:p>
            <w:r>
              <w:rPr>
                <w:sz w:val="17"/>
              </w:rPr>
              <w:t>5,789</w:t>
            </w:r>
          </w:p>
        </w:tc>
        <w:tc>
          <w:tcPr>
            <w:tcW w:type="dxa" w:w="1440"/>
            <w:shd w:fill="C6EFCE" w:val="clear"/>
          </w:tcPr>
          <w:p>
            <w:r>
              <w:rPr>
                <w:b/>
                <w:color w:val="008000"/>
                <w:sz w:val="17"/>
              </w:rPr>
              <w:t>+14.2%</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3,996</w:t>
            </w:r>
          </w:p>
        </w:tc>
        <w:tc>
          <w:tcPr>
            <w:tcW w:type="dxa" w:w="1440"/>
            <w:shd w:fill="C6EFCE" w:val="clear"/>
          </w:tcPr>
          <w:p>
            <w:r>
              <w:rPr>
                <w:b/>
                <w:sz w:val="17"/>
              </w:rPr>
              <w:t>4,942</w:t>
            </w:r>
          </w:p>
        </w:tc>
        <w:tc>
          <w:tcPr>
            <w:tcW w:type="dxa" w:w="1440"/>
            <w:shd w:fill="C6EFCE" w:val="clear"/>
          </w:tcPr>
          <w:p>
            <w:r>
              <w:rPr>
                <w:sz w:val="17"/>
              </w:rPr>
              <w:t>5,888</w:t>
            </w:r>
          </w:p>
        </w:tc>
        <w:tc>
          <w:tcPr>
            <w:tcW w:type="dxa" w:w="1440"/>
            <w:shd w:fill="C6EFCE" w:val="clear"/>
          </w:tcPr>
          <w:p>
            <w:r>
              <w:rPr>
                <w:b/>
                <w:color w:val="008000"/>
                <w:sz w:val="17"/>
              </w:rPr>
              <w:t>+14.9%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3,961</w:t>
            </w:r>
          </w:p>
        </w:tc>
        <w:tc>
          <w:tcPr>
            <w:tcW w:type="dxa" w:w="1440"/>
            <w:shd w:fill="C6EFCE" w:val="clear"/>
          </w:tcPr>
          <w:p>
            <w:r>
              <w:rPr>
                <w:b/>
                <w:sz w:val="17"/>
              </w:rPr>
              <w:t>4,970</w:t>
            </w:r>
          </w:p>
        </w:tc>
        <w:tc>
          <w:tcPr>
            <w:tcW w:type="dxa" w:w="1440"/>
            <w:shd w:fill="C6EFCE" w:val="clear"/>
          </w:tcPr>
          <w:p>
            <w:r>
              <w:rPr>
                <w:sz w:val="17"/>
              </w:rPr>
              <w:t>5,979</w:t>
            </w:r>
          </w:p>
        </w:tc>
        <w:tc>
          <w:tcPr>
            <w:tcW w:type="dxa" w:w="1440"/>
            <w:shd w:fill="C6EFCE" w:val="clear"/>
          </w:tcPr>
          <w:p>
            <w:r>
              <w:rPr>
                <w:b/>
                <w:color w:val="008000"/>
                <w:sz w:val="17"/>
              </w:rPr>
              <w:t>+15.6%</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3,926</w:t>
            </w:r>
          </w:p>
        </w:tc>
        <w:tc>
          <w:tcPr>
            <w:tcW w:type="dxa" w:w="1440"/>
            <w:shd w:fill="C6EFCE" w:val="clear"/>
          </w:tcPr>
          <w:p>
            <w:r>
              <w:rPr>
                <w:b/>
                <w:sz w:val="17"/>
              </w:rPr>
              <w:t>4,995</w:t>
            </w:r>
          </w:p>
        </w:tc>
        <w:tc>
          <w:tcPr>
            <w:tcW w:type="dxa" w:w="1440"/>
            <w:shd w:fill="C6EFCE" w:val="clear"/>
          </w:tcPr>
          <w:p>
            <w:r>
              <w:rPr>
                <w:sz w:val="17"/>
              </w:rPr>
              <w:t>6,063</w:t>
            </w:r>
          </w:p>
        </w:tc>
        <w:tc>
          <w:tcPr>
            <w:tcW w:type="dxa" w:w="1440"/>
            <w:shd w:fill="C6EFCE" w:val="clear"/>
          </w:tcPr>
          <w:p>
            <w:r>
              <w:rPr>
                <w:b/>
                <w:color w:val="008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34,91 milliards FCFA, SAFC se positionne comme une petite capitalisation au sein du compartiment financier de la BRVM, ce qui la rend sensible aux mouvements de faible amplitude. Le BPA de 86 FCFA/action signifie que chaque titre génère 86 FCFA de bénéfice net, un niveau modeste qui, rapporté au cours actuel de 4 300 FCFA, aboutit à un PER de 49,8x — très largement supérieur à la moyenne du marché BRVM (8-12x), signalant que les investisseurs paient une prime spéculative très élevée par rapport aux bénéfices présents. Le P/B de 5,90x confirme cette exubérance : le marché valorise la société près de six fois sa valeur comptable, alors qu'un ratio supérieur à 4x traduit déjà une valorisation exigeante, d'autant que les capitaux propres restent fragiles (5,916 Mds FCFA). Enfin, l'EV/EBITDA de 74,1x, très au-delà du seuil de 15x, indique que la valeur d'entreprise intègre une anticipation de croissance opérationnelle forte qui devra impérativement se matérialiser pour justifier ces multiples. L'ensemble de ces ratios dessine une valorisation tendue, où le prix intègre déjà une grande partie du redressement à venir.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affiche une progression totale de +28,74%, avec une dernière séance particulièrement dynamique (+7,50% en J-1), portant le cours à 4 300 FCFA. Le range de trading est très large, oscillant entre un plus bas de 3 340 FCFA et un plus haut de 6 200 FCFA, soit une amplitude de près de 86% qui témoigne d'une forte nervosité du marché sur ce titre. La tendance générale est haussière mais heurtée, le cours actuel se situant à mi-chemin du range, ce qui suggère une consolidation après une phase de correction depuis les sommets. Les statistiques descriptives révèlent une moyenne (4 604 FCFA) légèrement supérieure à la médiane (4 545 FCFA), avec un skewness de 0,302 indiquant une distribution quasi symétrique, sans biais marqué vers les extrêmes. L'écart-type de 775 FCFA (CV = 16,8%) traduit une dispersion modérée autour de la moyenne, tandis que le kurtosis de -1,008 (distribution platykurtique) signale une faible concentration des rendements et un risque de pics de volatilité moins prononcé qu'une distribution normale — un élément rassurant pour la gestion du risque. La volatilité annualisée de 60,1% classe ce titre dans la catégorie des valeurs à volatilité élevée (&gt;30%), ce qui implique un risque important et justifie une approche prudente avec des stops-loss serrés.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(5 192,25 FCFA) et la MM50 (5 179,80 FCFA) sont quasiment confondues et se situent nettement au-dessus du cours actuel (4 300 FCFA), ce qui place le titre en position baissière par rapport à ses moyennes. Cependant, la décision technique affichée est "Achat", probablement en anticipation d'un retournement ou d'un croisement haussier à venir, mais la configuration actuelle reste fragile car le cours doit reconquérir ces niveaux pour confirmer une reprise durable.</w:t>
      </w:r>
    </w:p>
    <w:p>
      <w:pPr>
        <w:spacing w:after="120" w:line="276" w:lineRule="auto"/>
      </w:pPr>
      <w:r>
        <w:t>**Bandes de Bollinger** : La borne supérieure est à 6 599,32 FCFA et la borne inférieure à 3 785,18 FCFA, avec un cours actuel de 4 300 FCFA qui se situe dans la moitié basse de la bande, sans atteindre la borne inférieure. La décision est "Neutre", ce qui reflète une absence de signal fort : le titre n'est ni en surachat ni en survente selon ce indicateur, et la largeur des bandes (2 814 FCFA) confirme une volatilité élevée.</w:t>
      </w:r>
    </w:p>
    <w:p>
      <w:pPr>
        <w:spacing w:after="120" w:line="276" w:lineRule="auto"/>
      </w:pPr>
      <w:r>
        <w:t>**MACD** : La valeur du MACD (-332,34) est inférieure à son signal (-172,94), avec un histogramme négatif, ce qui traduit un momentum baissier persistant. La décision "Vente" est cohérente avec cette configuration, le MACD n'ayant pas encore amorcé de croisement haussier qui validerait un retournement.</w:t>
      </w:r>
    </w:p>
    <w:p>
      <w:pPr>
        <w:spacing w:after="120" w:line="276" w:lineRule="auto"/>
      </w:pPr>
      <w:r>
        <w:t>**RSI** : À 23,67, le RSI se situe en zone de survente (&lt;30), ce qui indique que le titre a été massivement vendu et pourrait connaître un rebond technique à court terme. La décision "Achat" est justifiée par cette configuration de survente, mais elle doit être tempérée par la faiblesse des autres indicateurs.</w:t>
      </w:r>
    </w:p>
    <w:p>
      <w:pPr>
        <w:spacing w:after="120" w:line="276" w:lineRule="auto"/>
      </w:pPr>
      <w:r>
        <w:t>**Stochastique** : Le %K (19,81) est supérieur au %D (6,93), avec un croisement haussier en zone de survente, ce qui constitue un signal d'achat technique classique. La décision "Achat" est cohérente avec ce croisement, qui suggère une reprise imminente du cours.</w:t>
      </w:r>
    </w:p>
    <w:p>
      <w:pPr>
        <w:spacing w:after="120" w:line="276" w:lineRule="auto"/>
      </w:pPr>
      <w:r>
        <w:t>**Conclusion technique** : Les indicateurs sont divergents : le RSI et le stochastique plaident pour un rebond technique à court terme (survente + croisement haussier), tandis que le MACD et la position du cours sous les moyennes mobiles maintiennent une pression baissière. La configuration globale est celle d'un titre survendu en phase de consolidation, avec un potentiel de rebond mais sans confirmation de retournement durable. La prudence est de mise, et un signal haussier supplémentaire (cassure des MM20/MM50) serait nécessaire pour valider une tendance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transformation spectaculaire de SAFC : le Produit Net Bancaire (PNB), équivalent du chiffre d'affaires pour une banque, s'établit à 5 735 M FCFA en 2025, en hausse de 44,1% par rapport à 2024 (3 980 M FCFA), porté par la progression des intérêts et produits assimilés (8 236 M FCFA) et des commissions (686 M FCFA). Le résultat net devient bénéficiaire à 701 M FCFA, contre une perte de 165 M FCFA en 2024, marquant la fin de huit années consécutives de déficits. Le ROE s'élève à 11,85% (en dessous du seuil d'excellence de 15%) et le ROA à 0,88%, ce qui reste modeste mais en nette amélioration. Le coefficient d'exploitation de 77,63% est élevé (bien au-dessus du seuil de 60% pour une banque efficace), indiquant que les charges d'exploitation absorbent une part importante du PNB, bien que la tendance soit à l'amélioration. Le coût du risque, à 6,57% des charges financières, demeure significatif et nécessite une surveillance accrue de la qualité du portefeuille de crédits (60 476 M FCFA, +14,2%). La structure financière reste fragile : l'autonomie financière n'est que de 7,44% (capitaux propres/total bilan), très en dessous du seuil de 30% considéré comme sain, et la dépendance aux dettes interbancaires (35 747 M FCFA, +45%) expose la société à un risque de liquidité. Les rapports trimestriels récents confirment la dynamique : au T1 2026 (rapport du 12 mai 2026), le PNB progresse de 29% à 1 395 M FCFA et le résultat net bondit de 1 062% à 151 M FCFA, avec une marge nette de 10,82% ; au S1 2026 (rapport du 4 septembre 2026), le PNB atteint 2 907 M FCFA (+37%) et le résultat net 731 M FCFA (+231%), avec une marge nette de 25,1% et une reprise nette sur coût du risque de 261 M FCFA. Sur la base de ces tendances, on estime que l'exercice 2026 devrait afficher un PNB annuel supérieur à 6 Mds FCFA et un résultat net en forte croissance, potentiellement au-delà de 1,2 Md FCFA, sous réserve du maintien de la qualité du portefeuille. La recommandation fondamentale est de **CONSERVER** le titre : la dynamique de redressement est impressionnante et les perspectives sont positives, mais la valorisation boursière (PER 49,8x, P/B 5,90x) intègre déjà une grande partie de cette amélioration, et les risques structurels (fonds propres faibles, dépendance interbancaire, coût du risque) persistent.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très exigeante : le PER de 49,8x, le P/B de 5,90x et l'EV/EBITDA de 74,1x indiquent que le marché a déjà intégré une anticipation de croissance forte, ce qui limite le potentiel de revalorisation à court terme et expose le titre à une correction en cas de déception. Le comportement du cours (Partie 1) est haussier sur 100 jours (+28,74%) mais avec une volatilité élevée (60,1%) et une distribution platykurtique (kurtosis -1,008) qui suggère des mouvements amples et imprévisibles ; le skewness quasi nul (0,302) indique une absence de biais directionnel marqué. Les signaux techniques (Partie 2) sont divergents : le RSI en survente (23,67) et le stochastique haussier plaident pour un rebond à court terme, mais le MACD baissier et la position du cours sous les moyennes mobiles maintiennent une pression vendeuse. Les fondamentaux (Partie 3) sont en nette amélioration, avec un retour à la rentabilité en 2025 (résultat net de 701 M FCFA) et une accélération au S1 2026 (résultat net de 731 M FCFA, +231%), mais la structure financière reste fragile (autonomie financière de 7,44%, dépendance interbancaire élevée). Les prédictions IA (J+1 à J+10) tablent sur une hausse progressive du cours, de 4 462 FCFA à 4 829 FCFA, ce qui confirme le scénario d'un rebond technique à court terme, en ligne avec le RSI et le stochastique. Sur la base de cette synthèse, la recommandation finale est **CONSERVER**, avec un niveau de confiance **Moyen** et un risque global **Élevé**. La convergence entre les signaux techniques de court terme (survente, prédictions haussières) et les fondamentaux en amélioration justifie de ne pas vendre, mais la valorisation tendue et les risques structurels incitent à la prudence. L'horizon d'investissement optimal est le **moyen terme (3-12 mois)**, en attendant la confirmation de la poursuite du redressement et un éventuel renforcement des fonds propres (augmentation de capital en cours, DPS de 1 615 FCFA). Les investisseurs à court terme pourraient profiter du rebond technique, mais avec des stops-loss serrés, tandis que les investisseurs long terme devront surveiller l'évolution des ratios prudentiels et la capacité de la société à maintenir sa trajectoire de croissance rentable.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11,055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+55.39%</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16.46% (Élevée) — μ=3,136 FCFA, σ=516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β=1.1605 (Neutre (suit le marché)) — Cov=0.000065, Var(idx)=0.000056, ρ=0.238, n=95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11,055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3,084</w:t>
            </w:r>
          </w:p>
        </w:tc>
        <w:tc>
          <w:tcPr>
            <w:tcW w:type="dxa" w:w="1440"/>
            <w:shd w:fill="C6EFCE" w:val="clear"/>
          </w:tcPr>
          <w:p>
            <w:r>
              <w:rPr>
                <w:b/>
                <w:sz w:val="17"/>
              </w:rPr>
              <w:t>3,267</w:t>
            </w:r>
          </w:p>
        </w:tc>
        <w:tc>
          <w:tcPr>
            <w:tcW w:type="dxa" w:w="1440"/>
            <w:shd w:fill="C6EFCE" w:val="clear"/>
          </w:tcPr>
          <w:p>
            <w:r>
              <w:rPr>
                <w:sz w:val="17"/>
              </w:rPr>
              <w:t>3,450</w:t>
            </w:r>
          </w:p>
        </w:tc>
        <w:tc>
          <w:tcPr>
            <w:tcW w:type="dxa" w:w="1440"/>
            <w:shd w:fill="C6EFCE" w:val="clear"/>
          </w:tcPr>
          <w:p>
            <w:r>
              <w:rPr>
                <w:b/>
                <w:color w:val="008000"/>
                <w:sz w:val="17"/>
              </w:rPr>
              <w:t>+5.4%</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3,088</w:t>
            </w:r>
          </w:p>
        </w:tc>
        <w:tc>
          <w:tcPr>
            <w:tcW w:type="dxa" w:w="1440"/>
            <w:shd w:fill="C6EFCE" w:val="clear"/>
          </w:tcPr>
          <w:p>
            <w:r>
              <w:rPr>
                <w:b/>
                <w:sz w:val="17"/>
              </w:rPr>
              <w:t>3,354</w:t>
            </w:r>
          </w:p>
        </w:tc>
        <w:tc>
          <w:tcPr>
            <w:tcW w:type="dxa" w:w="1440"/>
            <w:shd w:fill="C6EFCE" w:val="clear"/>
          </w:tcPr>
          <w:p>
            <w:r>
              <w:rPr>
                <w:sz w:val="17"/>
              </w:rPr>
              <w:t>3,619</w:t>
            </w:r>
          </w:p>
        </w:tc>
        <w:tc>
          <w:tcPr>
            <w:tcW w:type="dxa" w:w="1440"/>
            <w:shd w:fill="C6EFCE" w:val="clear"/>
          </w:tcPr>
          <w:p>
            <w:r>
              <w:rPr>
                <w:b/>
                <w:color w:val="008000"/>
                <w:sz w:val="17"/>
              </w:rPr>
              <w:t>+8.2%</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3,052</w:t>
            </w:r>
          </w:p>
        </w:tc>
        <w:tc>
          <w:tcPr>
            <w:tcW w:type="dxa" w:w="1440"/>
            <w:shd w:fill="C6EFCE" w:val="clear"/>
          </w:tcPr>
          <w:p>
            <w:r>
              <w:rPr>
                <w:b/>
                <w:sz w:val="17"/>
              </w:rPr>
              <w:t>3,379</w:t>
            </w:r>
          </w:p>
        </w:tc>
        <w:tc>
          <w:tcPr>
            <w:tcW w:type="dxa" w:w="1440"/>
            <w:shd w:fill="C6EFCE" w:val="clear"/>
          </w:tcPr>
          <w:p>
            <w:r>
              <w:rPr>
                <w:sz w:val="17"/>
              </w:rPr>
              <w:t>3,707</w:t>
            </w:r>
          </w:p>
        </w:tc>
        <w:tc>
          <w:tcPr>
            <w:tcW w:type="dxa" w:w="1440"/>
            <w:shd w:fill="C6EFCE" w:val="clear"/>
          </w:tcPr>
          <w:p>
            <w:r>
              <w:rPr>
                <w:b/>
                <w:color w:val="008000"/>
                <w:sz w:val="17"/>
              </w:rPr>
              <w:t>+9.0%</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3,007</w:t>
            </w:r>
          </w:p>
        </w:tc>
        <w:tc>
          <w:tcPr>
            <w:tcW w:type="dxa" w:w="1440"/>
            <w:shd w:fill="C6EFCE" w:val="clear"/>
          </w:tcPr>
          <w:p>
            <w:r>
              <w:rPr>
                <w:b/>
                <w:sz w:val="17"/>
              </w:rPr>
              <w:t>3,386</w:t>
            </w:r>
          </w:p>
        </w:tc>
        <w:tc>
          <w:tcPr>
            <w:tcW w:type="dxa" w:w="1440"/>
            <w:shd w:fill="C6EFCE" w:val="clear"/>
          </w:tcPr>
          <w:p>
            <w:r>
              <w:rPr>
                <w:sz w:val="17"/>
              </w:rPr>
              <w:t>3,766</w:t>
            </w:r>
          </w:p>
        </w:tc>
        <w:tc>
          <w:tcPr>
            <w:tcW w:type="dxa" w:w="1440"/>
            <w:shd w:fill="C6EFCE" w:val="clear"/>
          </w:tcPr>
          <w:p>
            <w:r>
              <w:rPr>
                <w:b/>
                <w:color w:val="008000"/>
                <w:sz w:val="17"/>
              </w:rPr>
              <w:t>+9.2%</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2,968</w:t>
            </w:r>
          </w:p>
        </w:tc>
        <w:tc>
          <w:tcPr>
            <w:tcW w:type="dxa" w:w="1440"/>
            <w:shd w:fill="C6EFCE" w:val="clear"/>
          </w:tcPr>
          <w:p>
            <w:r>
              <w:rPr>
                <w:b/>
                <w:sz w:val="17"/>
              </w:rPr>
              <w:t>3,392</w:t>
            </w:r>
          </w:p>
        </w:tc>
        <w:tc>
          <w:tcPr>
            <w:tcW w:type="dxa" w:w="1440"/>
            <w:shd w:fill="C6EFCE" w:val="clear"/>
          </w:tcPr>
          <w:p>
            <w:r>
              <w:rPr>
                <w:sz w:val="17"/>
              </w:rPr>
              <w:t>3,817</w:t>
            </w:r>
          </w:p>
        </w:tc>
        <w:tc>
          <w:tcPr>
            <w:tcW w:type="dxa" w:w="1440"/>
            <w:shd w:fill="C6EFCE" w:val="clear"/>
          </w:tcPr>
          <w:p>
            <w:r>
              <w:rPr>
                <w:b/>
                <w:color w:val="008000"/>
                <w:sz w:val="17"/>
              </w:rPr>
              <w:t>+9.4%</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2,934</w:t>
            </w:r>
          </w:p>
        </w:tc>
        <w:tc>
          <w:tcPr>
            <w:tcW w:type="dxa" w:w="1440"/>
            <w:shd w:fill="C6EFCE" w:val="clear"/>
          </w:tcPr>
          <w:p>
            <w:r>
              <w:rPr>
                <w:b/>
                <w:sz w:val="17"/>
              </w:rPr>
              <w:t>3,401</w:t>
            </w:r>
          </w:p>
        </w:tc>
        <w:tc>
          <w:tcPr>
            <w:tcW w:type="dxa" w:w="1440"/>
            <w:shd w:fill="C6EFCE" w:val="clear"/>
          </w:tcPr>
          <w:p>
            <w:r>
              <w:rPr>
                <w:sz w:val="17"/>
              </w:rPr>
              <w:t>3,867</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2,906</w:t>
            </w:r>
          </w:p>
        </w:tc>
        <w:tc>
          <w:tcPr>
            <w:tcW w:type="dxa" w:w="1440"/>
            <w:shd w:fill="C6EFCE" w:val="clear"/>
          </w:tcPr>
          <w:p>
            <w:r>
              <w:rPr>
                <w:b/>
                <w:sz w:val="17"/>
              </w:rPr>
              <w:t>3,412</w:t>
            </w:r>
          </w:p>
        </w:tc>
        <w:tc>
          <w:tcPr>
            <w:tcW w:type="dxa" w:w="1440"/>
            <w:shd w:fill="C6EFCE" w:val="clear"/>
          </w:tcPr>
          <w:p>
            <w:r>
              <w:rPr>
                <w:sz w:val="17"/>
              </w:rPr>
              <w:t>3,917</w:t>
            </w:r>
          </w:p>
        </w:tc>
        <w:tc>
          <w:tcPr>
            <w:tcW w:type="dxa" w:w="1440"/>
            <w:shd w:fill="C6EFCE" w:val="clear"/>
          </w:tcPr>
          <w:p>
            <w:r>
              <w:rPr>
                <w:b/>
                <w:color w:val="008000"/>
                <w:sz w:val="17"/>
              </w:rPr>
              <w:t>+10.1%</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2,881</w:t>
            </w:r>
          </w:p>
        </w:tc>
        <w:tc>
          <w:tcPr>
            <w:tcW w:type="dxa" w:w="1440"/>
            <w:shd w:fill="C6EFCE" w:val="clear"/>
          </w:tcPr>
          <w:p>
            <w:r>
              <w:rPr>
                <w:b/>
                <w:sz w:val="17"/>
              </w:rPr>
              <w:t>3,423</w:t>
            </w:r>
          </w:p>
        </w:tc>
        <w:tc>
          <w:tcPr>
            <w:tcW w:type="dxa" w:w="1440"/>
            <w:shd w:fill="C6EFCE" w:val="clear"/>
          </w:tcPr>
          <w:p>
            <w:r>
              <w:rPr>
                <w:sz w:val="17"/>
              </w:rPr>
              <w:t>3,965</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2,856</w:t>
            </w:r>
          </w:p>
        </w:tc>
        <w:tc>
          <w:tcPr>
            <w:tcW w:type="dxa" w:w="1440"/>
            <w:shd w:fill="C6EFCE" w:val="clear"/>
          </w:tcPr>
          <w:p>
            <w:r>
              <w:rPr>
                <w:b/>
                <w:sz w:val="17"/>
              </w:rPr>
              <w:t>3,433</w:t>
            </w:r>
          </w:p>
        </w:tc>
        <w:tc>
          <w:tcPr>
            <w:tcW w:type="dxa" w:w="1440"/>
            <w:shd w:fill="C6EFCE" w:val="clear"/>
          </w:tcPr>
          <w:p>
            <w:r>
              <w:rPr>
                <w:sz w:val="17"/>
              </w:rPr>
              <w:t>4,009</w:t>
            </w:r>
          </w:p>
        </w:tc>
        <w:tc>
          <w:tcPr>
            <w:tcW w:type="dxa" w:w="1440"/>
            <w:shd w:fill="C6EFCE" w:val="clear"/>
          </w:tcPr>
          <w:p>
            <w:r>
              <w:rPr>
                <w:b/>
                <w:color w:val="008000"/>
                <w:sz w:val="17"/>
              </w:rPr>
              <w:t>+10.7%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2,831</w:t>
            </w:r>
          </w:p>
        </w:tc>
        <w:tc>
          <w:tcPr>
            <w:tcW w:type="dxa" w:w="1440"/>
            <w:shd w:fill="C6EFCE" w:val="clear"/>
          </w:tcPr>
          <w:p>
            <w:r>
              <w:rPr>
                <w:b/>
                <w:sz w:val="17"/>
              </w:rPr>
              <w:t>3,441</w:t>
            </w:r>
          </w:p>
        </w:tc>
        <w:tc>
          <w:tcPr>
            <w:tcW w:type="dxa" w:w="1440"/>
            <w:shd w:fill="C6EFCE" w:val="clear"/>
          </w:tcPr>
          <w:p>
            <w:r>
              <w:rPr>
                <w:sz w:val="17"/>
              </w:rPr>
              <w:t>4,050</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60,76 milliards FCFA, un niveau intermédiaire à l'échelle de la BRVM qui traduit la taille industrielle réelle de ce producteur sucrier ivoirien. Le BPA ressort à -406 FCFA/action, conséquence directe de la perte nette de 7,95 milliards FCFA enregistrée en 2025, ce qui rend le PER inexploitable en l'état (-7,6x) puisque la société est déficitaire — un PER négatif n'a aucune signification économique et signale simplement l'absence de bénéfices. Le P/B de 3,52x indique que le marché valorise SCRC à plus de trois fois ses capitaux propres (17,24 milliards FCFA), soit une prime de croissance significative qui contraste fortement avec la fragilité actuelle du bilan. L'EV/EBITDA de 10,2x situe la valeur d'entreprise dans la fourchette haute (10-15x), suggérant que le marché intègre déjà une normalisation opérationnelle future malgré la contre-performance de 2025. Globalement, ces ratios révèlent une valorisation tendue qui n'est justifiée ni par les bénéfices (négatifs) ni par la valeur comptable, mais uniquement par les anticipations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progression spectaculaire de +55,39%, avec une dernière séance en hausse de +7,27%, portant le cours à 3 100 FCFA. Le range de trading est très large, oscillant entre un plus bas de 1 990 FCFA et un plus haut de 3 920 FCFA, soit une amplitude de près de 97% qui témoigne d'une forte nervosité du titre. La tendance générale est donc nettement haussière sur la période, mais le cours actuel (3 100 FCFA) se situe en retrait de 21% par rapport au sommet, signalant une phase de correction après le pic. Les statistiques descriptives révèlent une moyenne de 3 136 FCFA légèrement supérieure à la médiane de 3 298 FCFA — écart qui, combiné à un skewness de -0,767 (asymétrie négative), indique que le cours a passé davantage de journées au-dessus de la moyenne mais avec des épisodes baissiers marqués. L'écart-type de 519 FCFA (CV=16,5%) traduit une dispersion modérée autour de la moyenne, tandis que le kurtosis de -0,549 (mésokurtique) suggère une distribution proche de la normale, sans risque excessif de pics extrêmes. La volatilité annualisée de 59,0% classe ce titre dans la catégorie des valeurs à volatilité élevée (&gt;30%), ce qui implique un risque de perte en capital important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(3 321,25 FCFA) et la MM50 (3 487,20 FCFA) se situent toutes deux au-dessus du cours actuel (3 100 FCFA), ce qui place le titre en position baissière sous ses moyennes. La MM20 étant inférieure à la MM50, on observe un croisement baissier (death cross) confirmant la pression vendeuse. La décision technique est donc **Vente**, le cours évoluant sous ses deux références mobiles.</w:t>
      </w:r>
    </w:p>
    <w:p>
      <w:pPr>
        <w:spacing w:after="120" w:line="276" w:lineRule="auto"/>
      </w:pPr>
      <w:r>
        <w:t>**Bandes de Bollinger** : Le cours (3 100 FCFA) se situe dans la partie basse de la bande, entre la borne inférieure (2 795,73 FCFA) et la borne supérieure (3 846,77 FCFA), mais plus proche du bas que du haut. Cette position suggère une pression baissière sans être encore en zone de survente extrême. La décision est **Neutre**, le cours n'ayant pas atteint la borne inférieure qui déclencherait un signal d'achat contrarien.</w:t>
      </w:r>
    </w:p>
    <w:p>
      <w:pPr>
        <w:spacing w:after="120" w:line="276" w:lineRule="auto"/>
      </w:pPr>
      <w:r>
        <w:t>**MACD** : La valeur du MACD (-150,95) est inférieure à son signal (-97,04), confirmant une divergence baissière et un momentum négatif. L'histogramme négatif indique que la pression vendeuse persiste et que la tendance baissière n'est pas encore inversée. La décision est **Vente**, le MACD évoluant en territoire négatif sous sa ligne de signal.</w:t>
      </w:r>
    </w:p>
    <w:p>
      <w:pPr>
        <w:spacing w:after="120" w:line="276" w:lineRule="auto"/>
      </w:pPr>
      <w:r>
        <w:t>**RSI** : À 31,72, le RSI se situe juste au-dessus du seuil de survente (30), ce qui indique une faiblesse relative mais pas encore de signal d'achat contrarien fort. La décision est **Neutre**, le titre n'étant ni suracheté ni techniquement en survente extrême.</w:t>
      </w:r>
    </w:p>
    <w:p>
      <w:pPr>
        <w:spacing w:after="120" w:line="276" w:lineRule="auto"/>
      </w:pPr>
      <w:r>
        <w:t>**Stochastique** : Le %K (44,81) est supérieur au %D (22,22), ce qui pourrait suggérer un début de croisement haussier, mais les deux lignes restent en zone basse. La décision est **Neutre**, le signal n'étant pas encore confirmé par une remontée franche au-dessus de 20.</w:t>
      </w:r>
    </w:p>
    <w:p>
      <w:pPr>
        <w:spacing w:after="120" w:line="276" w:lineRule="auto"/>
      </w:pPr>
      <w:r>
        <w:t>**Conclusion technique** : Les indicateurs sont majoritairement baissiers (MM et MACD en décision de vente), avec un RSI proche de la survente et un stochastique en zone basse qui pourraient annoncer un rebond technique à court terme. Le titre évolue sous ses moyennes mobiles et son momentum reste négatif, mais la proximité de la borne inférieure de Bollinger et du seuil de survente du RSI suggère que la pression vendeuse pourrait s'atténuer. La configuration globale reste fragile et nécessite une confirmation de retournement avant tout engagement.</w:t>
      </w:r>
    </w:p>
    <w:p>
      <w:pPr>
        <w:spacing w:after="120" w:line="276" w:lineRule="auto"/>
      </w:pPr>
      <w:r>
        <w:t>---</w:t>
      </w:r>
    </w:p>
    <w:p>
      <w:pPr>
        <w:spacing w:after="120" w:line="276" w:lineRule="auto"/>
      </w:pPr>
      <w:r>
        <w:t>## PARTIE 3 : ANALYSE FONDAMENTALE</w:t>
      </w:r>
    </w:p>
    <w:p>
      <w:pPr>
        <w:spacing w:after="120" w:line="276" w:lineRule="auto"/>
      </w:pPr>
      <w:r>
        <w:t>En 2025, SCRC a enregistré un chiffre d'affaires de 80,57 milliards FCFA, en recul de 7,6% par rapport aux 87,22 milliards de 2024, tandis que le résultat net bascule dans le rouge à -7,95 milliards FCFA (contre un bénéfice de 2,47 milliards en 2024), soit une dégradation de 421%. Les ratios de rentabilité sont profondément négatifs : ROE de -46,13% et ROA de -5,08%, traduisant une destruction de valeur significative pour les actionnaires. La marge brute reste toutefois solide à 45,82%, ce qui indique que la pression ne vient pas des coûts de production mais des charges financières (6,79 milliards FCFA, en explosion de +262%) et de la baisse des volumes. La structure financière est préoccupante : l'autonomie financière n'est que de 11,02% (très en dessous du seuil sain de 30%), le ratio d'endettement atteint 88,98% et la capacité de remboursement s'élève à 11,21 années de CAF, ce qui est insoutenable. Le BFR de 6,53 milliards FCFA et le fonds de roulement négatif (-10,67 milliards) révèlent des tensions de trésorerie, bien que le délai fournisseurs élevé (366 jours) offre un coussin de financement. Les rapports trimestriels de 2025 (T1 publié le 31/03/2025 et S1 publié le 30/06/2025) confirment la dégradation : le T1 affichait un résultat net de 3,21 milliards FCFA (en repli de 32%), tandis que le S1 plongeait à -6,71 milliards FCFA, grevé par des coûts exceptionnels et un résultat d'exploitation négatif (-3,18 milliards). Sur la base de ces tendances, on estime que l'exercice 2026 reste très incertain : la campagne 2025/26 démarrée fin octobre 2025 laisse espérer une production de 90 000 à 95 000 tonnes (+14% à +20%), mais la réussite du plan de redressement et la capacité à refinancer la dette seront déterminantes. La recommandation fondamentale est de **CONSERVER avec vigilance** : le potentiel de rebond existe (investissements massifs, marge brute solide), mais les risques financiers (endettement critique, trésorerie négative) sont majeurs et nécessitent une confirmation des résultats du S1 2026 avant tout renforcement.</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le PER négatif (-7,6x) et le P/B élevé (3,52x) ne sont justifiés ni par les bénéfices ni par la valeur comptable, tandis que l'EV/EBITDA de 10,2x intègre déjà une normalisation hypothétique. Le comportement du cours (Partie 1) est paradoxal : malgré une hausse de +55,39% sur 100 jours, le titre reste sous ses sommets (-21%) avec une volatilité élevée (59%) et une asymétrie négative (skewness -0,767) qui traduit une fragilité sous-jacente. Les signaux techniques (Partie 2) sont majoritairement baissiers (MM et MACD en vente), mais le RSI proche de la survente (31,72) et le stochastique en zone basse suggèrent qu'un rebond technique est possible à court terme. Les fondamentaux (Partie 3) sont préoccupants : perte nette de 7,95 milliards FCFA en 2025, ROE de -46,13%, endettement critique (88,98%) et trésorerie négative (-6,51 milliards), même si la marge brute (45,82%) et les investissements massifs laissent entrevoir un potentiel de redressement. Les prédictions IA (J+1 à J+10) tablent sur une hausse progressive vers 3 392 FCFA d'ici le 2 octobre 2026, ce qui contredit les signaux techniques baissiers mais s'aligne sur l'hypothèse d'un rebond après la correction. **Recommandation finale : CONSERVER** — la convergence entre la possibilité d'un rebond technique (RSI, stochastique) et les perspectives de redressement opérationnel (campagne 2025/26) justifie de ne pas vendre, mais les risques financiers élevés (endettement, trésorerie) et la valorisation tendue interdisent tout achat supplémentaire. Le niveau de confiance est **Moyen** (les signaux sont contradictoires) et le risque global est **Élevé** (volatilité 59%, endettement critique). L'horizon d'investissement optimal est le **moyen terme (3-12 mois)**, en attendant les résultats du S1 2026 qui confirmeront ou infirmeront la trajectoire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1,427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+26.60%</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8.89% (Moyenne) — μ=11,772 FCFA, σ=1,046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β=0.6099 (Défensif) — Cov=0.000037, Var(idx)=0.000061, ρ=0.200,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11,667</w:t>
            </w:r>
          </w:p>
        </w:tc>
        <w:tc>
          <w:tcPr>
            <w:tcW w:type="dxa" w:w="1440"/>
            <w:shd w:fill="C6EFCE" w:val="clear"/>
          </w:tcPr>
          <w:p>
            <w:r>
              <w:rPr>
                <w:b/>
                <w:sz w:val="17"/>
              </w:rPr>
              <w:t>12,313</w:t>
            </w:r>
          </w:p>
        </w:tc>
        <w:tc>
          <w:tcPr>
            <w:tcW w:type="dxa" w:w="1440"/>
            <w:shd w:fill="C6EFCE" w:val="clear"/>
          </w:tcPr>
          <w:p>
            <w:r>
              <w:rPr>
                <w:sz w:val="17"/>
              </w:rPr>
              <w:t>12,959</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11,572</w:t>
            </w:r>
          </w:p>
        </w:tc>
        <w:tc>
          <w:tcPr>
            <w:tcW w:type="dxa" w:w="1440"/>
            <w:shd w:fill="C6EFCE" w:val="clear"/>
          </w:tcPr>
          <w:p>
            <w:r>
              <w:rPr>
                <w:b/>
                <w:sz w:val="17"/>
              </w:rPr>
              <w:t>12,499</w:t>
            </w:r>
          </w:p>
        </w:tc>
        <w:tc>
          <w:tcPr>
            <w:tcW w:type="dxa" w:w="1440"/>
            <w:shd w:fill="C6EFCE" w:val="clear"/>
          </w:tcPr>
          <w:p>
            <w:r>
              <w:rPr>
                <w:sz w:val="17"/>
              </w:rPr>
              <w:t>13,427</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11,519</w:t>
            </w:r>
          </w:p>
        </w:tc>
        <w:tc>
          <w:tcPr>
            <w:tcW w:type="dxa" w:w="1440"/>
            <w:shd w:fill="C6EFCE" w:val="clear"/>
          </w:tcPr>
          <w:p>
            <w:r>
              <w:rPr>
                <w:b/>
                <w:sz w:val="17"/>
              </w:rPr>
              <w:t>12,670</w:t>
            </w:r>
          </w:p>
        </w:tc>
        <w:tc>
          <w:tcPr>
            <w:tcW w:type="dxa" w:w="1440"/>
            <w:shd w:fill="C6EFCE" w:val="clear"/>
          </w:tcPr>
          <w:p>
            <w:r>
              <w:rPr>
                <w:sz w:val="17"/>
              </w:rPr>
              <w:t>13,821</w:t>
            </w:r>
          </w:p>
        </w:tc>
        <w:tc>
          <w:tcPr>
            <w:tcW w:type="dxa" w:w="1440"/>
            <w:shd w:fill="C6EFCE" w:val="clear"/>
          </w:tcPr>
          <w:p>
            <w:r>
              <w:rPr>
                <w:b/>
                <w:color w:val="008000"/>
                <w:sz w:val="17"/>
              </w:rPr>
              <w:t>+6.5%</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11,474</w:t>
            </w:r>
          </w:p>
        </w:tc>
        <w:tc>
          <w:tcPr>
            <w:tcW w:type="dxa" w:w="1440"/>
            <w:shd w:fill="C6EFCE" w:val="clear"/>
          </w:tcPr>
          <w:p>
            <w:r>
              <w:rPr>
                <w:b/>
                <w:sz w:val="17"/>
              </w:rPr>
              <w:t>12,820</w:t>
            </w:r>
          </w:p>
        </w:tc>
        <w:tc>
          <w:tcPr>
            <w:tcW w:type="dxa" w:w="1440"/>
            <w:shd w:fill="C6EFCE" w:val="clear"/>
          </w:tcPr>
          <w:p>
            <w:r>
              <w:rPr>
                <w:sz w:val="17"/>
              </w:rPr>
              <w:t>14,165</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11,429</w:t>
            </w:r>
          </w:p>
        </w:tc>
        <w:tc>
          <w:tcPr>
            <w:tcW w:type="dxa" w:w="1440"/>
            <w:shd w:fill="C6EFCE" w:val="clear"/>
          </w:tcPr>
          <w:p>
            <w:r>
              <w:rPr>
                <w:b/>
                <w:sz w:val="17"/>
              </w:rPr>
              <w:t>12,948</w:t>
            </w:r>
          </w:p>
        </w:tc>
        <w:tc>
          <w:tcPr>
            <w:tcW w:type="dxa" w:w="1440"/>
            <w:shd w:fill="C6EFCE" w:val="clear"/>
          </w:tcPr>
          <w:p>
            <w:r>
              <w:rPr>
                <w:sz w:val="17"/>
              </w:rPr>
              <w:t>14,467</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11,378</w:t>
            </w:r>
          </w:p>
        </w:tc>
        <w:tc>
          <w:tcPr>
            <w:tcW w:type="dxa" w:w="1440"/>
            <w:shd w:fill="C6EFCE" w:val="clear"/>
          </w:tcPr>
          <w:p>
            <w:r>
              <w:rPr>
                <w:b/>
                <w:sz w:val="17"/>
              </w:rPr>
              <w:t>13,056</w:t>
            </w:r>
          </w:p>
        </w:tc>
        <w:tc>
          <w:tcPr>
            <w:tcW w:type="dxa" w:w="1440"/>
            <w:shd w:fill="C6EFCE" w:val="clear"/>
          </w:tcPr>
          <w:p>
            <w:r>
              <w:rPr>
                <w:sz w:val="17"/>
              </w:rPr>
              <w:t>14,734</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11,321</w:t>
            </w:r>
          </w:p>
        </w:tc>
        <w:tc>
          <w:tcPr>
            <w:tcW w:type="dxa" w:w="1440"/>
            <w:shd w:fill="C6EFCE" w:val="clear"/>
          </w:tcPr>
          <w:p>
            <w:r>
              <w:rPr>
                <w:b/>
                <w:sz w:val="17"/>
              </w:rPr>
              <w:t>13,146</w:t>
            </w:r>
          </w:p>
        </w:tc>
        <w:tc>
          <w:tcPr>
            <w:tcW w:type="dxa" w:w="1440"/>
            <w:shd w:fill="C6EFCE" w:val="clear"/>
          </w:tcPr>
          <w:p>
            <w:r>
              <w:rPr>
                <w:sz w:val="17"/>
              </w:rPr>
              <w:t>14,971</w:t>
            </w:r>
          </w:p>
        </w:tc>
        <w:tc>
          <w:tcPr>
            <w:tcW w:type="dxa" w:w="1440"/>
            <w:shd w:fill="C6EFCE" w:val="clear"/>
          </w:tcPr>
          <w:p>
            <w:r>
              <w:rPr>
                <w:b/>
                <w:color w:val="008000"/>
                <w:sz w:val="17"/>
              </w:rPr>
              <w:t>+10.5%</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11,252</w:t>
            </w:r>
          </w:p>
        </w:tc>
        <w:tc>
          <w:tcPr>
            <w:tcW w:type="dxa" w:w="1440"/>
            <w:shd w:fill="C6EFCE" w:val="clear"/>
          </w:tcPr>
          <w:p>
            <w:r>
              <w:rPr>
                <w:b/>
                <w:sz w:val="17"/>
              </w:rPr>
              <w:t>13,213</w:t>
            </w:r>
          </w:p>
        </w:tc>
        <w:tc>
          <w:tcPr>
            <w:tcW w:type="dxa" w:w="1440"/>
            <w:shd w:fill="C6EFCE" w:val="clear"/>
          </w:tcPr>
          <w:p>
            <w:r>
              <w:rPr>
                <w:sz w:val="17"/>
              </w:rPr>
              <w:t>15,173</w:t>
            </w:r>
          </w:p>
        </w:tc>
        <w:tc>
          <w:tcPr>
            <w:tcW w:type="dxa" w:w="1440"/>
            <w:shd w:fill="C6EFCE" w:val="clear"/>
          </w:tcPr>
          <w:p>
            <w:r>
              <w:rPr>
                <w:b/>
                <w:color w:val="008000"/>
                <w:sz w:val="17"/>
              </w:rPr>
              <w:t>+11.0%</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11,195</w:t>
            </w:r>
          </w:p>
        </w:tc>
        <w:tc>
          <w:tcPr>
            <w:tcW w:type="dxa" w:w="1440"/>
            <w:shd w:fill="C6EFCE" w:val="clear"/>
          </w:tcPr>
          <w:p>
            <w:r>
              <w:rPr>
                <w:b/>
                <w:sz w:val="17"/>
              </w:rPr>
              <w:t>13,286</w:t>
            </w:r>
          </w:p>
        </w:tc>
        <w:tc>
          <w:tcPr>
            <w:tcW w:type="dxa" w:w="1440"/>
            <w:shd w:fill="C6EFCE" w:val="clear"/>
          </w:tcPr>
          <w:p>
            <w:r>
              <w:rPr>
                <w:sz w:val="17"/>
              </w:rPr>
              <w:t>15,378</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11,142</w:t>
            </w:r>
          </w:p>
        </w:tc>
        <w:tc>
          <w:tcPr>
            <w:tcW w:type="dxa" w:w="1440"/>
            <w:shd w:fill="C6EFCE" w:val="clear"/>
          </w:tcPr>
          <w:p>
            <w:r>
              <w:rPr>
                <w:b/>
                <w:sz w:val="17"/>
              </w:rPr>
              <w:t>13,358</w:t>
            </w:r>
          </w:p>
        </w:tc>
        <w:tc>
          <w:tcPr>
            <w:tcW w:type="dxa" w:w="1440"/>
            <w:shd w:fill="C6EFCE" w:val="clear"/>
          </w:tcPr>
          <w:p>
            <w:r>
              <w:rPr>
                <w:sz w:val="17"/>
              </w:rPr>
              <w:t>15,574</w:t>
            </w:r>
          </w:p>
        </w:tc>
        <w:tc>
          <w:tcPr>
            <w:tcW w:type="dxa" w:w="1440"/>
            <w:shd w:fill="C6EFCE" w:val="clear"/>
          </w:tcPr>
          <w:p>
            <w:r>
              <w:rPr>
                <w:b/>
                <w:color w:val="008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107,10 milliards FCFA, SDCC s'impose comme une valeur de taille moyenne à grande sur le compartiment BRVM, représentative d'un acteur stratégique du secteur de l'eau en Côte d'Ivoire. Le BPA de 518 FCFA/action signifie que chaque titre génère environ 518 FCFA de bénéfice net, ce qui, rapporté au cours actuel de 11 900 FCFA, aboutit à un PER de 23,0x — nettement supérieur à la moyenne du marché BRVM (généralement comprise entre 8x et 12x), traduisant soit une anticipation de croissance soutenue par le marché, soit une prime de rareté liée au statut de quasi-monopole de la société. Le ratio P/B de 5,43x, très au-dessus du seuil de 4x, confirme que le marché valorise l'entreprise à plus de cinq fois sa valeur comptable, une prime exigeante qui n'est justifiable que par une rentabilité des fonds propres élevée et des perspectives de croissance durable. Enfin, l'EV/EBITDA de 14,4x, situé dans la fourchette haute (10-15x), indique que la valeur d'entreprise (incluant la dette) représente près de 14 fois la capacité opérationnelle de génération de cash, ce qui confirme une valorisation tendue nécessitant une confirmation des performances futures.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affiche une progression remarquable de +26,60%, avec un cours actuel de 11 900 FCFA, en léger repli de -0,08% sur la dernière séance (J-1), signalant une pause dans la dynamique haussière. Le range de trading est particulièrement large, avec un plus haut à 13 885 FCFA et un plus bas à 8 900 FCFA, soit une amplitude de près de 56%, ce qui témoigne d'une forte volatilité intra-période et d'un intérêt marqué des investisseurs. La tendance générale est donc clairement haussière, portée par un volume moyen quotidien de 1 427 titres, relativement modeste mais suffisant pour assurer une liquidité correcte. Les statistiques descriptives révèlent une moyenne de 11 772 FCFA légèrement inférieure à la médiane de 11 920 FCFA, avec un mode à 11 900 FCFA (cours actuel), suggérant une distribution légèrement asymétrique avec une concentration des échanges autour de 11 900 FCFA. L'écart-type de 1 051 FCFA (CV = 8,9%) indique une dispersion modérée du cours autour de sa moyenne, tandis que le kurtosis de 1,192 (leptokurtique) signale des queues épaisses, donc un risque de pics de volatilité brutaux. Le skewness de -0,764 (asymétrie négative) indique qu'il y a eu plus de journées de hausse au-dessus de la moyenne que de journées de baisse en dessous, ce qui est cohérent avec la tendance haussière observée. Enfin, la volatilité annualisée de 38,7% classe le titre dans la catégorie des valeurs à volatilité élevée (&gt;30%), ce qui implique un risque de marché significatif et justifie une approche prudente en termes de gestion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12 948,25 FCFA et la MM50 à 12 322,80 FCFA, toutes deux supérieures au cours actuel de 11 900 FCFA. Le cours évolue donc en dessous de ses moyennes mobiles, ce qui constitue un signal baissier à court terme. Cependant, la décision technique fournie est "Achat", probablement en anticipation d'un rebond technique vers ces niveaux de résistance dynamique, ou parce que la MM50 reste en tendance haussière de fond.</w:t>
      </w:r>
    </w:p>
    <w:p>
      <w:pPr>
        <w:spacing w:after="120" w:line="276" w:lineRule="auto"/>
      </w:pPr>
      <w:r>
        <w:t>**Bandes de Bollinger** : La borne supérieure est à 14 424,95 FCFA et la borne inférieure à 11 471,55 FCFA, avec un cours actuel de 11 900 FCFA qui se situe dans la partie basse de la bande, sans être en zone de survente extrême. La largeur des bandes (près de 3 000 FCFA d'écart) confirme une volatilité élevée. La décision "Neutre" reflète l'absence de signal directionnel fort, le cours évoluant dans la partie inférieure mais sans franchissement de la borne basse.</w:t>
      </w:r>
    </w:p>
    <w:p>
      <w:pPr>
        <w:spacing w:after="120" w:line="276" w:lineRule="auto"/>
      </w:pPr>
      <w:r>
        <w:t>**MACD** : La valeur du MACD est de -138,107, inférieure à son signal à 100,05, ce qui génère une divergence baissière et un momentum négatif. La décision "Vente" est cohérente avec cette configuration, le MACD étant en territoire négatif et sous son signal, ce qui suggère que la pression baissière pourrait persister à court terme.</w:t>
      </w:r>
    </w:p>
    <w:p>
      <w:pPr>
        <w:spacing w:after="120" w:line="276" w:lineRule="auto"/>
      </w:pPr>
      <w:r>
        <w:t>**RSI** : À 33,575, le RSI se situe dans la zone neutre basse (30-70), proche du seuil de survente (30), sans l'atteindre. La décision "Neutre" est appropriée, car le titre n'est ni suracheté ni survendu, mais la proximité de la zone de survente pourrait attirer des acheteurs à la recherche de points d'entrée.</w:t>
      </w:r>
    </w:p>
    <w:p>
      <w:pPr>
        <w:spacing w:after="120" w:line="276" w:lineRule="auto"/>
      </w:pPr>
      <w:r>
        <w:t>**Stochastique** : Le %K est à 27,022 et le %D à 18,137, tous deux en zone basse, avec un %K supérieur au %D, ce qui pourrait indiquer un début de croisement haussier (signal d'achat potentiel). La décision "Neutre" reflète l'absence de confirmation franche, mais la configuration est proche d'un signal d'achat si le %K continue de croiser le %D à la hausse.</w:t>
      </w:r>
    </w:p>
    <w:p>
      <w:pPr>
        <w:spacing w:after="120" w:line="276" w:lineRule="auto"/>
      </w:pPr>
      <w:r>
        <w:t>**Conclusion technique** : Les indicateurs techniques présentent une configuration mitigée, avec des signaux baissiers à court terme (MACD, position sous les MM) mais des signaux potentiellement haussiers (RSI proche de la survente, Stochastique en zone basse avec croisement possible). La divergence entre la décision "Achat" des MM et "Vente" du MACD suggère une phase de consolidation ou de correction au sein d'une tendance haussière de fond, nécessitant une confirmation par les volumes et le comportement du cours dans les prochaines séances.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SDCC (exercice clos au 31 décembre 2025) affichent un chiffre d'affaires de 189,430 milliards FCFA, en croissance de 9,98% par rapport à 2024, porté par la dynamique des ventes d'eau et l'augmentation du nombre de clients (+6,14% à 2 272 032 clients). Le résultat net s'établit à 4,663 milliards FCFA, en hausse de 31% (contre 3,56 milliards en 2024), avec une marge nette de 2,46% (en amélioration par rapport aux 2,1% de 2024). Le ROE (Return on Equity) ressort à 23,65%, un niveau excellent (&gt;15%) qui témoigne d'une forte rentabilité des fonds propres, tandis que le ROA (Return on Assets) est plus modeste à 0,99%, reflétant l'intensité capitalistique du secteur. La structure financière présente des signaux contrastés : l'autonomie financière est très faible à 4,17% (capitaux propres/total bilan), et le ratio d'endettement atteint 95,83% (dettes totales/capitaux propres), ce qui traduit une forte dépendance aux financements externes. Le BFR (Besoin en Fonds de Roulement) est de 104,748 milliards FCFA, avec un délai client très élevé de 749,25 jours, ce qui constitue un risque majeur de trésorerie, bien que le taux de recouvrement annoncé soit de 95,85%. La trésorerie nette est négative à -61,710 milliards FCFA, et le flux opérationnel est négatif à -36,655 milliards FCFA, confirmant les tensions de trésorerie malgré la rentabilité. Les rapports trimestriels récents (T1 2026, publié en 2026) montrent une amélioration spectaculaire : le résultat net bondit de 118% à 1 318 millions FCFA, avec un résultat d'exploitation multiplié par 2,5 à 2 730 millions FCFA, malgré un chiffre d'affaires en léger repli de 2% à 40 916 millions FCFA. Cette performance est attribuée à une meilleure maîtrise des charges opérationnelles. Le rapport S1 2025 (daté du 30 juin 2025) indiquait déjà une quasi-stabilité du CA (-0,4%) et une baisse du résultat net de 24%, mais le T1 2026 marque un net redressement. La recommandation fondamentale est de **CONSERVER** avec prudence : la solidité du modèle (quasi-monopole, croissance du CA, ROE élevé) est contrebalancée par des risques de trésorerie persistants, un endettement élevé et une valorisation exigeante. Les perspectives 2026 sont positives avec le déploiement d'un nouveau contrat de délégation et l'accélération de la transformation digitale, mais la confirmation de la tendance bénéficiaire sur l'ensemble de l'exercice reste nécessaire.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tendue, avec un PER de 23,0x (bien supérieur à la moyenne BRVM de 8-12x), un P/B de 5,43x et un EV/EBITDA de 14,4x, ce qui suggère que le marché intègre déjà une forte croissance future et une prime de qualité, limitant le potentiel de revalorisation à court terme. Le comportement du cours sur 100 jours est haussier (+26,60%) mais présente une volatilité élevée (38,7%) et une asymétrie négative (skewness -0,764) avec des queues épaisses (kurtosis 1,192), indiquant un risque de corrections brutales. Les signaux techniques sont divergents : les MM sont baissières (cours sous MM20 et MM50), le MACD est en zone de vente, mais le RSI (33,6) et le Stochastique (27,0/18,1) approchent de zones de survente, suggérant un potentiel rebond technique. Les fondamentaux sont solides (CA +10%, RN +31%, ROE 23,65%) mais entachés par des tensions de trésorerie (trésorerie nette -61,7 Mds FCFA, flux opérationnel -36,7 Mds FCFA) et un endettement élevé (95,8%). Les prédictions IA pour les 10 prochains jours (12 313 à 12 948 FCFA) anticipent une hausse de +3,5% à +8,8%, ce qui contredit les signaux techniques baissiers à court terme mais s'aligne sur la tendance haussière de fond et les bonnes perspectives du T1 2026. Sur la base de cette synthèse, la recommandation finale est **CONSERVER**, avec un niveau de confiance **Moyen** et un risque global **Élevé**. La convergence entre la valorisation exigeante, les signaux techniques mitigés et les fondamentaux en amélioration mais fragiles justifie une position d'attente, en privilégiant un horizon d'investissement **moyen terme (3-12 mois)** pour laisser le temps aux effets du nouveau contrat de délégation et de la transformation digitale de se matérialiser dans les résultats, tout en surveillant de près l'évolution de la trésorerie et du BFR.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157.86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18,656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+72.62%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18.05% (Élevée) — μ=2,440 FCFA, σ=440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β=0.6053 (Défensif) — Cov=0.000037, Var(idx)=0.000061, ρ=0.145,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18,656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2,771</w:t>
            </w:r>
          </w:p>
        </w:tc>
        <w:tc>
          <w:tcPr>
            <w:tcW w:type="dxa" w:w="1440"/>
            <w:shd w:fill="FAFAFA" w:val="clear"/>
          </w:tcPr>
          <w:p>
            <w:r>
              <w:rPr>
                <w:b/>
                <w:sz w:val="17"/>
              </w:rPr>
              <w:t>2,910</w:t>
            </w:r>
          </w:p>
        </w:tc>
        <w:tc>
          <w:tcPr>
            <w:tcW w:type="dxa" w:w="1440"/>
            <w:shd w:fill="FAFAFA" w:val="clear"/>
          </w:tcPr>
          <w:p>
            <w:r>
              <w:rPr>
                <w:sz w:val="17"/>
              </w:rPr>
              <w:t>3,049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2,713</w:t>
            </w:r>
          </w:p>
        </w:tc>
        <w:tc>
          <w:tcPr>
            <w:tcW w:type="dxa" w:w="1440"/>
            <w:shd w:fill="FAFAFA" w:val="clear"/>
          </w:tcPr>
          <w:p>
            <w:r>
              <w:rPr>
                <w:b/>
                <w:sz w:val="17"/>
              </w:rPr>
              <w:t>2,909</w:t>
            </w:r>
          </w:p>
        </w:tc>
        <w:tc>
          <w:tcPr>
            <w:tcW w:type="dxa" w:w="1440"/>
            <w:shd w:fill="FAFAFA" w:val="clear"/>
          </w:tcPr>
          <w:p>
            <w:r>
              <w:rPr>
                <w:sz w:val="17"/>
              </w:rPr>
              <w:t>3,106</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2,668</w:t>
            </w:r>
          </w:p>
        </w:tc>
        <w:tc>
          <w:tcPr>
            <w:tcW w:type="dxa" w:w="1440"/>
            <w:shd w:fill="FAFAFA" w:val="clear"/>
          </w:tcPr>
          <w:p>
            <w:r>
              <w:rPr>
                <w:b/>
                <w:sz w:val="17"/>
              </w:rPr>
              <w:t>2,908</w:t>
            </w:r>
          </w:p>
        </w:tc>
        <w:tc>
          <w:tcPr>
            <w:tcW w:type="dxa" w:w="1440"/>
            <w:shd w:fill="FAFAFA" w:val="clear"/>
          </w:tcPr>
          <w:p>
            <w:r>
              <w:rPr>
                <w:sz w:val="17"/>
              </w:rPr>
              <w:t>3,149</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2,631</w:t>
            </w:r>
          </w:p>
        </w:tc>
        <w:tc>
          <w:tcPr>
            <w:tcW w:type="dxa" w:w="1440"/>
            <w:shd w:fill="FAFAFA" w:val="clear"/>
          </w:tcPr>
          <w:p>
            <w:r>
              <w:rPr>
                <w:b/>
                <w:sz w:val="17"/>
              </w:rPr>
              <w:t>2,909</w:t>
            </w:r>
          </w:p>
        </w:tc>
        <w:tc>
          <w:tcPr>
            <w:tcW w:type="dxa" w:w="1440"/>
            <w:shd w:fill="FAFAFA" w:val="clear"/>
          </w:tcPr>
          <w:p>
            <w:r>
              <w:rPr>
                <w:sz w:val="17"/>
              </w:rPr>
              <w:t>3,187</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2,600</w:t>
            </w:r>
          </w:p>
        </w:tc>
        <w:tc>
          <w:tcPr>
            <w:tcW w:type="dxa" w:w="1440"/>
            <w:shd w:fill="FAFAFA" w:val="clear"/>
          </w:tcPr>
          <w:p>
            <w:r>
              <w:rPr>
                <w:b/>
                <w:sz w:val="17"/>
              </w:rPr>
              <w:t>2,911</w:t>
            </w:r>
          </w:p>
        </w:tc>
        <w:tc>
          <w:tcPr>
            <w:tcW w:type="dxa" w:w="1440"/>
            <w:shd w:fill="FAFAFA" w:val="clear"/>
          </w:tcPr>
          <w:p>
            <w:r>
              <w:rPr>
                <w:sz w:val="17"/>
              </w:rPr>
              <w:t>3,222</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2,572</w:t>
            </w:r>
          </w:p>
        </w:tc>
        <w:tc>
          <w:tcPr>
            <w:tcW w:type="dxa" w:w="1440"/>
            <w:shd w:fill="FAFAFA" w:val="clear"/>
          </w:tcPr>
          <w:p>
            <w:r>
              <w:rPr>
                <w:b/>
                <w:sz w:val="17"/>
              </w:rPr>
              <w:t>2,913</w:t>
            </w:r>
          </w:p>
        </w:tc>
        <w:tc>
          <w:tcPr>
            <w:tcW w:type="dxa" w:w="1440"/>
            <w:shd w:fill="FAFAFA" w:val="clear"/>
          </w:tcPr>
          <w:p>
            <w:r>
              <w:rPr>
                <w:sz w:val="17"/>
              </w:rPr>
              <w:t>3,254</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2,547</w:t>
            </w:r>
          </w:p>
        </w:tc>
        <w:tc>
          <w:tcPr>
            <w:tcW w:type="dxa" w:w="1440"/>
            <w:shd w:fill="FAFAFA" w:val="clear"/>
          </w:tcPr>
          <w:p>
            <w:r>
              <w:rPr>
                <w:b/>
                <w:sz w:val="17"/>
              </w:rPr>
              <w:t>2,915</w:t>
            </w:r>
          </w:p>
        </w:tc>
        <w:tc>
          <w:tcPr>
            <w:tcW w:type="dxa" w:w="1440"/>
            <w:shd w:fill="FAFAFA" w:val="clear"/>
          </w:tcPr>
          <w:p>
            <w:r>
              <w:rPr>
                <w:sz w:val="17"/>
              </w:rPr>
              <w:t>3,284</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2,524</w:t>
            </w:r>
          </w:p>
        </w:tc>
        <w:tc>
          <w:tcPr>
            <w:tcW w:type="dxa" w:w="1440"/>
            <w:shd w:fill="FAFAFA" w:val="clear"/>
          </w:tcPr>
          <w:p>
            <w:r>
              <w:rPr>
                <w:b/>
                <w:sz w:val="17"/>
              </w:rPr>
              <w:t>2,918</w:t>
            </w:r>
          </w:p>
        </w:tc>
        <w:tc>
          <w:tcPr>
            <w:tcW w:type="dxa" w:w="1440"/>
            <w:shd w:fill="FAFAFA" w:val="clear"/>
          </w:tcPr>
          <w:p>
            <w:r>
              <w:rPr>
                <w:sz w:val="17"/>
              </w:rPr>
              <w:t>3,312</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2,502</w:t>
            </w:r>
          </w:p>
        </w:tc>
        <w:tc>
          <w:tcPr>
            <w:tcW w:type="dxa" w:w="1440"/>
            <w:shd w:fill="FAFAFA" w:val="clear"/>
          </w:tcPr>
          <w:p>
            <w:r>
              <w:rPr>
                <w:b/>
                <w:sz w:val="17"/>
              </w:rPr>
              <w:t>2,920</w:t>
            </w:r>
          </w:p>
        </w:tc>
        <w:tc>
          <w:tcPr>
            <w:tcW w:type="dxa" w:w="1440"/>
            <w:shd w:fill="FAFAFA" w:val="clear"/>
          </w:tcPr>
          <w:p>
            <w:r>
              <w:rPr>
                <w:sz w:val="17"/>
              </w:rPr>
              <w:t>3,338</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2,481</w:t>
            </w:r>
          </w:p>
        </w:tc>
        <w:tc>
          <w:tcPr>
            <w:tcW w:type="dxa" w:w="1440"/>
            <w:shd w:fill="FAFAFA" w:val="clear"/>
          </w:tcPr>
          <w:p>
            <w:r>
              <w:rPr>
                <w:b/>
                <w:sz w:val="17"/>
              </w:rPr>
              <w:t>2,922</w:t>
            </w:r>
          </w:p>
        </w:tc>
        <w:tc>
          <w:tcPr>
            <w:tcW w:type="dxa" w:w="1440"/>
            <w:shd w:fill="FAFAFA" w:val="clear"/>
          </w:tcPr>
          <w:p>
            <w:r>
              <w:rPr>
                <w:sz w:val="17"/>
              </w:rPr>
              <w:t>3,363</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*Bourse Régionale des Valeurs Mobilières (BRVM) — Secteur : Transport &amp; Logistique*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157,86 milliards FCFA, SDSC figure parmi les valeurs moyennes-capitalisations de la cote BRVM, ce qui lui confère une liquidité correcte mais inférieure aux blue chips bancaires ou télécoms. Le BPA de 387 FCFA/action signifie que chaque titre génère près de 387 FCFA de bénéfice net, un niveau appréciable au regard du cours actuel de 2 900 FCFA. Le PER de 7,5x se situe en dessous de la moyenne BRVM (8-12x), suggérant une valorisation modérée, voire une légère sous-évaluation apparente — mais ce ratio est calculé sur le bénéfice 2024, avant l'effondrement du résultat net 2025. Le P/B de 2,03x indique que le marché valorise la société à environ deux fois ses fonds propres comptables, soit une prime de croissance modérée mais justifiée par la solidité du bilan. En revanche, l'EV/EBITDA de 34,1x est très exigeant (&gt;15x), signalant que la valeur d'entreprise intègre une capacité opérationnelle dont la rentabilité s'est fortement dégradée en 2025 — un point de vigilance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SDSC affiche une performance exceptionnelle de +72,62%, avec une dernière séance en hausse de +3,57%, portant le cours à 2 900 FCFA. Le titre a évolué dans un range très large de 1 650 FCFA (plus bas) à 3 205 FCFA (plus haut), soit une amplitude de près de 94%, traduisant une tendance nettement haussière portée par un fort intérêt spéculatif. La moyenne (2 440 FCFA) est inférieure à la médiane (2 528 FCFA), ce qui indique une distribution légèrement tirée vers le bas par des séances de faiblesse, tandis que le mode à 2 800 FCFA suggère que ce niveau a concentré le plus grand nombre de transactions. L'écart-type de 443 FCFA avec un coefficient de variation de 18,1% révèle une dispersion modérée du cours autour de sa moyenne. Le kurtosis de -1,024 (platykurtique) signale une distribution aplatie avec une faible concentration autour de la moyenne et un risque de pics moins prononcé que la normale, tandis que le skewness de -0,366 (proche de la symétrie) indique une légère asymétrie négative, c'est-à-dire quelques séances de baisse plus marquées. Enfin, la volatilité annualisée de 51,4% classe le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(2 978 FCFA) est supérieure à la MM50 (2 802,8 FCFA), et le cours actuel (2 900 FCFA) se situe entre ces deux références, légèrement au-dessus de la MM50. Cette configuration en « croisement haussier » (MM20 &gt; MM50) justifie la décision d'achat, mais la position du cours sous la MM20 suggère un essoufflement à court terme.</w:t>
      </w:r>
    </w:p>
    <w:p>
      <w:pPr>
        <w:spacing w:after="120" w:line="276" w:lineRule="auto"/>
      </w:pPr>
      <w:r>
        <w:t>**Bandes de Bollinger** : Le cours (2 900 FCFA) évolue dans la partie médiane de la bande, entre la borne inférieure (2 724,97 FCFA) et la borne supérieure (3 231,03 FCFA). L'absence de contact avec les bornes et la décision « Neutre » indiquent une phase de consolidation sans signal directionnel fort, avec une volatilité qui se stabilise.</w:t>
      </w:r>
    </w:p>
    <w:p>
      <w:pPr>
        <w:spacing w:after="120" w:line="276" w:lineRule="auto"/>
      </w:pPr>
      <w:r>
        <w:t>**MACD** : La valeur du MACD (19,45) est nettement inférieure à son signal (55,97), générant une divergence baissière et une décision de vente. Ce croisement négatif signale un affaiblissement du momentum haussier, bien que le MACD reste en territoire positif, ce qui tempère la portée du signal.</w:t>
      </w:r>
    </w:p>
    <w:p>
      <w:pPr>
        <w:spacing w:after="120" w:line="276" w:lineRule="auto"/>
      </w:pPr>
      <w:r>
        <w:t>**RSI** : À 37,5, le RSI se situe dans la zone neutre basse (30-70), sans atteindre la survente (&lt;30). La décision « Neutre » reflète un équilibre entre pression vendeuse et acheteuse, avec une légère tendance à la faiblesse qui appelle à la prudence.</w:t>
      </w:r>
    </w:p>
    <w:p>
      <w:pPr>
        <w:spacing w:after="120" w:line="276" w:lineRule="auto"/>
      </w:pPr>
      <w:r>
        <w:t>**Stochastique** : Le %K (34,48) est supérieur au %D (11,49), ce qui pourrait amorcer un croisement haussier si la dynamique se confirme. Cependant, les deux lignes restent en zone basse, et la décision « Neutre » traduit l'absence de signal clair à ce stade.</w:t>
      </w:r>
    </w:p>
    <w:p>
      <w:pPr>
        <w:spacing w:after="120" w:line="276" w:lineRule="auto"/>
      </w:pPr>
      <w:r>
        <w:t>**Conclusion technique** : Les indicateurs sont globalement mitigés. La structure des moyennes mobiles reste haussière (MM20 &gt; MM50), mais le MACD vendeur, le RSI neutre-bas et le stochastique sans direction franche plaident pour une consolidation. Le titre semble en phase de digestion après sa forte hausse, avec un risque de correction à court terme si le cours ne parvient pas à se maintenir au-dessus de la MM20 (2 978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2024)** : En 2024, SDSC affichait un chiffre d'affaires de 85,643 milliards FCFA, un résultat net de 21,069 milliards FCFA, un ROE de 27,08% (excellent, &gt;15%) et un ROA de 11,20%. La marge nette s'établissait à 24,60%, la marge opérationnelle à 1,10% et la marge brute à 5,35%. Le BFR était de 17,874 milliards FCFA (positif, donc défavorable), avec un délai client très élevé de 466,94 jours — signe d'un risque de trésorerie important — et un délai fournisseur de 4 534,17 jours, très favorable à la trésorerie. L'autonomie financière de 41,36% (&gt;30%) et la solvabilité générale de 170,53% (&gt;1) confirment la solidité du bilan. La trésorerie nette atteignait 15,617 milliards FCFA et le free cash flow 14,417 milliards FCFA.</w:t>
      </w:r>
    </w:p>
    <w:p>
      <w:pPr>
        <w:spacing w:after="120" w:line="276" w:lineRule="auto"/>
      </w:pPr>
      <w:r>
        <w:t>**Adaptation au secteur (entreprise non bancaire)** : Le délai client de 466,94 jours constitue un point de vigilance majeur, car il immobilise des créances considérables (111,084 milliards FCFA) et pèse sur la trésorerie. Le BFR positif de 17,874 milliards FCFA, bien que modéré, absorbe une partie des liquidités. L'endettement reste maîtrisé (ratio d'endettement de 17,88%, capacité de remboursement de 0,56 an), et la couverture des intérêts (77,85%) est correcte. La rotation des actifs (45,52%) est faible, ce qui limite l'efficacité opérationnelle.</w:t>
      </w:r>
    </w:p>
    <w:p>
      <w:pPr>
        <w:spacing w:after="120" w:line="276" w:lineRule="auto"/>
      </w:pPr>
      <w:r>
        <w:t>**Estimations basées sur les rapports trimestriels** : Le rapport du T1 2025 (publié le 08/04/2025) indique un CA de 23 057 millions FCFA (+6,2%) et un résultat net de -193 millions FCFA (en amélioration de 54% sur les pertes). Le rapport du S1 2025 (30/06/2025) fait état d'un CA de 44 452 millions FCFA (+4,2%) et d'un résultat net négatif de -427 millions FCFA, en dégradation de -102% par rapport au S1 2024 (bénéficiaire de 18 609 millions), en raison de l'absence de dividendes perçus des filiales. Le rapport du T3 2025 (30/09/2025) révèle un CA de 66,217 milliards FCFA (+7,4%) mais un résultat net de 4,341 milliards FCFA, en chute de 77% sur un an, toujours à cause de la baisse des dividendes des filiales. Enfin, les états financiers 2025 (publiés le 31/12/2025, analysés par DeepSeek le 05/08/2026) montrent un CA de 92,004 milliards FCFA (+7,43%) mais un résultat net effondré à 784,97 millions FCFA (-96% vs 2024), avec un résultat d'exploitation négatif de -2,271 milliards FCFA et un dividende proposé de 544,353 millions FCFA (en baisse de 89% vs 5 008 millions en 2024). On estime donc que l'exercice 2025 marque une rupture profonde : la croissance du CA ne se traduit plus en rentabilité, et la dépendance aux dividendes des filiales (résultat financier de 7,079 milliards FCFA) masque un déficit opérationnel structurel.</w:t>
      </w:r>
    </w:p>
    <w:p>
      <w:pPr>
        <w:spacing w:after="120" w:line="276" w:lineRule="auto"/>
      </w:pPr>
      <w:r>
        <w:t>**Recommandation fondamentale** : La solidité du bilan (capitaux propres de 73,55 milliards FCFA en 2025, trésorerie nette de 74,78 milliards FCFA) et la croissance du CA sont des atouts indéniables. Cependant, l'effondrement de la rentabilité (marge nette de 0,85% en 2025), le résultat d'exploitation négatif, la réduction drastique du dividende et les manquements réglementaires signalés (retards de publication, non-respect des délais OHADA) imposent une grande prudence. La recommandation fondamentale est de **CONSERVER** le titre en surveillant la capacité de la direction à restaurer les marges opérationnelles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le PER de 7,5x et le P/B de 2,03x suggèrent une valorisation raisonnable, mais l'EV/EBITDA de 34,1x trahit une cherté relative au regard de la dégradation opérationnelle de 2025. Le comportement du cours (Partie 1) est nettement haussier (+72,62% sur 100 jours) mais accompagné d'une volatilité élevée (51,4%) et d'une distribution platykurtique (kurtosis -1,024) qui indique un risque de pics modéré, avec un skewness négatif (-0,366) signalant quelques séances de baisse marquées. Les signaux techniques (Partie 2) sont mitigés : la structure MM20 &gt; MM50 est haussière, mais le MACD vendeur, le RSI neutre-bas et le stochastique sans direction franche plaident pour une consolidation, voire une correction à court terme. Les fondamentaux (Partie 3) révèlent une dégradation sévère de la rentabilité en 2025 (résultat net de 784,97 millions FCFA, -96%), malgré un CA en croissance (+7,43%) et un bilan solide (trésorerie nette de 74,78 milliards FCFA). Les prédictions IA (J+1 à J+10) tablent sur une stabilisation autour de 2 908-2 911 FCFA, ce qui confirme l'absence de dynamique haussière immédiate et valide le scénario de consolidation. Sur la base de cette synthèse, la recommandation finale est **CONSERVER**, avec un niveau de confiance **Moyen** et un risque global **Élevé**. En effet, la divergence entre la forte hausse passée du cours et la dégradation des fondamentaux 2025 crée une incertitude majeure : le titre pourrait corriger si le marché prend acte de la chute du résultat net et du dividende, mais la solidité du bilan et la croissance du CA limitent le potentiel de baisse. L'horizon d'investissement optimal est le **moyen terme (3-12 mois)**, en attendant les publications du T1 2026 qui permettront de vérifier si la rentabilité opérationnelle se redresse.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β=1.1424 (Neutre (suit le marché)) — Cov=0.000042, Var(idx)=0.000036, ρ=0.236, n=93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du compartiment industriel. Les ratios de valorisation boursière (BPA, PER, P/B, EV/EBITDA) ne sont pas calculables en l'état, faute de données financières structurées récentes et fiables dans la base — situation fréquente pour les valeurs dont la cote a été suspendue puis réintégrée, comme cela a été le cas pour SEMC. À titre indicatif, sur la base des derniers états financiers disponibles (exercice 2023, résultat net de 1,01 milliard FCFA) et d'un nombre d'actions estimé à environ 25,2 millions de titres, le BPA ressortirait autour de 40 FCFA, soit un PER implicite très élevé (&gt;35x) au cours actuel de 1 495 FCFA — nettement supérieur à la moyenne BRVM (8-12x). Cette cherté apparente s'explique par l'effondrement du résultat net en 2023 (-74%), et non par une surévaluation intrinsèque du titre. L'absence de P/B et d'EV/EBITDA empêche toute comparaison avec la valeur comptable et la capacité opérationnelle, ce qui limite la lecture valorisation et invite à privilégier l'analyse fondamentale et technique.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persistante. Le cours actuel de 1 495 FCFA se situe dans la moitié basse du range de trading compris entre 1 350 FCFA (plus bas) et 1 800 FCFA (plus haut), soit un écart de 450 FCFA (33% du plus bas). La moyenne (1 527 FCFA) est légèrement supérieure à la médiane (1 520 FCFA), avec un mode à 1 500 FCFA : cet écart faible mais positif indique une distribution quasi symétrique, légèrement tirée vers le haut par quelques séances de rebond. L'écart-type de 69 FCFA (CV = 4,5%) traduit une dispersion modérée du cours autour de sa moyenne, mais la volatilité annualisée de 47,2% classe le titre dans la catégorie **élevée** (&gt;30%), signe d'une nervosité importante. Le kurtosis (excès) de 1,652 confirme une distribution leptokurtique à queues épaisses, exposant le titre à des pics de volatilité brutaux. Le skewness de 0,558, positif, indique une asymétrie avec davantage de journées sous la moyenne que de journées exceptionnelles à la hausse — un profil baissier avec des rebonds ponctuels. Le volume moyen de 6 046 titres/jour reste modeste, limitant la liquidité et amplifiant les mouvements.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moyennes. Cette configuration traduit une pression baissière de court terme, mais la décision affichée est "Achat" — probablement liée au croisement haussier MM20 &gt; MM50 qui suggère une inflexion potentielle de tendance. La prudence reste toutefois de mise tant que le cours ne repasse pas au-dessus de la MM20.</w:t>
      </w:r>
    </w:p>
    <w:p>
      <w:pPr>
        <w:spacing w:after="120" w:line="276" w:lineRule="auto"/>
      </w:pPr>
      <w:r>
        <w:t>**Bandes de Bollinger** : Le cours (1 495 FCFA) se situe dans la partie basse de la bande, entre la borne inférieure (1 459,69 FCFA) et la borne supérieure (1 621,81 FCFA), à environ 27% de la largeur depuis le bas. La décision "Neutre" reflète l'absence de signal extrême : le titre n'est ni en survente technique (proche borne basse) ni en surachat. La largeur des bandes (162 FCFA) confirme une volatilité modérée à élevée.</w:t>
      </w:r>
    </w:p>
    <w:p>
      <w:pPr>
        <w:spacing w:after="120" w:line="276" w:lineRule="auto"/>
      </w:pPr>
      <w:r>
        <w:t>**MACD** : La valeur du MACD (6,401) est inférieure à son signal (10,356), générant une divergence baissière et une décision "Vente". Le momentum est négatif : la ligne MACD s'enfonce sous sa moyenne mobile, signalant que la dynamique haussière s'essouffle. Ce signal contredit la décision "Achat" des moyennes mobiles, créant une divergence technique à surveiller.</w:t>
      </w:r>
    </w:p>
    <w:p>
      <w:pPr>
        <w:spacing w:after="120" w:line="276" w:lineRule="auto"/>
      </w:pPr>
      <w:r>
        <w:t>**RSI** : À 49,533, le RSI est parfaitement neutre (zone 30-70), indiquant un équilibre entre acheteurs et vendeurs. Aucun signal de surachat (&gt;70) ni de survente (&lt;30) n'est présent. La décision "Neutre" est cohérente : le titre manque de direction claire à court terme.</w:t>
      </w:r>
    </w:p>
    <w:p>
      <w:pPr>
        <w:spacing w:after="120" w:line="276" w:lineRule="auto"/>
      </w:pPr>
      <w:r>
        <w:t>**Stochastique** : Le %K (34,615) est inférieur au %D (57,692), avec un croisement baissier récent. Le %K en zone basse (proche de 20) suggère une pression vendeuse, mais pas encore de survente extrême. La décision "Neutre" reflète cette configuration ambiguë : le signal baissier du croisement est tempéré par la proximité de la zone de survente.</w:t>
      </w:r>
    </w:p>
    <w:p>
      <w:pPr>
        <w:spacing w:after="120" w:line="276" w:lineRule="auto"/>
      </w:pPr>
      <w:r>
        <w:t>**Conclusion technique** : Les indicateurs sont majoritairement neutres (Bollinger, RSI, Stochastique) avec une divergence entre les moyennes mobiles (Achat) et le MACD (Vente). Cette configuration traduit une phase d'indécision et de consolidation baissière, sans signal fort d'achat ou de vente. La prudence domine : le titre cherche un point d'équilibre autour de 1 500 FCFA, avec un risque de cassure à la baisse si le support de 1 459 FCFA (borne basse de Bollinger) venait à céder.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de SEMC s'appuie sur les rapports financiers officiels disponibles, dont les plus récents datent de l'exercice 2023 (publiés en 2024) — soit des données antérieures à 2025, à interpréter avec prudence. **En 2023**, le chiffre d'affaires s'est établi à **27,88 milliards FCFA**, en **baisse de 6%** par rapport aux 29,60 milliards FCFA de 2022, selon le rapport annuel 2023. Le résultat net a chuté de **74%**, passant de 3,86 milliards FCFA (2022) à **1,01 milliard FCFA** (2023), avec une marge nette réduite à **3,6%** (contre 13,0% en 2022). Cette dégradation s'explique par la perte de clients clés (AIRONE : -81% de CA), l'effondrement du segment Tomate (concurrence du PET), et des charges fixes élevées. Le ROE 2023 ressort à environ **5,2%** (1,01 Md / ~19,4 Mds de capitaux propres estimés), en net recul vs 18,5% en 2022. Le ROA 2023 est estimé à **~2,5%**, contre 9,2% en 2022. À titre de comparaison, le **T1 2023** (rapport trimestriel) affichait un CA de 7,65 milliards FCFA (+16,5%) et un résultat net de 855,65 millions FCFA (+37,9%), avec une marge nette de 11,2% — mais cette dynamique ne s'est pas confirmée sur l'ensemble de l'exercice. **En 2022**, le CA consolidé était de 125,4 milliards FCFA (selon un rapport distinct, probablement consolidé groupe) avec un résultat net de 12,8 milliards FCFA et un ROE de 18,4% — ces chiffres semblent refléter une entité plus large (Eviosys Packaging SIEM) que les 27,88 milliards FCFA de 2023, suggérant un changement de périmètre ou une confusion entre entité juridique et groupe. La politique de dividende est inexistante en 2023 (0 FCFA), contre 250 FCFA/action en 2022 (rendement 5,2%). Le rachat par **Sonoco Products Company** (finalisé en décembre 2024) et la suspension de la cote BRVM (flottant insuffisant : 10,42% vs 15% requis) constituent des événements majeurs. **Recommandation fondamentale** : la situation est fragile — rentabilité effondrée, dépendance clientèle, gouvernance en transition. Les perspectives 2024 (objectif CA +18% à 32 milliards FCFA) et les synergies Sonoco sont des leviers de relance, mais le risque d'exécution reste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et risqué**. La **valorisation (Partie 0)** est difficile à apprécier faute de ratios calculables, mais le PER implicite très élevé (&gt;35x sur la base du résultat 2023) suggère une cherté apparente qui reflète surtout l'effondrement des bénéfices plutôt qu'une surévaluation intrinsèque. Le **comportement du cours (Partie 1)** est préoccupant : tendance baissière (-16,94% sur 100 jours), volatilité élevée (47,2%), kurtosis leptokurtique (risque de pics) et skewness positif (asymétrie baissière) — un profil défavorable pour les investisseurs averses au risque. Les **signaux techniques (Partie 2)** sont mitigés : divergence entre les moyennes mobiles (Achat) et le MACD (Vente), avec des indicateurs neutres (RSI, Bollinger, Stochastique) qui traduisent une indécision. Les **fondamentaux (Partie 3)** sont fragiles : CA en baisse (-6% en 2023), résultat net effondré (-74%), marge nette réduite à 3,6%, dividende nul, et incertitudes liées au rachat par Sonoco et à la suspension BRVM. Les **prédictions IA (J+1 à J+10)** anticipent une poursuite de la baisse (1 447 FCFA puis 1 440 FCFA), confirmant la pression baissière de court terme. **Recommandation finale : CONSERVER (avec vigilance)** — la convergence des signaux baissiers (cours, MACD, prédictions IA) et la fragilité fondamentale plaident contre un achat immédiat, mais le potentiel de relance (Sonoco, objectif CA 2024) et la proximité des supports techniques (1 459 FCFA) justifient de ne pas vendre en panique. **Niveau de confiance : Moyen** (données fondamentales anciennes et divergences techniques). **Niveau de risque global : Élevé** (volatilité, liquidité modeste, incertitudes stratégiques). **Horizon d'investissement optimal : Moyen terme (3-12 mois)**, en surveillant la levée de la suspension BRVM, l'intégration Sonoco et les résultats 2024-2025 pour confirmer ou infirmer la reprise.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4,981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+17.88%</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3.76% (Faible) — μ=37,929 FCFA, σ=1,425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β=0.4923 (Défensif) — Cov=0.000030, Var(idx)=0.000061, ρ=0.281,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σ_j=1.37%/j (Stable) — Vol. annualisée≈21.7%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37,091</w:t>
            </w:r>
          </w:p>
        </w:tc>
        <w:tc>
          <w:tcPr>
            <w:tcW w:type="dxa" w:w="1440"/>
            <w:shd w:fill="FAFAFA" w:val="clear"/>
          </w:tcPr>
          <w:p>
            <w:r>
              <w:rPr>
                <w:b/>
                <w:sz w:val="17"/>
              </w:rPr>
              <w:t>38,182</w:t>
            </w:r>
          </w:p>
        </w:tc>
        <w:tc>
          <w:tcPr>
            <w:tcW w:type="dxa" w:w="1440"/>
            <w:shd w:fill="FAFAFA" w:val="clear"/>
          </w:tcPr>
          <w:p>
            <w:r>
              <w:rPr>
                <w:sz w:val="17"/>
              </w:rPr>
              <w:t>39,273</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36,537</w:t>
            </w:r>
          </w:p>
        </w:tc>
        <w:tc>
          <w:tcPr>
            <w:tcW w:type="dxa" w:w="1440"/>
            <w:shd w:fill="FFDCE0" w:val="clear"/>
          </w:tcPr>
          <w:p>
            <w:r>
              <w:rPr>
                <w:b/>
                <w:sz w:val="17"/>
              </w:rPr>
              <w:t>38,076</w:t>
            </w:r>
          </w:p>
        </w:tc>
        <w:tc>
          <w:tcPr>
            <w:tcW w:type="dxa" w:w="1440"/>
            <w:shd w:fill="FFDCE0" w:val="clear"/>
          </w:tcPr>
          <w:p>
            <w:r>
              <w:rPr>
                <w:sz w:val="17"/>
              </w:rPr>
              <w:t>39,614</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36,072</w:t>
            </w:r>
          </w:p>
        </w:tc>
        <w:tc>
          <w:tcPr>
            <w:tcW w:type="dxa" w:w="1440"/>
            <w:shd w:fill="FFDCE0" w:val="clear"/>
          </w:tcPr>
          <w:p>
            <w:r>
              <w:rPr>
                <w:b/>
                <w:sz w:val="17"/>
              </w:rPr>
              <w:t>37,951</w:t>
            </w:r>
          </w:p>
        </w:tc>
        <w:tc>
          <w:tcPr>
            <w:tcW w:type="dxa" w:w="1440"/>
            <w:shd w:fill="FFDCE0" w:val="clear"/>
          </w:tcPr>
          <w:p>
            <w:r>
              <w:rPr>
                <w:sz w:val="17"/>
              </w:rPr>
              <w:t>39,829</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35,669</w:t>
            </w:r>
          </w:p>
        </w:tc>
        <w:tc>
          <w:tcPr>
            <w:tcW w:type="dxa" w:w="1440"/>
            <w:shd w:fill="FFDCE0" w:val="clear"/>
          </w:tcPr>
          <w:p>
            <w:r>
              <w:rPr>
                <w:b/>
                <w:sz w:val="17"/>
              </w:rPr>
              <w:t>37,831</w:t>
            </w:r>
          </w:p>
        </w:tc>
        <w:tc>
          <w:tcPr>
            <w:tcW w:type="dxa" w:w="1440"/>
            <w:shd w:fill="FFDCE0" w:val="clear"/>
          </w:tcPr>
          <w:p>
            <w:r>
              <w:rPr>
                <w:sz w:val="17"/>
              </w:rPr>
              <w:t>39,993</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35,307</w:t>
            </w:r>
          </w:p>
        </w:tc>
        <w:tc>
          <w:tcPr>
            <w:tcW w:type="dxa" w:w="1440"/>
            <w:shd w:fill="FFDCE0" w:val="clear"/>
          </w:tcPr>
          <w:p>
            <w:r>
              <w:rPr>
                <w:b/>
                <w:sz w:val="17"/>
              </w:rPr>
              <w:t>37,717</w:t>
            </w:r>
          </w:p>
        </w:tc>
        <w:tc>
          <w:tcPr>
            <w:tcW w:type="dxa" w:w="1440"/>
            <w:shd w:fill="FFDCE0" w:val="clear"/>
          </w:tcPr>
          <w:p>
            <w:r>
              <w:rPr>
                <w:sz w:val="17"/>
              </w:rPr>
              <w:t>40,127</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34,976</w:t>
            </w:r>
          </w:p>
        </w:tc>
        <w:tc>
          <w:tcPr>
            <w:tcW w:type="dxa" w:w="1440"/>
            <w:shd w:fill="FFDCE0" w:val="clear"/>
          </w:tcPr>
          <w:p>
            <w:r>
              <w:rPr>
                <w:b/>
                <w:sz w:val="17"/>
              </w:rPr>
              <w:t>37,608</w:t>
            </w:r>
          </w:p>
        </w:tc>
        <w:tc>
          <w:tcPr>
            <w:tcW w:type="dxa" w:w="1440"/>
            <w:shd w:fill="FFDCE0" w:val="clear"/>
          </w:tcPr>
          <w:p>
            <w:r>
              <w:rPr>
                <w:sz w:val="17"/>
              </w:rPr>
              <w:t>40,240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34,667</w:t>
            </w:r>
          </w:p>
        </w:tc>
        <w:tc>
          <w:tcPr>
            <w:tcW w:type="dxa" w:w="1440"/>
            <w:shd w:fill="FFDCE0" w:val="clear"/>
          </w:tcPr>
          <w:p>
            <w:r>
              <w:rPr>
                <w:b/>
                <w:sz w:val="17"/>
              </w:rPr>
              <w:t>37,502</w:t>
            </w:r>
          </w:p>
        </w:tc>
        <w:tc>
          <w:tcPr>
            <w:tcW w:type="dxa" w:w="1440"/>
            <w:shd w:fill="FFDCE0" w:val="clear"/>
          </w:tcPr>
          <w:p>
            <w:r>
              <w:rPr>
                <w:sz w:val="17"/>
              </w:rPr>
              <w:t>40,337</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34,376</w:t>
            </w:r>
          </w:p>
        </w:tc>
        <w:tc>
          <w:tcPr>
            <w:tcW w:type="dxa" w:w="1440"/>
            <w:shd w:fill="FFDCE0" w:val="clear"/>
          </w:tcPr>
          <w:p>
            <w:r>
              <w:rPr>
                <w:b/>
                <w:sz w:val="17"/>
              </w:rPr>
              <w:t>37,399</w:t>
            </w:r>
          </w:p>
        </w:tc>
        <w:tc>
          <w:tcPr>
            <w:tcW w:type="dxa" w:w="1440"/>
            <w:shd w:fill="FFDCE0" w:val="clear"/>
          </w:tcPr>
          <w:p>
            <w:r>
              <w:rPr>
                <w:sz w:val="17"/>
              </w:rPr>
              <w:t>40,421</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34,100</w:t>
            </w:r>
          </w:p>
        </w:tc>
        <w:tc>
          <w:tcPr>
            <w:tcW w:type="dxa" w:w="1440"/>
            <w:shd w:fill="FFDCE0" w:val="clear"/>
          </w:tcPr>
          <w:p>
            <w:r>
              <w:rPr>
                <w:b/>
                <w:sz w:val="17"/>
              </w:rPr>
              <w:t>37,297</w:t>
            </w:r>
          </w:p>
        </w:tc>
        <w:tc>
          <w:tcPr>
            <w:tcW w:type="dxa" w:w="1440"/>
            <w:shd w:fill="FFDCE0" w:val="clear"/>
          </w:tcPr>
          <w:p>
            <w:r>
              <w:rPr>
                <w:sz w:val="17"/>
              </w:rPr>
              <w:t>40,495</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33,837</w:t>
            </w:r>
          </w:p>
        </w:tc>
        <w:tc>
          <w:tcPr>
            <w:tcW w:type="dxa" w:w="1440"/>
            <w:shd w:fill="FFDCE0" w:val="clear"/>
          </w:tcPr>
          <w:p>
            <w:r>
              <w:rPr>
                <w:b/>
                <w:sz w:val="17"/>
              </w:rPr>
              <w:t>37,198</w:t>
            </w:r>
          </w:p>
        </w:tc>
        <w:tc>
          <w:tcPr>
            <w:tcW w:type="dxa" w:w="1440"/>
            <w:shd w:fill="FFDCE0" w:val="clear"/>
          </w:tcPr>
          <w:p>
            <w:r>
              <w:rPr>
                <w:sz w:val="17"/>
              </w:rPr>
              <w:t>40,559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1 210,22 milliards FCFA, SGBC s'impose comme l'une des toutes premières capitalisations de la BRVM, un statut de « blue chip » qui reflète sa position de leader bancaire ivoirien. Le BPA de 3 258 FCFA par action signifie que chaque titre génère plus de 3 200 FCFA de bénéfice net, un niveau remarquable pour le marché ouest-africain. Le PER de 11,9x se situe dans le haut de la fourchette moyenne du marché (8-12x), traduisant une valorisation raisonnable mais sans décote manifeste : les investisseurs paient le prix de la qualité et de la régularité des résultats. Le P/B de 2,44x indique que le marché valorise la banque à près de 2,5 fois ses fonds propres comptables, soit une prime de croissance justifiée par un ROE supérieur à 20%. En revanche, l'EV/EBITDA de 24,7x apparaît très exigeant (&gt;15x), signalant que la valeur d'entreprise intègre déjà une forte anticipation de rentabilité future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performance remarquable de +17,88%, avec une dernière séance quasi stable (+0,26%) à 38 900 FCFA. Le range de trading s'établit entre un plus bas de 33 000 FCFA et un plus haut de 39 300 FCFA, soit une amplitude de 19,1% qui témoigne d'une tendance nettement haussière, le cours évoluant actuellement à seulement 1% de son sommet. Les statistiques descriptives révèlent une distribution asymétrique : la moyenne (37 929 FCFA) est inférieure à la médiane (38 125 FCFA), confirmant un skewness négatif de -1,787 — le titre a passé davantage de séances au-dessus de sa moyenne, avec des corrections brèves mais marquées. L'écart-type de 1 433 FCFA (CV de 3,8%) indique une dispersion modérée du cours, tandis que le kurtosis de 2,849 (leptokurtique) signale des queues épaisses, donc un risque de pics de volatilité brutaux qu'il convient d'anticiper. La volatilité annualisée de 21,7% positionne SGBC dans la catégorie des titres à volatilité modérée (15-30%), cohérente avec un profil défensif de grande capitalisation bancaire.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(38 487,25 FCFA) et la MM50 (38 411,20 FCFA) sont toutes deux inférieures au cours actuel de 38 900 FCFA, et la MM20 surpasse légèrement la MM50, configurant un croisement haussier classique. Cette configuration valide la décision d'**Achat** : le titre évolue au-dessus de ses supports dynamiques, confirmant la tendance positive de fond.</w:t>
      </w:r>
    </w:p>
    <w:p>
      <w:pPr>
        <w:spacing w:after="120" w:line="276" w:lineRule="auto"/>
      </w:pPr>
      <w:r>
        <w:t>**Bandes de Bollinger** : Le cours (38 900 FCFA) se situe à mi-chemin entre la borne supérieure (39 302,84 FCFA) et la borne inférieure (37 671,66 FCFA), sans pression directionnelle immédiate. L'écart entre les bornes reste contenu, traduisant une volatilité stable ; la décision **Neutre** reflète l'absence de signal de breakout ou de retournement.</w:t>
      </w:r>
    </w:p>
    <w:p>
      <w:pPr>
        <w:spacing w:after="120" w:line="276" w:lineRule="auto"/>
      </w:pPr>
      <w:r>
        <w:t>**MACD** : La valeur du MACD (13,68) est nettement supérieure à son signal (-6,609), générant un histogramme positif et un momentum haussier confirmé. Cette divergence positive soutient la décision d'**Achat**, bien que l'écart important entre les deux lignes appelle à surveiller un éventuel retournement si le signal remonte.</w:t>
      </w:r>
    </w:p>
    <w:p>
      <w:pPr>
        <w:spacing w:after="120" w:line="276" w:lineRule="auto"/>
      </w:pPr>
      <w:r>
        <w:t>**RSI** : À 50,636, le RSI se situe exactement en zone neutre (30-70), sans surachat ni survente. La décision **Neutre** est cohérente : le titre dispose d'un potentiel de hausse sans être techniquement épuisé, mais manque de catalyseur directionnel immédiat.</w:t>
      </w:r>
    </w:p>
    <w:p>
      <w:pPr>
        <w:spacing w:after="120" w:line="276" w:lineRule="auto"/>
      </w:pPr>
      <w:r>
        <w:t>**Stochastique** : Le %K (91,667) est très élevé et nettement au-dessus du %D (63,472), signalant une pression acheteuse forte mais un risque imminent de surachat. La décision **Vente** traduit cette configuration : le croisement %K/%D en zone haute prévient d'un essoufflement possible à court terme.</w:t>
      </w:r>
    </w:p>
    <w:p>
      <w:pPr>
        <w:spacing w:after="120" w:line="276" w:lineRule="auto"/>
      </w:pPr>
      <w:r>
        <w:t>**Conclusion technique** : Les indicateurs sont majoritairement haussiers (MM, MACD) mais tempérés par des signaux neutres (Bollinger, RSI) et un avertissement de surachat (Stochastique). La convergence MM/MACD soutient la tendance de fond, mais le stochastique suggère qu'une consolidation est probable avant toute nouvelle accélération. Le titre reste techniquement sain, avec un biais acheteur à moyen terme mais une prudence tactique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SGBC affichent un Produit Net Bancaire (équivalent du chiffre d'affaires pour une banque) de 276,048 milliards FCFA, en croissance de +4,88% sur un an, et un résultat net de 101,352 milliards FCFA, franchissant pour la première fois le seuil symbolique des 100 milliards. La rentabilité des fonds propres (ROE) s'établit à 20,47%, un niveau excellent (&gt;15%), tandis que le ROA de 2,69% confirme l'efficacité de l'utilisation des actifs. Le coefficient d'exploitation de 38,75% place SGBC parmi les banques les plus efficaces du secteur (seuil d'excellence &lt;50%), et le coût du risque contenu (provisions de 17,995 milliards FCFA, soit un ratio de couverture des intérêts de 255,88%) témoigne d'un portefeuille de crédits globalement maîtrisé. La structure bilancielle révèle une transformation bancaire saine : 2 907,675 milliards FCFA de dépôts clientèle pour 2 546,290 milliards FCFA de créances clientèle, soit un ratio prêts/dépôts de 87,6%, en amélioration continue. Les capitaux propres de 495,113 milliards FCFA offrent une autonomie financière de 13,14%, typique du modèle bancaire (levier élevé), avec une solvabilité générale de 115,12% (&gt;1 = solvable). Les rapports trimestriels confirment cette dynamique : le rapport du 30 septembre 2025 (T3 2025) fait état d'un PNB cumulé de 201,0 milliards FCFA (+2,5%) et d'un résultat net de 83,3 milliards FCFA (+11,7%), avec un coefficient d'exploitation amélioré à 37,3% et une collecte de dépôts en hausse de +13,9%. Le rapport du 30 juin 2025 (S1 2025) soulignait déjà un ROE de 23,8% et un ratio de solvabilité de 17,7%, bien au-dessus du minimum réglementaire de 12,5%. Sur la base de ces tendances, on estime que l'exercice 2025 devrait clôturer avec un résultat net proche de 101 milliards FCFA (réalisé) et un dividende en progression, la politique de distribution étant historiquement généreuse (taux de distribution de 57,25% en 2024, dividende de 1 863 FCFA/action). Le principal risque identifié reste la qualité du crédit, avec un taux de créances en souffrance (NPL) en hausse à 7,8% au S1 2025 (contre 6,7% un an plus tôt) et un taux de couverture en baisse à 91%, à surveiller dans un contexte de ralentissement économique potentiel. **Recommandation fondamentale : SOLIDITÉ CONFIRMÉE** — SGBC demeure un actif de qualité, porté par un leadership sectoriel, une rentabilité élevée et une gestion rigoureuse des coûts, malgré une vigilance nécessaire sur le risque de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profil d'investissement équilibré, avec une légère préférence haussière à moyen terme. La valorisation (Partie 0) est raisonnable sans être bon marché : PER de 11,9x dans le haut de la fourchette BRVM, P/B de 2,44x justifié par un ROE de 20,5%, mais EV/EBITDA de 24,7x exigeant — le titre intègre déjà une prime de qualité. Le comportement du cours (Partie 1) est favorable : tendance haussière de +17,88% sur 100 jours, volatilité modérée (21,7%), mais le kurtosis leptokurtique (2,849) et le skewness négatif (-1,787) appellent à la prudence face à des pics de volatilité possibles. Les signaux techniques (Partie 2) sont mitigés : MM et MACD haussiers, mais RSI neutre et stochastique en zone de surachat (%K=91,7) suggérant une consolidation imminente. Les fondamentaux (Partie 3) sont solides : PNB de 276,048 Mds FCFA en 2025, résultat net de 101,352 Mds FCFA, ROE de 20,47%, coefficient d'exploitation de 38,75%, et rapports trimestriels (T3 2025) confirmant la dynamique (+11,7% de résultat net). Les prédictions IA (J+1 à J+10) anticipent une légère correction vers 37 717 FCFA d'ici le 2 octobre 2026, en cohérence avec le signal de surachat stochastique, mais sans remettre en cause la tendance de fond. **Recommandation finale : CONSERVER** — La convergence entre fondamentaux solides, valorisation raisonnable et tendance haussière de fond justifie une position d'attente, mais le surachat technique à court terme et la valorisation exigeante (EV/EBITDA) limitent le potentiel de hausse immédiat. **Niveau de confiance : Moyen** (les signaux techniques divergents et la correction prédite tempèrent l'optimisme fondamental). **Niveau de risque global : Moyen** (volatilité modérée, mais risque de crédit en hausse et valorisation tendue). **Horizon d'investissement optimal : Moyen terme (3-12 mois)** — idéal pour capter la croissance bénéficiaire et le dividende attractif, en attendant une clarification sur la qualité du crédit et une consolidation technique.</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152.46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4,968 titres</w:t>
            </w:r>
          </w:p>
        </w:tc>
        <w:tc>
          <w:tcPr>
            <w:tcW w:type="dxa" w:w="2268"/>
            <w:shd w:fill="FFF2CC" w:val="clear"/>
          </w:tcPr>
          <w:p>
            <w:r>
              <w:rPr>
                <w:b/>
                <w:color w:val="503200"/>
                <w:sz w:val="16"/>
              </w:rPr>
              <w:t xml:space="preserve">Cours actuel : </w:t>
            </w:r>
            <w:r>
              <w:rPr>
                <w:color w:val="000000"/>
                <w:sz w:val="17"/>
              </w:rPr>
              <w:t>2,420 FCFA</w:t>
            </w:r>
          </w:p>
          <w:p>
            <w:r>
              <w:rPr>
                <w:b/>
                <w:color w:val="503200"/>
                <w:sz w:val="16"/>
              </w:rPr>
              <w:t xml:space="preserve">Var. 100 jours : </w:t>
            </w:r>
            <w:r>
              <w:rPr>
                <w:b/>
                <w:color w:val="007800"/>
                <w:sz w:val="17"/>
              </w:rPr>
              <w:t>+21.00%</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μ=2,234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β=1.1452 (Neutre (suit le marché)) — Cov=0.000069, Var(idx)=0.000061, ρ=0.321,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2,240</w:t>
            </w:r>
          </w:p>
        </w:tc>
        <w:tc>
          <w:tcPr>
            <w:tcW w:type="dxa" w:w="1440"/>
            <w:shd w:fill="FAFAFA" w:val="clear"/>
          </w:tcPr>
          <w:p>
            <w:r>
              <w:rPr>
                <w:b/>
                <w:sz w:val="17"/>
              </w:rPr>
              <w:t>2,389</w:t>
            </w:r>
          </w:p>
        </w:tc>
        <w:tc>
          <w:tcPr>
            <w:tcW w:type="dxa" w:w="1440"/>
            <w:shd w:fill="FAFAFA" w:val="clear"/>
          </w:tcPr>
          <w:p>
            <w:r>
              <w:rPr>
                <w:sz w:val="17"/>
              </w:rPr>
              <w:t>2,539</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2,152</w:t>
            </w:r>
          </w:p>
        </w:tc>
        <w:tc>
          <w:tcPr>
            <w:tcW w:type="dxa" w:w="1440"/>
            <w:shd w:fill="FFDCE0" w:val="clear"/>
          </w:tcPr>
          <w:p>
            <w:r>
              <w:rPr>
                <w:b/>
                <w:sz w:val="17"/>
              </w:rPr>
              <w:t>2,361</w:t>
            </w:r>
          </w:p>
        </w:tc>
        <w:tc>
          <w:tcPr>
            <w:tcW w:type="dxa" w:w="1440"/>
            <w:shd w:fill="FFDCE0" w:val="clear"/>
          </w:tcPr>
          <w:p>
            <w:r>
              <w:rPr>
                <w:sz w:val="17"/>
              </w:rPr>
              <w:t>2,570</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2,081</w:t>
            </w:r>
          </w:p>
        </w:tc>
        <w:tc>
          <w:tcPr>
            <w:tcW w:type="dxa" w:w="1440"/>
            <w:shd w:fill="FFDCE0" w:val="clear"/>
          </w:tcPr>
          <w:p>
            <w:r>
              <w:rPr>
                <w:b/>
                <w:sz w:val="17"/>
              </w:rPr>
              <w:t>2,335</w:t>
            </w:r>
          </w:p>
        </w:tc>
        <w:tc>
          <w:tcPr>
            <w:tcW w:type="dxa" w:w="1440"/>
            <w:shd w:fill="FFDCE0" w:val="clear"/>
          </w:tcPr>
          <w:p>
            <w:r>
              <w:rPr>
                <w:sz w:val="17"/>
              </w:rPr>
              <w:t>2,588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2,021</w:t>
            </w:r>
          </w:p>
        </w:tc>
        <w:tc>
          <w:tcPr>
            <w:tcW w:type="dxa" w:w="1440"/>
            <w:shd w:fill="FFDCE0" w:val="clear"/>
          </w:tcPr>
          <w:p>
            <w:r>
              <w:rPr>
                <w:b/>
                <w:sz w:val="17"/>
              </w:rPr>
              <w:t>2,310</w:t>
            </w:r>
          </w:p>
        </w:tc>
        <w:tc>
          <w:tcPr>
            <w:tcW w:type="dxa" w:w="1440"/>
            <w:shd w:fill="FFDCE0" w:val="clear"/>
          </w:tcPr>
          <w:p>
            <w:r>
              <w:rPr>
                <w:sz w:val="17"/>
              </w:rPr>
              <w:t>2,599</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1,966</w:t>
            </w:r>
          </w:p>
        </w:tc>
        <w:tc>
          <w:tcPr>
            <w:tcW w:type="dxa" w:w="1440"/>
            <w:shd w:fill="FFDCE0" w:val="clear"/>
          </w:tcPr>
          <w:p>
            <w:r>
              <w:rPr>
                <w:b/>
                <w:sz w:val="17"/>
              </w:rPr>
              <w:t>2,286</w:t>
            </w:r>
          </w:p>
        </w:tc>
        <w:tc>
          <w:tcPr>
            <w:tcW w:type="dxa" w:w="1440"/>
            <w:shd w:fill="FFDCE0" w:val="clear"/>
          </w:tcPr>
          <w:p>
            <w:r>
              <w:rPr>
                <w:sz w:val="17"/>
              </w:rPr>
              <w:t>2,606</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1,917</w:t>
            </w:r>
          </w:p>
        </w:tc>
        <w:tc>
          <w:tcPr>
            <w:tcW w:type="dxa" w:w="1440"/>
            <w:shd w:fill="FFDCE0" w:val="clear"/>
          </w:tcPr>
          <w:p>
            <w:r>
              <w:rPr>
                <w:b/>
                <w:sz w:val="17"/>
              </w:rPr>
              <w:t>2,264</w:t>
            </w:r>
          </w:p>
        </w:tc>
        <w:tc>
          <w:tcPr>
            <w:tcW w:type="dxa" w:w="1440"/>
            <w:shd w:fill="FFDCE0" w:val="clear"/>
          </w:tcPr>
          <w:p>
            <w:r>
              <w:rPr>
                <w:sz w:val="17"/>
              </w:rPr>
              <w:t>2,611</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1,872</w:t>
            </w:r>
          </w:p>
        </w:tc>
        <w:tc>
          <w:tcPr>
            <w:tcW w:type="dxa" w:w="1440"/>
            <w:shd w:fill="FFDCE0" w:val="clear"/>
          </w:tcPr>
          <w:p>
            <w:r>
              <w:rPr>
                <w:b/>
                <w:sz w:val="17"/>
              </w:rPr>
              <w:t>2,244</w:t>
            </w:r>
          </w:p>
        </w:tc>
        <w:tc>
          <w:tcPr>
            <w:tcW w:type="dxa" w:w="1440"/>
            <w:shd w:fill="FFDCE0" w:val="clear"/>
          </w:tcPr>
          <w:p>
            <w:r>
              <w:rPr>
                <w:sz w:val="17"/>
              </w:rPr>
              <w:t>2,615</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1,831</w:t>
            </w:r>
          </w:p>
        </w:tc>
        <w:tc>
          <w:tcPr>
            <w:tcW w:type="dxa" w:w="1440"/>
            <w:shd w:fill="FFDCE0" w:val="clear"/>
          </w:tcPr>
          <w:p>
            <w:r>
              <w:rPr>
                <w:b/>
                <w:sz w:val="17"/>
              </w:rPr>
              <w:t>2,224</w:t>
            </w:r>
          </w:p>
        </w:tc>
        <w:tc>
          <w:tcPr>
            <w:tcW w:type="dxa" w:w="1440"/>
            <w:shd w:fill="FFDCE0" w:val="clear"/>
          </w:tcPr>
          <w:p>
            <w:r>
              <w:rPr>
                <w:sz w:val="17"/>
              </w:rPr>
              <w:t>2,618</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1,792</w:t>
            </w:r>
          </w:p>
        </w:tc>
        <w:tc>
          <w:tcPr>
            <w:tcW w:type="dxa" w:w="1440"/>
            <w:shd w:fill="FFDCE0" w:val="clear"/>
          </w:tcPr>
          <w:p>
            <w:r>
              <w:rPr>
                <w:b/>
                <w:sz w:val="17"/>
              </w:rPr>
              <w:t>2,206</w:t>
            </w:r>
          </w:p>
        </w:tc>
        <w:tc>
          <w:tcPr>
            <w:tcW w:type="dxa" w:w="1440"/>
            <w:shd w:fill="FFDCE0" w:val="clear"/>
          </w:tcPr>
          <w:p>
            <w:r>
              <w:rPr>
                <w:sz w:val="17"/>
              </w:rPr>
              <w:t>2,620</w:t>
            </w:r>
          </w:p>
        </w:tc>
        <w:tc>
          <w:tcPr>
            <w:tcW w:type="dxa" w:w="1440"/>
            <w:shd w:fill="FFDCE0" w:val="clear"/>
          </w:tcPr>
          <w:p>
            <w:r>
              <w:rPr>
                <w:b/>
                <w:color w:val="C00000"/>
                <w:sz w:val="17"/>
              </w:rPr>
              <w:t>-8.8%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1,756</w:t>
            </w:r>
          </w:p>
        </w:tc>
        <w:tc>
          <w:tcPr>
            <w:tcW w:type="dxa" w:w="1440"/>
            <w:shd w:fill="FFDCE0" w:val="clear"/>
          </w:tcPr>
          <w:p>
            <w:r>
              <w:rPr>
                <w:b/>
                <w:sz w:val="17"/>
              </w:rPr>
              <w:t>2,189</w:t>
            </w:r>
          </w:p>
        </w:tc>
        <w:tc>
          <w:tcPr>
            <w:tcW w:type="dxa" w:w="1440"/>
            <w:shd w:fill="FFDCE0" w:val="clear"/>
          </w:tcPr>
          <w:p>
            <w:r>
              <w:rPr>
                <w:sz w:val="17"/>
              </w:rPr>
              <w:t>2,622</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152,46 milliards FCFA, SHEC se positionne parmi les valeurs de taille intermédiaire à supérieure du compartiment industriel de la BRVM, ce qui traduit une liquidité relative correcte mais un flottant limité. Le BPA de 96 FCFA/action signifie que chaque titre génère près d'un centième de sa valeur de marché en bénéfice net annuel, un niveau intrinsèquement faible qui reflète la nature à très faible marge du négoce pétrolier aval. Le PER de 25,3x est nettement supérieur à la moyenne BRVM (8-12x), signalant que le marché intègre déjà une prime de croissance ou de qualité — voire une surévaluation relative — d'autant que le P/B de 5,61x (largement au-dessus du seuil de 4x) indique que les investisseurs paient plus de cinq fois la valeur comptable des fonds propres (27,16 Mds FCFA). Enfin, l'EV/EBITDA de 13,4x, dans la fourchette haute (10-15x), confirme que la valeur d'entreprise intègre une anticipation de rentabilité opérationnelle soutenue, ce qui contraste avec la marge nette réelle de seulement 1,0 % et invite à la prudence sur le potentiel de réévaluation.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performance remarquable de +21,00 %, portant le cours à 2 420 FCFA, malgré un repli de -2,22 % lors de la dernière séance qui marque une prise de bénéfices après le sommet. Le range de trading est large, entre un plus bas de 1 840 FCFA et un plus haut de 2 980 FCFA, soit une amplitude de 62 %, ce qui témoigne d'une dynamique nettement haussière mais ponctuée de corrections violentes. La tendance générale reste haussière, soutenue par la progression des volumes (moyenne de 4 968 titres/jour), mais le cours actuel (2 420 FCFA) se situe désormais sous sa moyenne (2 234 FCFA) — écart positif de 186 FCFA — ce qui suggère une distribution légèrement asymétrique vers le haut. Les statistiques descriptives confirment ce diagnostic : la moyenne (2 234 FCFA) dépasse la médiane et le mode (2 200 FCFA), signe d'une asymétrie positive (skewness de 0,951) indiquant que les journées de forte hausse, bien que moins nombreuses, ont tiré la moyenne vers le haut. L'écart-type de 243 FCFA et le coefficient de variation de 10,9 % traduisent une dispersion modérée du cours autour de sa tendance, tandis que le kurtosis de 0,978 (mésokurtique) suggère une distribution proche de la normale, sans risque extrême de pics. La volatilité annualisée de 44,1 % classe SHEC dans la catégorie des titres à volatilité élevée (&gt;30 %), ce qui implique un risque de marché significatif et justifie une approche prudente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(2 586,75 FCFA) se situe au-dessus de la MM50 (2 404,90 FCFA), configuration haussière classique (golden cross), mais le cours actuel (2 420 FCFA) est passé sous la MM20 tout en restant au-dessus de la MM50. Cette position mitigée explique la décision "Achat" : le support dynamique de la MM50 tient bon, mais la perte de la MM20 signale un essoufflement court terme.</w:t>
      </w:r>
    </w:p>
    <w:p>
      <w:pPr>
        <w:spacing w:after="120" w:line="276" w:lineRule="auto"/>
      </w:pPr>
      <w:r>
        <w:t>**Bandes de Bollinger** : Le cours (2 420 FCFA) évolue dans la partie basse de la bande (borne supérieure à 2 997,94 FCFA, borne inférieure à 2 175,56 FCFA), à environ 35 % de la largeur du canal. Cette position médiane-basse, combinée à un rétrécissement probable des bandes après le pic, justifie la décision "Neutre" : ni signal d'achat sur rebond, ni signal de vente sur cassure.</w:t>
      </w:r>
    </w:p>
    <w:p>
      <w:pPr>
        <w:spacing w:after="120" w:line="276" w:lineRule="auto"/>
      </w:pPr>
      <w:r>
        <w:t>**MACD** : La valeur du MACD (50,94) est nettement inférieure à son signal (93,15), configuration baissière avec divergence négative marquée. Le momentum s'affaiblit clairement après la poussée haussière, ce qui justifie la décision "Vente" : la dynamique court terme s'inverse et un croisement baissier est déjà effectif.</w:t>
      </w:r>
    </w:p>
    <w:p>
      <w:pPr>
        <w:spacing w:after="120" w:line="276" w:lineRule="auto"/>
      </w:pPr>
      <w:r>
        <w:t>**RSI** : À 47,99, le RSI se situe en zone parfaitement neutre (30-70), sans surchauffe ni survente. Cette position médiane, cohérente avec la correction récente, justifie la décision "Neutre" : le titre n'offre ni excès acheteur à corriger, ni excès vendeur à exploiter.</w:t>
      </w:r>
    </w:p>
    <w:p>
      <w:pPr>
        <w:spacing w:after="120" w:line="276" w:lineRule="auto"/>
      </w:pPr>
      <w:r>
        <w:t>**Stochastique** : Le %K (5,09) et le %D (6,50) sont tous deux en zone de survente extrême (&lt;20), avec un %K légèrement sous le %D. Cette configuration, bien que baissière à court terme, précède souvent un rebond technique, ce qui justifie la décision "Achat" : le potentiel de rebond est élevé à très court terme.</w:t>
      </w:r>
    </w:p>
    <w:p>
      <w:pPr>
        <w:spacing w:after="120" w:line="276" w:lineRule="auto"/>
      </w:pPr>
      <w:r>
        <w:t>**Conclusion technique** : Les indicateurs sont divergents — les moyennes mobiles et le stochastique plaident pour un achat (support MM50, survente), tandis que le MACD et les bandes de Bollinger recommandent la prudence (momentum négatif, position basse). Le RSI neutre confirme l'absence de signal directionnel fort. Dans ce contexte, le titre se trouve à un point d'inflexion : un rebond au-dessus de 2 500 FCFA validerait le scénario haussier, tandis qu'une cassure sous 2 400 FCFA (MM50) ouvrirait la voie à une correction plus profonde vers 2 175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SHEC a réalisé un chiffre d'affaires de 604,98 milliards FCFA, en très légère hausse de +0,71 % par rapport à 2024 (600,71 Mds FCFA), illustrant une stagnation de l'activité commerciale. Le résultat net s'établit à 6,03 milliards FCFA, en progression de +12,6 % (contre 5,35 Mds en 2024), grâce à une amélioration de la marge opérationnelle et une réduction des charges financières (-17,7 %). Le ROE ressort à 22,20 % (excellent, &gt;15 %), mais le ROA n'est que de 3,11 %, conséquence d'une rotation d'actifs très élevée (312,55 %) dans un modèle à faible marge. La marge nette reste structurellement faible à 0,996 %, typique du négoce pétrolier aval.</w:t>
      </w:r>
    </w:p>
    <w:p>
      <w:pPr>
        <w:spacing w:after="120" w:line="276" w:lineRule="auto"/>
      </w:pPr>
      <w:r>
        <w:t>**Analyse sectorielle (entreprise non bancaire)** : Le BFR s'élève à 15,32 milliards FCFA, avec un délai client de 23,27 jours (risque de trésorerie modéré) et un délai fournisseur de 35,47 jours (favorable à la trésorerie). La trésorerie nette est fortement négative à -65,26 milliards FCFA, et l'autonomie financière n'est que de 14,03 % (très en dessous du seuil sain de 30 %), tandis que la dépendance financière atteint 85,97 %. La capacité de remboursement (0,97 an) et la couverture des intérêts (292,84 %) restent correctes, mais le ratio d'endettement de 43,95 % et la liquidité immédiate de 5,97 % révèlent une tension de liquidité préoccupante.</w:t>
      </w:r>
    </w:p>
    <w:p>
      <w:pPr>
        <w:spacing w:after="120" w:line="276" w:lineRule="auto"/>
      </w:pPr>
      <w:r>
        <w:t>**Estimations basées sur les rapports trimestriels** : Selon le rapport du 30 juin 2026 (S1 2026), le CA recule de -1 % à 305,04 Mds FCFA, mais le résultat d'exploitation progresse de +17 % à 6,13 Mds FCFA, porté par le butane et les lubrifiants, avec un résultat net de 3,02 Mds FCFA (marge nette de 0,99 %). Le rapport du 31 mars 2026 (T1 2026) signalait déjà une baisse de -9 % du CA (141,65 Mds FCFA) sur l'aviation et le bitume, compensée par une stabilité du résultat net (+1 %). Sur cette base, on estime que l'exercice 2026 devrait afficher un CA en léger repli (-1 % à -2 %) autour de 595-600 Mds FCFA, mais un résultat net en hausse modérée (+5 % à +8 %) grâce à la poursuite de l'optimisation des charges et à la dynamique du butane. Le dividende proposé pour 2025 (6,09 Mds FCFA, soit 1 933 FCFA/action, un rendement de 79,9 % au cours actuel) est exceptionnellement généreux mais représente 101 % du résultat net, ce qui fragilise la structure financière.</w:t>
      </w:r>
    </w:p>
    <w:p>
      <w:pPr>
        <w:spacing w:after="120" w:line="276" w:lineRule="auto"/>
      </w:pPr>
      <w:r>
        <w:t>**Recommandation fondamentale** : La solidité opérationnelle de SHEC est réelle (ROE &gt;20 %, résultat net en croissance, maîtrise des charges), mais la fragilité financière (trésorerie nette négative, endettement court terme élevé, marge nette de 1 %) et la stagnation du CA constituent des risques majeurs. La recommandation fondamentale est **CONSERVER**, en attendant une clarification sur la soutenabilité du dividende et une amélioration de la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exigeante : le PER de 25,3x et le P/B de 5,61x intègrent déjà une prime de qualité qui contraste avec la faiblesse des marges (1 %) et la stagnation du CA (+0,71 % en 2025), suggérant une surévaluation relative par rapport aux standards de la BRVM (PER moyen 8-12x). Le comportement du cours sur 100 jours est haussier (+21 %) mais la volatilité annualisée de 44,1 % et le skewness positif (0,951) indiquent que la performance récente repose sur des poussées ponctuelles plutôt qu'une tendance linéaire, avec un risque de correction accru. Les signaux techniques sont divergents : le stochastique en survente extrême (5,09) et le support de la MM50 (2 404,90 FCFA) plaident pour un rebond, mais le MACD baissier (50,94 vs signal 93,15) et la position basse dans les bandes de Bollinger confirment un momentum négatif à court terme. Les fondamentaux sont mitigés : la rentabilité nette progresse (+12,6 % en 2025) et le ROE est excellent (22,20 %), mais la trésorerie nette (-65,26 Mds FCFA) et l'autonomie financière (14,03 %) constituent des vulnérabilités structurelles, tandis que les rapports S1 2026 (CA -1 %, résultat d'exploitation +17 %) suggèrent une résilience opérationnelle mais une croissance atone. Les prédictions IA (2 389 → 2 286 FCFA sur J+1 à J+5) confirment la pression baissière à court terme, en cohérence avec le MACD et la correction en cours, mais contredisent le signal d'achat du stochastique. **En synthèse, la convergence des signaux — valorisation tendue, momentum technique négatif, fondamentaux fragiles malgré une bonne rentabilité — plaide pour une recommandation de CONSERVER, avec un biais baissier à court terme.** Le niveau de confiance est **Moyen** (divergence entre indicateurs techniques et fondamentaux), le risque global est **Élevé** (volatilité de 44,1 %, endettement court terme, dépendance aux volumes aviation/bitume), et l'horizon optimal est **moyen terme (3-12 mois)**, le temps que la structure financière s'assainisse et que la tendance des volumes se confirme au second semestre 2026. Un renforcement ne serait justifié qu'en cas de cassure haussière au-dessus de 2 600 FCFA (MM20) avec confirmation du MACD, ou d'un repli vers 2 175 FCFA (borne inférieure de Bollinger) offrant un point d'entrée plus favorable.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10,882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+23.63%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7.04% (Moyenne) — μ=8,737 FCFA, σ=615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β=0.7246 (Défensif) — Cov=0.000044, Var(idx)=0.000061, ρ=0.292,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8,666</w:t>
            </w:r>
          </w:p>
        </w:tc>
        <w:tc>
          <w:tcPr>
            <w:tcW w:type="dxa" w:w="1440"/>
            <w:shd w:fill="FAFAFA" w:val="clear"/>
          </w:tcPr>
          <w:p>
            <w:r>
              <w:rPr>
                <w:b/>
                <w:sz w:val="17"/>
              </w:rPr>
              <w:t>8,937</w:t>
            </w:r>
          </w:p>
        </w:tc>
        <w:tc>
          <w:tcPr>
            <w:tcW w:type="dxa" w:w="1440"/>
            <w:shd w:fill="FAFAFA" w:val="clear"/>
          </w:tcPr>
          <w:p>
            <w:r>
              <w:rPr>
                <w:sz w:val="17"/>
              </w:rPr>
              <w:t>9,209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8,494</w:t>
            </w:r>
          </w:p>
        </w:tc>
        <w:tc>
          <w:tcPr>
            <w:tcW w:type="dxa" w:w="1440"/>
            <w:shd w:fill="FAFAFA" w:val="clear"/>
          </w:tcPr>
          <w:p>
            <w:r>
              <w:rPr>
                <w:b/>
                <w:sz w:val="17"/>
              </w:rPr>
              <w:t>8,875</w:t>
            </w:r>
          </w:p>
        </w:tc>
        <w:tc>
          <w:tcPr>
            <w:tcW w:type="dxa" w:w="1440"/>
            <w:shd w:fill="FAFAFA" w:val="clear"/>
          </w:tcPr>
          <w:p>
            <w:r>
              <w:rPr>
                <w:sz w:val="17"/>
              </w:rPr>
              <w:t>9,257</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8,344</w:t>
            </w:r>
          </w:p>
        </w:tc>
        <w:tc>
          <w:tcPr>
            <w:tcW w:type="dxa" w:w="1440"/>
            <w:shd w:fill="FFDCE0" w:val="clear"/>
          </w:tcPr>
          <w:p>
            <w:r>
              <w:rPr>
                <w:b/>
                <w:sz w:val="17"/>
              </w:rPr>
              <w:t>8,808</w:t>
            </w:r>
          </w:p>
        </w:tc>
        <w:tc>
          <w:tcPr>
            <w:tcW w:type="dxa" w:w="1440"/>
            <w:shd w:fill="FFDCE0" w:val="clear"/>
          </w:tcPr>
          <w:p>
            <w:r>
              <w:rPr>
                <w:sz w:val="17"/>
              </w:rPr>
              <w:t>9,272</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8,214</w:t>
            </w:r>
          </w:p>
        </w:tc>
        <w:tc>
          <w:tcPr>
            <w:tcW w:type="dxa" w:w="1440"/>
            <w:shd w:fill="FFDCE0" w:val="clear"/>
          </w:tcPr>
          <w:p>
            <w:r>
              <w:rPr>
                <w:b/>
                <w:sz w:val="17"/>
              </w:rPr>
              <w:t>8,746</w:t>
            </w:r>
          </w:p>
        </w:tc>
        <w:tc>
          <w:tcPr>
            <w:tcW w:type="dxa" w:w="1440"/>
            <w:shd w:fill="FFDCE0" w:val="clear"/>
          </w:tcPr>
          <w:p>
            <w:r>
              <w:rPr>
                <w:sz w:val="17"/>
              </w:rPr>
              <w:t>9,278</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8,100</w:t>
            </w:r>
          </w:p>
        </w:tc>
        <w:tc>
          <w:tcPr>
            <w:tcW w:type="dxa" w:w="1440"/>
            <w:shd w:fill="FFDCE0" w:val="clear"/>
          </w:tcPr>
          <w:p>
            <w:r>
              <w:rPr>
                <w:b/>
                <w:sz w:val="17"/>
              </w:rPr>
              <w:t>8,691</w:t>
            </w:r>
          </w:p>
        </w:tc>
        <w:tc>
          <w:tcPr>
            <w:tcW w:type="dxa" w:w="1440"/>
            <w:shd w:fill="FFDCE0" w:val="clear"/>
          </w:tcPr>
          <w:p>
            <w:r>
              <w:rPr>
                <w:sz w:val="17"/>
              </w:rPr>
              <w:t>9,282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7,997</w:t>
            </w:r>
          </w:p>
        </w:tc>
        <w:tc>
          <w:tcPr>
            <w:tcW w:type="dxa" w:w="1440"/>
            <w:shd w:fill="FFDCE0" w:val="clear"/>
          </w:tcPr>
          <w:p>
            <w:r>
              <w:rPr>
                <w:b/>
                <w:sz w:val="17"/>
              </w:rPr>
              <w:t>8,641</w:t>
            </w:r>
          </w:p>
        </w:tc>
        <w:tc>
          <w:tcPr>
            <w:tcW w:type="dxa" w:w="1440"/>
            <w:shd w:fill="FFDCE0" w:val="clear"/>
          </w:tcPr>
          <w:p>
            <w:r>
              <w:rPr>
                <w:sz w:val="17"/>
              </w:rPr>
              <w:t>9,284</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7,903</w:t>
            </w:r>
          </w:p>
        </w:tc>
        <w:tc>
          <w:tcPr>
            <w:tcW w:type="dxa" w:w="1440"/>
            <w:shd w:fill="FFDCE0" w:val="clear"/>
          </w:tcPr>
          <w:p>
            <w:r>
              <w:rPr>
                <w:b/>
                <w:sz w:val="17"/>
              </w:rPr>
              <w:t>8,595</w:t>
            </w:r>
          </w:p>
        </w:tc>
        <w:tc>
          <w:tcPr>
            <w:tcW w:type="dxa" w:w="1440"/>
            <w:shd w:fill="FFDCE0" w:val="clear"/>
          </w:tcPr>
          <w:p>
            <w:r>
              <w:rPr>
                <w:sz w:val="17"/>
              </w:rPr>
              <w:t>9,286</w:t>
            </w:r>
          </w:p>
        </w:tc>
        <w:tc>
          <w:tcPr>
            <w:tcW w:type="dxa" w:w="1440"/>
            <w:shd w:fill="FFDCE0" w:val="clear"/>
          </w:tcPr>
          <w:p>
            <w:r>
              <w:rPr>
                <w:b/>
                <w:color w:val="C00000"/>
                <w:sz w:val="17"/>
              </w:rPr>
              <w:t>-4.5%</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7,817</w:t>
            </w:r>
          </w:p>
        </w:tc>
        <w:tc>
          <w:tcPr>
            <w:tcW w:type="dxa" w:w="1440"/>
            <w:shd w:fill="FFDCE0" w:val="clear"/>
          </w:tcPr>
          <w:p>
            <w:r>
              <w:rPr>
                <w:b/>
                <w:sz w:val="17"/>
              </w:rPr>
              <w:t>8,552</w:t>
            </w:r>
          </w:p>
        </w:tc>
        <w:tc>
          <w:tcPr>
            <w:tcW w:type="dxa" w:w="1440"/>
            <w:shd w:fill="FFDCE0" w:val="clear"/>
          </w:tcPr>
          <w:p>
            <w:r>
              <w:rPr>
                <w:sz w:val="17"/>
              </w:rPr>
              <w:t>9,287</w:t>
            </w:r>
          </w:p>
        </w:tc>
        <w:tc>
          <w:tcPr>
            <w:tcW w:type="dxa" w:w="1440"/>
            <w:shd w:fill="FFDCE0" w:val="clear"/>
          </w:tcPr>
          <w:p>
            <w:r>
              <w:rPr>
                <w:b/>
                <w:color w:val="C00000"/>
                <w:sz w:val="17"/>
              </w:rPr>
              <w:t>-5.0%</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7,736</w:t>
            </w:r>
          </w:p>
        </w:tc>
        <w:tc>
          <w:tcPr>
            <w:tcW w:type="dxa" w:w="1440"/>
            <w:shd w:fill="FFDCE0" w:val="clear"/>
          </w:tcPr>
          <w:p>
            <w:r>
              <w:rPr>
                <w:b/>
                <w:sz w:val="17"/>
              </w:rPr>
              <w:t>8,512</w:t>
            </w:r>
          </w:p>
        </w:tc>
        <w:tc>
          <w:tcPr>
            <w:tcW w:type="dxa" w:w="1440"/>
            <w:shd w:fill="FFDCE0" w:val="clear"/>
          </w:tcPr>
          <w:p>
            <w:r>
              <w:rPr>
                <w:sz w:val="17"/>
              </w:rPr>
              <w:t>9,289</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7,660</w:t>
            </w:r>
          </w:p>
        </w:tc>
        <w:tc>
          <w:tcPr>
            <w:tcW w:type="dxa" w:w="1440"/>
            <w:shd w:fill="FFDCE0" w:val="clear"/>
          </w:tcPr>
          <w:p>
            <w:r>
              <w:rPr>
                <w:b/>
                <w:sz w:val="17"/>
              </w:rPr>
              <w:t>8,475</w:t>
            </w:r>
          </w:p>
        </w:tc>
        <w:tc>
          <w:tcPr>
            <w:tcW w:type="dxa" w:w="1440"/>
            <w:shd w:fill="FFDCE0" w:val="clear"/>
          </w:tcPr>
          <w:p>
            <w:r>
              <w:rPr>
                <w:sz w:val="17"/>
              </w:rPr>
              <w:t>9,290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900,00 Mds FCFA, la SIBC figure parmi les valeurs les plus capitalisées de la BRVM, ce qui en fait un pilier de l'indice composite et un titre de référence pour les investisseurs institutionnels de la zone UEMOA. Le BPA de 556 FCFA/action signifie que chaque titre génère près de 556 FCFA de bénéfice net, un niveau élevé qui traduit la forte rentabilité de la banque. Le PER de 16,2x se situe nettement au-dessus de la moyenne du marché BRVM (généralement comprise entre 8x et 12x), ce qui indique que les investisseurs acceptent de payer une prime significative pour cette valeur bancaire de qualité, justifiée par la régularité de ses résultats. Le P/B de 4,40x confirme cette prime, le marché valorisant la banque à plus de quatre fois sa valeur comptable, ce qui est exigeant mais cohérent avec un ROE supérieur à 27%. L'EV/EBITDA de 15,0x, très exigeant, suggère que la valeur d'entreprise intègre déjà une grande partie des bonnes performances opérationnelles,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remarquable de +23,63%, avec une dernière séance en hausse de +1,12%, confirmant une dynamique haussière toujours active. Le cours actuel de 9 000 FCFA se situe dans la partie haute du range de trading, le plus haut ayant été atteint à 9 500 FCFA et le plus bas à 7 050 FCFA, soit une amplitude de 2 450 FCFA (environ 35% du plus bas), ce qui témoigne d'une tendance clairement haussière sur la période. Les statistiques descriptives révèlent une moyenne de 8 737 FCFA légèrement inférieure à la médiane de 8 900 FCFA, tandis que le mode s'établit à 9 000 FCFA (cours actuel), suggérant que le titre évolue actuellement dans sa zone de plus forte fréquence. L'écart-type de 618 FCFA avec un coefficient de variation de 7,1% indique une dispersion modérée du cours autour de sa moyenne, ce qui est rassurant pour un titre ayant progressé de plus de 23%. Le kurtosis de 1,287 (leptokurtique) signale des queues épaisses, donc un risque de pics de volatilité brusques, tandis que le skewness de -1,545 (asymétrie négative) indique paradoxalement plus de journées au-dessus de la moyenne, ce qui est cohérent avec la tendance haussière mais suggère aussi quelques corrections violentes. La volatilité annualisée de 31,2% positionne le titre dans la catégorie des valeurs à volatilité élevée (&gt;30%), ce qui est typique des valeurs bancaires de croissance sur la BRVM et implique un risque de marché non négligeable.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9 143,5 FCFA et la MM50 à 9 090,4 FCFA, toutes deux supérieures au cours actuel de 9 000 FCFA. Cette configuration indique que le titre évolue légèrement en dessous de ses moyennes court et moyen terme, ce qui pourrait signaler un essoufflement de la dynamique haussière. Toutefois, la décision technique fournie est "Achat", probablement parce que la MM20 reste au-dessus de la MM50 (configuration haussière de fond) et que le cours pourrait rebondir vers ces niveaux.</w:t>
      </w:r>
    </w:p>
    <w:p>
      <w:pPr>
        <w:spacing w:after="120" w:line="276" w:lineRule="auto"/>
      </w:pPr>
      <w:r>
        <w:t>**Bandes de Bollinger** : La borne supérieure est à 9 514,545 FCFA et la borne inférieure à 8 772,455 FCFA, avec un cours actuel de 9 000 FCFA qui se situe dans la moitié inférieure de la bande. La décision est "Neutre", ce qui reflète l'absence de signal directionnel fort : le cours n'est ni en surachat (proche de la borne supérieure) ni en survente (proche de la borne inférieure). La largeur des bandes (environ 742 FCFA) confirme une volatilité modérée à élevée.</w:t>
      </w:r>
    </w:p>
    <w:p>
      <w:pPr>
        <w:spacing w:after="120" w:line="276" w:lineRule="auto"/>
      </w:pPr>
      <w:r>
        <w:t>**MACD** : La valeur du MACD est de -50,024 contre un signal à -5,295, ce qui place le MACD en territoire négatif et en dessous de sa ligne de signal. Cette configuration est baissière et justifie la décision "Vente" : le momentum est clairement négatif, et la divergence entre le MACD et son signal suggère que la pression vendeuse pourrait persister à court terme.</w:t>
      </w:r>
    </w:p>
    <w:p>
      <w:pPr>
        <w:spacing w:after="120" w:line="276" w:lineRule="auto"/>
      </w:pPr>
      <w:r>
        <w:t>**RSI** : À 46,97, le RSI se situe dans la zone neutre (entre 30 et 70), sans signal de surachat ni de survente. La décision "Neutre" est cohérente : le titre n'est ni suracheté ni survendu, ce qui laisse la porte ouverte à une reprise comme à une poursuite de la correction.</w:t>
      </w:r>
    </w:p>
    <w:p>
      <w:pPr>
        <w:spacing w:after="120" w:line="276" w:lineRule="auto"/>
      </w:pPr>
      <w:r>
        <w:t>**Stochastique** : Le %K est à 62,025 et le %D à 37,131, avec un %K nettement au-dessus du %D. Cette configuration est généralement interprétée comme un signal d'achat à court terme (croisement haussier), mais la décision fournie est "Neutre", probablement parce que le %K n'est pas encore en zone de surachat (&gt;80) et que la fiabilité du signal reste limitée dans un contexte de MACD baissier.</w:t>
      </w:r>
    </w:p>
    <w:p>
      <w:pPr>
        <w:spacing w:after="120" w:line="276" w:lineRule="auto"/>
      </w:pPr>
      <w:r>
        <w:t>**Conclusion technique** : Les indicateurs techniques présentent une divergence notable. Les moyennes mobiles restent haussières de fond (MM20 &gt; MM50) et le stochastique suggère un possible rebond à court terme, mais le MACD baissier et le cours sous les moyennes mobiles tempèrent l'optimisme. Le RSI et les bandes de Bollinger étant neutres, le titre se trouve dans une zone d'incertitude technique, avec un léger avantage aux vendeurs à court terme mais un potentiel de rebond non négligeable.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(états financiers annuels) révèlent une banque solide et rentable. Le Produit Net Bancaire (PNB, équivalent du chiffre d'affaires pour une banque) s'établit à 108,663 Mds FCFA, en croissance de 5,74% par rapport à 2024, tandis que le résultat net atteint 55,623 Mds FCFA, soit une marge nette exceptionnelle de 51,19%. Le ROE de 27,16% et le ROA de 2,96% confirment une rentabilité parmi les meilleures du secteur bancaire ouest-africain. Le coefficient d'exploitation de 38,59% est excellent (bien en dessous du seuil de 60% qui définit une banque efficace), témoignant d'une maîtrise rigoureuse des charges. Le portefeuille de crédits s'élève à 1 226,72 Mds FCFA pour des dépôts clientèle de 1 503,44 Mds FCFA, soit un ratio de transformation (crédits/dépôts) de 81,6%, ce qui indique une utilisation saine des ressources collectées. Les capitaux propres de 204,765 Mds FCFA pour un total bilan de 1 881,733 Mds FCFA donnent une autonomie financière de 10,88%, typique d'une banque (effet de levier élevé mais maîtrisé). Le ratio de solvabilité générale de 112,21% confirme la solvabilité de l'établissement. Les rapports trimestriels récents confirment cette dynamique : le T1 2026 (publié en 2026) affiche un PNB de 27,7 Mds FCFA (+4% en glissement annuel) et un résultat net de 15,2 Mds FCFA (+11%), avec une marge nette de 54,9%. Le rapport T3 2025 (cumul 9 mois, publié en 2025) montre un PNB de 81,4 Mds FCFA (+8%) et un résultat net de 43,0 Mds FCFA (+11%), avec une collecte de dépôts en hausse de 10% à 1 514 Mds FCFA. Sur la base de ces tendances, on estime que l'exercice 2026 devrait enregistrer un PNB d'environ 113-115 Mds FCFA et un résultat net de l'ordre de 58-60 Mds FCFA, soit une croissance de 5 à 8% par rapport à 2025. Le principal risque identifié est le coût du risque (provisions) qui, bien que maîtrisé, pourrait augmenter en cas de dégradation de la conjoncture économique ivoirienne. La recommandation fondamentale est donc positive : la SIBC est une banque solide, rentable, bien capitalisée et en croissance régulière, ce qui justifie une prime de valorisation sur le marché.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La valorisation (Partie 0) est exigeante : PER de 16,2x et P/B de 4,40x indiquent que le marché paie une prime significative pour la qualité de la SIBC, ce qui limite le potentiel de revalorisation à court terme mais se justifie par des fondamentaux solides. Le comportement du cours (Partie 1) est haussier sur 100 jours (+23,63%) mais les statistiques descriptives (kurtosis élevé, skewness négatif) suggèrent un risque de correction brusque, et la volatilité annualisée de 31,2% est élevée. Les signaux techniques (Partie 2) sont mitigés : les moyennes mobiles restent haussières de fond mais le MACD est baissier, le RSI est neutre et les bandes de Bollinger ne donnent pas de signal directionnel clair, ce qui plaide pour une consolidation à court terme. Les fondamentaux (Partie 3) sont excellents : ROE de 27,16%, coefficient d'exploitation de 38,59%, croissance régulière du PNB et du résultat net, et les rapports trimestriels (T1 2026, T3 2025) confirment cette dynamique. Les prédictions IA (J+1 à J+10) anticipent une baisse progressive du cours de 8 937 FCFA à 8 691 FCFA, ce qui contredit la tendance haussière récente mais est cohérent avec le signal baissier du MACD et la position du cours sous les moyennes mobiles. Sur la base de cette synthèse, la recommandation finale est **CONSERVER** : les fondamentaux solides et la croissance régulière justifient de maintenir la position pour les investisseurs déjà exposés, mais la valorisation exigeante et les signaux techniques baissiers à court terme déconseillent un achat immédiat. Le niveau de confiance est **Moyen** (les fondamentaux sont solides mais les signaux techniques et la valorisation créent une incertitude à court terme). Le niveau de risque global est **Moyen** (volatilité élevée mais fondamentaux rassurants). L'horizon d'investissement optimal est le **moyen terme (3-12 mois)**, en attendant une correction du cours vers la zone des 8 700-8 800 FCFA qui offrirait un point d'entrée plus attractif, ou la publication des résultats semestriels 2026 pour confirmer la tendance fondamentale.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β=-1.0049 (Contre-cyclique) — Cov=-0.000037, Var(idx)=0.000036, ρ=-0.167, n=93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(SICC)**</w:t>
        <w:br/>
        <w:t>**Bourse Régionale des Valeurs Mobilières (BRVM) — Secteur Agro-industriel**</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qui positionne le titre parmi les petites capitalisations de la BRVM, ce qui implique une liquidité limitée (volume moyen de seulement 120 titres/jour) et une sensibilité accrue aux mouvements de faible ampleur. Les ratios de valorisation classiques (BPA, PER, P/B, EV/EBITDA) ne sont pas calculables en l'absence de données financières structurées exploitables dans la base, ce qui prive l'investisseur d'une référence directe pour juger si le marché paie cher ou non les bénéfices. On peut toutefois noter, à titre indicatif, qu'avec un résultat net 2023 de 19,25 millions FCFA (rapport MISTRAL du 15/03/2026) et une capitalisation de 5,04 milliards FCFA, le PER implicite ressortirait à un niveau très élevé (supérieur à 200x), bien au-delà de la moyenne BRVM (8-12x), signalant une décorrélation marquée entre le prix de marché et la rentabilité comptable actuelle. Cette situation s'explique par la dynamique spéculative récente du cours (+95% en 100 jours) plutôt que par une amélioration fondamentale proportionnelle, invitant à la plus grande prudence sur la soutenabilité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exceptionnelle de +95,35%, portant le cours à 8 400 FCFA, malgré un repli marginal de -1,12% lors de la dernière séance. Le range de trading est particulièrement large, avec un plus haut à 10 200 FCFA et un plus bas à 3 985 FCFA, soit un écart de plus de 155% entre les deux extrêmes, témoignant d'une tendance haussière puissante mais ponctuée de corrections violentes. Les statistiques descriptives révèlent une moyenne de 5 815 FCFA nettement supérieure à la médiane de 5 022 FCFA, signe d'une distribution asymétrique tirée vers le haut par les récents pics ; le mode à 4 380 FCFA rappelle que le cours a longtemps stagné avant son envolée. L'écart-type de 1 813 FCFA et le coefficient de variation de 31,2% traduisent une dispersion élevée du cours autour de sa moyenne, confirmant une forte instabilité. Le kurtosis de -0,630 (mésokurtique) indique une distribution proche de la normale, sans risque de pics extrêmes marqué, tandis que le skewness positif de 0,913 signale davantage de journées sous la moyenne que de journées exceptionnellement haussières — une configuration typique d'un rallye porté par quelques séances explosives. Enfin, la volatilité annualisée de 58,2% classe le titre dans la catégorie des valeurs à volatilité élevée (&gt;30%), ce qui expose l'investisseur à un risque de drawdown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(7 205,00 FCFA) se situent toutes deux sous le cours actuel (8 400 FCFA), avec la MM20 au-dessus de la MM50, configuration classique d'un croisement haussier (golden cross) confirmant la tendance positive de moyen terme. La décision technique affichée est "Achat", cohérente avec cette structure de moyennes ascendantes.</w:t>
      </w:r>
    </w:p>
    <w:p>
      <w:pPr>
        <w:spacing w:after="120" w:line="276" w:lineRule="auto"/>
      </w:pPr>
      <w:r>
        <w:t>**Bandes de Bollinger** : Le cours (8 400 FCFA) évolue dans la partie supérieure de la bande, entre la borne inférieure (7 354,78 FCFA) et la borne supérieure (9 589,72 FCFA), sans franchir cette dernière. La décision est "Neutre", traduisant une absence de signal extrême : le titre n'est ni en surachat violent ni en survente, mais la largeur des bandes confirme la volatilité élevée.</w:t>
      </w:r>
    </w:p>
    <w:p>
      <w:pPr>
        <w:spacing w:after="120" w:line="276" w:lineRule="auto"/>
      </w:pPr>
      <w:r>
        <w:t>**MACD** : La valeur du MACD (274,04) est inférieure à son signal (366,29), générant une décision "Vente". Cette divergence baissière indique un essoufflement du momentum haussier malgré la tendance de fond positive, signalant un possible ralentissement ou une consolidation à venir.</w:t>
      </w:r>
    </w:p>
    <w:p>
      <w:pPr>
        <w:spacing w:after="120" w:line="276" w:lineRule="auto"/>
      </w:pPr>
      <w:r>
        <w:t>**RSI** : À 61,16, le RSI se situe en zone neutre-haute, sans atteindre le seuil de surachat (&gt;70). La décision "Neutre" suggère que le titre conserve un potentiel de hausse résiduel, mais que la dynamique n'est plus aussi explosive qu'en début de rallye.</w:t>
      </w:r>
    </w:p>
    <w:p>
      <w:pPr>
        <w:spacing w:after="120" w:line="276" w:lineRule="auto"/>
      </w:pPr>
      <w:r>
        <w:t>**Stochastique** : Le %K (85,71) et le %D (94,76) sont tous deux en zone de surachat (&gt;80), avec un %D supérieur au %K, configuration baissière typique annonçant un croisement à la baisse imminent. La décision "Vente" confirme ce risque de correction à court terme.</w:t>
      </w:r>
    </w:p>
    <w:p>
      <w:pPr>
        <w:spacing w:after="120" w:line="276" w:lineRule="auto"/>
      </w:pPr>
      <w:r>
        <w:t>**Conclusion technique** : Les indicateurs présentent une divergence notable : les moyennes mobiles restent haussières (Achat), tandis que le MACD et le stochastique signalent une "Vente", et que le RSI et les Bollinger sont "Neutres". Cette configuration mixte traduit un essoufflement du rallye après +95% en 100 jours, avec un risque de consolidation à court terme, sans invalidation de la tendance de fond tant que le cours se maintient au-dessus de la MM50 (7 205 FCFA).</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officielles ne sont pas disponibles dans la base, mais les rapports narratifs fournis permettent de reconstituer l'évolution de SICOR sur plusieurs exercices. Selon le rapport MISTRAL du 15/03/2026 portant sur l'exercice 2023, le chiffre d'affaires s'est établi à 701,09 millions FCFA, en baisse de 38,4% par rapport aux 1 138,17 millions FCFA de 2022 (rapport MISTRAL du 15/03/2026 sur l'exercice 2022), avec un résultat net revenu à +19,25 millions FCFA contre une perte de -39,95 millions FCFA en 2022, soit un retour à la profitabilité après deux années de pertes. La marge nette 2023 ressort à 2,75%, très inférieure à la moyenne sectorielle agro-industrielle ouest-africaine (5-10%), et le rapport GEMINI-VISION du 06/09/2026 sur l'exercice 2024 confirme la poursuite de cette fragilité. L'analyse de l'exercice 2021 (rapport du 07/09/2026) révèle un bénéfice net de 119,2 millions FCFA en trompe-l'œil, soutenu par un résultat financier exceptionnel de +66 millions FCFA (reprises de provisions non récurrentes), alors que le chiffre d'affaires chutait de 41% à 1,38 milliard FCFA et que l'EBE reculait à 165 millions FCFA. Les exercices antérieurs (rapports 2024 sur 2015-2017) montrent un historique de rentabilité modeste mais positive (résultat net 2015 : 434,87 M FCFA ; 2016 : 53,31 M FCFA ; 2017 : 100,57 M FCFA), avec des marges nettes oscillant entre 3,4% et 15,7%. Le rapport à nouveau reste négatif (-769 millions FCFA en 2021, -689,86 millions FCFA en 2023), interdisant toute distribution de dividende depuis 2018 conformément à l'Acte Uniforme OHADA. Les risques identifiés sont multiples : vols de noix de coco (arrêt du site de Boulay en 2023), découverts bancaires multipliés par 14 (+1 319%), dépendance à l'actionnaire majoritaire DEVACO (70,44%), et concurrence accrue de SIFCA et Olam. En synthèse, la situation fondamentale demeure fragile : retour à la profitabilité en 2023 mais à un niveau très faible, absence de dividende, pertes cumulées non résorbées, et perspectives conditionnées à la maîtrise des coûts et à la sécurisation des approvisionnements. La recommandation fondamentale qui se dégage de ces rapports est "CONSERVER avec vigilance", sans signal d'achat fort.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préoccupante entre la dynamique boursière et la réalité fondamentale de SICOR. Sur le plan de la valorisation (Partie 0), l'absence de ratios calculables et le PER implicite très élevé (&gt;200x contre 8-12x pour la moyenne BRVM) suggèrent une surévaluation manifeste du titre par rapport à ses bénéfices actuels. Le comportement du cours (Partie 1) est exceptionnellement haussier (+95,35% en 100 jours) mais accompagné d'une volatilité annualisée de 58,2% et d'un skewness positif (0,913) indiquant que la performance repose sur quelques séances explosives plutôt que sur une tendance régulière — configuration préoccupante. Les signaux techniques (Partie 2) sont mitigés : les moyennes mobiles restent haussières, mais le MACD et le stochastique en zone de surachat (%D=94,76) signalent une correction imminente. Les fondamentaux (Partie 3) demeurent fragiles : chiffre d'affaires 2023 en baisse de 38,4%, marge nette de 2,75%, pertes cumulées non résorbées, absence de dividende depuis 2018, et bénéfices antérieurs soutenus par des éléments non récurrents. Enfin, les prédictions IA (J+1 à J+10) anticipent une trajectoire baissière (7 347 FCFA puis 7 239 FCFA), soit un repli d'environ 14% depuis le cours actuel de 8 400 FCFA, ce qui confirme les signaux de vente techniques et contredit la dynamique haussière passée. **Recommandation finale : VENTE** — la convergence entre surévaluation, signaux techniques baissiers (MACD, stochastique), fondamentaux fragiles et prédictions IA négatives l'emporte sur la tendance haussière résiduelle des moyennes mobiles. Le niveau de confiance est **Moyen** (les données fondamentales sont partielles et les rapports datent de 2023-2024), et le niveau de risque global est **Élevé** (volatilité de 58,2%, liquidité faible, absence de dividende). L'horizon d'investissement recommandé est **court terme (&lt;3 mois)** pour les investisseurs déjà positionnés souhaitant sécuriser leurs gains, avec un objectif de sortie autour de 7 200-7 350 FCFA correspondant aux prédictions IA et à la MM50.</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-27.93%</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11.31% (Moyenne) — μ=2,471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β=0.4577 (Défensif) — Cov=0.000028, Var(idx)=0.000061, ρ=0.110,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1,928</w:t>
            </w:r>
          </w:p>
        </w:tc>
        <w:tc>
          <w:tcPr>
            <w:tcW w:type="dxa" w:w="1440"/>
            <w:shd w:fill="FAFAFA" w:val="clear"/>
          </w:tcPr>
          <w:p>
            <w:r>
              <w:rPr>
                <w:b/>
                <w:sz w:val="17"/>
              </w:rPr>
              <w:t>2,011</w:t>
            </w:r>
          </w:p>
        </w:tc>
        <w:tc>
          <w:tcPr>
            <w:tcW w:type="dxa" w:w="1440"/>
            <w:shd w:fill="FAFAFA" w:val="clear"/>
          </w:tcPr>
          <w:p>
            <w:r>
              <w:rPr>
                <w:sz w:val="17"/>
              </w:rPr>
              <w:t>2,093</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1,884</w:t>
            </w:r>
          </w:p>
        </w:tc>
        <w:tc>
          <w:tcPr>
            <w:tcW w:type="dxa" w:w="1440"/>
            <w:shd w:fill="FAFAFA" w:val="clear"/>
          </w:tcPr>
          <w:p>
            <w:r>
              <w:rPr>
                <w:b/>
                <w:sz w:val="17"/>
              </w:rPr>
              <w:t>2,000</w:t>
            </w:r>
          </w:p>
        </w:tc>
        <w:tc>
          <w:tcPr>
            <w:tcW w:type="dxa" w:w="1440"/>
            <w:shd w:fill="FAFAFA" w:val="clear"/>
          </w:tcPr>
          <w:p>
            <w:r>
              <w:rPr>
                <w:sz w:val="17"/>
              </w:rPr>
              <w:t>2,116</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1,848</w:t>
            </w:r>
          </w:p>
        </w:tc>
        <w:tc>
          <w:tcPr>
            <w:tcW w:type="dxa" w:w="1440"/>
            <w:shd w:fill="FAFAFA" w:val="clear"/>
          </w:tcPr>
          <w:p>
            <w:r>
              <w:rPr>
                <w:b/>
                <w:sz w:val="17"/>
              </w:rPr>
              <w:t>1,990</w:t>
            </w:r>
          </w:p>
        </w:tc>
        <w:tc>
          <w:tcPr>
            <w:tcW w:type="dxa" w:w="1440"/>
            <w:shd w:fill="FAFAFA" w:val="clear"/>
          </w:tcPr>
          <w:p>
            <w:r>
              <w:rPr>
                <w:sz w:val="17"/>
              </w:rPr>
              <w:t>2,132</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1,818</w:t>
            </w:r>
          </w:p>
        </w:tc>
        <w:tc>
          <w:tcPr>
            <w:tcW w:type="dxa" w:w="1440"/>
            <w:shd w:fill="FAFAFA" w:val="clear"/>
          </w:tcPr>
          <w:p>
            <w:r>
              <w:rPr>
                <w:b/>
                <w:sz w:val="17"/>
              </w:rPr>
              <w:t>1,981</w:t>
            </w:r>
          </w:p>
        </w:tc>
        <w:tc>
          <w:tcPr>
            <w:tcW w:type="dxa" w:w="1440"/>
            <w:shd w:fill="FAFAFA" w:val="clear"/>
          </w:tcPr>
          <w:p>
            <w:r>
              <w:rPr>
                <w:sz w:val="17"/>
              </w:rPr>
              <w:t>2,143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1,791</w:t>
            </w:r>
          </w:p>
        </w:tc>
        <w:tc>
          <w:tcPr>
            <w:tcW w:type="dxa" w:w="1440"/>
            <w:shd w:fill="FAFAFA" w:val="clear"/>
          </w:tcPr>
          <w:p>
            <w:r>
              <w:rPr>
                <w:b/>
                <w:sz w:val="17"/>
              </w:rPr>
              <w:t>1,972</w:t>
            </w:r>
          </w:p>
        </w:tc>
        <w:tc>
          <w:tcPr>
            <w:tcW w:type="dxa" w:w="1440"/>
            <w:shd w:fill="FAFAFA" w:val="clear"/>
          </w:tcPr>
          <w:p>
            <w:r>
              <w:rPr>
                <w:sz w:val="17"/>
              </w:rPr>
              <w:t>2,153</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1,765</w:t>
            </w:r>
          </w:p>
        </w:tc>
        <w:tc>
          <w:tcPr>
            <w:tcW w:type="dxa" w:w="1440"/>
            <w:shd w:fill="FAFAFA" w:val="clear"/>
          </w:tcPr>
          <w:p>
            <w:r>
              <w:rPr>
                <w:b/>
                <w:sz w:val="17"/>
              </w:rPr>
              <w:t>1,963</w:t>
            </w:r>
          </w:p>
        </w:tc>
        <w:tc>
          <w:tcPr>
            <w:tcW w:type="dxa" w:w="1440"/>
            <w:shd w:fill="FAFAFA" w:val="clear"/>
          </w:tcPr>
          <w:p>
            <w:r>
              <w:rPr>
                <w:sz w:val="17"/>
              </w:rPr>
              <w:t>2,160</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1,742</w:t>
            </w:r>
          </w:p>
        </w:tc>
        <w:tc>
          <w:tcPr>
            <w:tcW w:type="dxa" w:w="1440"/>
            <w:shd w:fill="FFDCE0" w:val="clear"/>
          </w:tcPr>
          <w:p>
            <w:r>
              <w:rPr>
                <w:b/>
                <w:sz w:val="17"/>
              </w:rPr>
              <w:t>1,954</w:t>
            </w:r>
          </w:p>
        </w:tc>
        <w:tc>
          <w:tcPr>
            <w:tcW w:type="dxa" w:w="1440"/>
            <w:shd w:fill="FFDCE0" w:val="clear"/>
          </w:tcPr>
          <w:p>
            <w:r>
              <w:rPr>
                <w:sz w:val="17"/>
              </w:rPr>
              <w:t>2,167</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1,720</w:t>
            </w:r>
          </w:p>
        </w:tc>
        <w:tc>
          <w:tcPr>
            <w:tcW w:type="dxa" w:w="1440"/>
            <w:shd w:fill="FFDCE0" w:val="clear"/>
          </w:tcPr>
          <w:p>
            <w:r>
              <w:rPr>
                <w:b/>
                <w:sz w:val="17"/>
              </w:rPr>
              <w:t>1,946</w:t>
            </w:r>
          </w:p>
        </w:tc>
        <w:tc>
          <w:tcPr>
            <w:tcW w:type="dxa" w:w="1440"/>
            <w:shd w:fill="FFDCE0" w:val="clear"/>
          </w:tcPr>
          <w:p>
            <w:r>
              <w:rPr>
                <w:sz w:val="17"/>
              </w:rPr>
              <w:t>2,172</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1,699</w:t>
            </w:r>
          </w:p>
        </w:tc>
        <w:tc>
          <w:tcPr>
            <w:tcW w:type="dxa" w:w="1440"/>
            <w:shd w:fill="FFDCE0" w:val="clear"/>
          </w:tcPr>
          <w:p>
            <w:r>
              <w:rPr>
                <w:b/>
                <w:sz w:val="17"/>
              </w:rPr>
              <w:t>1,937</w:t>
            </w:r>
          </w:p>
        </w:tc>
        <w:tc>
          <w:tcPr>
            <w:tcW w:type="dxa" w:w="1440"/>
            <w:shd w:fill="FFDCE0" w:val="clear"/>
          </w:tcPr>
          <w:p>
            <w:r>
              <w:rPr>
                <w:sz w:val="17"/>
              </w:rPr>
              <w:t>2,176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1,678</w:t>
            </w:r>
          </w:p>
        </w:tc>
        <w:tc>
          <w:tcPr>
            <w:tcW w:type="dxa" w:w="1440"/>
            <w:shd w:fill="FFDCE0" w:val="clear"/>
          </w:tcPr>
          <w:p>
            <w:r>
              <w:rPr>
                <w:b/>
                <w:sz w:val="17"/>
              </w:rPr>
              <w:t>1,929</w:t>
            </w:r>
          </w:p>
        </w:tc>
        <w:tc>
          <w:tcPr>
            <w:tcW w:type="dxa" w:w="1440"/>
            <w:shd w:fill="FFDCE0" w:val="clear"/>
          </w:tcPr>
          <w:p>
            <w:r>
              <w:rPr>
                <w:sz w:val="17"/>
              </w:rPr>
              <w:t>2,180</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 RAPPORT D'ANALYSE FINANCIÈRE — SIVC / ERIUM COTE D'IVOIRE (BRVM)</w:t>
      </w:r>
    </w:p>
    <w:p>
      <w:pPr>
        <w:spacing w:after="120" w:line="276" w:lineRule="auto"/>
      </w:pPr>
      <w:r>
        <w:t>**Date d'analyse :** Septembre 2026 | **Cours de référence :** 2 000 FCFA | **Secteur :** Gaz industriels / Équipements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s'élève à **17,47 milliards FCFA**, un niveau modeste à l'échelle de la BRVM qui la place dans la catégorie des valeurs moyennes du compartiment industriel. Le BPA ressort à **43 FCFA/action**, soit un bénéfice unitaire faible qui, rapporté au cours de 2 000 FCFA, génère un **PER de 46,3x** — très largement supérieur à la moyenne BRVM (8-12x), ce qui traduit une valorisation tendue où l'investisseur paie environ 46 fois les bénéfices annuels. Le **P/B de 5,34x** confirme cette prime excessive : le marché valorise la société à plus de cinq fois sa valeur comptable, un niveau qui n'est justifié que par des anticipations de croissance forte. Enfin, l'**EV/EBITDA de 15,1x** (supérieur au seuil de 15x) signale que la valeur d'entreprise intègre déjà une prime opérationnelle significative, laissant peu de marge de sécurité. L'ensemble de ces ratios dresse le portrait d'un titre **survalorisé** au regard de ses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**chute spectaculaire de -27,93%**, avec une dernière séance particulièrement violente (-4,31%), ramenant le cours à **2 000 FCFA**. Le range de trading s'étend du plus haut de **2 875 FCFA** au plus bas de **1 920 FCFA**, soit une amplitude de près de 50%, témoignant d'une tendance nettement **baissière** et d'une pression vendeuse persistante. Les statistiques descriptives révèlent une **moyenne de 2 471 FCFA** supérieure à la **médiane de 2 400 FCFA**, signe d'une distribution légèrement asymétrique tirée vers le haut par les cours antérieurs, tandis que le **mode à 2 000 FCFA** coïncide avec le cours actuel, matérialisant un point d'équilibre bas. L'**écart-type de 281 FCFA (CV=11,4%)** indique une dispersion modérée autour de la moyenne, mais le **kurtosis de -1,242 (platykurtique)** signale une distribution aplatie avec une faible concentration des rendements — donc moins de pics extrêmes mais une érosion régulière. Le **skewness de 0,116** confirme une quasi-symétrie, sans biais directionnel marqué. La **volatilité annualisée de 51,9%** classe ce titre en catégorie **très volatile** (&gt;30%), ce qui expose l'investisseur à un risque de perte en capital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(2 247,5 FCFA) et la MM50 (2 274,9 FCFA) se situent toutes deux **au-dessus du cours actuel** (2 000 FCFA), avec la MM20 légèrement sous la MM50 — configuration baissière classique (death cross). Le cours évoluant sous ses deux moyennes, la **décision de Vente** est techniquement justifiée, aucune pression acheteuse ne parvenant à inverser la tendance.</w:t>
      </w:r>
    </w:p>
    <w:p>
      <w:pPr>
        <w:spacing w:after="120" w:line="276" w:lineRule="auto"/>
      </w:pPr>
      <w:r>
        <w:t>**Bandes de Bollinger :** Le cours (2 000 FCFA) se situe dans la moitié inférieure de la bande, entre la borne inférieure (1 953,07 FCFA) et la borne supérieure (2 541,93 FCFA), tout en restant proche du support inférieur. La **décision Neutre** reflète l'absence de signal extrême : le titre n'est ni en survente mécanique ni en surachat, mais la largeur des bandes (588 FCFA) confirme une volatilité élevée.</w:t>
      </w:r>
    </w:p>
    <w:p>
      <w:pPr>
        <w:spacing w:after="120" w:line="276" w:lineRule="auto"/>
      </w:pPr>
      <w:r>
        <w:t>**MACD :** La valeur du MACD (-82,98) est **nettement inférieure à son signal** (-50,7), avec un histogramme négatif qui se creuse — configuration baissière confirmée. Le momentum reste clairement négatif et la **décision de Vente** est cohérente avec cette divergence défavorable.</w:t>
      </w:r>
    </w:p>
    <w:p>
      <w:pPr>
        <w:spacing w:after="120" w:line="276" w:lineRule="auto"/>
      </w:pPr>
      <w:r>
        <w:t>**RSI :** À **26,63**, le RSI se situe en zone de **survente** (&lt;30), ce qui déclenche une **décision d'Achat** contra-cyclique. Ce signal suggère qu'un rebond technique à court terme est possible, mais il doit être pondéré par la tendance baissière de fond qui reste intacte.</w:t>
      </w:r>
    </w:p>
    <w:p>
      <w:pPr>
        <w:spacing w:after="120" w:line="276" w:lineRule="auto"/>
      </w:pPr>
      <w:r>
        <w:t>**Stochastique :** Le %K (0,0) et le %D (7,5) sont tous deux en zone extrême de survente, avec un %K au plancher absolu. La **décision d'Achat** traduit l'anticipation d'un retournement imminent, mais l'absence de croisement haussier confirmé invite à la prudence.</w:t>
      </w:r>
    </w:p>
    <w:p>
      <w:pPr>
        <w:spacing w:after="120" w:line="276" w:lineRule="auto"/>
      </w:pPr>
      <w:r>
        <w:t>**Conclusion technique :** Les indicateurs présentent une **divergence marquée** : les signaux de tendance (MM, MACD) sont baissiers et confirment la pression vendeuse, tandis que les oscillateurs (RSI, Stochastique) sont en survente extrême et suggèrent un rebond technique imminent. Cette configuration est typique d'un **point de retournement potentiel à court terme**, mais la faiblesse structurelle du titre impose de ne pas anticiper un renversement durable sans confirmation par les volumes et un croisement haussier des moyennes mobiles.</w:t>
      </w:r>
    </w:p>
    <w:p>
      <w:pPr>
        <w:spacing w:after="120" w:line="276" w:lineRule="auto"/>
      </w:pPr>
      <w:r>
        <w:t>---</w:t>
      </w:r>
    </w:p>
    <w:p>
      <w:pPr>
        <w:spacing w:after="120" w:line="276" w:lineRule="auto"/>
      </w:pPr>
      <w:r>
        <w:t>## PARTIE 3 : ANALYSE FONDAMENTALE (SECTION CRITIQUE)</w:t>
      </w:r>
    </w:p>
    <w:p>
      <w:pPr>
        <w:spacing w:after="120" w:line="276" w:lineRule="auto"/>
      </w:pPr>
      <w:r>
        <w:t>Les **états financiers annuels 2024** (base brvm_donnees_financieres) révèlent un profil de société industrielle en difficulté : le chiffre d'affaires s'établit à **9,283 milliards FCFA**, pour un résultat net de **376,96 millions FCFA**, soit une **marge nette de 4,06%**. Le **ROE de 11,52%** reste inférieur au seuil d'excellence de 15%, tandis que le **ROA de 2,69%** traduit une faible efficacité dans l'utilisation des actifs. La structure financière est préoccupante : l'**autonomie financière de 23,34%** est inférieure au seuil sain de 30%, le **ratio d'endettement de 80,09%** est élevé, et la **trésorerie nette est négative à -2,143 milliards FCFA**. Les délais d'exploitation sont anormalement longs (délai clients de 60,94 jours, durée de stockage de 163,14 jours), immobilisant du capital et pesant sur la liquidité (liquidité générale de 61,93%, très en deçà du seuil de 1).</w:t>
      </w:r>
    </w:p>
    <w:p>
      <w:pPr>
        <w:spacing w:after="120" w:line="276" w:lineRule="auto"/>
      </w:pPr>
      <w:r>
        <w:t>L'**exercice 2025** (rapport annuel daté du 31/12/2025, analysé par DEEPSEEK le 29/06/2026) marque une **dégradation brutale** : le CA progresse de +8,53% à **10,075 milliards FCFA**, mais le résultat net **chute de -52,4% à 179,29 millions FCFA**, avec une marge nette divisée par deux à **1,78%**. Le résultat financier bascule d'un gain de 316 M FCFA à une **perte de -114 M FCFA**, et l'endettement financier grimpe à **4,164 milliards FCFA**. Les capitaux propres reculent à **2,527 milliards FCFA** et la trésorerie nette reste négative à **-1,661 milliard FCFA**. Aucun dividende n'a été versé, la totalité du bénéfice étant mise en réserve pour apurer les pertes antérieures (report à nouveau négatif réduit de -599 M à -356 M FCFA).</w:t>
      </w:r>
    </w:p>
    <w:p>
      <w:pPr>
        <w:spacing w:after="120" w:line="276" w:lineRule="auto"/>
      </w:pPr>
      <w:r>
        <w:t>Les **rapports trimestriels 2025** dessinent toutefois une **inflexion positive** : le S1 2025 (rapport certifié du 30/06/2025) affiche un CA de **4,898 milliards FCFA** (+8,8%) et un résultat net de **512,9 millions FCFA** (+4,6%), avec une marge nette de 10,5%. Le T3 2025 (rapport du 30/09/2025) confirme l'accélération : CA cumulé de **7,585 milliards FCFA** (+13%), résultat net de **832,5 millions FCFA** (+58%), marge nette de 11,0% et résultat des activités ordinaires de 1 122 M FCFA (+67%). **On estime donc** que l'exercice 2025 complet, bien que pénalisé par des éléments exceptionnels défavorables au S2, pourrait dépasser les 1,0 milliard FCFA de résultat net hors éléments non récurrents — une trajectoire bien plus favorable que ne le suggère le chiffre annuel de 179 M FCFA.</w:t>
      </w:r>
    </w:p>
    <w:p>
      <w:pPr>
        <w:spacing w:after="120" w:line="276" w:lineRule="auto"/>
      </w:pPr>
      <w:r>
        <w:t>**Recommandation fondamentale :** La société présente un **paradoxe déroutant** — croissance commerciale réelle (+8,5% en 2024, +13% au T3 2025), mais rentabilité et structure financière dégradées. Le redressement opérationnel observé sur les neuf premiers mois de 2025 est encourageant, mais la fragilité de la trésorerie, l'endettement élevé et l'absence de dividende maintiennent un **profil de risque élevé**. La recommandation fondamentale est de **CONSERVER avec surveillance rapprochée**, en attendant la confirmation d'un retour durable à la profitabilité.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révèle un **déséquilibre profond** entre valorisation, technique et fondamentaux. La **valorisation (Partie 0)** est manifestement **surévaluée** : PER de 46,3x, P/B de 5,34x et EV/EBITDA de 15,1x intègrent des anticipations de croissance que les résultats actuels ne justifient pas. Le **comportement du cours (Partie 1)** est **préoccupant** : chute de -27,93% sur 100 jours, volatilité annualisée de 51,9%, distribution platykurtique sans pics de rebond — le titre évolue dans un canal baissier bien établi. Les **signaux techniques (Partie 2)** sont **divergents** : les indicateurs de tendance (MM, MACD) confirment la pression vendeuse, tandis que les oscillateurs (RSI à 26,6, Stochastique à 0,0) signalent une survente extrême propice à un rebond technique — mais sans confirmation haussière. Les **fondamentaux (Partie 3)** sont **fragiles** : si la croissance du CA est réelle (+8,5% en 2024, +13% au T3 2025), la chute du résultat net 2025 (-52,4%), la trésorerie négative (-1,66 Md FCFA) et l'endettement élevé (4,16 Md FCFA) pèsent lourdement. Les **prédictions IA (J+1 à J+10)** anticipent une **poursuite de la baisse** de 2 011 FCFA à 1 972 FCFA, confirmant la tendance baissière de court terme et contredisant l'hypothèse d'un rebond durable.</w:t>
      </w:r>
    </w:p>
    <w:p>
      <w:pPr>
        <w:spacing w:after="120" w:line="276" w:lineRule="auto"/>
      </w:pPr>
      <w:r>
        <w:t>**Recommandation finale : VENTE**</w:t>
      </w:r>
    </w:p>
    <w:p>
      <w:pPr>
        <w:spacing w:after="120" w:line="276" w:lineRule="auto"/>
      </w:pPr>
      <w:r>
        <w:t>Cette recommandation résulte d'une **convergence baissière** entre la valorisation excessive, la tendance technique dégradée, les fondamentaux fragiles et les prédictions IA négatives. Le rebond technique attendu par les oscillateurs en survente ne suffit pas à compenser le déséquilibre global. **Niveau de confiance : Moyen** (les signaux de survente introduisent une incertitude sur le timing). **Niveau de risque global : Élevé** (volatilité de 51,9%, trésorerie négative, endettement élevé). **Horizon d'investissement suggéré : Court terme (&lt;3 mois)** pour les investisseurs cherchant à sortir sur un rebond technique ; **moyen terme (3-12 mois)** pour ceux qui souhaitent surveiller la confirmation du redressement opérationnel avant toute réengagement. Un nouvel investisseur devrait **attendre** des signaux fondamentaux plus solides (retour à une marge nette &gt;5%, désendettement, trésorerie positive) avant d'envisager une position acheteuse.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1,358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+1.60%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2.23% (Faible) — μ=38,272 FCFA, σ=855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β=0.0954 (Défensif) — Cov=0.000006, Var(idx)=0.000061, ρ=0.048,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37,854</w:t>
            </w:r>
          </w:p>
        </w:tc>
        <w:tc>
          <w:tcPr>
            <w:tcW w:type="dxa" w:w="1440"/>
            <w:shd w:fill="FAFAFA" w:val="clear"/>
          </w:tcPr>
          <w:p>
            <w:r>
              <w:rPr>
                <w:b/>
                <w:sz w:val="17"/>
              </w:rPr>
              <w:t>38,534</w:t>
            </w:r>
          </w:p>
        </w:tc>
        <w:tc>
          <w:tcPr>
            <w:tcW w:type="dxa" w:w="1440"/>
            <w:shd w:fill="FAFAFA" w:val="clear"/>
          </w:tcPr>
          <w:p>
            <w:r>
              <w:rPr>
                <w:sz w:val="17"/>
              </w:rPr>
              <w:t>39,213</w:t>
            </w:r>
          </w:p>
        </w:tc>
        <w:tc>
          <w:tcPr>
            <w:tcW w:type="dxa" w:w="1440"/>
            <w:shd w:fill="FAFAFA" w:val="clear"/>
          </w:tcPr>
          <w:p>
            <w:r>
              <w:rPr>
                <w:b/>
                <w:color w:val="008000"/>
                <w:sz w:val="17"/>
              </w:rPr>
              <w:t>+1.4%</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37,851</w:t>
            </w:r>
          </w:p>
        </w:tc>
        <w:tc>
          <w:tcPr>
            <w:tcW w:type="dxa" w:w="1440"/>
            <w:shd w:fill="C6EFCE" w:val="clear"/>
          </w:tcPr>
          <w:p>
            <w:r>
              <w:rPr>
                <w:b/>
                <w:sz w:val="17"/>
              </w:rPr>
              <w:t>38,819</w:t>
            </w:r>
          </w:p>
        </w:tc>
        <w:tc>
          <w:tcPr>
            <w:tcW w:type="dxa" w:w="1440"/>
            <w:shd w:fill="C6EFCE" w:val="clear"/>
          </w:tcPr>
          <w:p>
            <w:r>
              <w:rPr>
                <w:sz w:val="17"/>
              </w:rPr>
              <w:t>39,787</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37,961</w:t>
            </w:r>
          </w:p>
        </w:tc>
        <w:tc>
          <w:tcPr>
            <w:tcW w:type="dxa" w:w="1440"/>
            <w:shd w:fill="C6EFCE" w:val="clear"/>
          </w:tcPr>
          <w:p>
            <w:r>
              <w:rPr>
                <w:b/>
                <w:sz w:val="17"/>
              </w:rPr>
              <w:t>39,157</w:t>
            </w:r>
          </w:p>
        </w:tc>
        <w:tc>
          <w:tcPr>
            <w:tcW w:type="dxa" w:w="1440"/>
            <w:shd w:fill="C6EFCE" w:val="clear"/>
          </w:tcPr>
          <w:p>
            <w:r>
              <w:rPr>
                <w:sz w:val="17"/>
              </w:rPr>
              <w:t>40,353</w:t>
            </w:r>
          </w:p>
        </w:tc>
        <w:tc>
          <w:tcPr>
            <w:tcW w:type="dxa" w:w="1440"/>
            <w:shd w:fill="C6EFCE" w:val="clear"/>
          </w:tcPr>
          <w:p>
            <w:r>
              <w:rPr>
                <w:b/>
                <w:color w:val="008000"/>
                <w:sz w:val="17"/>
              </w:rPr>
              <w:t>+3.0%</w:t>
            </w:r>
          </w:p>
        </w:tc>
      </w:tr>
      <w:tr>
        <w:tc>
          <w:tcPr>
            <w:tcW w:type="dxa" w:w="1440"/>
            <w:shd w:fill="C6EFCE" w:val="clear"/>
          </w:tcPr>
          <w:p>
            <w:r>
              <w:rPr>
                <w:sz w:val="17"/>
              </w:rPr>
              <w:t>J+4  Moyenne</w:t>
            </w:r>
          </w:p>
        </w:tc>
        <w:tc>
          <w:tcPr>
            <w:tcW w:type="dxa" w:w="1440"/>
            <w:shd w:fill="C6EFCE" w:val="clear"/>
          </w:tcPr>
          <w:p>
            <w:r>
              <w:rPr>
                <w:sz w:val="17"/>
              </w:rPr>
              <w:t>2026-10-01</w:t>
            </w:r>
          </w:p>
        </w:tc>
        <w:tc>
          <w:tcPr>
            <w:tcW w:type="dxa" w:w="1440"/>
            <w:shd w:fill="C6EFCE" w:val="clear"/>
          </w:tcPr>
          <w:p>
            <w:r>
              <w:rPr>
                <w:sz w:val="17"/>
              </w:rPr>
              <w:t>38,104</w:t>
            </w:r>
          </w:p>
        </w:tc>
        <w:tc>
          <w:tcPr>
            <w:tcW w:type="dxa" w:w="1440"/>
            <w:shd w:fill="C6EFCE" w:val="clear"/>
          </w:tcPr>
          <w:p>
            <w:r>
              <w:rPr>
                <w:b/>
                <w:sz w:val="17"/>
              </w:rPr>
              <w:t>39,497</w:t>
            </w:r>
          </w:p>
        </w:tc>
        <w:tc>
          <w:tcPr>
            <w:tcW w:type="dxa" w:w="1440"/>
            <w:shd w:fill="C6EFCE" w:val="clear"/>
          </w:tcPr>
          <w:p>
            <w:r>
              <w:rPr>
                <w:sz w:val="17"/>
              </w:rPr>
              <w:t>40,890</w:t>
            </w:r>
          </w:p>
        </w:tc>
        <w:tc>
          <w:tcPr>
            <w:tcW w:type="dxa" w:w="1440"/>
            <w:shd w:fill="C6EFCE" w:val="clear"/>
          </w:tcPr>
          <w:p>
            <w:r>
              <w:rPr>
                <w:b/>
                <w:color w:val="008000"/>
                <w:sz w:val="17"/>
              </w:rPr>
              <w:t>+3.9%</w:t>
            </w:r>
          </w:p>
        </w:tc>
      </w:tr>
      <w:tr>
        <w:tc>
          <w:tcPr>
            <w:tcW w:type="dxa" w:w="1440"/>
            <w:shd w:fill="C6EFCE" w:val="clear"/>
          </w:tcPr>
          <w:p>
            <w:r>
              <w:rPr>
                <w:sz w:val="17"/>
              </w:rPr>
              <w:t>J+5  Moyenne</w:t>
            </w:r>
          </w:p>
        </w:tc>
        <w:tc>
          <w:tcPr>
            <w:tcW w:type="dxa" w:w="1440"/>
            <w:shd w:fill="C6EFCE" w:val="clear"/>
          </w:tcPr>
          <w:p>
            <w:r>
              <w:rPr>
                <w:sz w:val="17"/>
              </w:rPr>
              <w:t>2026-10-02</w:t>
            </w:r>
          </w:p>
        </w:tc>
        <w:tc>
          <w:tcPr>
            <w:tcW w:type="dxa" w:w="1440"/>
            <w:shd w:fill="C6EFCE" w:val="clear"/>
          </w:tcPr>
          <w:p>
            <w:r>
              <w:rPr>
                <w:sz w:val="17"/>
              </w:rPr>
              <w:t>38,259</w:t>
            </w:r>
          </w:p>
        </w:tc>
        <w:tc>
          <w:tcPr>
            <w:tcW w:type="dxa" w:w="1440"/>
            <w:shd w:fill="C6EFCE" w:val="clear"/>
          </w:tcPr>
          <w:p>
            <w:r>
              <w:rPr>
                <w:b/>
                <w:sz w:val="17"/>
              </w:rPr>
              <w:t>39,830</w:t>
            </w:r>
          </w:p>
        </w:tc>
        <w:tc>
          <w:tcPr>
            <w:tcW w:type="dxa" w:w="1440"/>
            <w:shd w:fill="C6EFCE" w:val="clear"/>
          </w:tcPr>
          <w:p>
            <w:r>
              <w:rPr>
                <w:sz w:val="17"/>
              </w:rPr>
              <w:t>41,400</w:t>
            </w:r>
          </w:p>
        </w:tc>
        <w:tc>
          <w:tcPr>
            <w:tcW w:type="dxa" w:w="1440"/>
            <w:shd w:fill="C6EFCE" w:val="clear"/>
          </w:tcPr>
          <w:p>
            <w:r>
              <w:rPr>
                <w:b/>
                <w:color w:val="008000"/>
                <w:sz w:val="17"/>
              </w:rPr>
              <w:t>+4.8%</w:t>
            </w:r>
          </w:p>
        </w:tc>
      </w:tr>
      <w:tr>
        <w:tc>
          <w:tcPr>
            <w:tcW w:type="dxa" w:w="1440"/>
            <w:shd w:fill="C6EFCE" w:val="clear"/>
          </w:tcPr>
          <w:p>
            <w:r>
              <w:rPr>
                <w:sz w:val="17"/>
              </w:rPr>
              <w:t>J+6  Moyenne</w:t>
            </w:r>
          </w:p>
        </w:tc>
        <w:tc>
          <w:tcPr>
            <w:tcW w:type="dxa" w:w="1440"/>
            <w:shd w:fill="C6EFCE" w:val="clear"/>
          </w:tcPr>
          <w:p>
            <w:r>
              <w:rPr>
                <w:sz w:val="17"/>
              </w:rPr>
              <w:t>2026-10-05</w:t>
            </w:r>
          </w:p>
        </w:tc>
        <w:tc>
          <w:tcPr>
            <w:tcW w:type="dxa" w:w="1440"/>
            <w:shd w:fill="C6EFCE" w:val="clear"/>
          </w:tcPr>
          <w:p>
            <w:r>
              <w:rPr>
                <w:sz w:val="17"/>
              </w:rPr>
              <w:t>38,420</w:t>
            </w:r>
          </w:p>
        </w:tc>
        <w:tc>
          <w:tcPr>
            <w:tcW w:type="dxa" w:w="1440"/>
            <w:shd w:fill="C6EFCE" w:val="clear"/>
          </w:tcPr>
          <w:p>
            <w:r>
              <w:rPr>
                <w:b/>
                <w:sz w:val="17"/>
              </w:rPr>
              <w:t>40,154</w:t>
            </w:r>
          </w:p>
        </w:tc>
        <w:tc>
          <w:tcPr>
            <w:tcW w:type="dxa" w:w="1440"/>
            <w:shd w:fill="C6EFCE" w:val="clear"/>
          </w:tcPr>
          <w:p>
            <w:r>
              <w:rPr>
                <w:sz w:val="17"/>
              </w:rPr>
              <w:t>41,888</w:t>
            </w:r>
          </w:p>
        </w:tc>
        <w:tc>
          <w:tcPr>
            <w:tcW w:type="dxa" w:w="1440"/>
            <w:shd w:fill="C6EFCE" w:val="clear"/>
          </w:tcPr>
          <w:p>
            <w:r>
              <w:rPr>
                <w:b/>
                <w:color w:val="008000"/>
                <w:sz w:val="17"/>
              </w:rPr>
              <w:t>+5.7%</w:t>
            </w:r>
          </w:p>
        </w:tc>
      </w:tr>
      <w:tr>
        <w:tc>
          <w:tcPr>
            <w:tcW w:type="dxa" w:w="1440"/>
            <w:shd w:fill="C6EFCE" w:val="clear"/>
          </w:tcPr>
          <w:p>
            <w:r>
              <w:rPr>
                <w:sz w:val="17"/>
              </w:rPr>
              <w:t>J+7  Moyenne</w:t>
            </w:r>
          </w:p>
        </w:tc>
        <w:tc>
          <w:tcPr>
            <w:tcW w:type="dxa" w:w="1440"/>
            <w:shd w:fill="C6EFCE" w:val="clear"/>
          </w:tcPr>
          <w:p>
            <w:r>
              <w:rPr>
                <w:sz w:val="17"/>
              </w:rPr>
              <w:t>2026-10-06</w:t>
            </w:r>
          </w:p>
        </w:tc>
        <w:tc>
          <w:tcPr>
            <w:tcW w:type="dxa" w:w="1440"/>
            <w:shd w:fill="C6EFCE" w:val="clear"/>
          </w:tcPr>
          <w:p>
            <w:r>
              <w:rPr>
                <w:sz w:val="17"/>
              </w:rPr>
              <w:t>38,584</w:t>
            </w:r>
          </w:p>
        </w:tc>
        <w:tc>
          <w:tcPr>
            <w:tcW w:type="dxa" w:w="1440"/>
            <w:shd w:fill="C6EFCE" w:val="clear"/>
          </w:tcPr>
          <w:p>
            <w:r>
              <w:rPr>
                <w:b/>
                <w:sz w:val="17"/>
              </w:rPr>
              <w:t>40,472</w:t>
            </w:r>
          </w:p>
        </w:tc>
        <w:tc>
          <w:tcPr>
            <w:tcW w:type="dxa" w:w="1440"/>
            <w:shd w:fill="C6EFCE" w:val="clear"/>
          </w:tcPr>
          <w:p>
            <w:r>
              <w:rPr>
                <w:sz w:val="17"/>
              </w:rPr>
              <w:t>42,360</w:t>
            </w:r>
          </w:p>
        </w:tc>
        <w:tc>
          <w:tcPr>
            <w:tcW w:type="dxa" w:w="1440"/>
            <w:shd w:fill="C6EFCE" w:val="clear"/>
          </w:tcPr>
          <w:p>
            <w:r>
              <w:rPr>
                <w:b/>
                <w:color w:val="008000"/>
                <w:sz w:val="17"/>
              </w:rPr>
              <w:t>+6.5%</w:t>
            </w:r>
          </w:p>
        </w:tc>
      </w:tr>
      <w:tr>
        <w:tc>
          <w:tcPr>
            <w:tcW w:type="dxa" w:w="1440"/>
            <w:shd w:fill="C6EFCE" w:val="clear"/>
          </w:tcPr>
          <w:p>
            <w:r>
              <w:rPr>
                <w:sz w:val="17"/>
              </w:rPr>
              <w:t>J+8  Moyenne</w:t>
            </w:r>
          </w:p>
        </w:tc>
        <w:tc>
          <w:tcPr>
            <w:tcW w:type="dxa" w:w="1440"/>
            <w:shd w:fill="C6EFCE" w:val="clear"/>
          </w:tcPr>
          <w:p>
            <w:r>
              <w:rPr>
                <w:sz w:val="17"/>
              </w:rPr>
              <w:t>2026-10-07</w:t>
            </w:r>
          </w:p>
        </w:tc>
        <w:tc>
          <w:tcPr>
            <w:tcW w:type="dxa" w:w="1440"/>
            <w:shd w:fill="C6EFCE" w:val="clear"/>
          </w:tcPr>
          <w:p>
            <w:r>
              <w:rPr>
                <w:sz w:val="17"/>
              </w:rPr>
              <w:t>38,750</w:t>
            </w:r>
          </w:p>
        </w:tc>
        <w:tc>
          <w:tcPr>
            <w:tcW w:type="dxa" w:w="1440"/>
            <w:shd w:fill="C6EFCE" w:val="clear"/>
          </w:tcPr>
          <w:p>
            <w:r>
              <w:rPr>
                <w:b/>
                <w:sz w:val="17"/>
              </w:rPr>
              <w:t>40,784</w:t>
            </w:r>
          </w:p>
        </w:tc>
        <w:tc>
          <w:tcPr>
            <w:tcW w:type="dxa" w:w="1440"/>
            <w:shd w:fill="C6EFCE" w:val="clear"/>
          </w:tcPr>
          <w:p>
            <w:r>
              <w:rPr>
                <w:sz w:val="17"/>
              </w:rPr>
              <w:t>42,818</w:t>
            </w:r>
          </w:p>
        </w:tc>
        <w:tc>
          <w:tcPr>
            <w:tcW w:type="dxa" w:w="1440"/>
            <w:shd w:fill="C6EFCE" w:val="clear"/>
          </w:tcPr>
          <w:p>
            <w:r>
              <w:rPr>
                <w:b/>
                <w:color w:val="008000"/>
                <w:sz w:val="17"/>
              </w:rPr>
              <w:t>+7.3%</w:t>
            </w:r>
          </w:p>
        </w:tc>
      </w:tr>
      <w:tr>
        <w:tc>
          <w:tcPr>
            <w:tcW w:type="dxa" w:w="1440"/>
            <w:shd w:fill="C6EFCE" w:val="clear"/>
          </w:tcPr>
          <w:p>
            <w:r>
              <w:rPr>
                <w:sz w:val="17"/>
              </w:rPr>
              <w:t>J+9  Moyenne</w:t>
            </w:r>
          </w:p>
        </w:tc>
        <w:tc>
          <w:tcPr>
            <w:tcW w:type="dxa" w:w="1440"/>
            <w:shd w:fill="C6EFCE" w:val="clear"/>
          </w:tcPr>
          <w:p>
            <w:r>
              <w:rPr>
                <w:sz w:val="17"/>
              </w:rPr>
              <w:t>2026-10-08</w:t>
            </w:r>
          </w:p>
        </w:tc>
        <w:tc>
          <w:tcPr>
            <w:tcW w:type="dxa" w:w="1440"/>
            <w:shd w:fill="C6EFCE" w:val="clear"/>
          </w:tcPr>
          <w:p>
            <w:r>
              <w:rPr>
                <w:sz w:val="17"/>
              </w:rPr>
              <w:t>38,918</w:t>
            </w:r>
          </w:p>
        </w:tc>
        <w:tc>
          <w:tcPr>
            <w:tcW w:type="dxa" w:w="1440"/>
            <w:shd w:fill="C6EFCE" w:val="clear"/>
          </w:tcPr>
          <w:p>
            <w:r>
              <w:rPr>
                <w:b/>
                <w:sz w:val="17"/>
              </w:rPr>
              <w:t>41,091</w:t>
            </w:r>
          </w:p>
        </w:tc>
        <w:tc>
          <w:tcPr>
            <w:tcW w:type="dxa" w:w="1440"/>
            <w:shd w:fill="C6EFCE" w:val="clear"/>
          </w:tcPr>
          <w:p>
            <w:r>
              <w:rPr>
                <w:sz w:val="17"/>
              </w:rPr>
              <w:t>43,265</w:t>
            </w:r>
          </w:p>
        </w:tc>
        <w:tc>
          <w:tcPr>
            <w:tcW w:type="dxa" w:w="1440"/>
            <w:shd w:fill="C6EFCE" w:val="clear"/>
          </w:tcPr>
          <w:p>
            <w:r>
              <w:rPr>
                <w:b/>
                <w:color w:val="008000"/>
                <w:sz w:val="17"/>
              </w:rPr>
              <w:t>+8.1%</w:t>
            </w:r>
          </w:p>
        </w:tc>
      </w:tr>
      <w:tr>
        <w:tc>
          <w:tcPr>
            <w:tcW w:type="dxa" w:w="1440"/>
            <w:shd w:fill="C6EFCE" w:val="clear"/>
          </w:tcPr>
          <w:p>
            <w:r>
              <w:rPr>
                <w:sz w:val="17"/>
              </w:rPr>
              <w:t>J+10  Moyenne</w:t>
            </w:r>
          </w:p>
        </w:tc>
        <w:tc>
          <w:tcPr>
            <w:tcW w:type="dxa" w:w="1440"/>
            <w:shd w:fill="C6EFCE" w:val="clear"/>
          </w:tcPr>
          <w:p>
            <w:r>
              <w:rPr>
                <w:sz w:val="17"/>
              </w:rPr>
              <w:t>2026-10-09</w:t>
            </w:r>
          </w:p>
        </w:tc>
        <w:tc>
          <w:tcPr>
            <w:tcW w:type="dxa" w:w="1440"/>
            <w:shd w:fill="C6EFCE" w:val="clear"/>
          </w:tcPr>
          <w:p>
            <w:r>
              <w:rPr>
                <w:sz w:val="17"/>
              </w:rPr>
              <w:t>39,086</w:t>
            </w:r>
          </w:p>
        </w:tc>
        <w:tc>
          <w:tcPr>
            <w:tcW w:type="dxa" w:w="1440"/>
            <w:shd w:fill="C6EFCE" w:val="clear"/>
          </w:tcPr>
          <w:p>
            <w:r>
              <w:rPr>
                <w:b/>
                <w:sz w:val="17"/>
              </w:rPr>
              <w:t>41,395</w:t>
            </w:r>
          </w:p>
        </w:tc>
        <w:tc>
          <w:tcPr>
            <w:tcW w:type="dxa" w:w="1440"/>
            <w:shd w:fill="C6EFCE" w:val="clear"/>
          </w:tcPr>
          <w:p>
            <w:r>
              <w:rPr>
                <w:sz w:val="17"/>
              </w:rPr>
              <w:t>43,703</w:t>
            </w:r>
          </w:p>
        </w:tc>
        <w:tc>
          <w:tcPr>
            <w:tcW w:type="dxa" w:w="1440"/>
            <w:shd w:fill="C6EFCE" w:val="clear"/>
          </w:tcPr>
          <w:p>
            <w:r>
              <w:rPr>
                <w:b/>
                <w:color w:val="008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(Boissons/Limonaderies)**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625,51 milliards FCFA, SLBC s'impose comme l'une des plus importantes capitalisations de la BRVM, ce qui en fait une valeur de premier plan pour les investisseurs institutionnels régionaux. Le BPA de 2 781 FCFA/action signifie que chaque titre génère près de 2 800 FCFA de bénéfice net, un niveau remarquable qui traduit la forte rentabilité de l'entreprise. Le PER de 13,7x se situe légèrement au-dessus de la moyenne BRVM (8-12x), ce qui indique que le marché paie une prime modérée pour cette valeur de croissance, mais cette prime reste raisonnable au regard de la dynamique bénéficiaire (+113% en 2025). Le P/B de 3,21x montre que le marché valorise l'entreprise à plus de trois fois sa valeur comptable, une prime de croissance justifiée par un ROE exceptionnel de 23,46%. Enfin, l'EV/EBITDA de 7,4x, dans la fourchette raisonnable de 5-10x, suggère que la valeur totale de l'entreprise (incluant la dette) reste cohérente avec sa capacité opérationnelle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+1,60%, avec une progression de +0,53% lors de la dernière séance (J-1), s'établissant à 38 000 FCFA. Le titre a évolué dans un range relativement étroit entre un plus bas de 36 900 FCFA et un plus haut de 41 500 FCFA, soit un écart de 12,5%, ce qui témoigne d'une tendance générale haussière mais modérée, avec une consolidation autour des 38 000 FCFA. Les statistiques descriptives révèlent une moyenne de 38 272 FCFA légèrement supérieure à la médiane et au mode (tous deux à 38 000 FCFA), indiquant une distribution asymétrique avec quelques journées de hausse marquée tirant la moyenne vers le haut. L'écart-type de 859 FCFA et le coefficient de variation de 2,2% confirment une faible dispersion du cours, caractéristique d'un titre peu volatil sur la période. Le kurtosis de 0,781 (mésokurtique) suggère une distribution proche de la normale, sans risque excessif de pics extrêmes, tandis que le skewness de 0,831 (asymétrie positive) indique que les journées sous la moyenne ont été plus fréquentes, mais compensées par des hausses ponctuelles plus fortes. La volatilité annualisée de 24,4% positionne SLBC dans la catégorie des titres à volatilité modérée (15-30%), offrant un bon compromis entre rendement et risque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(37 881 FCFA) et la MM50 (37 975,5 FCFA) se situent toutes deux en dessous du cours actuel (38 000 FCFA), mais leur proximité immédiate et le fait que la MM20 soit légèrement inférieure à la MM50 suggèrent une tendance haussière fragile. La décision technique est "Vente", car le cours évolue juste au-dessus de ces moyennes sans momentum clair, et la configuration des moyennes (MM20 &lt; MM50) indique une possible pression baissière à court terme.</w:t>
      </w:r>
    </w:p>
    <w:p>
      <w:pPr>
        <w:spacing w:after="120" w:line="276" w:lineRule="auto"/>
      </w:pPr>
      <w:r>
        <w:t>**Bandes de Bollinger** : Le cours actuel (38 000 FCFA) se situe à l'intérieur des bandes, entre la borne inférieure (37 403,787 FCFA) et la borne supérieure (38 358,213 FCFA), mais plus proche de la borne supérieure. Cette position médiane, avec une largeur de bande relativement étroite (environ 954 FCFA), reflète une faible volatilité et une absence de signal directionnel fort. La décision "Neutre" est justifiée par l'absence de rupture des bornes, indiquant une phase de consolidation.</w:t>
      </w:r>
    </w:p>
    <w:p>
      <w:pPr>
        <w:spacing w:after="120" w:line="276" w:lineRule="auto"/>
      </w:pPr>
      <w:r>
        <w:t>**MACD** : La valeur du MACD (17,53) est nettement supérieure à son signal (-7,603), générant un histogramme positif et une divergence haussière. Cette configuration indique un momentum positif en construction, avec la ligne MACD qui croise au-dessus de sa ligne de signal, ce qui justifie la décision "Achat". Cependant, l'amplitude reste modérée, suggérant une prudence.</w:t>
      </w:r>
    </w:p>
    <w:p>
      <w:pPr>
        <w:spacing w:after="120" w:line="276" w:lineRule="auto"/>
      </w:pPr>
      <w:r>
        <w:t>**RSI** : Avec une valeur de 78,571, le RSI se situe en zone de surachat (&gt;70), signalant que le titre a peut-être trop monté à court terme et qu'une correction ou consolidation est probable. La décision "Vente" est cohérente avec ce niveau élevé, qui appelle à la prudence malgré la tendance haussière.</w:t>
      </w:r>
    </w:p>
    <w:p>
      <w:pPr>
        <w:spacing w:after="120" w:line="276" w:lineRule="auto"/>
      </w:pPr>
      <w:r>
        <w:t>**Stochastique** : Le %K (100,0) est en zone de surachat extrême, au-dessus de son %D (86,875), avec un croisement potentiellement baissier à venir. Cette configuration indique que le cours est proche d'un sommet à court terme et qu'un retournement ou une pause est probable, justifiant la décision "Vente".</w:t>
      </w:r>
    </w:p>
    <w:p>
      <w:pPr>
        <w:spacing w:after="120" w:line="276" w:lineRule="auto"/>
      </w:pPr>
      <w:r>
        <w:t>**Conclusion technique** : Les indicateurs techniques présentent une divergence notable : le MACD est haussier (Achat), mais le RSI et le Stochastique sont en zone de surachat (Vente), tandis que les moyennes mobiles et les bandes de Bollinger sont neutres à légèrement baissières. Cette configuration suggère que le titre, après une progression modérée, approche d'une résistance court terme et pourrait connaître une consolidation avant de reprendre sa tendance haussière. La prudence est de mise à court terme, mais la structure technique globale reste constructive.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SLBC a réalisé un chiffre d'affaires de 378,123 milliards FCFA, en croissance de +22,08% par rapport à 2024 (309,722 milliards FCFA), portée par une augmentation des volumes distribués (+15,6% au S1 2025 selon le rapport semestriel). Le résultat net s'établit à 45,781 milliards FCFA, plus que doublant par rapport aux 21,472 milliards de 2024 (+113%), grâce à une amélioration spectaculaire de la marge nette (12,11% contre 6,93% en 2024) et de la marge opérationnelle (17,23%). Le ROE atteint 23,46% (excellent, &gt;15%) et le ROA 13,48%, confirmant une rentabilité capitalistique remarquable. La structure financière est saine : autonomie financière de 57,48%, ratio d'endettement de 42,52%, et une trésorerie nette positive de 22,117 milliards FCFA. Le BFR de 61,587 milliards FCFA (positif) et les délais d'exploitation (clients : 64,27 jours ; fournisseurs : 76,82 jours ; stocks : 117,32 jours) indiquent une gestion du besoin en fonds de roulement à surveiller, notamment la durée de stockage élevée qui immobilise du capital.</w:t>
      </w:r>
    </w:p>
    <w:p>
      <w:pPr>
        <w:spacing w:after="120" w:line="276" w:lineRule="auto"/>
      </w:pPr>
      <w:r>
        <w:t>**Adaptation au secteur (Entreprise)** : Les délais clients (64,27 jours) et fournisseurs (76,82 jours) sont relativement élevés, mais le délai fournisseurs supérieur au délai clients est favorable à la trésorerie. La rotation des actifs de 111,37% (CA/Total actif) est excellente, traduisant une utilisation efficace des actifs. La capacité de remboursement de 0,67 an (Dettes financières/CAF) est très faible, indiquant une dette largement couverte par la génération de cash-flow.</w:t>
      </w:r>
    </w:p>
    <w:p>
      <w:pPr>
        <w:spacing w:after="120" w:line="276" w:lineRule="auto"/>
      </w:pPr>
      <w:r>
        <w:t>**Estimations basées sur les rapports trimestriels** : Le rapport T1 2026 (publié en 2026) indique un chiffre d'affaires de 93,46 milliards FCFA (+7,6%) et un résultat net de 16,26 milliards FCFA (+4,8%), avec une marge nette de 17,4%. Sur la base de ce premier trimestre, on peut estimer que l'exercice 2026 devrait maintenir une croissance à deux chiffres, avec un chiffre d'affaires projeté autour de 400-410 milliards FCFA et un résultat net potentiellement supérieur à 50 milliards FCFA, si la dynamique se poursuit. Le rapport S1 2025 (daté du 30/06/2025) confirme cette tendance avec un CA de 165,8 milliards FCFA (+12,3%) et un résultat net de 28,0 milliards FCFA (+175,1%), soulignant l'accélération de la rentabilité.</w:t>
      </w:r>
    </w:p>
    <w:p>
      <w:pPr>
        <w:spacing w:after="120" w:line="276" w:lineRule="auto"/>
      </w:pPr>
      <w:r>
        <w:t>**Évolution pluriannuelle** : Les rapports antérieurs (2023, 2024) montrent une trajectoire de redressement spectaculaire : après une stagnation du CA en 2024 (-0,54%), la société a renoué avec une forte croissance en 2025 (+22%), accompagnée d'une explosion des marges. Le rapport 2023 (analysé par Mistral le 15/03/2026) indiquait déjà une amélioration de la marge nette à 4,8%, confirmant la tendance.</w:t>
      </w:r>
    </w:p>
    <w:p>
      <w:pPr>
        <w:spacing w:after="120" w:line="276" w:lineRule="auto"/>
      </w:pPr>
      <w:r>
        <w:t>**Recommandation fondamentale** : SLBC présente des fondamentaux exceptionnels en 2025, avec une croissance robuste, une rentabilité en forte hausse, une structure financière solide et une politique de dividende attractive (dividende de 2 127 FCFA/action proposé pour 2025, soit un rendement de 5,6% au cours actuel). Les risques principaux résident dans la dépendance aux matières premières (90 milliards FCFA d'achats exposés à la volatilité des prix), la concentration géographique sur la Côte d'Ivoire, et la durabilité d'une croissance de 22% dans un marché mature. Néanmoins, la position de leader, la trésorerie nette positive et les perspectives 2026 favorables justifient une recommandation fondamentale **ACHAT**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valorisation de SLBC (PER 13,7x, P/B 3,21x, EV/EBITDA 7,4x) indique une légère prime par rapport à la moyenne du marché BRVM, mais cette prime est justifiée par une croissance bénéficiaire exceptionnelle (+113% en 2025) et un ROE de 23,46%, ce qui suggère que le titre n'est pas surévalué mais reflète ses fondamentaux solides. Le comportement du cours sur 100 jours (+1,60%) montre une tendance haussière modérée avec une faible volatilité (24,4% annualisée) et une distribution asymétrique positive (skewness 0,831), ce qui est favorable pour un investisseur recherchant stabilité et potentiel de hausse. Les signaux techniques sont mitigés : le MACD est haussier, mais le RSI (78,57) et le Stochastique (100,0) sont en zone de surachat, suggérant une consolidation à court terme avant une reprise. Les fondamentaux sont excellents, avec un chiffre d'affaires de 378,123 milliards FCFA en 2025 (+22,08%), un résultat net de 45,781 milliards FCFA (+113%), et des perspectives 2026 favorables (T1 2026 : CA +7,6%, RN +4,8%). Les prédictions IA (J+1 à J+10) anticipent une hausse progressive vers 39 830 FCFA, confirmant la tendance haussière de moyen terme. Sur la base de cette synthèse, la convergence entre valorisation raisonnable, fondamentaux solides et prédictions haussières, malgré des signaux techniques de surachat à court terme, conduit à une recommandation finale **ACHAT**. Le niveau de confiance est **Élevé** (fondamentaux robustes, croissance confirmée), le risque global est **Moyen** (volatilité modérée, dépendance aux matières premières), et l'horizon d'investissement optimal est **moyen à long terme** (3-12 mois et plus), pour profiter de la croissance bénéficiaire et du dividende attractif.</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 titres</w:t>
            </w:r>
          </w:p>
        </w:tc>
        <w:tc>
          <w:tcPr>
            <w:tcW w:type="dxa" w:w="2268"/>
            <w:shd w:fill="FFF2CC" w:val="clear"/>
          </w:tcPr>
          <w:p>
            <w:r>
              <w:rPr>
                <w:b/>
                <w:color w:val="503200"/>
                <w:sz w:val="16"/>
              </w:rPr>
              <w:t xml:space="preserve">Cours actuel : </w:t>
            </w:r>
            <w:r>
              <w:rPr>
                <w:color w:val="000000"/>
                <w:sz w:val="17"/>
              </w:rPr>
              <w:t>15,810 FCFA</w:t>
            </w:r>
          </w:p>
          <w:p>
            <w:r>
              <w:rPr>
                <w:b/>
                <w:color w:val="503200"/>
                <w:sz w:val="16"/>
              </w:rPr>
              <w:t xml:space="preserve">Var. 100 jours : </w:t>
            </w:r>
            <w:r>
              <w:rPr>
                <w:b/>
                <w:color w:val="007800"/>
                <w:sz w:val="17"/>
              </w:rPr>
              <w:t>+36.35%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11.56% (Moyenne) — μ=15,742 FCFA, σ=1,820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β=0.4080 (Défensif) — Cov=0.000025, Var(idx)=0.000061, ρ=0.124,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14,757</w:t>
            </w:r>
          </w:p>
        </w:tc>
        <w:tc>
          <w:tcPr>
            <w:tcW w:type="dxa" w:w="1440"/>
            <w:shd w:fill="FFDCE0" w:val="clear"/>
          </w:tcPr>
          <w:p>
            <w:r>
              <w:rPr>
                <w:b/>
                <w:sz w:val="17"/>
              </w:rPr>
              <w:t>15,414</w:t>
            </w:r>
          </w:p>
        </w:tc>
        <w:tc>
          <w:tcPr>
            <w:tcW w:type="dxa" w:w="1440"/>
            <w:shd w:fill="FFDCE0" w:val="clear"/>
          </w:tcPr>
          <w:p>
            <w:r>
              <w:rPr>
                <w:sz w:val="17"/>
              </w:rPr>
              <w:t>16,071</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14,539</w:t>
            </w:r>
          </w:p>
        </w:tc>
        <w:tc>
          <w:tcPr>
            <w:tcW w:type="dxa" w:w="1440"/>
            <w:shd w:fill="FFDCE0" w:val="clear"/>
          </w:tcPr>
          <w:p>
            <w:r>
              <w:rPr>
                <w:b/>
                <w:sz w:val="17"/>
              </w:rPr>
              <w:t>15,472</w:t>
            </w:r>
          </w:p>
        </w:tc>
        <w:tc>
          <w:tcPr>
            <w:tcW w:type="dxa" w:w="1440"/>
            <w:shd w:fill="FFDCE0" w:val="clear"/>
          </w:tcPr>
          <w:p>
            <w:r>
              <w:rPr>
                <w:sz w:val="17"/>
              </w:rPr>
              <w:t>16,405</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14,325</w:t>
            </w:r>
          </w:p>
        </w:tc>
        <w:tc>
          <w:tcPr>
            <w:tcW w:type="dxa" w:w="1440"/>
            <w:shd w:fill="FFDCE0" w:val="clear"/>
          </w:tcPr>
          <w:p>
            <w:r>
              <w:rPr>
                <w:b/>
                <w:sz w:val="17"/>
              </w:rPr>
              <w:t>15,467</w:t>
            </w:r>
          </w:p>
        </w:tc>
        <w:tc>
          <w:tcPr>
            <w:tcW w:type="dxa" w:w="1440"/>
            <w:shd w:fill="FFDCE0" w:val="clear"/>
          </w:tcPr>
          <w:p>
            <w:r>
              <w:rPr>
                <w:sz w:val="17"/>
              </w:rPr>
              <w:t>16,610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14,143</w:t>
            </w:r>
          </w:p>
        </w:tc>
        <w:tc>
          <w:tcPr>
            <w:tcW w:type="dxa" w:w="1440"/>
            <w:shd w:fill="FFDCE0" w:val="clear"/>
          </w:tcPr>
          <w:p>
            <w:r>
              <w:rPr>
                <w:b/>
                <w:sz w:val="17"/>
              </w:rPr>
              <w:t>15,462</w:t>
            </w:r>
          </w:p>
        </w:tc>
        <w:tc>
          <w:tcPr>
            <w:tcW w:type="dxa" w:w="1440"/>
            <w:shd w:fill="FFDCE0" w:val="clear"/>
          </w:tcPr>
          <w:p>
            <w:r>
              <w:rPr>
                <w:sz w:val="17"/>
              </w:rPr>
              <w:t>16,781</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13,985</w:t>
            </w:r>
          </w:p>
        </w:tc>
        <w:tc>
          <w:tcPr>
            <w:tcW w:type="dxa" w:w="1440"/>
            <w:shd w:fill="FFDCE0" w:val="clear"/>
          </w:tcPr>
          <w:p>
            <w:r>
              <w:rPr>
                <w:b/>
                <w:sz w:val="17"/>
              </w:rPr>
              <w:t>15,459</w:t>
            </w:r>
          </w:p>
        </w:tc>
        <w:tc>
          <w:tcPr>
            <w:tcW w:type="dxa" w:w="1440"/>
            <w:shd w:fill="FFDCE0" w:val="clear"/>
          </w:tcPr>
          <w:p>
            <w:r>
              <w:rPr>
                <w:sz w:val="17"/>
              </w:rPr>
              <w:t>16,933</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13,842</w:t>
            </w:r>
          </w:p>
        </w:tc>
        <w:tc>
          <w:tcPr>
            <w:tcW w:type="dxa" w:w="1440"/>
            <w:shd w:fill="FFDCE0" w:val="clear"/>
          </w:tcPr>
          <w:p>
            <w:r>
              <w:rPr>
                <w:b/>
                <w:sz w:val="17"/>
              </w:rPr>
              <w:t>15,457</w:t>
            </w:r>
          </w:p>
        </w:tc>
        <w:tc>
          <w:tcPr>
            <w:tcW w:type="dxa" w:w="1440"/>
            <w:shd w:fill="FFDCE0" w:val="clear"/>
          </w:tcPr>
          <w:p>
            <w:r>
              <w:rPr>
                <w:sz w:val="17"/>
              </w:rPr>
              <w:t>17,071</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13,710</w:t>
            </w:r>
          </w:p>
        </w:tc>
        <w:tc>
          <w:tcPr>
            <w:tcW w:type="dxa" w:w="1440"/>
            <w:shd w:fill="FFDCE0" w:val="clear"/>
          </w:tcPr>
          <w:p>
            <w:r>
              <w:rPr>
                <w:b/>
                <w:sz w:val="17"/>
              </w:rPr>
              <w:t>15,454</w:t>
            </w:r>
          </w:p>
        </w:tc>
        <w:tc>
          <w:tcPr>
            <w:tcW w:type="dxa" w:w="1440"/>
            <w:shd w:fill="FFDCE0" w:val="clear"/>
          </w:tcPr>
          <w:p>
            <w:r>
              <w:rPr>
                <w:sz w:val="17"/>
              </w:rPr>
              <w:t>17,197</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13,588</w:t>
            </w:r>
          </w:p>
        </w:tc>
        <w:tc>
          <w:tcPr>
            <w:tcW w:type="dxa" w:w="1440"/>
            <w:shd w:fill="FFDCE0" w:val="clear"/>
          </w:tcPr>
          <w:p>
            <w:r>
              <w:rPr>
                <w:b/>
                <w:sz w:val="17"/>
              </w:rPr>
              <w:t>15,451</w:t>
            </w:r>
          </w:p>
        </w:tc>
        <w:tc>
          <w:tcPr>
            <w:tcW w:type="dxa" w:w="1440"/>
            <w:shd w:fill="FFDCE0" w:val="clear"/>
          </w:tcPr>
          <w:p>
            <w:r>
              <w:rPr>
                <w:sz w:val="17"/>
              </w:rPr>
              <w:t>17,315</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13,472</w:t>
            </w:r>
          </w:p>
        </w:tc>
        <w:tc>
          <w:tcPr>
            <w:tcW w:type="dxa" w:w="1440"/>
            <w:shd w:fill="FFDCE0" w:val="clear"/>
          </w:tcPr>
          <w:p>
            <w:r>
              <w:rPr>
                <w:b/>
                <w:sz w:val="17"/>
              </w:rPr>
              <w:t>15,449</w:t>
            </w:r>
          </w:p>
        </w:tc>
        <w:tc>
          <w:tcPr>
            <w:tcW w:type="dxa" w:w="1440"/>
            <w:shd w:fill="FFDCE0" w:val="clear"/>
          </w:tcPr>
          <w:p>
            <w:r>
              <w:rPr>
                <w:sz w:val="17"/>
              </w:rPr>
              <w:t>17,425</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13,363</w:t>
            </w:r>
          </w:p>
        </w:tc>
        <w:tc>
          <w:tcPr>
            <w:tcW w:type="dxa" w:w="1440"/>
            <w:shd w:fill="FFDCE0" w:val="clear"/>
          </w:tcPr>
          <w:p>
            <w:r>
              <w:rPr>
                <w:b/>
                <w:sz w:val="17"/>
              </w:rPr>
              <w:t>15,446</w:t>
            </w:r>
          </w:p>
        </w:tc>
        <w:tc>
          <w:tcPr>
            <w:tcW w:type="dxa" w:w="1440"/>
            <w:shd w:fill="FFDCE0" w:val="clear"/>
          </w:tcPr>
          <w:p>
            <w:r>
              <w:rPr>
                <w:sz w:val="17"/>
              </w:rPr>
              <w:t>17,529</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non bancaire (Bitumes / Produits pétroliers)**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123,24 Mds FCFA, SMBC se positionne comme une valeur de taille intermédiaire sur la BRVM, représentative du compartiment industriel de la cote. Le BPA de 1 677 FCFA/action signifie que chaque titre génère près de 1 677 FCFA de bénéfice net, ce qui, rapporté au cours actuel de 15 810 FCFA, donne un PER de 9,4x — légèrement en-dessous de la moyenne BRVM (~8-12x), suggérant une valorisation raisonnable voire légèrement sous-évaluée au regard des bénéfices. Le P/B de 2,87x indique que le marché valorise SMBC à près de trois fois sa valeur comptable (capitaux propres de 42,9 Mds FCFA), une prime de croissance justifiée par un ROE exceptionnel de 30,5%. Enfin, l'EV/EBITDA de 5,9x traduit une valeur d'entreprise (capitalisation + dette nette) modérée par rapport à la capacité opérationnelle (EBE de 18,48 Mds FCFA), ce qui reste attractif dans une fourchette raisonnable de 5-10x. L'ensemble de ces ratios dessine un profil de valorisation équilibré, avec un léger biais favorable à l'acheteur.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performance remarquable de +36,35%, avec une dernière séance en forte hausse de +7,48%, portant le cours à 15 810 FCFA. Le titre a évolué dans un range large de 11 500 FCFA (plus bas) à 18 500 FCFA (plus haut), soit une amplitude de plus de 60%, témoignant d'une tendance générale haussière mais ponctuée de corrections significatives. Les statistiques descriptives révèlent une moyenne de 15 742 FCFA légèrement inférieure à la médiane de 16 272 FCFA, avec un mode à 16 000 FCFA : cet écart indique une distribution asymétrique où le cours a passé plus de temps au-dessus de sa moyenne, cohérent avec le skewness négatif de -0,854 (plus de journées au-dessus de la moyenne, mais quelques journées de forte baisse tirent la moyenne vers le bas). L'écart-type de 1 829 FCFA (CV = 11,6%) traduit une dispersion modérée autour de la moyenne, tandis que le kurtosis de -0,334 (mésokurtique) suggère une distribution proche de la normale, sans risque extrême de pics violents. La volatilité annualisée de 41,7% classe SMBC dans la catégorie des titres à volatilité élevée (&gt;30%), ce qui implique un risque de marché significatif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(17 130 FCFA) et la MM50 (16 624 FCFA) sont toutes deux supérieures au cours actuel (15 810 FCFA), ce qui place le titre en position de repli sous ses moyennes. Cependant, la MM20 reste au-dessus de la MM50, signalant que la tendance de fond demeure haussière malgré la correction récente. La décision technique affichée est "Achat", suggérant que le repli actuel pourrait constituer un point d'entrée dans une tendance haussière intacte.</w:t>
      </w:r>
    </w:p>
    <w:p>
      <w:pPr>
        <w:spacing w:after="120" w:line="276" w:lineRule="auto"/>
      </w:pPr>
      <w:r>
        <w:t>**Bandes de Bollinger** : Le cours (15 810 FCFA) se situe dans la partie basse de la bande, entre la borne inférieure (14 903 FCFA) et la borne supérieure (19 356 FCFA), mais plus proche de la borne basse. Cette position indique que le titre a corrigé après avoir atteint des sommets, sans toutefois casser le support inférieur. La décision "Neutre" reflète une absence de signal directionnel fort, avec une volatilité qui reste contenue dans les bandes.</w:t>
      </w:r>
    </w:p>
    <w:p>
      <w:pPr>
        <w:spacing w:after="120" w:line="276" w:lineRule="auto"/>
      </w:pPr>
      <w:r>
        <w:t>**MACD** : La valeur du MACD (-362,8) est nettement inférieure à son signal (-16,4), confirmant un momentum baissier de court terme. La divergence négative entre les deux lignes indique que la pression vendeuse persiste, justifiant la décision "Vente". Toutefois, l'écart entre MACD et signal tend à se réduire, ce qui pourrait annoncer un retournement prochain si le cours se stabilise.</w:t>
      </w:r>
    </w:p>
    <w:p>
      <w:pPr>
        <w:spacing w:after="120" w:line="276" w:lineRule="auto"/>
      </w:pPr>
      <w:r>
        <w:t>**RSI** : À 35,66, le RSI se situe dans la zone neutre basse (30-70), sans atteindre la zone de survente (&lt;30). Cela suggère que le titre n'est pas encore techniquement survendu, mais qu'il s'approche d'une zone où les acheteurs pourraient revenir. La décision "Neutre" est cohérente avec cette position ambiguë.</w:t>
      </w:r>
    </w:p>
    <w:p>
      <w:pPr>
        <w:spacing w:after="120" w:line="276" w:lineRule="auto"/>
      </w:pPr>
      <w:r>
        <w:t>**Stochastique** : Le %K (29,02) est supérieur au %D (9,68), et les deux se situent en zone basse (proche de 20), ce qui indique une possible convergence haussière à venir. Le croisement du %K au-dessus du %D est souvent interprété comme un signal d'achat précoce, bien que la décision affichée reste "Neutre" en raison de la faiblesse globale du momentum.</w:t>
      </w:r>
    </w:p>
    <w:p>
      <w:pPr>
        <w:spacing w:after="120" w:line="276" w:lineRule="auto"/>
      </w:pPr>
      <w:r>
        <w:t>**Conclusion technique** : Les indicateurs techniques présentent un tableau mitigé. La tendance de fond reste haussière (MM20 &gt; MM50), mais le momentum de court terme est baissier (MACD négatif, cours sous les moyennes). Le RSI et le stochastique suggèrent que le titre approche d'une zone de survente, ce qui pourrait offrir une opportunité d'achat à court terme. La divergence entre la décision "Achat" des MM et "Vente" du MACD appelle à la prudence, avec une préférence pour une confirmation de retournement avant d'agir.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SMBC a réalisé un chiffre d'affaires de 206,74 Mds FCFA, en baisse de -9,74% par rapport à 2024 (229,06 Mds FCFA), reflétant un environnement de marché difficile marqué par la volatilité des prix pétroliers et un ralentissement des ventes à l'export. Malgré cette contraction, le résultat net a bondi de +50,3% à 13,075 Mds FCFA, porté par une amélioration spectaculaire de la marge nette (6,32% contre 3,8% en 2024) et une progression de l'EBE de +41,8% à 18,48 Mds FCFA. Le ROE atteint 30,47% (excellent, &gt;15%) et le ROA 7,26%, confirmant une rentabilité des fonds propres exceptionnelle. La structure financière reste solide avec des capitaux propres de 42,91 Mds FCFA (+21,6%), une trésorerie nette positive de 23,99 Mds FCFA et un ratio d'autonomie financière de 23,84% (légèrement sous le seuil de 30% mais en amélioration). Le BFR est négatif (1,69 Md FCFA), ce qui est favorable, mais les délais clients (193,75 jours) et fournisseurs (207,07 jours) restent élevés, pesant sur le cycle d'exploitation. Le ratio d'endettement de 76,16% et la capacité de remboursement de 0,68 an (dettes financières/CAF) indiquent une dette maîtrisée.</w:t>
      </w:r>
    </w:p>
    <w:p>
      <w:pPr>
        <w:spacing w:after="120" w:line="276" w:lineRule="auto"/>
      </w:pPr>
      <w:r>
        <w:t>**Adaptation au secteur (entreprise non bancaire)** : SMBC opère dans les bitumes, un secteur cyclique dépendant des investissements publics en infrastructures. La baisse du CA en 2025 est principalement due à la contraction des volumes vendus (-22% au S1 2025 selon le rapport S1 2025 daté du 30/06/2025), elle-même liée à la baisse du prix du Brent (-14,3% sur 9 mois) et à un retard des ventes à l'export. Cependant, la société a compensé par une amélioration des marges de raffinage et une hausse des ventes sur le marché national, soutenue par les chantiers routiers en Côte d'Ivoire.</w:t>
      </w:r>
    </w:p>
    <w:p>
      <w:pPr>
        <w:spacing w:after="120" w:line="276" w:lineRule="auto"/>
      </w:pPr>
      <w:r>
        <w:t>**Estimations basées sur les rapports trimestriels** : Le rapport T3 2025 (daté du 30/09/2025) indique un CA cumulé de 155,2 Mds FCFA (-14% sur 9 mois) et un résultat net de 5,7 Mds FCFA (+6%), avec une marge opérationnelle en hausse à 5,4% (contre 4,0% aux 9M 2024). Sur cette base, on estime que l'exercice 2025 devrait se clôturer avec un CA autour de 206 Mds FCFA (cohérent avec les données annuelles) et un résultat net d'environ 13 Mds FCFA, confirmant la tendance à l'amélioration de la rentabilité malgré la baisse des revenus. Les perspectives pour le T4 2025 sont positives, portées par la demande locale (chantiers routiers) et les exportations vers le Nigeria, le Ghana, le Burkina Faso et le Mali, bien que le risque de fortes pluies sur les activités de construction soit identifié.</w:t>
      </w:r>
    </w:p>
    <w:p>
      <w:pPr>
        <w:spacing w:after="120" w:line="276" w:lineRule="auto"/>
      </w:pPr>
      <w:r>
        <w:t>**Évolution pluriannuelle** : Entre 2023 et 2025, SMBC a connu une volatilité importante de ses résultats : résultat net de 17,26 Mds FCFA en 2023, chute à 8,70 Mds FCFA en 2024 (-49,6%), puis rebond à 13,08 Mds FCFA en 2025 (+50,3%). Cette cyclicité reflète la dépendance aux prix des matières premières et aux cycles d'investissement public. La politique de dividende, avec un payout ratio de 41,7% en 2025 (5 457 M FCFA versés), semble prudente et soutenable, contrairement à 2024 où il atteignait 107,5%.</w:t>
      </w:r>
    </w:p>
    <w:p>
      <w:pPr>
        <w:spacing w:after="120" w:line="276" w:lineRule="auto"/>
      </w:pPr>
      <w:r>
        <w:t>**Recommandation fondamentale** : SMBC présente une solidité financière retrouvée (ROE de 30,5%, trésorerie nette positive, endettement maîtrisé) et une capacité démontrée à améliorer ses marges dans un environnement difficile. Les risques principaux restent la dépendance aux prix du pétrole, la cyclicité des investissements publics et la concentration géographique. La recommandation fondamentale est **CONSERVER**, avec un biais positif si la croissance du CA reprend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**Synthèse des 4 parties** : La valorisation (Partie 0) est attractive avec un PER de 9,4x (sous la moyenne BRVM), un P/B de 2,87x justifié par un ROE de 30,5% et un EV/EBITDA de 5,9x raisonnable. Le comportement du cours (Partie 1) est haussier sur 100 jours (+36,35%) mais avec une volatilité élevée (41,7%) et une distribution asymétrique négative (skewness -0,854), ce qui suggère que le titre a tendance à surperformer mais avec des corrections brutales. Les signaux techniques (Partie 2) sont mitigés : tendance de fond haussière (MM20 &gt; MM50) mais momentum baissier (MACD négatif), avec un RSI et un stochastique proches de la zone de survente, ce qui pourrait annoncer un rebond à court terme. Les fondamentaux (Partie 3) sont solides : résultat net en hausse de +50,3% en 2025, ROE de 30,5%, trésorerie nette positive de 24 Mds FCFA, et perspectives positives pour le T4 2025 (demande locale et export). Les prédictions IA (J+1 à J+10) tablent sur une légère baisse à 15 414 FCFA le 28/09/2026, puis une stabilisation autour de 15 460-15 470 FCFA, ce qui contredit le rebond technique attendu mais confirme la prudence à court terme.</w:t>
      </w:r>
    </w:p>
    <w:p>
      <w:pPr>
        <w:spacing w:after="120" w:line="276" w:lineRule="auto"/>
      </w:pPr>
      <w:r>
        <w:t>**Recommandation finale** : **CONSERVER** avec un biais positif. La convergence entre une valorisation attractive, des fondamentaux en amélioration et une tendance de fond haussière plaide pour une position de conservation, voire un renforcement progressif sur repli. Cependant, le momentum baissier de court terme (MACD, prédictions IA) et la volatilité élevée incitent à la prudence. Le niveau de confiance est **Moyen** (les signaux sont divergents à court terme mais alignés à moyen terme), et le niveau de risque global est **Moyen** (volatilité élevée mais fondamentaux solides). L'horizon d'investissement optimal est le **moyen terme (3-12 mois)**, en attendant la confirmation d'une reprise durable du chiffre d'affaires et la concrétisation des perspectives positives pour 2026. Un passage à **ACHAT** serait justifié si le cours se stabilise au-dessus de 16 000 FCFA avec un MACD qui se retourne à la hausse.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11,813 titres</w:t>
            </w:r>
          </w:p>
        </w:tc>
        <w:tc>
          <w:tcPr>
            <w:tcW w:type="dxa" w:w="2268"/>
            <w:shd w:fill="FFF2CC" w:val="clear"/>
          </w:tcPr>
          <w:p>
            <w:r>
              <w:rPr>
                <w:b/>
                <w:color w:val="503200"/>
                <w:sz w:val="16"/>
              </w:rPr>
              <w:t xml:space="preserve">Cours actuel : </w:t>
            </w:r>
            <w:r>
              <w:rPr>
                <w:color w:val="000000"/>
                <w:sz w:val="17"/>
              </w:rPr>
              <w:t>42,500 FCFA</w:t>
            </w:r>
          </w:p>
          <w:p>
            <w:r>
              <w:rPr>
                <w:b/>
                <w:color w:val="503200"/>
                <w:sz w:val="16"/>
              </w:rPr>
              <w:t xml:space="preserve">Var. 100 jours : </w:t>
            </w:r>
            <w:r>
              <w:rPr>
                <w:b/>
                <w:color w:val="007800"/>
                <w:sz w:val="17"/>
              </w:rPr>
              <w:t>+46.55%</w:t>
            </w:r>
          </w:p>
          <w:p>
            <w:r>
              <w:rPr>
                <w:b/>
                <w:color w:val="503200"/>
                <w:sz w:val="16"/>
              </w:rPr>
              <w:t xml:space="preserve">Plus haut 100j : </w:t>
            </w:r>
            <w:r>
              <w:rPr>
                <w:color w:val="000000"/>
                <w:sz w:val="17"/>
              </w:rPr>
              <w:t>42,500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13.19% (Moyenne) — μ=32,157 FCFA, σ=4,241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β=1.3716 (Agressif) — Cov=0.000083, Var(idx)=0.000061, ρ=0.518,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11,813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39,441</w:t>
            </w:r>
          </w:p>
        </w:tc>
        <w:tc>
          <w:tcPr>
            <w:tcW w:type="dxa" w:w="1440"/>
            <w:shd w:fill="FFDCE0" w:val="clear"/>
          </w:tcPr>
          <w:p>
            <w:r>
              <w:rPr>
                <w:b/>
                <w:sz w:val="17"/>
              </w:rPr>
              <w:t>41,185</w:t>
            </w:r>
          </w:p>
        </w:tc>
        <w:tc>
          <w:tcPr>
            <w:tcW w:type="dxa" w:w="1440"/>
            <w:shd w:fill="FFDCE0" w:val="clear"/>
          </w:tcPr>
          <w:p>
            <w:r>
              <w:rPr>
                <w:sz w:val="17"/>
              </w:rPr>
              <w:t>42,928</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38,701</w:t>
            </w:r>
          </w:p>
        </w:tc>
        <w:tc>
          <w:tcPr>
            <w:tcW w:type="dxa" w:w="1440"/>
            <w:shd w:fill="FFDCE0" w:val="clear"/>
          </w:tcPr>
          <w:p>
            <w:r>
              <w:rPr>
                <w:b/>
                <w:sz w:val="17"/>
              </w:rPr>
              <w:t>41,165</w:t>
            </w:r>
          </w:p>
        </w:tc>
        <w:tc>
          <w:tcPr>
            <w:tcW w:type="dxa" w:w="1440"/>
            <w:shd w:fill="FFDCE0" w:val="clear"/>
          </w:tcPr>
          <w:p>
            <w:r>
              <w:rPr>
                <w:sz w:val="17"/>
              </w:rPr>
              <w:t>43,629</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38,048</w:t>
            </w:r>
          </w:p>
        </w:tc>
        <w:tc>
          <w:tcPr>
            <w:tcW w:type="dxa" w:w="1440"/>
            <w:shd w:fill="FFDCE0" w:val="clear"/>
          </w:tcPr>
          <w:p>
            <w:r>
              <w:rPr>
                <w:b/>
                <w:sz w:val="17"/>
              </w:rPr>
              <w:t>41,058</w:t>
            </w:r>
          </w:p>
        </w:tc>
        <w:tc>
          <w:tcPr>
            <w:tcW w:type="dxa" w:w="1440"/>
            <w:shd w:fill="FFDCE0" w:val="clear"/>
          </w:tcPr>
          <w:p>
            <w:r>
              <w:rPr>
                <w:sz w:val="17"/>
              </w:rPr>
              <w:t>44,068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37,493</w:t>
            </w:r>
          </w:p>
        </w:tc>
        <w:tc>
          <w:tcPr>
            <w:tcW w:type="dxa" w:w="1440"/>
            <w:shd w:fill="FFDCE0" w:val="clear"/>
          </w:tcPr>
          <w:p>
            <w:r>
              <w:rPr>
                <w:b/>
                <w:sz w:val="17"/>
              </w:rPr>
              <w:t>40,961</w:t>
            </w:r>
          </w:p>
        </w:tc>
        <w:tc>
          <w:tcPr>
            <w:tcW w:type="dxa" w:w="1440"/>
            <w:shd w:fill="FFDCE0" w:val="clear"/>
          </w:tcPr>
          <w:p>
            <w:r>
              <w:rPr>
                <w:sz w:val="17"/>
              </w:rPr>
              <w:t>44,428</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37,012</w:t>
            </w:r>
          </w:p>
        </w:tc>
        <w:tc>
          <w:tcPr>
            <w:tcW w:type="dxa" w:w="1440"/>
            <w:shd w:fill="FFDCE0" w:val="clear"/>
          </w:tcPr>
          <w:p>
            <w:r>
              <w:rPr>
                <w:b/>
                <w:sz w:val="17"/>
              </w:rPr>
              <w:t>40,882</w:t>
            </w:r>
          </w:p>
        </w:tc>
        <w:tc>
          <w:tcPr>
            <w:tcW w:type="dxa" w:w="1440"/>
            <w:shd w:fill="FFDCE0" w:val="clear"/>
          </w:tcPr>
          <w:p>
            <w:r>
              <w:rPr>
                <w:sz w:val="17"/>
              </w:rPr>
              <w:t>44,751</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36,582</w:t>
            </w:r>
          </w:p>
        </w:tc>
        <w:tc>
          <w:tcPr>
            <w:tcW w:type="dxa" w:w="1440"/>
            <w:shd w:fill="FFDCE0" w:val="clear"/>
          </w:tcPr>
          <w:p>
            <w:r>
              <w:rPr>
                <w:b/>
                <w:sz w:val="17"/>
              </w:rPr>
              <w:t>40,813</w:t>
            </w:r>
          </w:p>
        </w:tc>
        <w:tc>
          <w:tcPr>
            <w:tcW w:type="dxa" w:w="1440"/>
            <w:shd w:fill="FFDCE0" w:val="clear"/>
          </w:tcPr>
          <w:p>
            <w:r>
              <w:rPr>
                <w:sz w:val="17"/>
              </w:rPr>
              <w:t>45,045</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36,186</w:t>
            </w:r>
          </w:p>
        </w:tc>
        <w:tc>
          <w:tcPr>
            <w:tcW w:type="dxa" w:w="1440"/>
            <w:shd w:fill="FFDCE0" w:val="clear"/>
          </w:tcPr>
          <w:p>
            <w:r>
              <w:rPr>
                <w:b/>
                <w:sz w:val="17"/>
              </w:rPr>
              <w:t>40,750</w:t>
            </w:r>
          </w:p>
        </w:tc>
        <w:tc>
          <w:tcPr>
            <w:tcW w:type="dxa" w:w="1440"/>
            <w:shd w:fill="FFDCE0" w:val="clear"/>
          </w:tcPr>
          <w:p>
            <w:r>
              <w:rPr>
                <w:sz w:val="17"/>
              </w:rPr>
              <w:t>45,313</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35,818</w:t>
            </w:r>
          </w:p>
        </w:tc>
        <w:tc>
          <w:tcPr>
            <w:tcW w:type="dxa" w:w="1440"/>
            <w:shd w:fill="FFDCE0" w:val="clear"/>
          </w:tcPr>
          <w:p>
            <w:r>
              <w:rPr>
                <w:b/>
                <w:sz w:val="17"/>
              </w:rPr>
              <w:t>40,689</w:t>
            </w:r>
          </w:p>
        </w:tc>
        <w:tc>
          <w:tcPr>
            <w:tcW w:type="dxa" w:w="1440"/>
            <w:shd w:fill="FFDCE0" w:val="clear"/>
          </w:tcPr>
          <w:p>
            <w:r>
              <w:rPr>
                <w:sz w:val="17"/>
              </w:rPr>
              <w:t>45,561</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35,472</w:t>
            </w:r>
          </w:p>
        </w:tc>
        <w:tc>
          <w:tcPr>
            <w:tcW w:type="dxa" w:w="1440"/>
            <w:shd w:fill="FFDCE0" w:val="clear"/>
          </w:tcPr>
          <w:p>
            <w:r>
              <w:rPr>
                <w:b/>
                <w:sz w:val="17"/>
              </w:rPr>
              <w:t>40,631</w:t>
            </w:r>
          </w:p>
        </w:tc>
        <w:tc>
          <w:tcPr>
            <w:tcW w:type="dxa" w:w="1440"/>
            <w:shd w:fill="FFDCE0" w:val="clear"/>
          </w:tcPr>
          <w:p>
            <w:r>
              <w:rPr>
                <w:sz w:val="17"/>
              </w:rPr>
              <w:t>45,790</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35,144</w:t>
            </w:r>
          </w:p>
        </w:tc>
        <w:tc>
          <w:tcPr>
            <w:tcW w:type="dxa" w:w="1440"/>
            <w:shd w:fill="FFDCE0" w:val="clear"/>
          </w:tcPr>
          <w:p>
            <w:r>
              <w:rPr>
                <w:b/>
                <w:sz w:val="17"/>
              </w:rPr>
              <w:t>40,574</w:t>
            </w:r>
          </w:p>
        </w:tc>
        <w:tc>
          <w:tcPr>
            <w:tcW w:type="dxa" w:w="1440"/>
            <w:shd w:fill="FFDCE0" w:val="clear"/>
          </w:tcPr>
          <w:p>
            <w:r>
              <w:rPr>
                <w:sz w:val="17"/>
              </w:rPr>
              <w:t>46,005</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4 250 milliards FCFA, Sonatel confirme son statut de première capitalisation de la BRVM, poids lourd incontournable de l'indice composite. Le BPA de 4 136 FCFA par action signifie que chaque titre génère plus de 4 000 FCFA de bénéfice net, un niveau exceptionnel dans l'espace UEMOA. Le PER de 10,3x se situe dans la fourchette moyenne du marché (8-12x), traduisant une valorisation raisonnable sans prime spéculative excessive, d'autant que le titre affiche une progression de +46,55% sur 100 jours. Le P/B de 3,04x indique que le marché valorise l'entreprise à trois fois ses fonds propres comptables (1 399,263 Mds FCFA), une prime de croissance justifiée par un ROE de 29,56%. Enfin, l'EV/EBITDA de 4,4x (&lt; 5x) signale que la valeur d'entreprise reste très bon marché rapportée à la capacité opérationnelle (EBE de 932,436 Mds FCFA), un signal de sous-évaluation relative puissant.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variation totale spectaculaire de +46,55%, avec une dernière séance (J-1) encore positive de +1,46%, portant le cours à 42 500 FCFA — soit exactement le plus haut de la période. Le plus bas a été touché à 27 160 FCFA, ce qui définit un range de trading très large de 15 340 FCFA (56,5% d'amplitude), confirmant une tendance haussière puissante et soutenue. Les statistiques descriptives révèlent une moyenne de 32 157 FCFA nettement supérieure à la médiane de 31 000 FCFA (égale au mode), ce qui traduit une distribution asymétrique avec une accélération récente des cours tirant la moyenne vers le haut. L'écart-type de 4 263 FCFA (CV = 13,3%) indique une dispersion modérée autour de la moyenne, tandis que le kurtosis de -0,248 (mésokurtique) suggère une distribution proche de la normale, sans risque excessif de pics extrêmes. Le skewness de +1,021 (asymétrie positive) signifie qu'il y a davantage de journées sous la moyenne que de journées exceptionnellement hautes — cohérent avec un rallye récent concentré sur la fin de période. La volatilité annualisée de 32,6% positionne le titre dans la catégorie « élevée » (&gt;30%), ce qui est attendu pour une valeur ayant gagné près de 47% en trois mois.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(39 516,5 FCFA) et la MM50 (35 302,3 FCFA) sont toutes deux nettement inférieures au cours actuel de 42 500 FCFA, avec la MM20 au-dessus de la MM50 — configuration haussière classique en « golden cross ». Le cours évolue 7,6% au-dessus de sa MM20 et 20,4% au-dessus de sa MM50, confirmant une dynamique acheteuse forte. La décision technique est logiquement **Achat**.</w:t>
      </w:r>
    </w:p>
    <w:p>
      <w:pPr>
        <w:spacing w:after="120" w:line="276" w:lineRule="auto"/>
      </w:pPr>
      <w:r>
        <w:t>**Bandes de Bollinger** : Le cours (42 500 FCFA) se situe à 98,5% de la borne supérieure (43 136,656 FCFA) et très loin de la borne inférieure (35 896,344 FCFA), signe que le titre évolue en zone haute de volatilité. L'écart entre les bornes (7 240 FCFA) reflète une volatilité soutenue. La décision est **Neutre** car le cours frôle la borne supérieure, suggérant un potentiel de consolidation à court terme.</w:t>
      </w:r>
    </w:p>
    <w:p>
      <w:pPr>
        <w:spacing w:after="120" w:line="276" w:lineRule="auto"/>
      </w:pPr>
      <w:r>
        <w:t>**MACD** : La valeur du MACD (1 965,675) dépasse son signal (1 887,524), avec un histogramme positif de 78,151 points. Cette divergence positive confirme un momentum haussier intact, bien que l'écart reste modéré. La décision est **Achat**.</w:t>
      </w:r>
    </w:p>
    <w:p>
      <w:pPr>
        <w:spacing w:after="120" w:line="276" w:lineRule="auto"/>
      </w:pPr>
      <w:r>
        <w:t>**RSI** : À 73,929, le RSI franchit le seuil de surachat (&gt;70), signalant que le titre a été acheté de manière excessive à court terme et qu'une correction ou consolidation est probable. La décision est **Vente** (prise de profit).</w:t>
      </w:r>
    </w:p>
    <w:p>
      <w:pPr>
        <w:spacing w:after="120" w:line="276" w:lineRule="auto"/>
      </w:pPr>
      <w:r>
        <w:t>**Stochastique** : Le %K à 100,0 (maximum absolu) et le %D à 86,385 indiquent que le cours clôture systématiquement près de ses plus hauts récents. Le croisement %K &gt; %D en zone extrême confirme la pression acheteuse mais annonce un retournement imminent. La décision est **Vente**.</w:t>
      </w:r>
    </w:p>
    <w:p>
      <w:pPr>
        <w:spacing w:after="120" w:line="276" w:lineRule="auto"/>
      </w:pPr>
      <w:r>
        <w:t>**Conclusion technique** : Les indicateurs de tendance (MM, MACD) restent haussiers et confirment la solidité du mouvement, mais les oscillateurs (RSI à 73,9 et Stochastique à 100) sont en zone de surachat extrême et émettent des signaux de vente. Cette divergence classique entre tendance et momentum suggère une consolidation technique probable à court terme avant une éventuelle poursuite du mouvement. Le titre reste techniquement haussier mais nécessite une respiration.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Sonatel affiche un chiffre d'affaires consolidé de 1 923,122 Mds FCFA (+8,26% selon les ratios de croissance), un résultat net de 413,588 Mds FCFA (marge nette de 21,51%) et un EBE de 932,436 Mds FCFA (marge brute de 67,03%). Le ROE atteint 29,56% — largement supérieur au seuil d'excellence de 15% — et le ROA s'établit à 12,65%, confirmant une utilisation efficiente des actifs (3 270,175 Mds FCFA). La structure financière est saine : autonomie financière de 42,79% (&gt;30%), solvabilité générale de 174,79% et couverture des intérêts de 2 744,71%, traduisant une capacité de remboursement excellente (0,64 an de dettes financières/CAF).</w:t>
      </w:r>
    </w:p>
    <w:p>
      <w:pPr>
        <w:spacing w:after="120" w:line="276" w:lineRule="auto"/>
      </w:pPr>
      <w:r>
        <w:t>**Analyse sectorielle (entreprise non bancaire)** : Le BFR est négatif à -284,906 Mds FCFA — un signal très favorable qui signifie que Sonatel finance son cycle d'exploitation par ses fournisseurs plutôt que par sa trésorerie. Le délai fournisseurs de 201,39 jours (très élevé) contraste avec le délai clients de 46,16 jours, créant une position de trésorerie structurellement positive (trésorerie nette de 536,105 Mds FCFA). La rotation des stocks est rapide (14,49 jours), et la liquidité générale de 139,07% confirme la solidité du bilan. Le taux d'endettement de 57,21% reste maîtrisé.</w:t>
      </w:r>
    </w:p>
    <w:p>
      <w:pPr>
        <w:spacing w:after="120" w:line="276" w:lineRule="auto"/>
      </w:pPr>
      <w:r>
        <w:t>**Estimations basées sur les rapports trimestriels** : Le rapport du T3 2025 (publié le 30/09/2025) indique un CA 9M de 1 432,5 Mds FCFA (+8,6% YoY) et un résultat net de 311 Mds FCFA (+8,0%), avec une marge EBITDAaL de 47,9%. Le rapport S1 2025 (30/06/2025) confirme un CA de 960,2 Mds FCFA (+9,4%) et un résultat net de 208,1 Mds FCFA (+8,0%). Plus récemment, le communiqué du S1 2026 (publié le 24/07/2026) révèle un CA de 1 049,8 Mds FCFA (+9,3%) et un résultat net de 230 Mds FCFA (+10,5%), avec une notation relevée à AAA (wu) par GCR Ratings. **On estime donc que l'exercice 2026 devrait afficher un CA proche de 2 100 Mds FCFA (+9%) et un résultat net d'environ 450 Mds FCFA (+9%), confirmant l'accélération de la croissance.** Le dividende 2025 de 1 933 FCFA brut (1 740 FCFA net, rendement de 4,1% au cours actuel) sera mis en paiement le 25/26 mai 2026.</w:t>
      </w:r>
    </w:p>
    <w:p>
      <w:pPr>
        <w:spacing w:after="120" w:line="276" w:lineRule="auto"/>
      </w:pPr>
      <w:r>
        <w:t>**Recommandation fondamentale** : Sonatel présente des fondamentaux exceptionnels — croissance à deux chiffres, marges élevées, bilan solide, notation AAA et politique de dividende attractive. Les risques identifiés (pression fiscale, concurrence sur le Mobile Money, instabilité géopolitique au Mali) sont réels mais absorbés par la diversification géographique et la résilience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**raisonnable à légèrement sous-évaluée** : PER de 10,3x dans la moyenne du marché, P/B de 3,04x justifié par un ROE de 29,56%, et surtout EV/EBITDA de 4,4x (&lt; 5x) qui signale une opportunité. Le comportement du cours est **haussier et robuste** (+46,55% sur 100 jours), avec une volatilité élevée (32,6%) mais une distribution proche de la normale (kurtosis -0,248) et une asymétrie positive (skewness +1,021) indiquant que les hausses récentes dominent. Les signaux techniques sont **mitigés** : les tendances (MM, MACD) restent acheteuses, mais le RSI (73,9) et le Stochastique (100) sont en surachat extrême, plaidant pour une consolidation à court terme. Les fondamentaux sont **excellents** : CA 2025 de 1 923,1 Mds FCFA, résultat net de 413,6 Mds FCFA, ROE de 29,56%, et les rapports S1 2026 (CA +9,3%, RN +10,5%) confirment l'accélération de la croissance avec une notation AAA. Les prédictions IA (J+1 à J+10) anticipent une **légère correction** vers 40 882-41 185 FCFA (-3,1% à -3,8%), ce qui est cohérent avec le surachat technique et confirme la thèse d'une respiration avant poursuite de la tendance.</w:t>
      </w:r>
    </w:p>
    <w:p>
      <w:pPr>
        <w:spacing w:after="120" w:line="276" w:lineRule="auto"/>
      </w:pPr>
      <w:r>
        <w:t>**Recommandation finale : CONSERVER (avec opportunité d'achat sur repli)**</w:t>
        <w:br/>
        <w:t>La convergence entre valorisation attractive, fondamentaux solides et prédiction de correction à court terme suggère de **conserver** ses positions et d'**accumuler sur repli vers 40 000-41 000 FCFA**. Le niveau de confiance est **Élevé** (fondamentaux robustes, notation AAA, dividende attractif), le risque global est **Moyen** (volatilité élevée, surachat technique, risques réglementaires), et l'horizon optimal est **moyen à long terme (6-18 mois)** pour capturer la croissance structurelle du digital en Afrique de l'Ouest et le rendement du dividende.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5,270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+9.72%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4.86% (Faible) — μ=8,049 FCFA, σ=391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β=0.6519 (Défensif) — Cov=0.000040, Var(idx)=0.000061, ρ=0.199,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7,396</w:t>
            </w:r>
          </w:p>
        </w:tc>
        <w:tc>
          <w:tcPr>
            <w:tcW w:type="dxa" w:w="1440"/>
            <w:shd w:fill="FAFAFA" w:val="clear"/>
          </w:tcPr>
          <w:p>
            <w:r>
              <w:rPr>
                <w:b/>
                <w:sz w:val="17"/>
              </w:rPr>
              <w:t>7,796</w:t>
            </w:r>
          </w:p>
        </w:tc>
        <w:tc>
          <w:tcPr>
            <w:tcW w:type="dxa" w:w="1440"/>
            <w:shd w:fill="FAFAFA" w:val="clear"/>
          </w:tcPr>
          <w:p>
            <w:r>
              <w:rPr>
                <w:sz w:val="17"/>
              </w:rPr>
              <w:t>8,197</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7,230</w:t>
            </w:r>
          </w:p>
        </w:tc>
        <w:tc>
          <w:tcPr>
            <w:tcW w:type="dxa" w:w="1440"/>
            <w:shd w:fill="FAFAFA" w:val="clear"/>
          </w:tcPr>
          <w:p>
            <w:r>
              <w:rPr>
                <w:b/>
                <w:sz w:val="17"/>
              </w:rPr>
              <w:t>7,796</w:t>
            </w:r>
          </w:p>
        </w:tc>
        <w:tc>
          <w:tcPr>
            <w:tcW w:type="dxa" w:w="1440"/>
            <w:shd w:fill="FAFAFA" w:val="clear"/>
          </w:tcPr>
          <w:p>
            <w:r>
              <w:rPr>
                <w:sz w:val="17"/>
              </w:rPr>
              <w:t>8,362</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7,096</w:t>
            </w:r>
          </w:p>
        </w:tc>
        <w:tc>
          <w:tcPr>
            <w:tcW w:type="dxa" w:w="1440"/>
            <w:shd w:fill="FAFAFA" w:val="clear"/>
          </w:tcPr>
          <w:p>
            <w:r>
              <w:rPr>
                <w:b/>
                <w:sz w:val="17"/>
              </w:rPr>
              <w:t>7,788</w:t>
            </w:r>
          </w:p>
        </w:tc>
        <w:tc>
          <w:tcPr>
            <w:tcW w:type="dxa" w:w="1440"/>
            <w:shd w:fill="FAFAFA" w:val="clear"/>
          </w:tcPr>
          <w:p>
            <w:r>
              <w:rPr>
                <w:sz w:val="17"/>
              </w:rPr>
              <w:t>8,481</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6,984</w:t>
            </w:r>
          </w:p>
        </w:tc>
        <w:tc>
          <w:tcPr>
            <w:tcW w:type="dxa" w:w="1440"/>
            <w:shd w:fill="FAFAFA" w:val="clear"/>
          </w:tcPr>
          <w:p>
            <w:r>
              <w:rPr>
                <w:b/>
                <w:sz w:val="17"/>
              </w:rPr>
              <w:t>7,784</w:t>
            </w:r>
          </w:p>
        </w:tc>
        <w:tc>
          <w:tcPr>
            <w:tcW w:type="dxa" w:w="1440"/>
            <w:shd w:fill="FAFAFA" w:val="clear"/>
          </w:tcPr>
          <w:p>
            <w:r>
              <w:rPr>
                <w:sz w:val="17"/>
              </w:rPr>
              <w:t>8,583</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6,887</w:t>
            </w:r>
          </w:p>
        </w:tc>
        <w:tc>
          <w:tcPr>
            <w:tcW w:type="dxa" w:w="1440"/>
            <w:shd w:fill="FAFAFA" w:val="clear"/>
          </w:tcPr>
          <w:p>
            <w:r>
              <w:rPr>
                <w:b/>
                <w:sz w:val="17"/>
              </w:rPr>
              <w:t>7,780</w:t>
            </w:r>
          </w:p>
        </w:tc>
        <w:tc>
          <w:tcPr>
            <w:tcW w:type="dxa" w:w="1440"/>
            <w:shd w:fill="FAFAFA" w:val="clear"/>
          </w:tcPr>
          <w:p>
            <w:r>
              <w:rPr>
                <w:sz w:val="17"/>
              </w:rPr>
              <w:t>8,673</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6,799</w:t>
            </w:r>
          </w:p>
        </w:tc>
        <w:tc>
          <w:tcPr>
            <w:tcW w:type="dxa" w:w="1440"/>
            <w:shd w:fill="FAFAFA" w:val="clear"/>
          </w:tcPr>
          <w:p>
            <w:r>
              <w:rPr>
                <w:b/>
                <w:sz w:val="17"/>
              </w:rPr>
              <w:t>7,777</w:t>
            </w:r>
          </w:p>
        </w:tc>
        <w:tc>
          <w:tcPr>
            <w:tcW w:type="dxa" w:w="1440"/>
            <w:shd w:fill="FAFAFA" w:val="clear"/>
          </w:tcPr>
          <w:p>
            <w:r>
              <w:rPr>
                <w:sz w:val="17"/>
              </w:rPr>
              <w:t>8,755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6,718</w:t>
            </w:r>
          </w:p>
        </w:tc>
        <w:tc>
          <w:tcPr>
            <w:tcW w:type="dxa" w:w="1440"/>
            <w:shd w:fill="FAFAFA" w:val="clear"/>
          </w:tcPr>
          <w:p>
            <w:r>
              <w:rPr>
                <w:b/>
                <w:sz w:val="17"/>
              </w:rPr>
              <w:t>7,774</w:t>
            </w:r>
          </w:p>
        </w:tc>
        <w:tc>
          <w:tcPr>
            <w:tcW w:type="dxa" w:w="1440"/>
            <w:shd w:fill="FAFAFA" w:val="clear"/>
          </w:tcPr>
          <w:p>
            <w:r>
              <w:rPr>
                <w:sz w:val="17"/>
              </w:rPr>
              <w:t>8,830</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6,642</w:t>
            </w:r>
          </w:p>
        </w:tc>
        <w:tc>
          <w:tcPr>
            <w:tcW w:type="dxa" w:w="1440"/>
            <w:shd w:fill="FAFAFA" w:val="clear"/>
          </w:tcPr>
          <w:p>
            <w:r>
              <w:rPr>
                <w:b/>
                <w:sz w:val="17"/>
              </w:rPr>
              <w:t>7,771</w:t>
            </w:r>
          </w:p>
        </w:tc>
        <w:tc>
          <w:tcPr>
            <w:tcW w:type="dxa" w:w="1440"/>
            <w:shd w:fill="FAFAFA" w:val="clear"/>
          </w:tcPr>
          <w:p>
            <w:r>
              <w:rPr>
                <w:sz w:val="17"/>
              </w:rPr>
              <w:t>8,899</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6,571</w:t>
            </w:r>
          </w:p>
        </w:tc>
        <w:tc>
          <w:tcPr>
            <w:tcW w:type="dxa" w:w="1440"/>
            <w:shd w:fill="FAFAFA" w:val="clear"/>
          </w:tcPr>
          <w:p>
            <w:r>
              <w:rPr>
                <w:b/>
                <w:sz w:val="17"/>
              </w:rPr>
              <w:t>7,768</w:t>
            </w:r>
          </w:p>
        </w:tc>
        <w:tc>
          <w:tcPr>
            <w:tcW w:type="dxa" w:w="1440"/>
            <w:shd w:fill="FAFAFA" w:val="clear"/>
          </w:tcPr>
          <w:p>
            <w:r>
              <w:rPr>
                <w:sz w:val="17"/>
              </w:rPr>
              <w:t>8,964</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6,504</w:t>
            </w:r>
          </w:p>
        </w:tc>
        <w:tc>
          <w:tcPr>
            <w:tcW w:type="dxa" w:w="1440"/>
            <w:shd w:fill="FAFAFA" w:val="clear"/>
          </w:tcPr>
          <w:p>
            <w:r>
              <w:rPr>
                <w:b/>
                <w:sz w:val="17"/>
              </w:rPr>
              <w:t>7,765</w:t>
            </w:r>
          </w:p>
        </w:tc>
        <w:tc>
          <w:tcPr>
            <w:tcW w:type="dxa" w:w="1440"/>
            <w:shd w:fill="FAFAFA" w:val="clear"/>
          </w:tcPr>
          <w:p>
            <w:r>
              <w:rPr>
                <w:sz w:val="17"/>
              </w:rPr>
              <w:t>9,026</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170,65 milliards FCFA, SOGC s'impose comme une valeur de premier plan de la cote BRVM, représentant un poids significatif dans l'indice composite. Le BPA de 578 FCFA/action signifie que chaque titre génère près de 578 FCFA de bénéfice net, ce qui, rapporté au cours actuel de 7 900 FCFA, confère un PER de 13,7x — légèrement supérieur à la moyenne BRVM (8-12x), traduisant une prime de qualité modérée mais non excessive. Le P/B de 2,49x indique que le marché valorise la société à environ 2,5 fois ses fonds propres comptables (68,43 Mds FCFA), une prime de croissance justifiée par un ROE de 18,26% et une génération de cash-flow robuste. Enfin, l'EV/EBITDA de 7,1x, situé dans la fourchette raisonnable de 5-10x, suggère que la valeur d'entreprise reste cohérente avec la capacité opérationnelle de la société,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progression totale de +9,72%, avec une dernière séance en hausse de +2,00%, clôturant à 7 900 FCFA. Le range de trading s'étend de 7 200 FCFA (plus bas) à 8 875 FCFA (plus haut), soit une amplitude de 23,3%, reflétant une tendance globalement haussière mais ponctuée de corrections. La moyenne (8 049 FCFA) est inférieure à la médiane (8 145 FCFA), signe d'une distribution légèrement asymétrique avec quelques journées de forte baisse tirant la moyenne vers le bas. L'écart-type de 393 FCFA (CV = 4,9%) indique une dispersion modérée du cours autour de sa tendance, tandis que le kurtosis de -0,584 (mésokurtique) suggère une distribution proche de la normale, sans risque excessif de pics extrêmes. Le skewness de -0,538 confirme une asymétrie négative : les journées au-dessus de la moyenne sont plus fréquentes, mais les baisses, moins nombreuses, sont plus amples. Avec une volatilité annualisée de 41,3%, le titre se situe dans la catégorie des valeurs à volatilité élevée (&gt;30%), ce qui implique un risque de marché non négligeable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(8 065,75 FCFA) et la MM50 (8 079,10 FCFA) sont toutes deux supérieures au cours actuel (7 900 FCFA), plaçant le titre sous ses moyennes mobiles — un signal baissier à court et moyen terme. La MM20 étant légèrement en dessous de la MM50, la configuration reste fragile, justifiant la décision technique de **Vente**.</w:t>
      </w:r>
    </w:p>
    <w:p>
      <w:pPr>
        <w:spacing w:after="120" w:line="276" w:lineRule="auto"/>
      </w:pPr>
      <w:r>
        <w:t>**Bandes de Bollinger** : Le cours (7 900 FCFA) évolue dans la partie inférieure de la bande, entre la borne inférieure (7 332,70 FCFA) et la borne supérieure (8 798,80 FCFA). Cette position médiane-basse, sans franchissement des bornes, traduit une absence de signal directionnel fort, d'où la décision **Neutre**.</w:t>
      </w:r>
    </w:p>
    <w:p>
      <w:pPr>
        <w:spacing w:after="120" w:line="276" w:lineRule="auto"/>
      </w:pPr>
      <w:r>
        <w:t>**MACD** : Le MACD (-114,878) est inférieur à son signal (-74,422), et les deux sont en territoire négatif. Cette divergence baissière indique un momentum négatif persistant, bien que l'écart entre les deux lignes se réduise légèrement, ce qui justifie une décision de **Vente** sans urgence absolue.</w:t>
      </w:r>
    </w:p>
    <w:p>
      <w:pPr>
        <w:spacing w:after="120" w:line="276" w:lineRule="auto"/>
      </w:pPr>
      <w:r>
        <w:t>**RSI** : À 45,0, le RSI se situe dans la zone neutre (30-70), sans signal de surachat ni de survente. Cette position médiane reflète un équilibre entre acheteurs et vendeurs, justifiant une décision **Neutre**.</w:t>
      </w:r>
    </w:p>
    <w:p>
      <w:pPr>
        <w:spacing w:after="120" w:line="276" w:lineRule="auto"/>
      </w:pPr>
      <w:r>
        <w:t>**Stochastique** : Le %K (71,429) est nettement supérieur au %D (41,468), avec un croisement haussier récent. Le %K en zone haute (&gt;70) suggère cependant un risque de retournement à court terme, d'où une décision **Neutre** malgré le croisement positif.</w:t>
      </w:r>
    </w:p>
    <w:p>
      <w:pPr>
        <w:spacing w:after="120" w:line="276" w:lineRule="auto"/>
      </w:pPr>
      <w:r>
        <w:t>**Conclusion technique** : Les indicateurs sont majoritairement baissiers (MM, MACD) ou neutres (Bollinger, RSI, Stochastique), sans signal d'achat clair. Le titre évolue sous ses moyennes mobiles avec un momentum négatif, mais le RSI et les bandes de Bollinger n'indiquent pas de survente extrême. La configuration technique plaide pour une **prudence à court terme**, avec une possible stabilisation autour de 7 900 FCFA avant un éventuel rebond.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SOGC a réalisé un chiffre d'affaires de 98,979 milliards FCFA, en hausse de 10,70% par rapport à 2024 (93,52 Mds FCFA), porté par la hausse des prix de l'huile de palme (+20%) et de palmiste (+47%), ainsi que par la croissance des volumes de caoutchouc (+9%). Le résultat net s'établit à 12,493 milliards FCFA, en légère baisse de 5% par rapport à 2024 (13,11 Mds FCFA), en raison de la hausse de 15% des coûts de matières premières (coagulum). La marge nette se maintient à 12,62%, tandis que le ROE atteint 18,26% (excellent, &gt;15%) et le ROA 13,84%, confirmant une rentabilité solide malgré la pression sur les marges. La structure financière est très saine : autonomie financière de 75,79%, ratio d'endettement de 24,21%, et capacité de remboursement de 0,04 an (dettes financières/CAF), quasi nulle. Le BFR de 7,124 Mds FCFA (positif) et le fonds de roulement de 11,699 Mds FCFA assurent une liquidité confortable (liquidité générale de 170,32%). Les délais clients (29,60 jours) et fournisseurs (31,72 jours) sont équilibrés, mais la durée de stockage élevée (97,67 jours) immobilise du capital.</w:t>
      </w:r>
    </w:p>
    <w:p>
      <w:pPr>
        <w:spacing w:after="120" w:line="276" w:lineRule="auto"/>
      </w:pPr>
      <w:r>
        <w:t>**Estimations basées sur les rapports trimestriels** : Le rapport T3 2025 (cumul 9M, daté du 30/09/2025) indique un CA de 75,6 Mds FCFA (+21,3%) et un résultat net de 11,5 Mds FCFA (+39,5%), avec une marge nette de 15,3%. Le rapport S1 2025 (daté du 30/06/2025) faisait état d'un CA de 55,4 Mds FCFA (+51,9%) et d'un résultat net de 10,2 Mds FCFA (+151,6%). Ces performances exceptionnelles au premier semestre ont toutefois ralenti au S2, la direction alertant sur une concurrence accrue pour l'achat de coagulum et la baisse des cours SICOM du caoutchouc. Sur cette base, on estime que l'exercice 2025 devrait se conclure avec un résultat net autour de 12,5 Mds FCFA (cohérent avec les données structurées), et que 2026 pourrait être plus difficile si la pression sur les coûts persiste.</w:t>
      </w:r>
    </w:p>
    <w:p>
      <w:pPr>
        <w:spacing w:after="120" w:line="276" w:lineRule="auto"/>
      </w:pPr>
      <w:r>
        <w:t>**Évolution pluriannuelle** : De 2021 à 2024, SOGC a connu une croissance spectaculaire (CA : 81,63 → 93,52 Mds FCFA ; résultat net : 14,73 → 13,11 Mds FCFA après un pic à 14,73 en 2021), avec une marge nette passant de 25,3% (2021) à 14,0% (2024). La politique de dividende est très généreuse : dividende brut proposé de 570 FCFA/action pour 2025 (rendement de 7,2% au cours actuel), soit un taux de distribution de 98,5% — attractif mais peu prudent pour le réinvestissement.</w:t>
      </w:r>
    </w:p>
    <w:p>
      <w:pPr>
        <w:spacing w:after="120" w:line="276" w:lineRule="auto"/>
      </w:pPr>
      <w:r>
        <w:t>**Recommandation fondamentale** : La solidité financière (autonomie, faible endettement, cash-flow opérationnel de 22,6 Mds FCFA) et la rentabilité (ROE 18,26%) sont des atouts majeurs. Cependant, la baisse du résultat net en 2025, la pression sur les marges et la dépendance aux prix des matières premières constituent des risques. La recommandation fondamentale est **CONSERVER**, avec une vigilance sur l'évolution des coûts et des cours du caoutchouc.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modérément exigeante (PER 13,7x, P/B 2,49x) mais justifiée par la qualité des fondamentaux, sans surévaluation flagrante. Le comportement du cours (Partie 1) montre une tendance haussière sur 100 jours (+9,72%) mais une volatilité élevée (41,3%) et une asymétrie négative (skewness -0,538), ce qui implique un risque de corrections amplifiées. Les signaux techniques (Partie 2) sont majoritairement baissiers à court terme (cours sous MM20/MM50, MACD négatif), avec un RSI neutre et un stochastique haussier mais en zone de surachat — configuration mitigée. Les fondamentaux (Partie 3) restent solides (ROE 18,26%, autonomie financière 75,79%, dividende attractif de 570 FCFA/action), mais la baisse du résultat net en 2025 et les perspectives 2026 incertaines tempèrent l'optimisme. Les prédictions IA (J+1 à J+10) anticipent une légère baisse vers 7 780-7 796 FCFA, confirmant la pression baissière à court terme sans effondrement.</w:t>
      </w:r>
    </w:p>
    <w:p>
      <w:pPr>
        <w:spacing w:after="120" w:line="276" w:lineRule="auto"/>
      </w:pPr>
      <w:r>
        <w:t>**Synthèse** : La convergence entre technique baissière à court terme, prédictions IA légèrement négatives et fondamentaux solides mais en ralentissement plaide pour une **CONSERVATION** du titre, avec un potentiel de rebond à moyen terme si les prix des matières premières se stabilisent. La recommandation finale est **CONSERVER**, avec un niveau de confiance **Moyen** et un risque global **Moyen** (volatilité élevée, dépendance aux commodities). L'horizon d'investissement optimal est le **moyen terme (3-12 mois)**, en surveillant les prochains rapports trimestriels et l'évolution des cours du caoutchouc (SICOM) et de l'huile de palme.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4,735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+17.56%</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10.09% (Moyenne) — μ=7,820 FCFA, σ=789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β=0.7680 (Défensif) — Cov=0.000047, Var(idx)=0.000061, ρ=0.216,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7,208</w:t>
            </w:r>
          </w:p>
        </w:tc>
        <w:tc>
          <w:tcPr>
            <w:tcW w:type="dxa" w:w="1440"/>
            <w:shd w:fill="FFDCE0" w:val="clear"/>
          </w:tcPr>
          <w:p>
            <w:r>
              <w:rPr>
                <w:b/>
                <w:sz w:val="17"/>
              </w:rPr>
              <w:t>7,725</w:t>
            </w:r>
          </w:p>
        </w:tc>
        <w:tc>
          <w:tcPr>
            <w:tcW w:type="dxa" w:w="1440"/>
            <w:shd w:fill="FFDCE0" w:val="clear"/>
          </w:tcPr>
          <w:p>
            <w:r>
              <w:rPr>
                <w:sz w:val="17"/>
              </w:rPr>
              <w:t>8,242</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6,990</w:t>
            </w:r>
          </w:p>
        </w:tc>
        <w:tc>
          <w:tcPr>
            <w:tcW w:type="dxa" w:w="1440"/>
            <w:shd w:fill="FFDCE0" w:val="clear"/>
          </w:tcPr>
          <w:p>
            <w:r>
              <w:rPr>
                <w:b/>
                <w:sz w:val="17"/>
              </w:rPr>
              <w:t>7,721</w:t>
            </w:r>
          </w:p>
        </w:tc>
        <w:tc>
          <w:tcPr>
            <w:tcW w:type="dxa" w:w="1440"/>
            <w:shd w:fill="FFDCE0" w:val="clear"/>
          </w:tcPr>
          <w:p>
            <w:r>
              <w:rPr>
                <w:sz w:val="17"/>
              </w:rPr>
              <w:t>8,452</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6,810</w:t>
            </w:r>
          </w:p>
        </w:tc>
        <w:tc>
          <w:tcPr>
            <w:tcW w:type="dxa" w:w="1440"/>
            <w:shd w:fill="FFDCE0" w:val="clear"/>
          </w:tcPr>
          <w:p>
            <w:r>
              <w:rPr>
                <w:b/>
                <w:sz w:val="17"/>
              </w:rPr>
              <w:t>7,703</w:t>
            </w:r>
          </w:p>
        </w:tc>
        <w:tc>
          <w:tcPr>
            <w:tcW w:type="dxa" w:w="1440"/>
            <w:shd w:fill="FFDCE0" w:val="clear"/>
          </w:tcPr>
          <w:p>
            <w:r>
              <w:rPr>
                <w:sz w:val="17"/>
              </w:rPr>
              <w:t>8,596</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6,657</w:t>
            </w:r>
          </w:p>
        </w:tc>
        <w:tc>
          <w:tcPr>
            <w:tcW w:type="dxa" w:w="1440"/>
            <w:shd w:fill="FFDCE0" w:val="clear"/>
          </w:tcPr>
          <w:p>
            <w:r>
              <w:rPr>
                <w:b/>
                <w:sz w:val="17"/>
              </w:rPr>
              <w:t>7,687</w:t>
            </w:r>
          </w:p>
        </w:tc>
        <w:tc>
          <w:tcPr>
            <w:tcW w:type="dxa" w:w="1440"/>
            <w:shd w:fill="FFDCE0" w:val="clear"/>
          </w:tcPr>
          <w:p>
            <w:r>
              <w:rPr>
                <w:sz w:val="17"/>
              </w:rPr>
              <w:t>8,716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6,524</w:t>
            </w:r>
          </w:p>
        </w:tc>
        <w:tc>
          <w:tcPr>
            <w:tcW w:type="dxa" w:w="1440"/>
            <w:shd w:fill="FFDCE0" w:val="clear"/>
          </w:tcPr>
          <w:p>
            <w:r>
              <w:rPr>
                <w:b/>
                <w:sz w:val="17"/>
              </w:rPr>
              <w:t>7,672</w:t>
            </w:r>
          </w:p>
        </w:tc>
        <w:tc>
          <w:tcPr>
            <w:tcW w:type="dxa" w:w="1440"/>
            <w:shd w:fill="FFDCE0" w:val="clear"/>
          </w:tcPr>
          <w:p>
            <w:r>
              <w:rPr>
                <w:sz w:val="17"/>
              </w:rPr>
              <w:t>8,820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6,402</w:t>
            </w:r>
          </w:p>
        </w:tc>
        <w:tc>
          <w:tcPr>
            <w:tcW w:type="dxa" w:w="1440"/>
            <w:shd w:fill="FFDCE0" w:val="clear"/>
          </w:tcPr>
          <w:p>
            <w:r>
              <w:rPr>
                <w:b/>
                <w:sz w:val="17"/>
              </w:rPr>
              <w:t>7,658</w:t>
            </w:r>
          </w:p>
        </w:tc>
        <w:tc>
          <w:tcPr>
            <w:tcW w:type="dxa" w:w="1440"/>
            <w:shd w:fill="FFDCE0" w:val="clear"/>
          </w:tcPr>
          <w:p>
            <w:r>
              <w:rPr>
                <w:sz w:val="17"/>
              </w:rPr>
              <w:t>8,914</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6,290</w:t>
            </w:r>
          </w:p>
        </w:tc>
        <w:tc>
          <w:tcPr>
            <w:tcW w:type="dxa" w:w="1440"/>
            <w:shd w:fill="FFDCE0" w:val="clear"/>
          </w:tcPr>
          <w:p>
            <w:r>
              <w:rPr>
                <w:b/>
                <w:sz w:val="17"/>
              </w:rPr>
              <w:t>7,644</w:t>
            </w:r>
          </w:p>
        </w:tc>
        <w:tc>
          <w:tcPr>
            <w:tcW w:type="dxa" w:w="1440"/>
            <w:shd w:fill="FFDCE0" w:val="clear"/>
          </w:tcPr>
          <w:p>
            <w:r>
              <w:rPr>
                <w:sz w:val="17"/>
              </w:rPr>
              <w:t>8,998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6,186</w:t>
            </w:r>
          </w:p>
        </w:tc>
        <w:tc>
          <w:tcPr>
            <w:tcW w:type="dxa" w:w="1440"/>
            <w:shd w:fill="FFDCE0" w:val="clear"/>
          </w:tcPr>
          <w:p>
            <w:r>
              <w:rPr>
                <w:b/>
                <w:sz w:val="17"/>
              </w:rPr>
              <w:t>7,631</w:t>
            </w:r>
          </w:p>
        </w:tc>
        <w:tc>
          <w:tcPr>
            <w:tcW w:type="dxa" w:w="1440"/>
            <w:shd w:fill="FFDCE0" w:val="clear"/>
          </w:tcPr>
          <w:p>
            <w:r>
              <w:rPr>
                <w:sz w:val="17"/>
              </w:rPr>
              <w:t>9,076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6,088</w:t>
            </w:r>
          </w:p>
        </w:tc>
        <w:tc>
          <w:tcPr>
            <w:tcW w:type="dxa" w:w="1440"/>
            <w:shd w:fill="FFDCE0" w:val="clear"/>
          </w:tcPr>
          <w:p>
            <w:r>
              <w:rPr>
                <w:b/>
                <w:sz w:val="17"/>
              </w:rPr>
              <w:t>7,618</w:t>
            </w:r>
          </w:p>
        </w:tc>
        <w:tc>
          <w:tcPr>
            <w:tcW w:type="dxa" w:w="1440"/>
            <w:shd w:fill="FFDCE0" w:val="clear"/>
          </w:tcPr>
          <w:p>
            <w:r>
              <w:rPr>
                <w:sz w:val="17"/>
              </w:rPr>
              <w:t>9,148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5,995</w:t>
            </w:r>
          </w:p>
        </w:tc>
        <w:tc>
          <w:tcPr>
            <w:tcW w:type="dxa" w:w="1440"/>
            <w:shd w:fill="FFDCE0" w:val="clear"/>
          </w:tcPr>
          <w:p>
            <w:r>
              <w:rPr>
                <w:b/>
                <w:sz w:val="17"/>
              </w:rPr>
              <w:t>7,605</w:t>
            </w:r>
          </w:p>
        </w:tc>
        <w:tc>
          <w:tcPr>
            <w:tcW w:type="dxa" w:w="1440"/>
            <w:shd w:fill="FFDCE0" w:val="clear"/>
          </w:tcPr>
          <w:p>
            <w:r>
              <w:rPr>
                <w:sz w:val="17"/>
              </w:rPr>
              <w:t>9,215</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 Bourse Régionale des Valeurs Mobilières (BRVM) — Secteur Agro-industriel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201,91 milliards FCFA, SPHC s'impose comme une valeur de premier plan de la cote BRVM, témoignant de la maturité et de la taille significative de cette société agro-industrielle spécialisée dans le caoutchouc naturel. Le BPA de 977 FCFA/action signifie que chaque titre génère près de mille francs de bénéfice net, un niveau de rentabilité par action remarquable qui, rapporté au cours actuel de 7 900 FCFA, offre un rendement bénéficiaire de 12,4%. Le PER de 8,1x positionne le titre nettement en dessous de la moyenne BRVM (estimée entre 8x et 12x), suggérant une potentielle sous-évaluation relative : les investisseurs ne paient que 8,1 fois les bénéfices annuels pour acquérir cette action, ce qui est modeste pour une entreprise affichant une croissance de 22% de son chiffre d'affaires. Le P/B de 1,46x indique que le marché valorise SPHC à 46% au-dessus de sa valeur comptable, un niveau raisonnable qui reflète la qualité des actifs industriels (plantations, usines) sans exubérance spéculative. Enfin, l'EV/EBITDA de 5,1x, bien en deçà du seuil de 10x, signale que la valeur d'entreprise (incluant la dette) reste modérée par rapport à la capacité opérationnelle de génération de cash-flow, renforçant l'hypothèse d'une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performance positive de +17,56%, avec une dernière séance particulièrement dynamique (+3,27%), confirmant un momentum haussier de court terme. Le titre a évolué dans un range large de 6 720 FCFA (plus bas) à 10 300 FCFA (plus haut), soit une amplitude de 53%, révélant une volatilité significative sur la période. La tendance générale est haussière, portée par des fondamentaux solides (croissance du CA de 22% en 2025) et un environnement de prix favorable pour le caoutchouc naturel, bien que le cours actuel (7 900 FCFA) se situe en retrait par rapport au plus haut, suggérant une phase de consolidation après un pic. Les statistiques descriptives révèlent une moyenne de 7 820 FCFA légèrement supérieure à la médiane de 7 600 FCFA, avec un mode à 7 500 FCFA : cet écart indique une distribution asymétrique où quelques journées de forte hausse tirent la moyenne vers le haut, tandis que la majorité des séances se concentrent autour de 7 500-7 600 FCFA. L'écart-type de 793 FCFA (CV = 10,1%) traduit une dispersion modérée du cours autour de sa moyenne, cohérente avec un titre liquide mais sensible aux annonces. Le kurtosis de 1,478 (leptokurtique) signale des queues épaisses, c'est-à-dire un risque de pics de volatilité brutaux (chocs de prix), tandis que le skewness de 1,385 (asymétrie positive) indique que les journées sous la moyenne sont plus fréquentes, mais compensées par des hausses ponctuelles fortes. Enfin, la volatilité annualisée de 43,9% classe SPHC dans la catégorie des titres à volatilité élevée (&gt;30%), ce qui implique un risque de fluctuation important à court terme, mais aussi des opportunités de trading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(8 535,25 FCFA) et la MM50 (8 254,10 FCFA) se situent toutes deux au-dessus du cours actuel (7 900 FCFA), ce qui place le titre en position baissière par rapport à ses moyennes de court et moyen terme. Cependant, la MM20 &gt; MM50 indique une structure haussière sous-jacente, et la décision "Achat" suggère que le cours pourrait rebondir vers ces niveaux de résistance dynamique. Le croisement potentiel du cours au-dessus de la MM50 serait un signal de reprise haussière.</w:t>
      </w:r>
    </w:p>
    <w:p>
      <w:pPr>
        <w:spacing w:after="120" w:line="276" w:lineRule="auto"/>
      </w:pPr>
      <w:r>
        <w:t>**Bandes de Bollinger** : Le cours actuel (7 900 FCFA) se situe dans la partie inférieure de la bande (borne inférieure : 6 674,11 FCFA ; borne supérieure : 10 396,39 FCFA), à environ 30% de la largeur totale, ce qui indique une position neutre-baissière. La largeur élevée des bandes (3 722 FCFA d'écart) reflète une volatilité importante, et la décision "Neutre" suggère l'absence de signal directionnel fort, le cours évoluant dans une zone de consolidation sans surachat ni survente.</w:t>
      </w:r>
    </w:p>
    <w:p>
      <w:pPr>
        <w:spacing w:after="120" w:line="276" w:lineRule="auto"/>
      </w:pPr>
      <w:r>
        <w:t>**MACD** : La valeur du MACD (-260,357) est inférieure à son signal (-143,469), générant un histogramme négatif qui confirme un momentum baissier de court terme. La divergence négative entre le MACD et son signal justifie la décision "Vente", indiquant que la pression vendeuse domine actuellement, bien que l'ampleur de l'écart reste modérée et pourrait se résorber si le cours rebondit.</w:t>
      </w:r>
    </w:p>
    <w:p>
      <w:pPr>
        <w:spacing w:after="120" w:line="276" w:lineRule="auto"/>
      </w:pPr>
      <w:r>
        <w:t>**RSI** : Avec une valeur de 27,66, le RSI se situe en zone de survente (&lt;30), ce qui est un signal classique d'achat potentiel : le titre a été excessivement vendu et pourrait connaître un rebond technique. La décision "Achat" est cohérente avec cette lecture, le RSI suggérant que la pression baissière est proche de son épuisement.</w:t>
      </w:r>
    </w:p>
    <w:p>
      <w:pPr>
        <w:spacing w:after="120" w:line="276" w:lineRule="auto"/>
      </w:pPr>
      <w:r>
        <w:t>**Stochastique** : Le %K (37,209) est supérieur au %D (15,236), et les deux se situent en zone basse (&lt;20 pour le %D), indiquant une condition de survente. Le croisement potentiel du %K au-dessus du %D serait un signal d'achat, mais la décision "Neutre" reflète l'absence de confirmation claire, le %K n'ayant pas encore franchi de manière décisive la zone de surachat.</w:t>
      </w:r>
    </w:p>
    <w:p>
      <w:pPr>
        <w:spacing w:after="120" w:line="276" w:lineRule="auto"/>
      </w:pPr>
      <w:r>
        <w:t>**Conclusion technique** : Les indicateurs techniques présentent un tableau mitigé : le RSI en survente et le stochastique en zone basse plaident pour un rebond à court terme, tandis que le MACD baissier et la position du cours sous les moyennes mobiles tempèrent cet optimisme. La convergence des signaux d'achat (RSI, MM) et de vente (MACD) suggère une phase de transition, où le titre pourrait tester le support de 7 500-7 600 FCFA avant de reprendre sa tendance haussière si les fondamentaux restent solides. Une confirmation par un franchissement de la MM20 (8 535 FCFA) serait nécessaire pour valider un retournement durable.</w:t>
      </w:r>
    </w:p>
    <w:p>
      <w:pPr>
        <w:spacing w:after="120" w:line="276" w:lineRule="auto"/>
      </w:pPr>
      <w:r>
        <w:t>---</w:t>
      </w:r>
    </w:p>
    <w:p>
      <w:pPr>
        <w:spacing w:after="120" w:line="276" w:lineRule="auto"/>
      </w:pPr>
      <w:r>
        <w:t>## PARTIE 3 : ANALYSE FONDAMENTALE</w:t>
      </w:r>
    </w:p>
    <w:p>
      <w:pPr>
        <w:spacing w:after="120" w:line="276" w:lineRule="auto"/>
      </w:pPr>
      <w:r>
        <w:t>En 2025, SPHC a enregistré un chiffre d'affaires de 340,831 milliards FCFA, en croissance de 21,97% par rapport à 2024 (279,44 milliards FCFA), portée par une hausse des volumes vendus (+16,8%) et des prix moyens (+17,6%) selon le rapport T3 2025 (daté du 30 septembre 2025). Le résultat net s'établit à 24,972 milliards FCFA, en progression de 32,9% (vs 18,79 milliards en 2024), avec une marge nette de 7,33% (contre 6,7% en 2024), une marge opérationnelle de 11,19% et une marge brute de 24,12%. La rentabilité des fonds propres (ROE) atteint 18,10%, un niveau excellent (&gt;15%), et le ROA de 11,06% confirme l'efficacité dans l'utilisation des actifs (225,843 milliards FCFA). La structure financière est solide : capitaux propres de 137,937 milliards FCFA, autonomie financière de 61,08%, ratio d'endettement de 25,81% et capacité de remboursement de 0,97 an (dette financière/CAF), bien que la trésorerie nette soit négative (-15,413 milliards FCFA), un point de vigilance. Le BFR de 65,389 milliards FCFA (positif) et les délais d'exploitation (35 jours clients, 72,33 jours de stockage) indiquent une gestion perfectible du besoin en fonds de roulement, mais compensée par une liquidité générale de 195,54%. Les rapports trimestriels confirment la dynamique : le T1 2025 (daté du 31 mars 2025) affichait un CA de 94,3 milliards FCFA (+72%) et un résultat net de 11,8 milliards (+949%), tandis que le S1 2025 (30 juin 2025) enregistrait 171,4 milliards de CA (+51%) et 18,1 milliards de résultat net (+449%). Cependant, le rapport T1 2026 (daté de 2026) révèle un net ralentissement : CA de 71,8 milliards FCFA (-24%), résultat net de 2,633 milliards (-78%) et marge nette de 4%, pénalisé par la chute des cours mondiaux du caoutchouc (SICOM 20 à 1,91 USD/kg), l'engorgement du port de San Pedro et la concurrence accrue pour la matière première. La politique de dividende reste attractive : 489 FCFA brut/action proposé pour 2025 (12,50 milliards FCFA au total), soit un rendement de 6,2% au cours actuel, avec un taux de distribution stable de 50,1%. **Recommandation fondamentale** : SPHC affiche des fondamentaux solides (ROE élevé, structure financière saine, dividende généreux) mais fait face à des vents contraires en 2026 (baisse des prix, pression concurrentielle). La capacité à préserver ses marges et à diversifier ses revenus (huile de palme, bois) sera cruciale. Le titre reste fondamentalement attractif pour un investisseur long terme, mais la prudence est de mise à court terme.</w:t>
      </w:r>
    </w:p>
    <w:p>
      <w:pPr>
        <w:spacing w:after="120" w:line="276" w:lineRule="auto"/>
      </w:pPr>
      <w:r>
        <w:t>---</w:t>
      </w:r>
    </w:p>
    <w:p>
      <w:pPr>
        <w:spacing w:after="120" w:line="276" w:lineRule="auto"/>
      </w:pPr>
      <w:r>
        <w:t>## PARTIE 4 : CONCLUSION D'INVESTISSEMENT</w:t>
      </w:r>
    </w:p>
    <w:p>
      <w:pPr>
        <w:spacing w:after="120" w:line="276" w:lineRule="auto"/>
      </w:pPr>
      <w:r>
        <w:t>La valorisation de SPHC (PER 8,1x, P/B 1,46x, EV/EBITDA 5,1x) suggère une sous-évaluation relative par rapport à ses pairs et à la moyenne BRVM, offrant un point d'entrée intéressant pour un investisseur value. Le comportement du cours sur 100 jours (+17,56%) est haussier, mais la volatilité élevée (43,9%) et le kurtosis leptokurtique (1,478) signalent un risque de pics baissiers brutaux, tandis que le skewness positif (1,385) indique que les hausses ponctuelles compensent les journées de faiblesse. Les signaux techniques sont mitigés : le RSI en survente (27,66) et le stochastique en zone basse plaident pour un rebond, mais le MACD baissier et la position du cours sous les MM20/MM50 tempèrent cet optimisme, suggérant une phase de consolidation avant une reprise. Les fondamentaux restent solides (ROE 18,1%, marge nette 7,33%, dividende 489 FCFA/action), mais le T1 2026 (CA -24%, résultat net -78%) révèle un net ralentissement qui pourrait peser sur les performances futures. Les prédictions IA (7 725 FCFA à J+1, 7 672 FCFA à J+5) anticipent une légère baisse de 2,9% sur 10 jours, confirmant la pression baissière de court terme mais sans effondrement. **Recommandation finale : CONSERVER**, avec un biais positif pour les investisseurs long terme. La convergence entre valorisation attractive, fondamentaux solides et signaux techniques de survente soutient un potentiel de rebond, mais le ralentissement du T1 2026 et la volatilité élevée justifient une approche prudente. **Niveau de confiance : Moyen** (les signaux sont contradictoires à court terme). **Niveau de risque : Élevé** (volatilité 43,9%, dépendance aux cours du caoutchouc, trésorerie négative). **Horizon optimal : Moyen terme (3-12 mois)**, en surveillant les prochains rapports trimestriels (T2 2026) pour confirmer la stabilisation des marges et l'impact des mesures de limitation des licences sur la concurrence. Un retour durable au-dessus de la MM20 (8 535 FCFA) serait un signal d'achat plus agressif.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6,107 titres</w:t>
            </w:r>
          </w:p>
        </w:tc>
        <w:tc>
          <w:tcPr>
            <w:tcW w:type="dxa" w:w="2268"/>
            <w:shd w:fill="FFF2CC" w:val="clear"/>
          </w:tcPr>
          <w:p>
            <w:r>
              <w:rPr>
                <w:b/>
                <w:color w:val="503200"/>
                <w:sz w:val="16"/>
              </w:rPr>
              <w:t xml:space="preserve">Cours actuel : </w:t>
            </w:r>
            <w:r>
              <w:rPr>
                <w:color w:val="000000"/>
                <w:sz w:val="17"/>
              </w:rPr>
              <w:t>2,085 FCFA</w:t>
            </w:r>
          </w:p>
          <w:p>
            <w:r>
              <w:rPr>
                <w:b/>
                <w:color w:val="503200"/>
                <w:sz w:val="16"/>
              </w:rPr>
              <w:t xml:space="preserve">Var. 100 jours : </w:t>
            </w:r>
            <w:r>
              <w:rPr>
                <w:b/>
                <w:color w:val="B40000"/>
                <w:sz w:val="17"/>
              </w:rPr>
              <w:t>-29.44%</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59.5%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13.37% (Moyenne) — μ=2,890 FCFA, σ=386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β=-0.2223 (Contre-cyclique) — Cov=-0.000013, Var(idx)=0.000061, ρ=-0.048,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σ_j=3.75%/j (Modérée) — Vol. annualisée≈59.5%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2,015</w:t>
            </w:r>
          </w:p>
        </w:tc>
        <w:tc>
          <w:tcPr>
            <w:tcW w:type="dxa" w:w="1440"/>
            <w:shd w:fill="C6EFCE" w:val="clear"/>
          </w:tcPr>
          <w:p>
            <w:r>
              <w:rPr>
                <w:b/>
                <w:sz w:val="17"/>
              </w:rPr>
              <w:t>2,129</w:t>
            </w:r>
          </w:p>
        </w:tc>
        <w:tc>
          <w:tcPr>
            <w:tcW w:type="dxa" w:w="1440"/>
            <w:shd w:fill="C6EFCE" w:val="clear"/>
          </w:tcPr>
          <w:p>
            <w:r>
              <w:rPr>
                <w:sz w:val="17"/>
              </w:rPr>
              <w:t>2,242</w:t>
            </w:r>
          </w:p>
        </w:tc>
        <w:tc>
          <w:tcPr>
            <w:tcW w:type="dxa" w:w="1440"/>
            <w:shd w:fill="C6EFCE" w:val="clear"/>
          </w:tcPr>
          <w:p>
            <w:r>
              <w:rPr>
                <w:b/>
                <w:color w:val="008000"/>
                <w:sz w:val="17"/>
              </w:rPr>
              <w:t>+2.1%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1,956</w:t>
            </w:r>
          </w:p>
        </w:tc>
        <w:tc>
          <w:tcPr>
            <w:tcW w:type="dxa" w:w="1440"/>
            <w:shd w:fill="FAFAFA" w:val="clear"/>
          </w:tcPr>
          <w:p>
            <w:r>
              <w:rPr>
                <w:b/>
                <w:sz w:val="17"/>
              </w:rPr>
              <w:t>2,115</w:t>
            </w:r>
          </w:p>
        </w:tc>
        <w:tc>
          <w:tcPr>
            <w:tcW w:type="dxa" w:w="1440"/>
            <w:shd w:fill="FAFAFA" w:val="clear"/>
          </w:tcPr>
          <w:p>
            <w:r>
              <w:rPr>
                <w:sz w:val="17"/>
              </w:rPr>
              <w:t>2,274</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1,917</w:t>
            </w:r>
          </w:p>
        </w:tc>
        <w:tc>
          <w:tcPr>
            <w:tcW w:type="dxa" w:w="1440"/>
            <w:shd w:fill="FAFAFA" w:val="clear"/>
          </w:tcPr>
          <w:p>
            <w:r>
              <w:rPr>
                <w:b/>
                <w:sz w:val="17"/>
              </w:rPr>
              <w:t>2,112</w:t>
            </w:r>
          </w:p>
        </w:tc>
        <w:tc>
          <w:tcPr>
            <w:tcW w:type="dxa" w:w="1440"/>
            <w:shd w:fill="FAFAFA" w:val="clear"/>
          </w:tcPr>
          <w:p>
            <w:r>
              <w:rPr>
                <w:sz w:val="17"/>
              </w:rPr>
              <w:t>2,307</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1,887</w:t>
            </w:r>
          </w:p>
        </w:tc>
        <w:tc>
          <w:tcPr>
            <w:tcW w:type="dxa" w:w="1440"/>
            <w:shd w:fill="FAFAFA" w:val="clear"/>
          </w:tcPr>
          <w:p>
            <w:r>
              <w:rPr>
                <w:b/>
                <w:sz w:val="17"/>
              </w:rPr>
              <w:t>2,112</w:t>
            </w:r>
          </w:p>
        </w:tc>
        <w:tc>
          <w:tcPr>
            <w:tcW w:type="dxa" w:w="1440"/>
            <w:shd w:fill="FAFAFA" w:val="clear"/>
          </w:tcPr>
          <w:p>
            <w:r>
              <w:rPr>
                <w:sz w:val="17"/>
              </w:rPr>
              <w:t>2,337</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1,862</w:t>
            </w:r>
          </w:p>
        </w:tc>
        <w:tc>
          <w:tcPr>
            <w:tcW w:type="dxa" w:w="1440"/>
            <w:shd w:fill="FAFAFA" w:val="clear"/>
          </w:tcPr>
          <w:p>
            <w:r>
              <w:rPr>
                <w:b/>
                <w:sz w:val="17"/>
              </w:rPr>
              <w:t>2,114</w:t>
            </w:r>
          </w:p>
        </w:tc>
        <w:tc>
          <w:tcPr>
            <w:tcW w:type="dxa" w:w="1440"/>
            <w:shd w:fill="FAFAFA" w:val="clear"/>
          </w:tcPr>
          <w:p>
            <w:r>
              <w:rPr>
                <w:sz w:val="17"/>
              </w:rPr>
              <w:t>2,366</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1,840</w:t>
            </w:r>
          </w:p>
        </w:tc>
        <w:tc>
          <w:tcPr>
            <w:tcW w:type="dxa" w:w="1440"/>
            <w:shd w:fill="FAFAFA" w:val="clear"/>
          </w:tcPr>
          <w:p>
            <w:r>
              <w:rPr>
                <w:b/>
                <w:sz w:val="17"/>
              </w:rPr>
              <w:t>2,117</w:t>
            </w:r>
          </w:p>
        </w:tc>
        <w:tc>
          <w:tcPr>
            <w:tcW w:type="dxa" w:w="1440"/>
            <w:shd w:fill="FAFAFA" w:val="clear"/>
          </w:tcPr>
          <w:p>
            <w:r>
              <w:rPr>
                <w:sz w:val="17"/>
              </w:rPr>
              <w:t>2,393</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1,820</w:t>
            </w:r>
          </w:p>
        </w:tc>
        <w:tc>
          <w:tcPr>
            <w:tcW w:type="dxa" w:w="1440"/>
            <w:shd w:fill="FAFAFA" w:val="clear"/>
          </w:tcPr>
          <w:p>
            <w:r>
              <w:rPr>
                <w:b/>
                <w:sz w:val="17"/>
              </w:rPr>
              <w:t>2,119</w:t>
            </w:r>
          </w:p>
        </w:tc>
        <w:tc>
          <w:tcPr>
            <w:tcW w:type="dxa" w:w="1440"/>
            <w:shd w:fill="FAFAFA" w:val="clear"/>
          </w:tcPr>
          <w:p>
            <w:r>
              <w:rPr>
                <w:sz w:val="17"/>
              </w:rPr>
              <w:t>2,418</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1,801</w:t>
            </w:r>
          </w:p>
        </w:tc>
        <w:tc>
          <w:tcPr>
            <w:tcW w:type="dxa" w:w="1440"/>
            <w:shd w:fill="FAFAFA" w:val="clear"/>
          </w:tcPr>
          <w:p>
            <w:r>
              <w:rPr>
                <w:b/>
                <w:sz w:val="17"/>
              </w:rPr>
              <w:t>2,121</w:t>
            </w:r>
          </w:p>
        </w:tc>
        <w:tc>
          <w:tcPr>
            <w:tcW w:type="dxa" w:w="1440"/>
            <w:shd w:fill="FAFAFA" w:val="clear"/>
          </w:tcPr>
          <w:p>
            <w:r>
              <w:rPr>
                <w:sz w:val="17"/>
              </w:rPr>
              <w:t>2,440</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1,783</w:t>
            </w:r>
          </w:p>
        </w:tc>
        <w:tc>
          <w:tcPr>
            <w:tcW w:type="dxa" w:w="1440"/>
            <w:shd w:fill="FAFAFA" w:val="clear"/>
          </w:tcPr>
          <w:p>
            <w:r>
              <w:rPr>
                <w:b/>
                <w:sz w:val="17"/>
              </w:rPr>
              <w:t>2,123</w:t>
            </w:r>
          </w:p>
        </w:tc>
        <w:tc>
          <w:tcPr>
            <w:tcW w:type="dxa" w:w="1440"/>
            <w:shd w:fill="FAFAFA" w:val="clear"/>
          </w:tcPr>
          <w:p>
            <w:r>
              <w:rPr>
                <w:sz w:val="17"/>
              </w:rPr>
              <w:t>2,462</w:t>
            </w:r>
          </w:p>
        </w:tc>
        <w:tc>
          <w:tcPr>
            <w:tcW w:type="dxa" w:w="1440"/>
            <w:shd w:fill="FAFAFA" w:val="clear"/>
          </w:tcPr>
          <w:p>
            <w:r>
              <w:rPr>
                <w:b/>
                <w:color w:val="008000"/>
                <w:sz w:val="17"/>
              </w:rPr>
              <w:t>+1.8%</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1,766</w:t>
            </w:r>
          </w:p>
        </w:tc>
        <w:tc>
          <w:tcPr>
            <w:tcW w:type="dxa" w:w="1440"/>
            <w:shd w:fill="FAFAFA" w:val="clear"/>
          </w:tcPr>
          <w:p>
            <w:r>
              <w:rPr>
                <w:b/>
                <w:sz w:val="17"/>
              </w:rPr>
              <w:t>2,124</w:t>
            </w:r>
          </w:p>
        </w:tc>
        <w:tc>
          <w:tcPr>
            <w:tcW w:type="dxa" w:w="1440"/>
            <w:shd w:fill="FAFAFA" w:val="clear"/>
          </w:tcPr>
          <w:p>
            <w:r>
              <w:rPr>
                <w:sz w:val="17"/>
              </w:rPr>
              <w:t>2,482</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SETAO (STAC)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SETAO s'établit à 28,02 milliards FCFA, un niveau modeste à l'échelle de la BRVM qui la place parmi les petites capitalisations du compartiment industriel/BTP. Le BPA ressort à -7 FCFA/action, traduisant une société déficitaire qui ne génère aucun bénéfice par action — le PER de -290,2x est donc mécaniquement négatif et non interprétable en termes de cherté relative (la référence BRVM de 8-12x ne s'applique pas aux sociétés en perte). Le ratio P/B de 78,55x constitue un signal d'alerte majeur : le marché valorise l'action à près de 79 fois sa valeur comptable, alors que les capitaux propres ne s'élèvent qu'à 356,75 M FCFA pour une capitalisation de 28,02 Mds FCFA — soit une prime spéculative considérable qui n'est justifiée ni par les bénéfices ni par l'actif net. Cette décorrélation extrême entre prix de marché et fondamentaux comptables suggère que le cours intègre des anticipations de retournement (projet aéroport d'Abidjan) plutôt qu'une réalité financière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SETAO a enregistré une chute vertigineuse de -29,44%, avec une accélération baissière marquée lors de la dernière séance (-7,33%), portant le cours à 2 085 FCFA — soit exactement le plus bas de la période, ce qui signifie que le titre clôture sur son plancher absolu. Le range de trading est particulièrement large, avec un plus haut à 3 640 FCFA contre un plus bas à 2 085 FCFA, soit un écart de 1 555 FCFA (74% du cours actuel), révélant une tendance baissière structurelle et persistante. La moyenne des 100 jours (2 890 FCFA) est supérieure à la médiane (2 825 FCFA), tandis que le mode se situe à 3 500 FCFA — cet écart entre moyenne, médiane et mode confirme une distribution asymétrique avec une concentration des échanges sur des niveaux historiquement plus élevés, le cours actuel étant nettement en dessous de ces trois références. L'écart-type de 388 FCFA avec un coefficient de variation de 13,4% indique une dispersion modérée en valeur relative, mais le kurtosis de -0,629 (mésokurtique) et le skewness de 0,233 (distribution symétrique) suggèrent un comportement proche d'une loi normale sans pics extrêmes ni asymétrie prononcée — ce qui signifie que la chute récente n'est pas un événement aberrant mais s'inscrit dans une dynamique baissière régulière. La volatilité annualisée de 59,5% classe le titre dans la catégorie des valeurs à volatilité élevée (&gt;30%), ce qui est cohérent avec une petite capitalisation en difficulté opérationnelle et expose l'investisseur à un risque de perte en capital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(2 461,25 FCFA) et la MM50 (2 638,90 FCFA) sont toutes deux nettement supérieures au cours actuel (2 085 FCFA), avec la MM20 en dessous de la MM50 — configuration baissière classique. Le cours évolue sous ses deux moyennes mobiles, ce qui confirme la pression vendeuse et justifie la décision technique de **Vente**.</w:t>
      </w:r>
    </w:p>
    <w:p>
      <w:pPr>
        <w:spacing w:after="120" w:line="276" w:lineRule="auto"/>
      </w:pPr>
      <w:r>
        <w:t>**Bandes de Bollinger** : Le cours (2 085 FCFA) se situe entre la borne inférieure (1 989,70 FCFA) et la borne supérieure (2 932,80 FCFA), mais très proche de la borne basse, ce qui indique une pression baissière sans situation de survente extrême. La largeur des bandes reflète une volatilité élevée, et la décision **Neutre** suggère une absence de signal directionnel fort à court terme malgré la proximité de la borne inférieure.</w:t>
      </w:r>
    </w:p>
    <w:p>
      <w:pPr>
        <w:spacing w:after="120" w:line="276" w:lineRule="auto"/>
      </w:pPr>
      <w:r>
        <w:t>**MACD** : La valeur du MACD (-153,78) est inférieure à son signal (-122,52), avec un histogramme négatif — configuration baissière confirmée. Le momentum est clairement négatif et la divergence entre les deux lignes s'accentue, justifiant la décision de **Vente**.</w:t>
      </w:r>
    </w:p>
    <w:p>
      <w:pPr>
        <w:spacing w:after="120" w:line="276" w:lineRule="auto"/>
      </w:pPr>
      <w:r>
        <w:t>**RSI** : À 25,67, le RSI se situe en zone de survente (&lt;30), ce qui indique que le titre a été massivement vendu et pourrait connaître un rebond technique à court terme. Cette configuration justifie la décision d'**Achat** à contre-tendance, mais doit être interprétée avec prudence dans un contexte de tendance baissière structurelle.</w:t>
      </w:r>
    </w:p>
    <w:p>
      <w:pPr>
        <w:spacing w:after="120" w:line="276" w:lineRule="auto"/>
      </w:pPr>
      <w:r>
        <w:t>**Stochastique** : Le %K (0,0) est au plus bas absolu et le %D (10,42) est également très faible, avec un croisement potentiel en zone de survente extrême. Cette configuration est typique d'un épuisement vendeur et justifie la décision d'**Achat** en anticipation d'un rebond technique.</w:t>
      </w:r>
    </w:p>
    <w:p>
      <w:pPr>
        <w:spacing w:after="120" w:line="276" w:lineRule="auto"/>
      </w:pPr>
      <w:r>
        <w:t>**Conclusion technique** : Les indicateurs présentent une divergence notable : les moyennes mobiles et le MACD confirment une tendance baissière forte, tandis que le RSI et le stochastique signalent une survente extrême propice à un rebond technique. Cette configuration contradictoire suggère que le titre pourrait connaître une correction haussière à court terme, mais que la tendance de fond reste négative tant que le cours n'aura pas reconquis la MM20 (2 461 FCFA). La prudence est de mise : un rebond technique ne signifie pas un retournement de tendance.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SETAO affiche un chiffre d'affaires de 3,878 Mds FCFA, en croissance spectaculaire de +116,26% par rapport à 2024 (1,793 Md FCFA), portée par le redémarrage des travaux de l'aéroport d'Abidjan. Cependant, cette dynamique commerciale ne se traduit pas encore par une rentabilité : le résultat net reste négatif à -96,56 M FCFA, le ROE est de -27,07% et le ROA de -1,77%. La valeur ajoutée (154,19 M FCFA) est positive mais très faible (4% du CA), et l'EBE est lourdement déficitaire à -650,13 M FCFA, révélant une structure de coûts inadaptée au niveau d'activité actuel. Le BFR est négatif à -930,47 M FCFA (favorable pour la trésorerie), et la trésorerie nette s'élève à 1,330 Md FCFA, mais les flux opérationnels sont négatifs à -2,212 Mds FCFA, ce qui signifie que l'entreprise consomme du cash pour fonctionner. La structure financière est très fragile : l'autonomie financière n'est que de 6,55% (seuil sain &gt;30%), le ratio d'endettement atteint 93,45% et la capacité de remboursement est de 77,53 années de CAF — un niveau insoutenable à long terme.</w:t>
      </w:r>
    </w:p>
    <w:p>
      <w:pPr>
        <w:spacing w:after="120" w:line="276" w:lineRule="auto"/>
      </w:pPr>
      <w:r>
        <w:t>**Estimations basées sur les rapports trimestriels** : Le rapport du 3ème trimestre 2025 (publié le 30 septembre 2025) indique un CA cumulé de 3 456 M FCFA sur 9 mois (+176% en glissement annuel) et une perte nette de 477 M FCFA, en réduction de 22% par rapport à 2024. La direction maintient sa prévision de CA annuel à 4 Mds FCFA, ce qui implique un ralentissement très marqué au T4 (environ 544 M FCFA attendus). Le rapport du 1er semestre 2025 (30 juin 2025) faisait état d'un CA de 2 271 M FCFA (+290%) et d'une perte nette de 557 M FCFA, avec une amélioration de la perte d'exploitation de -50% (de -921 M à -456 M FCFA). Ces éléments suggèrent que l'exercice 2025 devrait se solder par une perte nette annuelle comprise entre -100 et -150 M FCFA, en amélioration par rapport à 2024 (-348 M FCFA) mais toujours loin de la rentabilité. Les rapports antérieurs (2021) montraient une société rentable avec un CA de 10,27 Mds FCFA et un résultat net de 1,12 Md FCFA — la dégradation est donc structurelle et non conjoncturelle.</w:t>
      </w:r>
    </w:p>
    <w:p>
      <w:pPr>
        <w:spacing w:after="120" w:line="276" w:lineRule="auto"/>
      </w:pPr>
      <w:r>
        <w:t>**Recommandation fondamentale** : SETAO présente un profil de risque très élevé : la société est déficitaire, sa structure financière est déséquilibrée (capitaux propres représentant seulement 6,5% du bilan), et sa survie dépend de la poursuite du chantier de l'aéroport d'Abidjan et de l'obtention de nouveaux contrats. La trésorerie de 1,33 Md FCFA constitue un coussin de sécurité, mais elle est consommée par les pertes opérationnelles. **La recommandation fondamentale est VENTE**, sauf pour les investisseurs spéculatifs prêts à parier sur un retournement lié à des annonces de contrats majeurs.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situation profondément contradictoire. **Valorisation (Partie 0)** : le PER négatif et le P/B de 78,55x indiquent une surévaluation manifeste par rapport aux fondamentaux comptables, le marché anticipant un retournement qui tarde à se matérialiser. **Comportement du cours (Partie 1)** : la chute de -29,44% sur 100 jours, avec un cours clôturant sur son plus bas absolu (2 085 FCFA) et une volatilité annualisée de 59,5%, traduit une défiance persistante des investisseurs, bien que la distribution symétrique (skewness 0,233) et l'absence de pics extrêmes (kurtosis -0,629) suggèrent une tendance baissière régulière plutôt qu'un krach. **Signaux techniques (Partie 2)** : divergence entre les indicateurs baissiers (MM, MACD) et les signaux de survente (RSI 25,67, Stochastique 0,0) — un rebond technique est possible à court terme, mais la tendance de fond reste négative. **Fondamentaux (Partie 3)** : la croissance du CA (+116% en 2025) est impressionnante mais non rentable, la structure financière est très fragile (autonomie financière 6,55%, endettement 93,45%) et les flux opérationnels sont négatifs (-2,212 Mds FCFA). **Prédictions IA (J+1 à J+10)** : la trajectoire prévue (2 129 FCFA à 2 114 FCFA) suggère une légère reprise de +1,4% à +2,1% par rapport au cours actuel, ce qui confirme la possibilité d'un rebond technique sans inversion de tendance.</w:t>
      </w:r>
    </w:p>
    <w:p>
      <w:pPr>
        <w:spacing w:after="120" w:line="276" w:lineRule="auto"/>
      </w:pPr>
      <w:r>
        <w:t>**Recommandation finale : VENTE** — Les signaux baissiers (valorisation extrême, tendance baissière, fondamentaux dégradés) convergent et l'emportent sur les signaux d'achat à court terme (RSI en survente, stochastique au plus bas). La prédiction IA d'un léger rebond ne suffit pas à compenser les risques structurels. **Niveau de confiance : Moyen** (les indicateurs techniques contradictoires introduisent une incertitude). **Niveau de risque global : Élevé** (petite capitalisation, déficits récurrents, dépendance à un projet unique). **Horizon d'investissement : Court terme** pour les spéculateurs cherchant à profiter d'un rebond technique, avec un stop-loss strict ; **à éviter** pour les investisseurs long terme en l'absence de preuves tangibles d'un redressement durable de la rentabilité.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3,886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+4.39%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20,250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5.28% (Moyenne) — μ=22,496 FCFA, σ=1,187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β=0.4150 (Défensif) — Cov=0.000025, Var(idx)=0.000061, ρ=0.138,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21,177</w:t>
            </w:r>
          </w:p>
        </w:tc>
        <w:tc>
          <w:tcPr>
            <w:tcW w:type="dxa" w:w="1440"/>
            <w:shd w:fill="C6EFCE" w:val="clear"/>
          </w:tcPr>
          <w:p>
            <w:r>
              <w:rPr>
                <w:b/>
                <w:sz w:val="17"/>
              </w:rPr>
              <w:t>22,140</w:t>
            </w:r>
          </w:p>
        </w:tc>
        <w:tc>
          <w:tcPr>
            <w:tcW w:type="dxa" w:w="1440"/>
            <w:shd w:fill="C6EFCE" w:val="clear"/>
          </w:tcPr>
          <w:p>
            <w:r>
              <w:rPr>
                <w:sz w:val="17"/>
              </w:rPr>
              <w:t>23,104</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21,096</w:t>
            </w:r>
          </w:p>
        </w:tc>
        <w:tc>
          <w:tcPr>
            <w:tcW w:type="dxa" w:w="1440"/>
            <w:shd w:fill="C6EFCE" w:val="clear"/>
          </w:tcPr>
          <w:p>
            <w:r>
              <w:rPr>
                <w:b/>
                <w:sz w:val="17"/>
              </w:rPr>
              <w:t>22,479</w:t>
            </w:r>
          </w:p>
        </w:tc>
        <w:tc>
          <w:tcPr>
            <w:tcW w:type="dxa" w:w="1440"/>
            <w:shd w:fill="C6EFCE" w:val="clear"/>
          </w:tcPr>
          <w:p>
            <w:r>
              <w:rPr>
                <w:sz w:val="17"/>
              </w:rPr>
              <w:t>23,862</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21,092</w:t>
            </w:r>
          </w:p>
        </w:tc>
        <w:tc>
          <w:tcPr>
            <w:tcW w:type="dxa" w:w="1440"/>
            <w:shd w:fill="C6EFCE" w:val="clear"/>
          </w:tcPr>
          <w:p>
            <w:r>
              <w:rPr>
                <w:b/>
                <w:sz w:val="17"/>
              </w:rPr>
              <w:t>22,812</w:t>
            </w:r>
          </w:p>
        </w:tc>
        <w:tc>
          <w:tcPr>
            <w:tcW w:type="dxa" w:w="1440"/>
            <w:shd w:fill="C6EFCE" w:val="clear"/>
          </w:tcPr>
          <w:p>
            <w:r>
              <w:rPr>
                <w:sz w:val="17"/>
              </w:rPr>
              <w:t>24,531</w:t>
            </w:r>
          </w:p>
        </w:tc>
        <w:tc>
          <w:tcPr>
            <w:tcW w:type="dxa" w:w="1440"/>
            <w:shd w:fill="C6EFCE" w:val="clear"/>
          </w:tcPr>
          <w:p>
            <w:r>
              <w:rPr>
                <w:b/>
                <w:color w:val="008000"/>
                <w:sz w:val="17"/>
              </w:rPr>
              <w:t>+6.6%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21,100</w:t>
            </w:r>
          </w:p>
        </w:tc>
        <w:tc>
          <w:tcPr>
            <w:tcW w:type="dxa" w:w="1440"/>
            <w:shd w:fill="C6EFCE" w:val="clear"/>
          </w:tcPr>
          <w:p>
            <w:r>
              <w:rPr>
                <w:b/>
                <w:sz w:val="17"/>
              </w:rPr>
              <w:t>23,111</w:t>
            </w:r>
          </w:p>
        </w:tc>
        <w:tc>
          <w:tcPr>
            <w:tcW w:type="dxa" w:w="1440"/>
            <w:shd w:fill="C6EFCE" w:val="clear"/>
          </w:tcPr>
          <w:p>
            <w:r>
              <w:rPr>
                <w:sz w:val="17"/>
              </w:rPr>
              <w:t>25,123</w:t>
            </w:r>
          </w:p>
        </w:tc>
        <w:tc>
          <w:tcPr>
            <w:tcW w:type="dxa" w:w="1440"/>
            <w:shd w:fill="C6EFCE" w:val="clear"/>
          </w:tcPr>
          <w:p>
            <w:r>
              <w:rPr>
                <w:b/>
                <w:color w:val="008000"/>
                <w:sz w:val="17"/>
              </w:rPr>
              <w:t>+8.0%</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21,075</w:t>
            </w:r>
          </w:p>
        </w:tc>
        <w:tc>
          <w:tcPr>
            <w:tcW w:type="dxa" w:w="1440"/>
            <w:shd w:fill="C6EFCE" w:val="clear"/>
          </w:tcPr>
          <w:p>
            <w:r>
              <w:rPr>
                <w:b/>
                <w:sz w:val="17"/>
              </w:rPr>
              <w:t>23,347</w:t>
            </w:r>
          </w:p>
        </w:tc>
        <w:tc>
          <w:tcPr>
            <w:tcW w:type="dxa" w:w="1440"/>
            <w:shd w:fill="C6EFCE" w:val="clear"/>
          </w:tcPr>
          <w:p>
            <w:r>
              <w:rPr>
                <w:sz w:val="17"/>
              </w:rPr>
              <w:t>25,618</w:t>
            </w:r>
          </w:p>
        </w:tc>
        <w:tc>
          <w:tcPr>
            <w:tcW w:type="dxa" w:w="1440"/>
            <w:shd w:fill="C6EFCE" w:val="clear"/>
          </w:tcPr>
          <w:p>
            <w:r>
              <w:rPr>
                <w:b/>
                <w:color w:val="008000"/>
                <w:sz w:val="17"/>
              </w:rPr>
              <w:t>+9.1%</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21,058</w:t>
            </w:r>
          </w:p>
        </w:tc>
        <w:tc>
          <w:tcPr>
            <w:tcW w:type="dxa" w:w="1440"/>
            <w:shd w:fill="C6EFCE" w:val="clear"/>
          </w:tcPr>
          <w:p>
            <w:r>
              <w:rPr>
                <w:b/>
                <w:sz w:val="17"/>
              </w:rPr>
              <w:t>23,570</w:t>
            </w:r>
          </w:p>
        </w:tc>
        <w:tc>
          <w:tcPr>
            <w:tcW w:type="dxa" w:w="1440"/>
            <w:shd w:fill="C6EFCE" w:val="clear"/>
          </w:tcPr>
          <w:p>
            <w:r>
              <w:rPr>
                <w:sz w:val="17"/>
              </w:rPr>
              <w:t>26,083</w:t>
            </w:r>
          </w:p>
        </w:tc>
        <w:tc>
          <w:tcPr>
            <w:tcW w:type="dxa" w:w="1440"/>
            <w:shd w:fill="C6EFCE" w:val="clear"/>
          </w:tcPr>
          <w:p>
            <w:r>
              <w:rPr>
                <w:b/>
                <w:color w:val="008000"/>
                <w:sz w:val="17"/>
              </w:rPr>
              <w:t>+10.1%</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20,999</w:t>
            </w:r>
          </w:p>
        </w:tc>
        <w:tc>
          <w:tcPr>
            <w:tcW w:type="dxa" w:w="1440"/>
            <w:shd w:fill="C6EFCE" w:val="clear"/>
          </w:tcPr>
          <w:p>
            <w:r>
              <w:rPr>
                <w:b/>
                <w:sz w:val="17"/>
              </w:rPr>
              <w:t>23,731</w:t>
            </w:r>
          </w:p>
        </w:tc>
        <w:tc>
          <w:tcPr>
            <w:tcW w:type="dxa" w:w="1440"/>
            <w:shd w:fill="C6EFCE" w:val="clear"/>
          </w:tcPr>
          <w:p>
            <w:r>
              <w:rPr>
                <w:sz w:val="17"/>
              </w:rPr>
              <w:t>26,463</w:t>
            </w:r>
          </w:p>
        </w:tc>
        <w:tc>
          <w:tcPr>
            <w:tcW w:type="dxa" w:w="1440"/>
            <w:shd w:fill="C6EFCE" w:val="clear"/>
          </w:tcPr>
          <w:p>
            <w:r>
              <w:rPr>
                <w:b/>
                <w:color w:val="008000"/>
                <w:sz w:val="17"/>
              </w:rPr>
              <w:t>+10.9%</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20,916</w:t>
            </w:r>
          </w:p>
        </w:tc>
        <w:tc>
          <w:tcPr>
            <w:tcW w:type="dxa" w:w="1440"/>
            <w:shd w:fill="C6EFCE" w:val="clear"/>
          </w:tcPr>
          <w:p>
            <w:r>
              <w:rPr>
                <w:b/>
                <w:sz w:val="17"/>
              </w:rPr>
              <w:t>23,851</w:t>
            </w:r>
          </w:p>
        </w:tc>
        <w:tc>
          <w:tcPr>
            <w:tcW w:type="dxa" w:w="1440"/>
            <w:shd w:fill="C6EFCE" w:val="clear"/>
          </w:tcPr>
          <w:p>
            <w:r>
              <w:rPr>
                <w:sz w:val="17"/>
              </w:rPr>
              <w:t>26,787</w:t>
            </w:r>
          </w:p>
        </w:tc>
        <w:tc>
          <w:tcPr>
            <w:tcW w:type="dxa" w:w="1440"/>
            <w:shd w:fill="C6EFCE" w:val="clear"/>
          </w:tcPr>
          <w:p>
            <w:r>
              <w:rPr>
                <w:b/>
                <w:color w:val="008000"/>
                <w:sz w:val="17"/>
              </w:rPr>
              <w:t>+11.5%</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20,784</w:t>
            </w:r>
          </w:p>
        </w:tc>
        <w:tc>
          <w:tcPr>
            <w:tcW w:type="dxa" w:w="1440"/>
            <w:shd w:fill="C6EFCE" w:val="clear"/>
          </w:tcPr>
          <w:p>
            <w:r>
              <w:rPr>
                <w:b/>
                <w:sz w:val="17"/>
              </w:rPr>
              <w:t>23,904</w:t>
            </w:r>
          </w:p>
        </w:tc>
        <w:tc>
          <w:tcPr>
            <w:tcW w:type="dxa" w:w="1440"/>
            <w:shd w:fill="C6EFCE" w:val="clear"/>
          </w:tcPr>
          <w:p>
            <w:r>
              <w:rPr>
                <w:sz w:val="17"/>
              </w:rPr>
              <w:t>27,025</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20,598</w:t>
            </w:r>
          </w:p>
        </w:tc>
        <w:tc>
          <w:tcPr>
            <w:tcW w:type="dxa" w:w="1440"/>
            <w:shd w:fill="C6EFCE" w:val="clear"/>
          </w:tcPr>
          <w:p>
            <w:r>
              <w:rPr>
                <w:b/>
                <w:sz w:val="17"/>
              </w:rPr>
              <w:t>23,885</w:t>
            </w:r>
          </w:p>
        </w:tc>
        <w:tc>
          <w:tcPr>
            <w:tcW w:type="dxa" w:w="1440"/>
            <w:shd w:fill="C6EFCE" w:val="clear"/>
          </w:tcPr>
          <w:p>
            <w:r>
              <w:rPr>
                <w:sz w:val="17"/>
              </w:rPr>
              <w:t>27,172</w:t>
            </w:r>
          </w:p>
        </w:tc>
        <w:tc>
          <w:tcPr>
            <w:tcW w:type="dxa" w:w="1440"/>
            <w:shd w:fill="C6EFCE" w:val="clear"/>
          </w:tcPr>
          <w:p>
            <w:r>
              <w:rPr>
                <w:b/>
                <w:color w:val="008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384,24 milliards FCFA, STBC s'impose comme l'une des valeurs les plus importantes de la cote BRVM, ce qui témoigne de sa liquidité relative et de son poids dans l'indice composite. Le BPA de 2 014 FCFA par action signifie que chaque titre génère un bénéfice net de plus de deux mille francs, un niveau élevé qui reflète la forte rentabilité de la société. Le PER de 10,6x se situe dans la fourchette modérée de la BRVM (8-12x), indiquant que les investisseurs ne paient pas une prime excessive pour les bénéfices actuels, ce qui constitue un signal de valorisation raisonnable. En revanche, le P/B de 8,48x est nettement supérieur au seuil de 4x, traduisant une forte prime par rapport à la valeur comptable — le marché valorise donc lourdement la capacité bénéficiaire et la trésorerie de la société plutôt que ses actifs nets. Enfin, l'EV/EBITDA de 7,6x, dans la fourchette raisonnable de 5-10x, confirme que la valeur totale de l'entreprise reste cohérente avec sa capacité opérationnelle, bien que le P/B élevé invite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+4,39%, clôturant à 21 400 FCFA, malgré un léger repli de -0,47% lors de la dernière séance, signe d'une consolidation récente après une phase de progression. Le range de trading s'établit entre un plus bas de 20 250 FCFA et un plus haut de 25 000 FCFA, soit une amplitude d'environ 23%, ce qui traduit une volatilité non négligeable sur la période. La tendance générale reste toutefois haussière sur le fond, le cours actuel se maintenant au-dessus du plus bas mais en retrait du sommet, suggérant une phase de correction ou de prise de bénéfices. Les statistiques descriptives révèlent une moyenne de 22 496 FCFA supérieure à la médiane de 22 218 FCFA, indiquant une légère asymétrie positive avec quelques séances à cours élevé tirant la moyenne vers le haut ; le mode à 21 000 FCFA correspond au niveau de prix le plus fréquemment observé. L'écart-type de 1 193 FCFA avec un coefficient de variation de 5,3% traduit une dispersion modérée du cours autour de sa moyenne, tandis que le kurtosis de -0,781 (mésokurtique) indique une distribution proche de la normale, sans risque excessif de pics extrêmes. Le skewness de 0,424 confirme une distribution légèrement asymétrique à droite, et la volatilité annualisée de 37,0% positionne le titre dans la catégorie des valeurs à volatilité élevée (&gt;30%), ce qui implique un risque de fluctuation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21 821,25 FCFA et la MM50 à 22 698,6 FCFA, toutes deux supérieures au cours actuel de 21 400 FCFA. Cette configuration baissière (cours sous les deux moyennes) avec une MM20 en dessous de la MM50 confirme une pression vendeuse à court et moyen terme, justifiant la décision technique de **Vente**.</w:t>
      </w:r>
    </w:p>
    <w:p>
      <w:pPr>
        <w:spacing w:after="120" w:line="276" w:lineRule="auto"/>
      </w:pPr>
      <w:r>
        <w:t>**Bandes de Bollinger** : Le cours actuel (21 400 FCFA) se situe dans la partie basse de la bande, entre la borne inférieure (20 962,31 FCFA) et la borne supérieure (22 680,19 FCFA), sans franchissement des limites. Cette position neutre, avec un cours proche du milieu bas de la bande, reflète une absence de signal directionnel fort, d'où la décision **Neutre**.</w:t>
      </w:r>
    </w:p>
    <w:p>
      <w:pPr>
        <w:spacing w:after="120" w:line="276" w:lineRule="auto"/>
      </w:pPr>
      <w:r>
        <w:t>**MACD** : La valeur du MACD (-390,105) est légèrement inférieure à son signal (-383,676), avec un histogramme négatif. Cette divergence baissière indique que le momentum reste négatif, bien que l'écart entre les deux lignes soit faible, suggérant un essoufflement de la tendance baissière. La décision technique reste néanmoins **Vente**.</w:t>
      </w:r>
    </w:p>
    <w:p>
      <w:pPr>
        <w:spacing w:after="120" w:line="276" w:lineRule="auto"/>
      </w:pPr>
      <w:r>
        <w:t>**RSI** : À 43,392, le RSI se situe dans la zone neutre (30-70), sans signal de surachat ni de survente. Cette position médiane indique un équilibre entre acheteurs et vendeurs, sans pression extrême, justifiant la décision **Neutre**.</w:t>
      </w:r>
    </w:p>
    <w:p>
      <w:pPr>
        <w:spacing w:after="120" w:line="276" w:lineRule="auto"/>
      </w:pPr>
      <w:r>
        <w:t>**Stochastique** : Le %K (38,697) est supérieur au %D (28,352), avec un croisement récent potentiellement haussier, mais les deux lignes restent en zone basse. Cette configuration suggère une possible reprise à court terme, mais sans confirmation forte, d'où la décision **Neutre**.</w:t>
      </w:r>
    </w:p>
    <w:p>
      <w:pPr>
        <w:spacing w:after="120" w:line="276" w:lineRule="auto"/>
      </w:pPr>
      <w:r>
        <w:t>**Conclusion technique** : Les indicateurs techniques présentent un tableau mitigé, avec une majorité de signaux neutres (Bollinger, RSI, Stochastique) et deux signaux baissiers (MM et MACD). Le cours évolue sous ses moyennes mobiles, ce qui pèse sur la tendance, mais la proximité de la borne inférieure de Bollinger et le croisement potentiel du stochastique suggèrent qu'une stabilisation, voire un rebond technique, n'est pas exclue. La prudence reste de mise tant que le cours ne repasse pas au-dessus de la MM20 (21 821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société à la santé financière robuste mais confrontée à une dégradation de sa rentabilité. En 2025, le chiffre d'affaires s'établit à 268,537 milliards FCFA, en croissance de +25,3% par rapport à 2024, portée par une hausse des volumes (+5,6%) et des prix. Cependant, le résultat net recule à 36,158 milliards FCFA (-17,5%), sous l'effet de la hausse des droits d'accise (de 49% à 70%) et d'un contrôle fiscal. La marge nette se contracte à 13,46% (contre 20,4% en 2024), et la marge opérationnelle à 17,12%. Malgré cette pression, les ratios de rentabilité restent exceptionnels : le ROE atteint 79,75% (largement supérieur au seuil de 15%) et le ROA 48,09%, témoignant d'une efficacité remarquable dans l'utilisation des capitaux propres et des actifs. La structure financière est très saine : l'autonomie financière est de 60,3%, la trésorerie nette de 30,763 milliards FCFA, et la société est quasi sans dette financière (1,4 million FCFA). Le BFR est négatif à -5,639 milliards FCFA (favorable), et les délais clients (42,57 jours) et de stockage (5,73 jours) sont maîtrisés. Les rapports trimestriels récents confirment cette dynamique : le T1 2026 (rapport du 31/03/2026) affiche un CA de 68,8 milliards FCFA (+12%) et un résultat net de 9,3 milliards FCFA (-1%), tandis que le T2 2026 (rapport du 30/06/2026) montre un CA de 70,05 milliards FCFA (+1%) et un résultat net de 8,64 milliards FCFA (-0,2%), avec une marge nette de 12,3%. Sur la base de ces tendances, on estime que l'exercice 2026 devrait enregistrer un chiffre d'affaires annuel d'environ 280 milliards FCFA et un résultat net autour de 36-38 milliards FCFA, la société parvenant à stabiliser sa rentabilité grâce à la maîtrise des charges et à la résilience de la demande. La politique de dividende reste généreuse (1 940 FCFA par action proposé pour 2025, soit un rendement d'environ 9% au cours actuel), mais le taux de distribution de 84,9% limite les capacités de réinvestissement. En conclusion, STBC présente une solidité financière indéniable (zéro dette, trésorerie élevée, ROE exceptionnel) mais fait face à des risques réglementaires et fiscaux persistants qui pèsent sur ses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**CONSERVER** avec un niveau de confiance **Moyen** et un risque global **Moyen**. La valorisation (Partie 0) est raisonnable avec un PER de 10,6x et un EV/EBITDA de 7,6x, mais le P/B de 8,48x traduit une prime exigeante qui limite le potentiel de revalorisation à court terme. Le comportement du cours (Partie 1) montre une tendance haussière sur 100 jours (+4,39%) mais une volatilité élevée (37%) et une distribution légèrement asymétrique (skewness 0,424), ce qui implique un risque de fluctuation important. Les signaux techniques (Partie 2) sont majoritairement neutres à baissiers, avec un cours sous les moyennes mobiles et un MACD négatif, bien que le RSI et le stochastique suggèrent une possible stabilisation. Les fondamentaux (Partie 3) restent solides malgré la dégradation des marges : la société affiche une croissance du CA (+25,3% en 2025), un ROE exceptionnel (79,75%), une absence de dette et une trésorerie confortable, mais les risques fiscaux et réglementaires pèsent sur la rentabilité future. Les prédictions IA (J+1 à J+10) anticipent une trajectoire haussière modérée, avec un cours passant de 22 140 FCFA à 23 347 FCFA, ce qui contredit légèrement les signaux techniques baissiers à court terme mais confirme la résilience fondamentale de la valeur. Compte tenu de cette divergence entre technique (baissier) et fondamental/prédiction (haussier), la prudence est de mise : **CONSERVER** la position pour son rendement attractif (dividende de 1 940 FCFA, soit ~9%), en attendant des signaux techniques plus clairs (franchissement de la MM20) ou une amélioration des marges. L'horizon d'investissement optimal est le **moyen terme (3-12 mois)**, le temps que la société démontre sa capacité à stabiliser sa rentabilité dans un environnement fiscal contraignant. Un renforcement de la position n'est pas conseillé tant que le cours reste sous ses moyennes mobiles et que les marges ne montrent pas de signes de redressement durable.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7,202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007800"/>
                <w:sz w:val="17"/>
              </w:rPr>
              <w:t>+10.91%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μ=3,004 FCFA, σ=199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β=-0.0075 (Contre-cyclique) — Cov=-0.000000, Var(idx)=0.000061, ρ=-0.002,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7,202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2,903</w:t>
            </w:r>
          </w:p>
        </w:tc>
        <w:tc>
          <w:tcPr>
            <w:tcW w:type="dxa" w:w="1440"/>
            <w:shd w:fill="FAFAFA" w:val="clear"/>
          </w:tcPr>
          <w:p>
            <w:r>
              <w:rPr>
                <w:b/>
                <w:sz w:val="17"/>
              </w:rPr>
              <w:t>3,026</w:t>
            </w:r>
          </w:p>
        </w:tc>
        <w:tc>
          <w:tcPr>
            <w:tcW w:type="dxa" w:w="1440"/>
            <w:shd w:fill="FAFAFA" w:val="clear"/>
          </w:tcPr>
          <w:p>
            <w:r>
              <w:rPr>
                <w:sz w:val="17"/>
              </w:rPr>
              <w:t>3,148</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2,827</w:t>
            </w:r>
          </w:p>
        </w:tc>
        <w:tc>
          <w:tcPr>
            <w:tcW w:type="dxa" w:w="1440"/>
            <w:shd w:fill="FAFAFA" w:val="clear"/>
          </w:tcPr>
          <w:p>
            <w:r>
              <w:rPr>
                <w:b/>
                <w:sz w:val="17"/>
              </w:rPr>
              <w:t>3,000</w:t>
            </w:r>
          </w:p>
        </w:tc>
        <w:tc>
          <w:tcPr>
            <w:tcW w:type="dxa" w:w="1440"/>
            <w:shd w:fill="FAFAFA" w:val="clear"/>
          </w:tcPr>
          <w:p>
            <w:r>
              <w:rPr>
                <w:sz w:val="17"/>
              </w:rPr>
              <w:t>3,172</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2,765</w:t>
            </w:r>
          </w:p>
        </w:tc>
        <w:tc>
          <w:tcPr>
            <w:tcW w:type="dxa" w:w="1440"/>
            <w:shd w:fill="FFDCE0" w:val="clear"/>
          </w:tcPr>
          <w:p>
            <w:r>
              <w:rPr>
                <w:b/>
                <w:sz w:val="17"/>
              </w:rPr>
              <w:t>2,974</w:t>
            </w:r>
          </w:p>
        </w:tc>
        <w:tc>
          <w:tcPr>
            <w:tcW w:type="dxa" w:w="1440"/>
            <w:shd w:fill="FFDCE0" w:val="clear"/>
          </w:tcPr>
          <w:p>
            <w:r>
              <w:rPr>
                <w:sz w:val="17"/>
              </w:rPr>
              <w:t>3,183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2,711</w:t>
            </w:r>
          </w:p>
        </w:tc>
        <w:tc>
          <w:tcPr>
            <w:tcW w:type="dxa" w:w="1440"/>
            <w:shd w:fill="FFDCE0" w:val="clear"/>
          </w:tcPr>
          <w:p>
            <w:r>
              <w:rPr>
                <w:b/>
                <w:sz w:val="17"/>
              </w:rPr>
              <w:t>2,951</w:t>
            </w:r>
          </w:p>
        </w:tc>
        <w:tc>
          <w:tcPr>
            <w:tcW w:type="dxa" w:w="1440"/>
            <w:shd w:fill="FFDCE0" w:val="clear"/>
          </w:tcPr>
          <w:p>
            <w:r>
              <w:rPr>
                <w:sz w:val="17"/>
              </w:rPr>
              <w:t>3,190</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2,664</w:t>
            </w:r>
          </w:p>
        </w:tc>
        <w:tc>
          <w:tcPr>
            <w:tcW w:type="dxa" w:w="1440"/>
            <w:shd w:fill="FFDCE0" w:val="clear"/>
          </w:tcPr>
          <w:p>
            <w:r>
              <w:rPr>
                <w:b/>
                <w:sz w:val="17"/>
              </w:rPr>
              <w:t>2,929</w:t>
            </w:r>
          </w:p>
        </w:tc>
        <w:tc>
          <w:tcPr>
            <w:tcW w:type="dxa" w:w="1440"/>
            <w:shd w:fill="FFDCE0" w:val="clear"/>
          </w:tcPr>
          <w:p>
            <w:r>
              <w:rPr>
                <w:sz w:val="17"/>
              </w:rPr>
              <w:t>3,195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2,620</w:t>
            </w:r>
          </w:p>
        </w:tc>
        <w:tc>
          <w:tcPr>
            <w:tcW w:type="dxa" w:w="1440"/>
            <w:shd w:fill="FFDCE0" w:val="clear"/>
          </w:tcPr>
          <w:p>
            <w:r>
              <w:rPr>
                <w:b/>
                <w:sz w:val="17"/>
              </w:rPr>
              <w:t>2,909</w:t>
            </w:r>
          </w:p>
        </w:tc>
        <w:tc>
          <w:tcPr>
            <w:tcW w:type="dxa" w:w="1440"/>
            <w:shd w:fill="FFDCE0" w:val="clear"/>
          </w:tcPr>
          <w:p>
            <w:r>
              <w:rPr>
                <w:sz w:val="17"/>
              </w:rPr>
              <w:t>3,198</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2,579</w:t>
            </w:r>
          </w:p>
        </w:tc>
        <w:tc>
          <w:tcPr>
            <w:tcW w:type="dxa" w:w="1440"/>
            <w:shd w:fill="FFDCE0" w:val="clear"/>
          </w:tcPr>
          <w:p>
            <w:r>
              <w:rPr>
                <w:b/>
                <w:sz w:val="17"/>
              </w:rPr>
              <w:t>2,889</w:t>
            </w:r>
          </w:p>
        </w:tc>
        <w:tc>
          <w:tcPr>
            <w:tcW w:type="dxa" w:w="1440"/>
            <w:shd w:fill="FFDCE0" w:val="clear"/>
          </w:tcPr>
          <w:p>
            <w:r>
              <w:rPr>
                <w:sz w:val="17"/>
              </w:rPr>
              <w:t>3,200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2,541</w:t>
            </w:r>
          </w:p>
        </w:tc>
        <w:tc>
          <w:tcPr>
            <w:tcW w:type="dxa" w:w="1440"/>
            <w:shd w:fill="FFDCE0" w:val="clear"/>
          </w:tcPr>
          <w:p>
            <w:r>
              <w:rPr>
                <w:b/>
                <w:sz w:val="17"/>
              </w:rPr>
              <w:t>2,870</w:t>
            </w:r>
          </w:p>
        </w:tc>
        <w:tc>
          <w:tcPr>
            <w:tcW w:type="dxa" w:w="1440"/>
            <w:shd w:fill="FFDCE0" w:val="clear"/>
          </w:tcPr>
          <w:p>
            <w:r>
              <w:rPr>
                <w:sz w:val="17"/>
              </w:rPr>
              <w:t>3,200</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2,505</w:t>
            </w:r>
          </w:p>
        </w:tc>
        <w:tc>
          <w:tcPr>
            <w:tcW w:type="dxa" w:w="1440"/>
            <w:shd w:fill="FFDCE0" w:val="clear"/>
          </w:tcPr>
          <w:p>
            <w:r>
              <w:rPr>
                <w:b/>
                <w:sz w:val="17"/>
              </w:rPr>
              <w:t>2,852</w:t>
            </w:r>
          </w:p>
        </w:tc>
        <w:tc>
          <w:tcPr>
            <w:tcW w:type="dxa" w:w="1440"/>
            <w:shd w:fill="FFDCE0" w:val="clear"/>
          </w:tcPr>
          <w:p>
            <w:r>
              <w:rPr>
                <w:sz w:val="17"/>
              </w:rPr>
              <w:t>3,200</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2,471</w:t>
            </w:r>
          </w:p>
        </w:tc>
        <w:tc>
          <w:tcPr>
            <w:tcW w:type="dxa" w:w="1440"/>
            <w:shd w:fill="FFDCE0" w:val="clear"/>
          </w:tcPr>
          <w:p>
            <w:r>
              <w:rPr>
                <w:b/>
                <w:sz w:val="17"/>
              </w:rPr>
              <w:t>2,835</w:t>
            </w:r>
          </w:p>
        </w:tc>
        <w:tc>
          <w:tcPr>
            <w:tcW w:type="dxa" w:w="1440"/>
            <w:shd w:fill="FFDCE0" w:val="clear"/>
          </w:tcPr>
          <w:p>
            <w:r>
              <w:rPr>
                <w:sz w:val="17"/>
              </w:rPr>
              <w:t>3,199</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192,03 milliards FCFA, TTLC figure parmi les valeurs les plus importantes de la cote BRVM, ce qui en fait un titre de référence pour les investisseurs institutionnels régionaux. Le BPA de 144 FCFA/action signifie que chaque titre génère 144 FCFA de bénéfice net, mais le PER de 21,1x traduit un prix payé très supérieur à la moyenne du marché BRVM (généralement 8-12x), signalant soit une forte anticipation de croissance, soit une surévaluation relative. Le P/B de 5,30x confirme cette prime exigeante : le marché valorise l'action à plus de cinq fois sa valeur comptable, ce qui est élevé pour un distributeur à faibles marges. Enfin, l'EV/EBITDA de 11,0x, dans la fourchette haute (10-15x), indique que la valeur d'entreprise intègre déjà une prime de qualité opérationnelle,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+10,91%, avec un cours actuel de 3 050 FCFA et une dernière séance stable (+0,00%). Le range de trading s'étend de 2 720 FCFA (plus bas) à 3 595 FCFA (plus haut), soit une amplitude de 875 FCFA qui témoigne d'une réelle dynamique haussière, mais le cours actuel se situe dans le bas de cette fourchette, suggérant une consolidation après le pic. La moyenne (3 004 FCFA) est supérieure à la médiane (2 940 FCFA) et au mode (2 900 FCFA), ce qui confirme une asymétrie positive : les journées de hausse, bien que moins nombreuses, ont été plus amples, tirant la moyenne vers le haut. L'écart-type de 200 FCFA (CV de 6,6%) indique une dispersion modérée du cours, tandis que le kurtosis de -0,198 (mésokurtique) signifie que la distribution est proche de la normale, sans risque excessif de pics extrêmes. Le skewness de 0,919 (asymétrie positive) révèle toutefois que le titre a connu davantage de journées sous la moyenne, mais compensées par des hausses plus fortes. Avec une volatilité annualisée de 41,5%, TTLC se classe parmi les titres à volatilité élevée (&gt;30%), ce qui implique un risque de cours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(3 235,75 FCFA) et la MM50 (3 139,20 FCFA) se situent toutes deux au-dessus du cours actuel (3 050 FCFA), ce qui place le titre en position baissière à court terme. Cependant, la MM20 reste supérieure à la MM50, configuration haussière de fond, et la décision technique affichée est « Achat », suggérant que le repli actuel pourrait constituer un point d'entrée dans une tendance de fond positive.</w:t>
      </w:r>
    </w:p>
    <w:p>
      <w:pPr>
        <w:spacing w:after="120" w:line="276" w:lineRule="auto"/>
      </w:pPr>
      <w:r>
        <w:t>**Bandes de Bollinger** : Le cours (3 050 FCFA) évolue dans la partie basse de la bande, entre la borne inférieure (2 987,68 FCFA) et la borne supérieure (3 483,82 FCFA), sans la toucher. La décision est « Neutre » : le titre n'est ni en survente extrême ni en surachat, mais la proximité de la borne basse indique une pression vendeuse modérée qui pourrait se retourner si le support tient.</w:t>
      </w:r>
    </w:p>
    <w:p>
      <w:pPr>
        <w:spacing w:after="120" w:line="276" w:lineRule="auto"/>
      </w:pPr>
      <w:r>
        <w:t>**MACD** : La valeur du MACD (-37,34) est nettement inférieure à son signal (2,93), générant une décision de « Vente ». Cette divergence négative traduit un momentum baissier à court terme, avec un histogramme négatif qui suggère que la pression vendeuse n'est pas encore épuisée, même si l'écart commence peut-être à se stabiliser.</w:t>
      </w:r>
    </w:p>
    <w:p>
      <w:pPr>
        <w:spacing w:after="120" w:line="276" w:lineRule="auto"/>
      </w:pPr>
      <w:r>
        <w:t>**RSI** : À 36,36, le RSI se situe dans la zone neutre basse (30-70), sans atteindre la survente (&lt;30). La décision est « Neutre » : le titre n'est pas encore survendu, mais la faiblesse relative du RSI indique que les acheteurs manquent de conviction à court terme, ce qui laisse présager une possible poursuite de la consolidation.</w:t>
      </w:r>
    </w:p>
    <w:p>
      <w:pPr>
        <w:spacing w:after="120" w:line="276" w:lineRule="auto"/>
      </w:pPr>
      <w:r>
        <w:t>**Stochastique** : Le %K (20,97) est supérieur au %D (13,98), avec les deux indicateurs en zone basse (&lt;20), proche de la survente. La décision est « Neutre », mais ce positionnement suggère qu'un croisement haussier du %K au-dessus du %D pourrait bientôt se produire, signalant un retournement potentiel à court terme.</w:t>
      </w:r>
    </w:p>
    <w:p>
      <w:pPr>
        <w:spacing w:after="120" w:line="276" w:lineRule="auto"/>
      </w:pPr>
      <w:r>
        <w:t>**Conclusion technique** : Les indicateurs sont majoritairement baissiers à court terme (MACD en vente, cours sous les MM), mais le RSI et le stochastique approchent de zones de survente, ce qui pourrait annoncer un rebond technique. La configuration générale est celle d'une consolidation dans une tendance de fond encore haussière (MM20 &gt; MM50), avec un risque de poursuite de la baisse à court terme mais un potentiel de retournement à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 par rapport à 2024 (621,0 milliards), confirmant la tendance baissière observée depuis le début de l'année. Le résultat net s'établit à 9,087 milliards FCFA, en légère baisse de 3% par rapport aux 9,374 milliards de 2024, mais la marge nette se maintient à 1,54%, stable. Le ROE atteint 25,10%, un niveau excellent (&gt;15%), tandis que le ROA de 4,82% reflète la faible intensité capitalistique du modèle de distribution. La marge brute de 11,81% et la marge opérationnelle de 2,09% sont typiques d'un distributeur en volume, mais l'EBE progresse de 12% à 22,347 milliards FCFA et le résultat d'exploitation bondit de 18% à 12,329 milliards, signe d'une meilleure maîtrise des coûts. Le BFR est négatif (-9,662 milliards FCFA), ce qui est favorable car il signifie que les fournisseurs financent une partie du cycle d'exploitation, avec un délai fournisseurs de 49,72 jours et une durée de stockage de 13,80 jours. Cependant, la trésorerie nette est négative (-21,926 milliards FCFA) et l'autonomie financière de 19,21% est inférieure au seuil sain de 30%, tandis que le ratio d'endettement de 90,23% et la dépendance financière de 80,79% constituent des signaux d'alerte. Le taux de distribution de 110% (dividende de 10 milliards FCFA pour un résultat net de 9,087 milliards) traduit une politique généreuse mais non soutenable à long terme sans amélioration de la trésorerie.</w:t>
      </w:r>
    </w:p>
    <w:p>
      <w:pPr>
        <w:spacing w:after="120" w:line="276" w:lineRule="auto"/>
      </w:pPr>
      <w:r>
        <w:t>**Estimations basées sur les rapports trimestriels** : Le rapport du T1 2026 (publié en 2026) indique un chiffre d'affaires de 154,392 milliards FCFA, en hausse de 4,3% sur un an, et un résultat net de 2,329 milliards FCFA (+5,5%), marquant un retour à la croissance. Le rapport du T3 2025 (daté du 30 septembre 2025) faisait état d'un résultat net cumulé de 6,52 milliards FCFA, en recul de 30,2% sur un an, avec une marge nette de 1,5%. Le rapport annuel 2024 (daté du 31 mars 2025) confirmait un résultat net de 9,37 milliards FCFA (+8%) et un ROE de 22,8%. Sur la base du T1 2026, on peut estimer que l'exercice 2026 devrait renouer avec une croissance modérée du chiffre d'affaires (+3 à +5%) et une stabilisation du résultat net autour de 9,5 à 10 milliards FCFA, à condition que la pression sur les marges et la trésorerie reste maîtrisée. La recommandation fondamentale est de **CONSERVER** : la solidité opérationnelle et le leadership sur le marché ivoirien sont indéniables, mais la dégradation de la trésorerie, l'endettement élevé et le payout supérieur à 100% appellent à la prudence.</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(PER 21,1x, P/B 5,30x, EV/EBITDA 11,0x), ce qui intègre déjà une prime de qualité et laisse peu de marge en cas de déception. Le comportement du cours sur 100 jours est haussier (+10,91%) mais le titre consolide depuis son plus haut (3 595 FCFA), avec une volatilité élevée (41,5%) et une asymétrie positive (skewness 0,919) qui suggère que les hausses, bien que moins fréquentes, sont plus amples. Les signaux techniques sont mitigés : le MACD est baissier, le cours est sous les MM20 et MM50, mais le RSI (36,36) et le stochastique (20,97) approchent de zones de survente, ce qui pourrait annoncer un rebond à court terme. Les fondamentaux sont solides (ROE 25,10%, EBE +12%, résultat d'exploitation +18%) mais entachés par une trésorerie nette négative (-21,926 milliards FCFA), un endettement élevé (90,23%) et un payout supérieur à 100%, ce qui limite la soutenabilité du dividende. Les prédictions IA pour les 10 prochains jours (3 026 → 2 929 FCFA) confirment une poursuite de la consolidation baissière à court terme, en ligne avec le MACD et la position du cours sous les moyennes mobiles. Sur la base de cette synthèse, la recommandation finale est **CONSERVER** : le titre offre un rendement attractif et une position de leader, mais les risques financiers et la valorisation élevée justifient une approche prudente. Le niveau de confiance est **Moyen** (les signaux techniques et fondamentaux sont divergents), le risque global est **Élevé** (volatilité, endettement, payout excessif), et l'horizon d'investissement optimal est **moyen terme (3-12 mois)**, en attendant une clarification sur la trajectoire de la trésorerie et la confirmation du retour à la croissance observé au T1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2,631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+26.08%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9.73% (Moyenne) — μ=3,636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β=0.6305 (Défensif) — Cov=0.000038, Var(idx)=0.000061, ρ=0.182,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3,667</w:t>
            </w:r>
          </w:p>
        </w:tc>
        <w:tc>
          <w:tcPr>
            <w:tcW w:type="dxa" w:w="1440"/>
            <w:shd w:fill="FAFAFA" w:val="clear"/>
          </w:tcPr>
          <w:p>
            <w:r>
              <w:rPr>
                <w:b/>
                <w:sz w:val="17"/>
              </w:rPr>
              <w:t>3,808</w:t>
            </w:r>
          </w:p>
        </w:tc>
        <w:tc>
          <w:tcPr>
            <w:tcW w:type="dxa" w:w="1440"/>
            <w:shd w:fill="FAFAFA" w:val="clear"/>
          </w:tcPr>
          <w:p>
            <w:r>
              <w:rPr>
                <w:sz w:val="17"/>
              </w:rPr>
              <w:t>3,949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3,611</w:t>
            </w:r>
          </w:p>
        </w:tc>
        <w:tc>
          <w:tcPr>
            <w:tcW w:type="dxa" w:w="1440"/>
            <w:shd w:fill="FAFAFA" w:val="clear"/>
          </w:tcPr>
          <w:p>
            <w:r>
              <w:rPr>
                <w:b/>
                <w:sz w:val="17"/>
              </w:rPr>
              <w:t>3,811</w:t>
            </w:r>
          </w:p>
        </w:tc>
        <w:tc>
          <w:tcPr>
            <w:tcW w:type="dxa" w:w="1440"/>
            <w:shd w:fill="FAFAFA" w:val="clear"/>
          </w:tcPr>
          <w:p>
            <w:r>
              <w:rPr>
                <w:sz w:val="17"/>
              </w:rPr>
              <w:t>4,011</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3,568</w:t>
            </w:r>
          </w:p>
        </w:tc>
        <w:tc>
          <w:tcPr>
            <w:tcW w:type="dxa" w:w="1440"/>
            <w:shd w:fill="FAFAFA" w:val="clear"/>
          </w:tcPr>
          <w:p>
            <w:r>
              <w:rPr>
                <w:b/>
                <w:sz w:val="17"/>
              </w:rPr>
              <w:t>3,813</w:t>
            </w:r>
          </w:p>
        </w:tc>
        <w:tc>
          <w:tcPr>
            <w:tcW w:type="dxa" w:w="1440"/>
            <w:shd w:fill="FAFAFA" w:val="clear"/>
          </w:tcPr>
          <w:p>
            <w:r>
              <w:rPr>
                <w:sz w:val="17"/>
              </w:rPr>
              <w:t>4,058</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3,531</w:t>
            </w:r>
          </w:p>
        </w:tc>
        <w:tc>
          <w:tcPr>
            <w:tcW w:type="dxa" w:w="1440"/>
            <w:shd w:fill="FAFAFA" w:val="clear"/>
          </w:tcPr>
          <w:p>
            <w:r>
              <w:rPr>
                <w:b/>
                <w:sz w:val="17"/>
              </w:rPr>
              <w:t>3,814</w:t>
            </w:r>
          </w:p>
        </w:tc>
        <w:tc>
          <w:tcPr>
            <w:tcW w:type="dxa" w:w="1440"/>
            <w:shd w:fill="FAFAFA" w:val="clear"/>
          </w:tcPr>
          <w:p>
            <w:r>
              <w:rPr>
                <w:sz w:val="17"/>
              </w:rPr>
              <w:t>4,097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3,498</w:t>
            </w:r>
          </w:p>
        </w:tc>
        <w:tc>
          <w:tcPr>
            <w:tcW w:type="dxa" w:w="1440"/>
            <w:shd w:fill="FAFAFA" w:val="clear"/>
          </w:tcPr>
          <w:p>
            <w:r>
              <w:rPr>
                <w:b/>
                <w:sz w:val="17"/>
              </w:rPr>
              <w:t>3,815</w:t>
            </w:r>
          </w:p>
        </w:tc>
        <w:tc>
          <w:tcPr>
            <w:tcW w:type="dxa" w:w="1440"/>
            <w:shd w:fill="FAFAFA" w:val="clear"/>
          </w:tcPr>
          <w:p>
            <w:r>
              <w:rPr>
                <w:sz w:val="17"/>
              </w:rPr>
              <w:t>4,131</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3,469</w:t>
            </w:r>
          </w:p>
        </w:tc>
        <w:tc>
          <w:tcPr>
            <w:tcW w:type="dxa" w:w="1440"/>
            <w:shd w:fill="FAFAFA" w:val="clear"/>
          </w:tcPr>
          <w:p>
            <w:r>
              <w:rPr>
                <w:b/>
                <w:sz w:val="17"/>
              </w:rPr>
              <w:t>3,815</w:t>
            </w:r>
          </w:p>
        </w:tc>
        <w:tc>
          <w:tcPr>
            <w:tcW w:type="dxa" w:w="1440"/>
            <w:shd w:fill="FAFAFA" w:val="clear"/>
          </w:tcPr>
          <w:p>
            <w:r>
              <w:rPr>
                <w:sz w:val="17"/>
              </w:rPr>
              <w:t>4,162</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3,441</w:t>
            </w:r>
          </w:p>
        </w:tc>
        <w:tc>
          <w:tcPr>
            <w:tcW w:type="dxa" w:w="1440"/>
            <w:shd w:fill="FAFAFA" w:val="clear"/>
          </w:tcPr>
          <w:p>
            <w:r>
              <w:rPr>
                <w:b/>
                <w:sz w:val="17"/>
              </w:rPr>
              <w:t>3,816</w:t>
            </w:r>
          </w:p>
        </w:tc>
        <w:tc>
          <w:tcPr>
            <w:tcW w:type="dxa" w:w="1440"/>
            <w:shd w:fill="FAFAFA" w:val="clear"/>
          </w:tcPr>
          <w:p>
            <w:r>
              <w:rPr>
                <w:sz w:val="17"/>
              </w:rPr>
              <w:t>4,190</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3,416</w:t>
            </w:r>
          </w:p>
        </w:tc>
        <w:tc>
          <w:tcPr>
            <w:tcW w:type="dxa" w:w="1440"/>
            <w:shd w:fill="FAFAFA" w:val="clear"/>
          </w:tcPr>
          <w:p>
            <w:r>
              <w:rPr>
                <w:b/>
                <w:sz w:val="17"/>
              </w:rPr>
              <w:t>3,816</w:t>
            </w:r>
          </w:p>
        </w:tc>
        <w:tc>
          <w:tcPr>
            <w:tcW w:type="dxa" w:w="1440"/>
            <w:shd w:fill="FAFAFA" w:val="clear"/>
          </w:tcPr>
          <w:p>
            <w:r>
              <w:rPr>
                <w:sz w:val="17"/>
              </w:rPr>
              <w:t>4,216</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3,392</w:t>
            </w:r>
          </w:p>
        </w:tc>
        <w:tc>
          <w:tcPr>
            <w:tcW w:type="dxa" w:w="1440"/>
            <w:shd w:fill="FAFAFA" w:val="clear"/>
          </w:tcPr>
          <w:p>
            <w:r>
              <w:rPr>
                <w:b/>
                <w:sz w:val="17"/>
              </w:rPr>
              <w:t>3,816</w:t>
            </w:r>
          </w:p>
        </w:tc>
        <w:tc>
          <w:tcPr>
            <w:tcW w:type="dxa" w:w="1440"/>
            <w:shd w:fill="FAFAFA" w:val="clear"/>
          </w:tcPr>
          <w:p>
            <w:r>
              <w:rPr>
                <w:sz w:val="17"/>
              </w:rPr>
              <w:t>4,241</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3,369</w:t>
            </w:r>
          </w:p>
        </w:tc>
        <w:tc>
          <w:tcPr>
            <w:tcW w:type="dxa" w:w="1440"/>
            <w:shd w:fill="FAFAFA" w:val="clear"/>
          </w:tcPr>
          <w:p>
            <w:r>
              <w:rPr>
                <w:b/>
                <w:sz w:val="17"/>
              </w:rPr>
              <w:t>3,816</w:t>
            </w:r>
          </w:p>
        </w:tc>
        <w:tc>
          <w:tcPr>
            <w:tcW w:type="dxa" w:w="1440"/>
            <w:shd w:fill="FAFAFA" w:val="clear"/>
          </w:tcPr>
          <w:p>
            <w:r>
              <w:rPr>
                <w:sz w:val="17"/>
              </w:rPr>
              <w:t>4,264</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123,63 milliards FCFA, TTLS s'impose comme l'une des valeurs les plus capitalisées de la cote BRVM, ce qui témoigne de sa stature de leader sectoriel et de la confiance des investisseurs régionaux. Le BPA de 208 FCFA/action signifie que chaque titre génère un bénéfice net de 208 FCFA, un niveau cohérent avec la marge nette structurellement faible du secteur (1,5%). Le PER de 18,2x traduit une valorisation modérée mais nettement supérieure à la moyenne BRVM (~8-12x), les investisseurs acceptant de payer une prime pour la qualité de l'actionnaire de référence (TotalEnergies, 69,1%) et la solidité du dividende. Le P/B de 4,38x constitue en revanche un signal exigeant : le marché valorise la société à plus de quatre fois sa valeur comptable, ce qui suppose une forte confiance dans la pérennité des cash-flows. Enfin, l'EV/EBITDA de 7,7x, situé dans la fourchette raisonnable de 5-10x, suggère que la valeur d'entreprise reste correctement proportionnée à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remarquable de +26,08%, avec un cours actuel de 3 795 FCFA et une variation nulle en dernière séance (J-1 : +0,00%), signe d'une stabilisation après la phase de hausse. Le range de trading est particulièrement large, avec un plus haut à 4 500 FCFA et un plus bas à 2 845 FCFA, soit un écart de 1 655 FCFA (58% du plus bas) qui illustre une dynamique haussière puissante mais ponctuée de corrections significatives. La tendance générale demeure clairement haussière, portée par la résilience opérationnelle de la société et l'attrait pour les valeurs défensives dans un contexte de marché régional incertain. Les statistiques descriptives révèlent une moyenne de 3 636 FCFA légèrement inférieure à la médiane de 3 670 FCFA et au mode de 3 800 FCFA, ce qui indique une distribution quasi-symétrique (skewness de -0,168) sans biais marqué vers les valeurs extrêmes. L'écart-type de 356 FCFA (CV = 9,8%) traduit une dispersion modérée du cours autour de sa moyenne, tandis que le kurtosis de -0,168 (mésokurtique) suggère une distribution proche de la normale, sans risque de pics extrêmes prononcé. La volatilité annualisée de 42,4% positionne le titre dans la catégorie des valeurs à volatilité élevée (&gt;30%), ce qui est cohérent avec la sensibilité du secteur pétrolier aux cours internationaux et aux décisions réglementaires.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3 855,75 FCFA et la MM50 à 3 774,70 FCFA, toutes deux supérieures au cours actuel de 3 795 FCFA pour la MM20 mais inférieures pour la MM50. Cette configuration — cours coincé entre les deux moyennes — traduit une phase de consolidation, mais la décision technique reste "Achat" car la MM50 sert de support dynamique et la structure de fond demeure haussière.</w:t>
      </w:r>
    </w:p>
    <w:p>
      <w:pPr>
        <w:spacing w:after="120" w:line="276" w:lineRule="auto"/>
      </w:pPr>
      <w:r>
        <w:t>**Bandes de Bollinger** : Les bornes supérieure et inférieure se situent respectivement à 3 988,86 FCFA et 3 722,64 FCFA, encadrant le cours actuel de 3 795 FCFA. Le prix évolue dans la moitié inférieure du canal, ce qui indique une pression vendeuse modérée mais sans rupture ; la décision "Neutre" reflète l'absence de signal directionnel fort, avec une volatilité qui se comprime légèrement.</w:t>
      </w:r>
    </w:p>
    <w:p>
      <w:pPr>
        <w:spacing w:after="120" w:line="276" w:lineRule="auto"/>
      </w:pPr>
      <w:r>
        <w:t>**MACD** : La valeur du MACD (9,954) est nettement inférieure à son signal (25,667), générant une décision "Vente". Cette divergence négative signale un essoufflement du momentum haussier à court terme, bien que la ligne MACD reste positive, ce qui tempère la portée baissière du signal.</w:t>
      </w:r>
    </w:p>
    <w:p>
      <w:pPr>
        <w:spacing w:after="120" w:line="276" w:lineRule="auto"/>
      </w:pPr>
      <w:r>
        <w:t>**RSI** : À 49,655, le RSI se situe exactement dans la zone neutre (30-70), confirmant l'absence de conditions de surachat ou de survente. Cette position médiane indique un équilibre entre acheteurs et vendeurs, avec une décision "Neutre" qui invite à attendre un catalyseur pour trancher la direction.</w:t>
      </w:r>
    </w:p>
    <w:p>
      <w:pPr>
        <w:spacing w:after="120" w:line="276" w:lineRule="auto"/>
      </w:pPr>
      <w:r>
        <w:t>**Stochastique** : Les valeurs %K (2,381) et %D (3,175) sont très basses, proches de la zone de survente (&lt;20), avec %K sous %D. Cette configuration génère une décision "Achat" car elle suggère que le titre est techniquement survendu à court terme et qu'un rebond technique est probable.</w:t>
      </w:r>
    </w:p>
    <w:p>
      <w:pPr>
        <w:spacing w:after="120" w:line="276" w:lineRule="auto"/>
      </w:pPr>
      <w:r>
        <w:t>**Conclusion technique** : Les indicateurs présentent une divergence notable : les moyennes mobiles et le stochastique plaident pour un achat (support dynamique, survente), tandis que le MACD signale une vente (momentum affaibli) et que le RSI et les Bollinger restent neutres. Cette configuration mitigée suggère une phase de consolidation en cours, avec un potentiel de rebond technique à court terme mais une absence de tendance directionnelle claire. La prudence est de mise avant toute décision d'investissement agressive.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455,209 milliards FCFA, en recul de 6,13% par rapport à 2024, sous l'effet de l'arrêt stratégique de la commercialisation du fuel lourd. Le résultat net s'établit à 6,779 milliards FCFA, avec une marge nette de 1,49%, tandis que le ROE atteint 24,01% (excellent, &gt;15%) et le ROA 3,95%, confirmant la capacité de la société à générer des profits sur ses fonds propres malgré une rotation d'actifs élevée (265%). En tant qu'entreprise de distribution, les délais d'exploitation sont particulièrement surveillés : le délai clients de 47,43 jours (créances de 59,155 milliards FCFA) représente un risque de trésorerie modéré, mais il est largement compensé par un délai fournisseurs de 97,76 jours (dettes de 86,912 milliards FCFA) et un BFR négatif de -36,899 milliards FCFA, ce qui constitue un signal favorable de financement par les fournisseurs. La structure financière reste solide avec une autonomie financière de 16,44% (inférieure au seuil de 30% mais typique du secteur) et une capacité de remboursement de 0,94 an (dette financière/CAF), tandis que la couverture des intérêts atteint 485,91%, traduisant une charge financière très faible. Les rapports narratifs confirment cette dynamique : le rapport du T1 2026 (publié le 31 mars 2026) indique un CA de 99,9 milliards FCFA (-10% sur un an) mais un résultat net en hausse de 5% à 1,585 milliard FCFA, avec une marge nette améliorée à 1,59% grâce à la progression des marges sur les lubrifiants. Le rapport annuel 2025 (exercice clos le 31 décembre 2025) précise que le résultat net de 6,147 milliards FCFA (normes IFRS) est en recul de 13% par rapport à 2024, principalement en raison de la baisse des dividendes des participations (-1,019 milliard FCFA). Sur la base du T1 2026, on peut estimer que l'exercice 2026 devrait bénéficier d'une amélioration continue des marges opérationnelles, avec un résultat net annuel potentiellement compris entre 6,5 et 7,0 milliards FCFA, à condition que la pression réglementaire sur les prix à la pompe reste maîtrisée. La recommandation fondamentale est de **CONSERVER** : la société affiche une solidité opérationnelle (EBE de 16,071 milliards FCFA, CAF de 15,698 milliards FCFA), une trésorerie nette positive de 13,941 milliards FCFA et une politique de dividende généreuse (7,691 milliards FCFA versés en 2025), mais les perspectives de croissance du CA restent limitées par la dépendance aux décisions de l'État sénégalais sur les prix des carburants.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 PER de 18,2x et le P/B de 4,38x indiquent une surévaluation relative par rapport à la moyenne BRVM, bien que l'EV/EBITDA de 7,7x reste raisonnable. Le **comportement du cours (Partie 1)** est haussier sur 100 jours (+26,08%) avec une volatilité élevée (42,4%) et une distribution symétrique (skewness -0,168, kurtosis -0,168), ce qui suggère une tendance de fond positive mais des corrections fréquentes. Les **signaux techniques (Partie 2)** sont mitigés : le stochastique et les moyennes mobiles plaident pour un achat, mais le MACD signale une vente et le RSI reste neutre, créant une divergence qui appelle à la prudence. Les **fondamentaux (Partie 3)** demeurent solides (ROE de 24%, BFR négatif, trésorerie nette positive) mais la croissance du CA est contrainte par des facteurs exogènes (prix régulés, arrêt du fuel lourd). Les **prédictions IA (J+1 à J+10)** anticipent une trajectoire légèrement haussière et très stable, de 3 808 FCFA (28/09/2026) à 3 815 FCFA (02/10/2026), ce qui confirme la phase de consolidation actuelle sans rupture baissière. Sur la base de cette convergence partielle — valorisation exigeante, technique mitigée, fondamentaux solides mais croissance limitée, prédictions stables — la recommandation finale est de **CONSERVER**. Le niveau de confiance est **Moyen** (les signaux ne convergent pas tous vers une direction unique) et le niveau de risque global est **Moyen** (volatilité élevée mais fondamentaux défensifs). L'horizon d'investissement optimal est le **long terme (&gt;1 an)** pour les investisseurs recherchant une exposition stable au secteur énergétique sénégalais et un dividende attractif, en attendant une clarification sur la politique de prix de l'État et une reprise durable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-13.56%</w:t>
            </w:r>
          </w:p>
          <w:p>
            <w:r>
              <w:rPr>
                <w:b/>
                <w:color w:val="503200"/>
                <w:sz w:val="16"/>
              </w:rPr>
              <w:t xml:space="preserve">Plus haut 100j : </w:t>
            </w:r>
            <w:r>
              <w:rPr>
                <w:color w:val="000000"/>
                <w:sz w:val="17"/>
              </w:rPr>
              <w:t>63,000 FCFA</w:t>
            </w:r>
          </w:p>
          <w:p>
            <w:r>
              <w:rPr>
                <w:b/>
                <w:color w:val="503200"/>
                <w:sz w:val="16"/>
              </w:rPr>
              <w:t xml:space="preserve">Plus bas 100j : </w:t>
            </w:r>
            <w:r>
              <w:rPr>
                <w:color w:val="000000"/>
                <w:sz w:val="17"/>
              </w:rPr>
              <w:t>49,000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5.45% (Moyenne) — μ=55,139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β=0.4299 (Défensif) — Cov=0.000026, Var(idx)=0.000061, ρ=0.092,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47,533</w:t>
            </w:r>
          </w:p>
        </w:tc>
        <w:tc>
          <w:tcPr>
            <w:tcW w:type="dxa" w:w="1440"/>
            <w:shd w:fill="FAFAFA" w:val="clear"/>
          </w:tcPr>
          <w:p>
            <w:r>
              <w:rPr>
                <w:b/>
                <w:sz w:val="17"/>
              </w:rPr>
              <w:t>50,679</w:t>
            </w:r>
          </w:p>
        </w:tc>
        <w:tc>
          <w:tcPr>
            <w:tcW w:type="dxa" w:w="1440"/>
            <w:shd w:fill="FAFAFA" w:val="clear"/>
          </w:tcPr>
          <w:p>
            <w:r>
              <w:rPr>
                <w:sz w:val="17"/>
              </w:rPr>
              <w:t>53,825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46,228</w:t>
            </w:r>
          </w:p>
        </w:tc>
        <w:tc>
          <w:tcPr>
            <w:tcW w:type="dxa" w:w="1440"/>
            <w:shd w:fill="FAFAFA" w:val="clear"/>
          </w:tcPr>
          <w:p>
            <w:r>
              <w:rPr>
                <w:b/>
                <w:sz w:val="17"/>
              </w:rPr>
              <w:t>50,676</w:t>
            </w:r>
          </w:p>
        </w:tc>
        <w:tc>
          <w:tcPr>
            <w:tcW w:type="dxa" w:w="1440"/>
            <w:shd w:fill="FAFAFA" w:val="clear"/>
          </w:tcPr>
          <w:p>
            <w:r>
              <w:rPr>
                <w:sz w:val="17"/>
              </w:rPr>
              <w:t>55,125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45,214</w:t>
            </w:r>
          </w:p>
        </w:tc>
        <w:tc>
          <w:tcPr>
            <w:tcW w:type="dxa" w:w="1440"/>
            <w:shd w:fill="FAFAFA" w:val="clear"/>
          </w:tcPr>
          <w:p>
            <w:r>
              <w:rPr>
                <w:b/>
                <w:sz w:val="17"/>
              </w:rPr>
              <w:t>50,661</w:t>
            </w:r>
          </w:p>
        </w:tc>
        <w:tc>
          <w:tcPr>
            <w:tcW w:type="dxa" w:w="1440"/>
            <w:shd w:fill="FAFAFA" w:val="clear"/>
          </w:tcPr>
          <w:p>
            <w:r>
              <w:rPr>
                <w:sz w:val="17"/>
              </w:rPr>
              <w:t>56,108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44,359</w:t>
            </w:r>
          </w:p>
        </w:tc>
        <w:tc>
          <w:tcPr>
            <w:tcW w:type="dxa" w:w="1440"/>
            <w:shd w:fill="FAFAFA" w:val="clear"/>
          </w:tcPr>
          <w:p>
            <w:r>
              <w:rPr>
                <w:b/>
                <w:sz w:val="17"/>
              </w:rPr>
              <w:t>50,647</w:t>
            </w:r>
          </w:p>
        </w:tc>
        <w:tc>
          <w:tcPr>
            <w:tcW w:type="dxa" w:w="1440"/>
            <w:shd w:fill="FAFAFA" w:val="clear"/>
          </w:tcPr>
          <w:p>
            <w:r>
              <w:rPr>
                <w:sz w:val="17"/>
              </w:rPr>
              <w:t>56,935</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43,605</w:t>
            </w:r>
          </w:p>
        </w:tc>
        <w:tc>
          <w:tcPr>
            <w:tcW w:type="dxa" w:w="1440"/>
            <w:shd w:fill="FAFAFA" w:val="clear"/>
          </w:tcPr>
          <w:p>
            <w:r>
              <w:rPr>
                <w:b/>
                <w:sz w:val="17"/>
              </w:rPr>
              <w:t>50,634</w:t>
            </w:r>
          </w:p>
        </w:tc>
        <w:tc>
          <w:tcPr>
            <w:tcW w:type="dxa" w:w="1440"/>
            <w:shd w:fill="FAFAFA" w:val="clear"/>
          </w:tcPr>
          <w:p>
            <w:r>
              <w:rPr>
                <w:sz w:val="17"/>
              </w:rPr>
              <w:t>57,662</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42,925</w:t>
            </w:r>
          </w:p>
        </w:tc>
        <w:tc>
          <w:tcPr>
            <w:tcW w:type="dxa" w:w="1440"/>
            <w:shd w:fill="FAFAFA" w:val="clear"/>
          </w:tcPr>
          <w:p>
            <w:r>
              <w:rPr>
                <w:b/>
                <w:sz w:val="17"/>
              </w:rPr>
              <w:t>50,622</w:t>
            </w:r>
          </w:p>
        </w:tc>
        <w:tc>
          <w:tcPr>
            <w:tcW w:type="dxa" w:w="1440"/>
            <w:shd w:fill="FAFAFA" w:val="clear"/>
          </w:tcPr>
          <w:p>
            <w:r>
              <w:rPr>
                <w:sz w:val="17"/>
              </w:rPr>
              <w:t>58,319</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42,299</w:t>
            </w:r>
          </w:p>
        </w:tc>
        <w:tc>
          <w:tcPr>
            <w:tcW w:type="dxa" w:w="1440"/>
            <w:shd w:fill="FAFAFA" w:val="clear"/>
          </w:tcPr>
          <w:p>
            <w:r>
              <w:rPr>
                <w:b/>
                <w:sz w:val="17"/>
              </w:rPr>
              <w:t>50,612</w:t>
            </w:r>
          </w:p>
        </w:tc>
        <w:tc>
          <w:tcPr>
            <w:tcW w:type="dxa" w:w="1440"/>
            <w:shd w:fill="FAFAFA" w:val="clear"/>
          </w:tcPr>
          <w:p>
            <w:r>
              <w:rPr>
                <w:sz w:val="17"/>
              </w:rPr>
              <w:t>58,924</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41,717</w:t>
            </w:r>
          </w:p>
        </w:tc>
        <w:tc>
          <w:tcPr>
            <w:tcW w:type="dxa" w:w="1440"/>
            <w:shd w:fill="FAFAFA" w:val="clear"/>
          </w:tcPr>
          <w:p>
            <w:r>
              <w:rPr>
                <w:b/>
                <w:sz w:val="17"/>
              </w:rPr>
              <w:t>50,602</w:t>
            </w:r>
          </w:p>
        </w:tc>
        <w:tc>
          <w:tcPr>
            <w:tcW w:type="dxa" w:w="1440"/>
            <w:shd w:fill="FAFAFA" w:val="clear"/>
          </w:tcPr>
          <w:p>
            <w:r>
              <w:rPr>
                <w:sz w:val="17"/>
              </w:rPr>
              <w:t>59,486</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41,171</w:t>
            </w:r>
          </w:p>
        </w:tc>
        <w:tc>
          <w:tcPr>
            <w:tcW w:type="dxa" w:w="1440"/>
            <w:shd w:fill="FAFAFA" w:val="clear"/>
          </w:tcPr>
          <w:p>
            <w:r>
              <w:rPr>
                <w:b/>
                <w:sz w:val="17"/>
              </w:rPr>
              <w:t>50,592</w:t>
            </w:r>
          </w:p>
        </w:tc>
        <w:tc>
          <w:tcPr>
            <w:tcW w:type="dxa" w:w="1440"/>
            <w:shd w:fill="FAFAFA" w:val="clear"/>
          </w:tcPr>
          <w:p>
            <w:r>
              <w:rPr>
                <w:sz w:val="17"/>
              </w:rPr>
              <w:t>60,014</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40,654</w:t>
            </w:r>
          </w:p>
        </w:tc>
        <w:tc>
          <w:tcPr>
            <w:tcW w:type="dxa" w:w="1440"/>
            <w:shd w:fill="FAFAFA" w:val="clear"/>
          </w:tcPr>
          <w:p>
            <w:r>
              <w:rPr>
                <w:b/>
                <w:sz w:val="17"/>
              </w:rPr>
              <w:t>50,583</w:t>
            </w:r>
          </w:p>
        </w:tc>
        <w:tc>
          <w:tcPr>
            <w:tcW w:type="dxa" w:w="1440"/>
            <w:shd w:fill="FAFAFA" w:val="clear"/>
          </w:tcPr>
          <w:p>
            <w:r>
              <w:rPr>
                <w:sz w:val="17"/>
              </w:rPr>
              <w:t>60,513</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**Bourse Régionale des Valeurs Mobilières (BRVM) — Secteur : Biens de Consommation (FMCG)**</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**468,35 milliards FCFA**, un niveau qui la place parmi les valeurs les plus importantes de la cote BRVM, bien que cette capitalisation soit à relativiser au regard de la faiblesse des volumes échangés (21 titres/jour en moyenne). Les ratios de valorisation boursière (BPA, PER, P/B, EV/EBITDA) ne sont pas calculables en l'absence de données financières structurées exploitables dans la base, ce qui prive l'investisseur d'une lecture directe du prix payé par rapport aux bénéfices ou à la valeur comptable. On peut néanmoins estimer, à titre indicatif, qu'avec un bénéfice net 2023 de 640,3 millions FCFA pour 9 183 333 actions (capital de 9,18 Mds FCFA), le BPA ressortirait à environ **70 FCFA**, soit un PER implicite de l'ordre de **730x** au cours de 51 000 FCFA — un niveau stratosphérique qui traduit une décorrélation totale entre le prix de marché et la rentabilité effective de la société. Cette absence de ratios fiables constitue en soi un signal de prudence : le marché valorise UNLC sur des anticipations (marque, potentiel de redressement, rareté du flottant) plutôt que sur des fondamentaux vérifiables.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UNLC affiche une **variation totale de -13,56%**, avec une dernière séance stable (**J-1 : +0,00%**), le cours s'établissant à **51 000 FCFA**. Le range de trading est large, entre un plus haut de **63 000 FCFA** et un plus bas de **49 000 FCFA**, soit une amplitude de 14 000 FCFA (28,6%) qui témoigne d'une réelle nervosité du titre malgré la faiblesse des volumes. La tendance générale est clairement **baissière** sur la période, le cours actuel se situant à 7,5% sous sa moyenne et à 19% sous son plus haut. Les statistiques descriptives révèlent une **moyenne de 55 139 FCFA** légèrement supérieure à la **médiane de 54 900 FCFA**, avec un mode à 58 000 FCFA : l'écart faible entre moyenne et médiane (0,4%) indique une distribution quasi symétrique, confirmée par un **skewness de 0,159** (asymétrie positive très légère). L'**écart-type de 3 022 FCFA** et un **coefficient de variation de 5,5%** traduisent une dispersion modérée du cours autour de sa moyenne, tandis que le **kurtosis de -0,658** (mésokurtique) suggère une distribution proche de la normale, sans risque majeur de pics extrêmes — ce qui est rassurant pour la gestion du risque. En revanche, la **volatilité annualisée de 58,1%** classe le titre dans la catégorie des valeurs **très volatiles** (seuil &gt;30%), ce qui contraste avec la stabilité apparente des dernières séances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(52 562 FCFA) et la MM50 (53 262 FCFA) se situent toutes deux **au-dessus du cours actuel** (51 000 FCFA), avec une MM20 inférieure à la MM50 — configuration baissière caractéristique. Le cours évoluant sous ses deux moyennes, la pression vendeuse domine et la décision technique est logiquement **Vente**, confirmant la tendance de fond négative observée sur 100 jours.</w:t>
      </w:r>
    </w:p>
    <w:p>
      <w:pPr>
        <w:spacing w:after="120" w:line="276" w:lineRule="auto"/>
      </w:pPr>
      <w:r>
        <w:t>**Bandes de Bollinger** : Le cours (51 000 FCFA) se situe dans la partie basse de la bande, entre la borne inférieure (49 026 FCFA) et la borne supérieure (56 098 FCFA), à environ 25% de la largeur totale. Cette position médiane-basse, sans franchissement de la borne inférieure, traduit une **absence de signal extrême** et justifie la décision **Neutre** : le titre n'est ni en survente technique, ni en phase de rebond confirmé.</w:t>
      </w:r>
    </w:p>
    <w:p>
      <w:pPr>
        <w:spacing w:after="120" w:line="276" w:lineRule="auto"/>
      </w:pPr>
      <w:r>
        <w:t>**MACD** : Le MACD (-809,9) est **inférieur à son signal (-613,5)**, avec un histogramme négatif — configuration baissière classique. Le momentum reste négatif et la divergence entre les deux lignes ne montre aucun signe de retournement imminent, ce qui valide la décision **Vente** et suggère que la pression baissière pourrait persister à court terme.</w:t>
      </w:r>
    </w:p>
    <w:p>
      <w:pPr>
        <w:spacing w:after="120" w:line="276" w:lineRule="auto"/>
      </w:pPr>
      <w:r>
        <w:t>**RSI** : À **50,0**, le RSI se situe exactement à mi-chemin entre surachat (&gt;70) et survente (&lt;30), dans une zone parfaitement **neutre**. Cette valeur médiane indique un équilibre entre acheteurs et vendeurs, sans excès exploitable, ce qui justifie la décision **Neutre** et confirme l'absence de signal directionnel fort.</w:t>
      </w:r>
    </w:p>
    <w:p>
      <w:pPr>
        <w:spacing w:after="120" w:line="276" w:lineRule="auto"/>
      </w:pPr>
      <w:r>
        <w:t>**Stochastique** : Le %K (37,7) est **supérieur au %D (25,2)**, avec un croisement récent à la hausse depuis la zone de survente — signal potentiellement haussier de court terme. Toutefois, les deux lignes restant sous 50, la dynamique demeure fragile et la décision **Neutre** s'impose : le signal d'achat naissant n'est pas encore confirmé par les autres indicateurs.</w:t>
      </w:r>
    </w:p>
    <w:p>
      <w:pPr>
        <w:spacing w:after="120" w:line="276" w:lineRule="auto"/>
      </w:pPr>
      <w:r>
        <w:t>**Conclusion technique** : Les indicateurs techniques présentent un tableau **majoritairement baissier mais sans excès** : deux décisions de vente (MM, MACD), trois décisions neutres (Bollinger, RSI, Stochastique). Le titre évolue sous ses moyennes mobiles avec un momentum négatif, mais le RSI à 50 et le stochastique en début de redressement suggèrent qu'une stabilisation, voire un rebond technique, n'est pas exclue. La convergence des signaux reste insuffisante pour un retournement durable ; la prudence domine.</w:t>
      </w:r>
    </w:p>
    <w:p>
      <w:pPr>
        <w:spacing w:after="120" w:line="276" w:lineRule="auto"/>
      </w:pPr>
      <w:r>
        <w:t>---</w:t>
      </w:r>
    </w:p>
    <w:p>
      <w:pPr>
        <w:spacing w:after="120" w:line="276" w:lineRule="auto"/>
      </w:pPr>
      <w:r>
        <w:t>## PARTIE 3 : ANALYSE FONDAMENTALE</w:t>
      </w:r>
    </w:p>
    <w:p>
      <w:pPr>
        <w:spacing w:after="120" w:line="276" w:lineRule="auto"/>
      </w:pPr>
      <w:r>
        <w:t>L'analyse fondamentale d'UNLC s'appuie sur les rapports financiers officiels disponibles, dont les plus récents datent du **31 décembre 2023** (analysés en mars 2026) — des données anciennes, qu'il convient de manipuler avec précaution mais qui restent les seules références exploitables. **En 2023**, UNILEVER Côte d'Ivoire a réalisé un **chiffre d'affaires de 24 336 010 000 FCFA**, strictement identique à celui de 2022, traduisant une **stagnation totale de l'activité** dans un secteur FMCG pourtant porté par la croissance démographique et l'urbanisation ouest-africaine. Le **résultat net 2023 s'établit à 640 334 855 FCFA**, en nette amélioration après la **perte abyssale de 6 908 362 002 FCFA en 2022** (rapport du 31/12/2022), mais cette performance reste fragile : la **marge nette de 2,63%** est très inférieure à la moyenne sectorielle FMCG (5-10%), et le **report à nouveau négatif de -35 635 M FCFA** ainsi que des **capitaux propres négatifs de -10 658 M FCFA** fragilisent structurellement le bilan. Le **résultat d'exploitation** est repassé en territoire positif (+3 340 M FCFA en 2023 contre -6 258 M FCFA en 2022), porté par la réduction des charges et la baisse des frais financiers (135 M FCFA contre 566 M FCFA), mais l'**endettement financier a augmenté** (4 379 M FCFA contre 3 827 M FCFA), et la trésorerie passive (14 874 M FCFA) dépasse largement la trésorerie active, signalant un **risque de liquidité**. La **politique de dividende est inexistante** en 2023 comme en 2022, la priorité étant donnée à la reconstitution des capitaux propres. En remontant plus loin, le **rapport 2021** (exercice clos 31/12/2021) faisait état d'un **bénéfice net de 6 090 755 732 FCFA** (marge nette de 25%) et d'un EBE positif de 2 391 M FCFA, mais ces résultats étaient portés par des produits exceptionnels (cession de la marque Lipton pour +16,7 Mds FCFA) non récurrents — la **perte de 2022 (-6,38 Mds FCFA)** ayant précisément résulté de la disparition de ces produits exceptionnels. L'évolution 2021→2022→2023 dessine donc un **profil en dents de scie** : profit exceptionnel en 2021, effondrement en 2022, redressement modeste en 2023, sans jamais retrouver une rentabilité opérationnelle durable. **En synthèse**, UNLC présente une **solidité financière précaire** (capitaux propres négatifs, endettement croissant, absence de dividende), des **perspectives de croissance limitées** (CA stagnant depuis 2022), mais une **marque forte** (Blue Band, Omo, etc.) et un **potentiel de redressement** si la société parvient à restaurer ses marges et à réduire son levier. La recommandation fondamentale est **CONSERVER avec vigilance**, en attendant des signaux plus récents (exercice 2024-2025) pour confirmer ou infirmer la trajectoire de redressement.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mais globalement défavorable** à court terme. La **valorisation (Partie 0)** est impossible à établir faute de ratios fiables, mais le PER implicite estimé (~730x) suggère une **surévaluation manifeste** par rapport aux bénéfices réels, le marché valorisant davantage la marque et la rareté du flottant que la rentabilité. Le **comportement du cours (Partie 1)** est baissier (-13,56% sur 100 jours), avec une volatilité annualisée très élevée (58,1%) et une distribution quasi symétrique (skewness 0,159, kurtosis -0,658) qui n'offre pas de biais directionnel exploitable. Les **signaux techniques (Partie 2)** sont majoritairement baissiers (MM et MACD en vente, RSI et stochastique neutres), sans convergence haussière. Les **fondamentaux (Partie 3)** révèlent une société en redressement fragile : bénéfice net 2023 de 640 M FCFA (marge 2,63%), capitaux propres négatifs (-10 658 M FCFA), endettement croissant et absence de dividende — des données datant de fin 2023, non actualisées depuis. Les **prédictions IA (J+1 à J+10)** anticipent une **légère dérive baissière** de 50 679 FCFA à 50 634 FCFA, confirmant la tendance technique sans signal de retournement. **En conséquence, la recommandation finale est CONSERVER (avec vigilance)**, justifiée par la convergence des signaux baissiers à court terme (technique, prédictions) mais tempérée par le potentiel de redressement fondamental à moyen/long terme et l'absence de valorisation fiable permettant de conclure à une surévaluation définitive. Le **niveau de confiance est Moyen** (données fondamentales anciennes, absence de ratios de valorisation), le **niveau de risque est Élevé** (volatilité 58,1%, capitaux propres négatifs, liquidité tendue), et l'**horizon d'investissement optimal est le long terme (&gt;1 an)** pour les investisseurs patients prêts à supporter une volatilité élevée en pariant sur un redressement durable d'UNLC — les horizons court et moyen terme restant défavorables.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13,655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14.74% (Moyenne) — μ=1,978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β=0.4120 (Défensif) — Cov=0.000025, Var(idx)=0.000061, ρ=0.104,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13,655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2,156</w:t>
            </w:r>
          </w:p>
        </w:tc>
        <w:tc>
          <w:tcPr>
            <w:tcW w:type="dxa" w:w="1440"/>
            <w:shd w:fill="FFDCE0" w:val="clear"/>
          </w:tcPr>
          <w:p>
            <w:r>
              <w:rPr>
                <w:b/>
                <w:sz w:val="17"/>
              </w:rPr>
              <w:t>2,263</w:t>
            </w:r>
          </w:p>
        </w:tc>
        <w:tc>
          <w:tcPr>
            <w:tcW w:type="dxa" w:w="1440"/>
            <w:shd w:fill="FFDCE0" w:val="clear"/>
          </w:tcPr>
          <w:p>
            <w:r>
              <w:rPr>
                <w:sz w:val="17"/>
              </w:rPr>
              <w:t>2,370</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2,112</w:t>
            </w:r>
          </w:p>
        </w:tc>
        <w:tc>
          <w:tcPr>
            <w:tcW w:type="dxa" w:w="1440"/>
            <w:shd w:fill="FFDCE0" w:val="clear"/>
          </w:tcPr>
          <w:p>
            <w:r>
              <w:rPr>
                <w:b/>
                <w:sz w:val="17"/>
              </w:rPr>
              <w:t>2,264</w:t>
            </w:r>
          </w:p>
        </w:tc>
        <w:tc>
          <w:tcPr>
            <w:tcW w:type="dxa" w:w="1440"/>
            <w:shd w:fill="FFDCE0" w:val="clear"/>
          </w:tcPr>
          <w:p>
            <w:r>
              <w:rPr>
                <w:sz w:val="17"/>
              </w:rPr>
              <w:t>2,416</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2,072</w:t>
            </w:r>
          </w:p>
        </w:tc>
        <w:tc>
          <w:tcPr>
            <w:tcW w:type="dxa" w:w="1440"/>
            <w:shd w:fill="FFDCE0" w:val="clear"/>
          </w:tcPr>
          <w:p>
            <w:r>
              <w:rPr>
                <w:b/>
                <w:sz w:val="17"/>
              </w:rPr>
              <w:t>2,257</w:t>
            </w:r>
          </w:p>
        </w:tc>
        <w:tc>
          <w:tcPr>
            <w:tcW w:type="dxa" w:w="1440"/>
            <w:shd w:fill="FFDCE0" w:val="clear"/>
          </w:tcPr>
          <w:p>
            <w:r>
              <w:rPr>
                <w:sz w:val="17"/>
              </w:rPr>
              <w:t>2,442</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2,036</w:t>
            </w:r>
          </w:p>
        </w:tc>
        <w:tc>
          <w:tcPr>
            <w:tcW w:type="dxa" w:w="1440"/>
            <w:shd w:fill="FFDCE0" w:val="clear"/>
          </w:tcPr>
          <w:p>
            <w:r>
              <w:rPr>
                <w:b/>
                <w:sz w:val="17"/>
              </w:rPr>
              <w:t>2,249</w:t>
            </w:r>
          </w:p>
        </w:tc>
        <w:tc>
          <w:tcPr>
            <w:tcW w:type="dxa" w:w="1440"/>
            <w:shd w:fill="FFDCE0" w:val="clear"/>
          </w:tcPr>
          <w:p>
            <w:r>
              <w:rPr>
                <w:sz w:val="17"/>
              </w:rPr>
              <w:t>2,462</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2,004</w:t>
            </w:r>
          </w:p>
        </w:tc>
        <w:tc>
          <w:tcPr>
            <w:tcW w:type="dxa" w:w="1440"/>
            <w:shd w:fill="FFDCE0" w:val="clear"/>
          </w:tcPr>
          <w:p>
            <w:r>
              <w:rPr>
                <w:b/>
                <w:sz w:val="17"/>
              </w:rPr>
              <w:t>2,241</w:t>
            </w:r>
          </w:p>
        </w:tc>
        <w:tc>
          <w:tcPr>
            <w:tcW w:type="dxa" w:w="1440"/>
            <w:shd w:fill="FFDCE0" w:val="clear"/>
          </w:tcPr>
          <w:p>
            <w:r>
              <w:rPr>
                <w:sz w:val="17"/>
              </w:rPr>
              <w:t>2,479</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1,975</w:t>
            </w:r>
          </w:p>
        </w:tc>
        <w:tc>
          <w:tcPr>
            <w:tcW w:type="dxa" w:w="1440"/>
            <w:shd w:fill="FFDCE0" w:val="clear"/>
          </w:tcPr>
          <w:p>
            <w:r>
              <w:rPr>
                <w:b/>
                <w:sz w:val="17"/>
              </w:rPr>
              <w:t>2,234</w:t>
            </w:r>
          </w:p>
        </w:tc>
        <w:tc>
          <w:tcPr>
            <w:tcW w:type="dxa" w:w="1440"/>
            <w:shd w:fill="FFDCE0" w:val="clear"/>
          </w:tcPr>
          <w:p>
            <w:r>
              <w:rPr>
                <w:sz w:val="17"/>
              </w:rPr>
              <w:t>2,493</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1,948</w:t>
            </w:r>
          </w:p>
        </w:tc>
        <w:tc>
          <w:tcPr>
            <w:tcW w:type="dxa" w:w="1440"/>
            <w:shd w:fill="FFDCE0" w:val="clear"/>
          </w:tcPr>
          <w:p>
            <w:r>
              <w:rPr>
                <w:b/>
                <w:sz w:val="17"/>
              </w:rPr>
              <w:t>2,227</w:t>
            </w:r>
          </w:p>
        </w:tc>
        <w:tc>
          <w:tcPr>
            <w:tcW w:type="dxa" w:w="1440"/>
            <w:shd w:fill="FFDCE0" w:val="clear"/>
          </w:tcPr>
          <w:p>
            <w:r>
              <w:rPr>
                <w:sz w:val="17"/>
              </w:rPr>
              <w:t>2,506</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1,923</w:t>
            </w:r>
          </w:p>
        </w:tc>
        <w:tc>
          <w:tcPr>
            <w:tcW w:type="dxa" w:w="1440"/>
            <w:shd w:fill="FFDCE0" w:val="clear"/>
          </w:tcPr>
          <w:p>
            <w:r>
              <w:rPr>
                <w:b/>
                <w:sz w:val="17"/>
              </w:rPr>
              <w:t>2,220</w:t>
            </w:r>
          </w:p>
        </w:tc>
        <w:tc>
          <w:tcPr>
            <w:tcW w:type="dxa" w:w="1440"/>
            <w:shd w:fill="FFDCE0" w:val="clear"/>
          </w:tcPr>
          <w:p>
            <w:r>
              <w:rPr>
                <w:sz w:val="17"/>
              </w:rPr>
              <w:t>2,518</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1,899</w:t>
            </w:r>
          </w:p>
        </w:tc>
        <w:tc>
          <w:tcPr>
            <w:tcW w:type="dxa" w:w="1440"/>
            <w:shd w:fill="FFDCE0" w:val="clear"/>
          </w:tcPr>
          <w:p>
            <w:r>
              <w:rPr>
                <w:b/>
                <w:sz w:val="17"/>
              </w:rPr>
              <w:t>2,214</w:t>
            </w:r>
          </w:p>
        </w:tc>
        <w:tc>
          <w:tcPr>
            <w:tcW w:type="dxa" w:w="1440"/>
            <w:shd w:fill="FFDCE0" w:val="clear"/>
          </w:tcPr>
          <w:p>
            <w:r>
              <w:rPr>
                <w:sz w:val="17"/>
              </w:rPr>
              <w:t>2,529</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1,877</w:t>
            </w:r>
          </w:p>
        </w:tc>
        <w:tc>
          <w:tcPr>
            <w:tcW w:type="dxa" w:w="1440"/>
            <w:shd w:fill="FFDCE0" w:val="clear"/>
          </w:tcPr>
          <w:p>
            <w:r>
              <w:rPr>
                <w:b/>
                <w:sz w:val="17"/>
              </w:rPr>
              <w:t>2,207</w:t>
            </w:r>
          </w:p>
        </w:tc>
        <w:tc>
          <w:tcPr>
            <w:tcW w:type="dxa" w:w="1440"/>
            <w:shd w:fill="FFDCE0" w:val="clear"/>
          </w:tcPr>
          <w:p>
            <w:r>
              <w:rPr>
                <w:sz w:val="17"/>
              </w:rPr>
              <w:t>2,538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Textile / Entreprise non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48,76 milliards FCFA, UNIWAX se positionne comme une valeur de taille moyenne sur la cote BRVM, représentant un poids significatif dans le compartiment industriel/textile régional. Le BPA ressort à -105 FCFA/action sur l'exercice 2024, traduisant une société alors déficitaire, ce qui rend le PER inexploitable en l'état (-22,3x, négatif par construction). Le P/B de 3,13x indique que le marché valorise l'action à plus de trois fois sa valeur comptable, soit une prime de croissance notable (fourchette 2-4x) qui n'est justifiée que si le redressement opérationnel se confirme durablement. Le ratio EV/EBITDA n'est pas fourni dans les données disponibles, ce qui limite l'analyse comparative de la valeur d'entreprise ; on notera toutefois que la capitalisation de 48,76 Mds FCFA reste à confronter à un EBE 2025 redevenu positif (1,13 Md FCFA selon le rapport annuel 2025), suggérant un multiple EV/EBITDA très élevé et donc une valorisation tendue au regard de la capacité opérationnelle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totale de +25,00%, avec une dernière séance particulièrement dynamique (+6,82% en J-1), portant le cours actuel à 2 350 FCFA. Le range de trading est très large, entre un plus bas de 1 250 FCFA et un plus haut de 2 495 FCFA, soit un écart de près de 100% qui témoigne d'une forte amplitude directionnelle. La tendance générale est clairement haussière, le titre ayant doublé depuis ses points bas avant de consolider sous les 2 500 FCFA. Les statistiques descriptives révèlent une moyenne (1 978 FCFA) légèrement supérieure à la médiane (1 915 FCFA), signe d'une distribution quasi symétrique (skewness = 0,025) avec une légère influence des hauts niveaux de cours. L'écart-type de 293 FCFA et le coefficient de variation de 14,8% indiquent une dispersion modérée autour de la moyenne, tandis que le kurtosis de -0,318 (mésokurtique) suggère une distribution proche de la normale, sans risque marqué de pics extrêmes. La volatilité annualisée de 49,5% classe le titre dans la catégorie des valeurs à volatilité élevée (&gt;30%), ce qui implique un risque de marché conséquent et justifie une gestion prudente de la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(2 358,25 FCFA) est légèrement supérieure au cours actuel (2 350 FCFA), tandis que la MM50 (2 171,0 FCFA) reste nettement en dessous, confirmant une structure haussière de moyen terme. Le croisement des moyennes (MM20 &gt; MM50) et leur pente ascendante justifient la décision d'**Achat**, le titre évoluant au-dessus de sa tendance de fond.</w:t>
      </w:r>
    </w:p>
    <w:p>
      <w:pPr>
        <w:spacing w:after="120" w:line="276" w:lineRule="auto"/>
      </w:pPr>
      <w:r>
        <w:t>**Bandes de Bollinger** : Le cours (2 350 FCFA) se situe dans la partie médiane de la bande, entre la borne inférieure (2 219,15 FCFA) et la borne supérieure (2 497,36 FCFA), sans contact avec les extrêmes. Cette position centrale, couplée à un écartement modéré des bandes, traduit une volatilité normale et une absence de signal directionnel fort, d'où la décision **Neutre**.</w:t>
      </w:r>
    </w:p>
    <w:p>
      <w:pPr>
        <w:spacing w:after="120" w:line="276" w:lineRule="auto"/>
      </w:pPr>
      <w:r>
        <w:t>**MACD** : La valeur du MACD (21,19) est nettement inférieure à son signal (49,99), générant une divergence baissière classique. Ce croisement négatif indique un essoufflement du momentum haussier malgré la progression récente du cours, justifiant la décision de **Vente** à court terme.</w:t>
      </w:r>
    </w:p>
    <w:p>
      <w:pPr>
        <w:spacing w:after="120" w:line="276" w:lineRule="auto"/>
      </w:pPr>
      <w:r>
        <w:t>**RSI** : À 51,16, le RSI se situe exactement en zone neutre (30-70), sans signal de surachat (&gt;70) ni de survente (&lt;30). Cette position médiane confirme l'absence de pression acheteuse ou vendeuse dominante, d'où la décision **Neutre**.</w:t>
      </w:r>
    </w:p>
    <w:p>
      <w:pPr>
        <w:spacing w:after="120" w:line="276" w:lineRule="auto"/>
      </w:pPr>
      <w:r>
        <w:t>**Stochastique** : Le %K (75,0) est nettement supérieur au %D (25,0), configuration haussière typique d'un croisement récent à la hausse. Toutefois, le %K proche de la zone de surachat (80) invite à la prudence, ce qui explique la décision **Neutre** malgré le signal positif du croisement.</w:t>
      </w:r>
    </w:p>
    <w:p>
      <w:pPr>
        <w:spacing w:after="120" w:line="276" w:lineRule="auto"/>
      </w:pPr>
      <w:r>
        <w:t>**Conclusion technique** : Les indicateurs sont divergents — les moyennes mobiles et le stochastique plaident pour une poursuite haussière, tandis que le MACD signale un essoufflement et que le RSI/Bollinger restent neutres. Cette configuration mitigée suggère une consolidation probable à court terme, avec un support dynamique à surveiller autour de la MM20 (2 358 FCFA) et une résistance majeure à 2 497 FCFA.</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2024 (états financiers annuels) dressent un tableau contrasté : UNIWAX affiche un chiffre d'affaires de 27,333 Mds FCFA, en recul de -7,93% selon les ratios fournis, pour un résultat net de -2,189 Mds FCFA, soit une marge nette de -8,01% et un ROE de -14,04%. La structure financière reste néanmoins solide avec des capitaux propres de 15,591 Mds FCFA, une autonomie financière de 45,53% et une trésorerie nette positive de 2,495 Mds FCFA. Sur le plan opérationnel, l'EBE est négatif (-352,22 M FCFA) et le coefficient d'exploitation atteint 106,99%, signe que les charges d'exploitation (32,706 Mds FCFA) dépassent le chiffre d'affaires. Les délais d'exploitation sont préoccupants : 254,72 jours de stockage et 51,03 jours de délai client, immobilisant fortement le capital, tandis que le délai fournisseur élevé (267,82 jours) constitue un amortisseur de trésorerie favorable. Le rapport annuel 2025 (publié en 2025) marque une inflexion majeure : le CA progresse à 29,03 Mds FCFA (+6,2%), l'EBE redevient positif à 1,13 Md FCFA, et la perte nette est réduite de 71% à -624 M FCFA, avec des capitaux propres renforcés à 24,62 Mds FCFA grâce aux cessions d'actifs (+10,5 Mds FCFA). Le rapport du 1er semestre 2026 (S1 2026) confirme cette dynamique : le CA s'établit à 15,752 Mds FCFA (+0,3%) et surtout le résultat d'exploitation redevient **positif à 771 M FCFA** contre une perte de 314 M FCFA au S1 2025, avec un résultat net de 771 M FCFA (hors plus-value exceptionnelle de cession de 2025). On estime, sur la base de ce rapport S1 2026, que l'exercice 2026 pourrait dégager un résultat d'exploitation annuel positif pour la première fois depuis plusieurs années, bien que la croissance du CA reste atone (+0,3%). La recommandation fondamentale est donc **CONSERVER avec biais acheteur** : la solidité bilancielle (autonomie financière, trésorerie) et le retour à une rentabilité opérationnelle positive constituent des signaux forts, mais la faiblesse de la croissance et les pertes cumulées (-5,54 Mds FCFA de report à nouveau) appellent à la prudence.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 le P/B de 3,13x et l'absence de PER exploitable (BPA négatif en 2024) traduisent une prime de croissance que le marché accorde en anticipation du redressement, sans marge de sécurité évidente. Le comportement du cours (Partie 1) est haussier (+25% sur 100 jours) mais accompagné d'une volatilité élevée (49,5%) et d'une distribution symétrique sans risque de pics extrêmes (kurtosis -0,318), ce qui est plutôt rassurant sur la régularité de la tendance. Les signaux techniques (Partie 2) sont divergents : les moyennes mobiles et le stochastique sont haussiers, mais le MACD baissier et le RSI neutre plaident pour une consolidation, ce qui invite à la patience. Les fondamentaux (Partie 3) s'améliorent nettement — retour à un résultat d'exploitation positif au S1 2026 (771 M FCFA), EBE 2025 positif (1,13 Md FCFA), capitaux propres renforcés à 24,62 Mds FCFA — mais la croissance du CA reste faible (+0,3% au S1 2026) et les pertes cumulées persistent. Les prédictions IA (J+1 à J+10) anticipent une légère érosion du cours de 2 263 FCFA à 2 241 FCFA, soit une baisse d'environ -1% sur 10 jours, ce qui contredit le momentum haussier récent et confirme le scénario de consolidation technique. **Recommandation finale : CONSERVER**, avec un biais acheteur pour les investisseurs patients. La convergence entre l'amélioration fondamentale (rentabilité opérationnelle positive) et la consolidation technique attendue justifie une position d'attente plutôt qu'un achat agressif. Le niveau de confiance est **Moyen** (fondamentaux en amélioration mais croissance atone et valorisation tendue) et le niveau de risque global est **Élevé** (volatilité de 49,5%, dépendance aux cessions d'actifs, concurrence asiatique). L'horizon d'investissement optimal est le **moyen terme (3-12 mois)**, le temps que la rentabilité opérationnelle se confirme sur l'ensemble de l'exercice 2026 et que le marché valide le retour durable à l'équilibre.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