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24/08/2026 à 05:04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LNBB  (score 79/100)</w:t>
      </w:r>
    </w:p>
    <w:p>
      <w:pPr>
        <w:spacing w:before="20" w:after="20"/>
        <w:ind w:left="360" w:right="360"/>
        <w:shd w:val="clear" w:color="auto" w:fill="EBF5FB"/>
      </w:pPr>
      <w:r>
        <w:rPr>
          <w:b/>
          <w:sz w:val="19"/>
        </w:rPr>
        <w:t xml:space="preserve">Secteur surperformant :  </w:t>
      </w:r>
      <w:r>
        <w:rPr>
          <w:color w:val="008000"/>
          <w:sz w:val="19"/>
        </w:rPr>
        <w:t>SERVICES PUBLICS  (+87.5%)</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19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529.15 points </w:t>
      </w:r>
      <w:r>
        <w:rPr>
          <w:color w:val="008000"/>
        </w:rPr>
        <w:t>(+1.84%)</w:t>
      </w:r>
      <w:r>
        <w:t xml:space="preserve"> sur la séance. </w:t>
      </w:r>
      <w:r>
        <w:t>La capitalisation globale du marché atteint 2 040,458 milliards FCFA.</w:t>
      </w:r>
    </w:p>
    <w:p/>
    <w:p>
      <w:pPr>
        <w:pStyle w:val="Heading3"/>
      </w:pPr>
      <w:r>
        <w:t>📊 Évolution de l'indice BRVM Composite (100 derniers jours)</w:t>
      </w:r>
    </w:p>
    <w:p>
      <w:r>
        <w:rPr>
          <w:b/>
        </w:rPr>
        <w:t xml:space="preserve">BRVM Composite — </w:t>
      </w:r>
      <w:r>
        <w:t xml:space="preserve">Sur les 100 derniers jours de cotation (2026-03-27 au 2026-08-21), l'indice BRVM Composite a évolué de </w:t>
      </w:r>
      <w:r>
        <w:rPr>
          <w:b/>
          <w:color w:val="008000"/>
        </w:rPr>
        <w:t>+30.27%</w:t>
      </w:r>
      <w:r>
        <w:t>, passant de 406.18 pts à 529.15 pts. Le plus haut atteint est 529.15 pts et le plus bas 397.33 pts. Sur l'ensemble de la période, la moyenne de l'indice s'établit à 442.78 pts, la médiane à 436.64 pts et le mode à 403.36 pts</w:t>
      </w:r>
      <w:r>
        <w:t xml:space="preserve"> (asymétrie positive — plus de jours sous la moyenne). </w:t>
      </w:r>
      <w:r>
        <w:t xml:space="preserve">L'écart-type de 35.53 pts (CV=8.0%) traduit une modérée dispersion des cotations. Le kurtosis de -1.06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-86.97%</w:t>
      </w:r>
      <w:r>
        <w:t xml:space="preserve"> sur la période, passant de 15 660,630 Mds FCFA à 2 040,458 Mds FCFA. Le pic de capitalisation observé est de 19 886,911 Mds FCFA et le plancher de 2 003,618 Mds FCFA. La moyenne de la capitalisation sur la période s'établit à 16 700,785 Mds FCFA, la médiane à 16 816,942 Mds FCFA et le mode à 2 003,618 Mds FCFA</w:t>
      </w:r>
      <w:r>
        <w:t xml:space="preserve"> (asymétrie négative). </w:t>
      </w:r>
      <w:r>
        <w:t>L'écart-type de 2 470,674 Mds FCFA (CV=14.8%) reflète une modérée variabilité de la valorisation du marché. Le kurtosis de 22.61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PRSC - PRSC - TRACTAFRIC MOTORS CI</w:t>
      </w:r>
      <w:r>
        <w:t xml:space="preserve"> | Prix: 4470 FCFA | </w:t>
      </w:r>
      <w:r>
        <w:rPr>
          <w:b/>
          <w:color w:val="008000"/>
        </w:rPr>
        <w:t>ACHAT FORT</w:t>
      </w:r>
      <w:r>
        <w:t xml:space="preserve"> | Confiance: Faible | Risque: Moyen</w:t>
      </w:r>
    </w:p>
    <w:p>
      <w:pPr>
        <w:pStyle w:val="ListNumber"/>
      </w:pPr>
      <w:r>
        <w:rPr>
          <w:b/>
        </w:rPr>
        <w:t>ABJC - ABJC - SERVAIR ABIDJAN CI</w:t>
      </w:r>
      <w:r>
        <w:t xml:space="preserve"> | Prix: 3350 FCFA | </w:t>
      </w:r>
      <w:r>
        <w:rPr>
          <w:b/>
          <w:color w:val="008000"/>
        </w:rPr>
        <w:t>ACHAT</w:t>
      </w:r>
      <w:r>
        <w:t xml:space="preserve"> | Confiance: Faible | Risque: Faible</w:t>
      </w:r>
    </w:p>
    <w:p>
      <w:pPr>
        <w:pStyle w:val="ListNumber"/>
      </w:pPr>
      <w:r>
        <w:rPr>
          <w:b/>
        </w:rPr>
        <w:t>BICB - BIIC BN - Banque internationale pour le commerce du benin</w:t>
      </w:r>
      <w:r>
        <w:t xml:space="preserve"> | Prix: 8200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28800 FCFA | </w:t>
      </w:r>
      <w:r>
        <w:rPr>
          <w:b/>
          <w:color w:val="008000"/>
        </w:rPr>
        <w:t>ACHAT</w:t>
      </w:r>
      <w:r>
        <w:t xml:space="preserve"> | Confiance: Moyen | Risque: Moyen</w:t>
      </w:r>
    </w:p>
    <w:p>
      <w:pPr>
        <w:pStyle w:val="ListNumber"/>
      </w:pPr>
      <w:r>
        <w:rPr>
          <w:b/>
        </w:rPr>
        <w:t>BNBC - BNBC - BERNABE CI</w:t>
      </w:r>
      <w:r>
        <w:t xml:space="preserve"> | Prix: 1990 FCFA | </w:t>
      </w:r>
      <w:r>
        <w:rPr>
          <w:b/>
          <w:color w:val="008000"/>
        </w:rPr>
        <w:t>ACHAT</w:t>
      </w:r>
      <w:r>
        <w:t xml:space="preserve"> | Confiance: Moyen | Risque: Moyen</w:t>
      </w:r>
    </w:p>
    <w:p>
      <w:pPr>
        <w:pStyle w:val="ListNumber"/>
      </w:pPr>
      <w:r>
        <w:rPr>
          <w:b/>
        </w:rPr>
        <w:t>BOAB - BANK OF AFRICA BENIN</w:t>
      </w:r>
      <w:r>
        <w:t xml:space="preserve"> | Prix: 9985 FCFA | </w:t>
      </w:r>
      <w:r>
        <w:rPr>
          <w:b/>
          <w:color w:val="008000"/>
        </w:rPr>
        <w:t>ACHAT</w:t>
      </w:r>
      <w:r>
        <w:t xml:space="preserve"> | Confiance: Faible | Risque: Moyen</w:t>
      </w:r>
    </w:p>
    <w:p>
      <w:pPr>
        <w:pStyle w:val="ListNumber"/>
      </w:pPr>
      <w:r>
        <w:rPr>
          <w:b/>
        </w:rPr>
        <w:t>BOABF - BANK OF AFRICA BURKINA FASO</w:t>
      </w:r>
      <w:r>
        <w:t xml:space="preserve"> | Prix: 7600 FCFA | </w:t>
      </w:r>
      <w:r>
        <w:rPr>
          <w:b/>
          <w:color w:val="008000"/>
        </w:rPr>
        <w:t>ACHAT</w:t>
      </w:r>
      <w:r>
        <w:t xml:space="preserve"> | Confiance: Faible | Risque: Faible</w:t>
      </w:r>
    </w:p>
    <w:p>
      <w:pPr>
        <w:pStyle w:val="ListNumber"/>
      </w:pPr>
      <w:r>
        <w:rPr>
          <w:b/>
        </w:rPr>
        <w:t>BOAC - BANK OF AFRICA COTE D'IVOIRE</w:t>
      </w:r>
      <w:r>
        <w:t xml:space="preserve"> | Prix: 12985 FCFA | </w:t>
      </w:r>
      <w:r>
        <w:rPr>
          <w:b/>
          <w:color w:val="008000"/>
        </w:rPr>
        <w:t>ACHAT</w:t>
      </w:r>
      <w:r>
        <w:t xml:space="preserve"> | Confiance: Élevée | Risque: Faible</w:t>
      </w:r>
    </w:p>
    <w:p>
      <w:pPr>
        <w:pStyle w:val="ListNumber"/>
      </w:pPr>
      <w:r>
        <w:rPr>
          <w:b/>
        </w:rPr>
        <w:t>BOAM - BANK OF AFRICA MALI</w:t>
      </w:r>
      <w:r>
        <w:t xml:space="preserve"> | Prix: 6490 FCFA | </w:t>
      </w:r>
      <w:r>
        <w:rPr>
          <w:b/>
          <w:color w:val="008000"/>
        </w:rPr>
        <w:t>ACHAT</w:t>
      </w:r>
      <w:r>
        <w:t xml:space="preserve"> | Confiance: Moyen | Risque: Faible</w:t>
      </w:r>
    </w:p>
    <w:p>
      <w:pPr>
        <w:pStyle w:val="ListNumber"/>
      </w:pPr>
      <w:r>
        <w:rPr>
          <w:b/>
        </w:rPr>
        <w:t>BOAN - BANK OF AFRICA NIGER</w:t>
      </w:r>
      <w:r>
        <w:t xml:space="preserve"> | Prix: 5280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87.48%</w:t>
      </w:r>
      <w:r>
        <w:t xml:space="preserve">  |  </w:t>
      </w:r>
      <w:r>
        <w:rPr>
          <w:b/>
        </w:rPr>
        <w:t xml:space="preserve">vs BRVM Composite: </w:t>
      </w:r>
      <w:r>
        <w:rPr>
          <w:b/>
          <w:color w:val="008000"/>
        </w:rPr>
        <w:t>+57.21%  🟢 Surperformance</w:t>
      </w:r>
      <w:r>
        <w:br/>
      </w:r>
      <w:r>
        <w:rPr>
          <w:b/>
        </w:rPr>
        <w:t xml:space="preserve">Sentiment général: </w:t>
      </w:r>
      <w:r>
        <w:t xml:space="preserve">ACHAT  |  </w:t>
      </w:r>
      <w:r>
        <w:rPr>
          <w:b/>
        </w:rPr>
        <w:t xml:space="preserve">Risque moyen: </w:t>
      </w:r>
      <w:r>
        <w:t xml:space="preserve">Moyen  |  </w:t>
      </w:r>
      <w:r>
        <w:rPr>
          <w:b/>
        </w:rPr>
        <w:t xml:space="preserve">Prix moyen: </w:t>
      </w:r>
      <w:r>
        <w:t>9522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41.35%</w:t>
      </w:r>
      <w:r>
        <w:t xml:space="preserve">  |  </w:t>
      </w:r>
      <w:r>
        <w:rPr>
          <w:b/>
        </w:rPr>
        <w:t xml:space="preserve">vs BRVM Composite: </w:t>
      </w:r>
      <w:r>
        <w:rPr>
          <w:b/>
          <w:color w:val="008000"/>
        </w:rPr>
        <w:t>+11.08%  🟢 Surperformance</w:t>
      </w:r>
      <w:r>
        <w:br/>
      </w:r>
      <w:r>
        <w:rPr>
          <w:b/>
        </w:rPr>
        <w:t xml:space="preserve">Sentiment général: </w:t>
      </w:r>
      <w:r>
        <w:t xml:space="preserve">ACHAT  |  </w:t>
      </w:r>
      <w:r>
        <w:rPr>
          <w:b/>
        </w:rPr>
        <w:t xml:space="preserve">Risque moyen: </w:t>
      </w:r>
      <w:r>
        <w:t xml:space="preserve">Moyen  |  </w:t>
      </w:r>
      <w:r>
        <w:rPr>
          <w:b/>
        </w:rPr>
        <w:t xml:space="preserve">Prix moyen: </w:t>
      </w:r>
      <w:r>
        <w:t>13383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33.27%</w:t>
      </w:r>
      <w:r>
        <w:t xml:space="preserve">  |  </w:t>
      </w:r>
      <w:r>
        <w:rPr>
          <w:b/>
        </w:rPr>
        <w:t xml:space="preserve">vs BRVM Composite: </w:t>
      </w:r>
      <w:r>
        <w:rPr>
          <w:b/>
          <w:color w:val="008000"/>
        </w:rPr>
        <w:t>+2.99%  🟢 Surperformance</w:t>
      </w:r>
      <w:r>
        <w:br/>
      </w:r>
      <w:r>
        <w:rPr>
          <w:b/>
        </w:rPr>
        <w:t xml:space="preserve">Sentiment général: </w:t>
      </w:r>
      <w:r>
        <w:t xml:space="preserve">ACHAT  |  </w:t>
      </w:r>
      <w:r>
        <w:rPr>
          <w:b/>
        </w:rPr>
        <w:t xml:space="preserve">Risque moyen: </w:t>
      </w:r>
      <w:r>
        <w:t xml:space="preserve">Moyen  |  </w:t>
      </w:r>
      <w:r>
        <w:rPr>
          <w:b/>
        </w:rPr>
        <w:t xml:space="preserve">Prix moyen: </w:t>
      </w:r>
      <w:r>
        <w:t>18709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21.79%</w:t>
      </w:r>
      <w:r>
        <w:t xml:space="preserve">  |  </w:t>
      </w:r>
      <w:r>
        <w:rPr>
          <w:b/>
        </w:rPr>
        <w:t xml:space="preserve">vs BRVM Composite: </w:t>
      </w:r>
      <w:r>
        <w:rPr>
          <w:b/>
          <w:color w:val="C00000"/>
        </w:rPr>
        <w:t>-8.49%  🔴 Sous-performance</w:t>
      </w:r>
      <w:r>
        <w:br/>
      </w:r>
      <w:r>
        <w:rPr>
          <w:b/>
        </w:rPr>
        <w:t xml:space="preserve">Sentiment général: </w:t>
      </w:r>
      <w:r>
        <w:t xml:space="preserve">ACHAT  |  </w:t>
      </w:r>
      <w:r>
        <w:rPr>
          <w:b/>
        </w:rPr>
        <w:t xml:space="preserve">Risque moyen: </w:t>
      </w:r>
      <w:r>
        <w:t xml:space="preserve">Moyen  |  </w:t>
      </w:r>
      <w:r>
        <w:rPr>
          <w:b/>
        </w:rPr>
        <w:t xml:space="preserve">Prix moyen: </w:t>
      </w:r>
      <w:r>
        <w:t>20293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20.83%</w:t>
      </w:r>
      <w:r>
        <w:t xml:space="preserve">  |  </w:t>
      </w:r>
      <w:r>
        <w:rPr>
          <w:b/>
        </w:rPr>
        <w:t xml:space="preserve">vs BRVM Composite: </w:t>
      </w:r>
      <w:r>
        <w:rPr>
          <w:b/>
          <w:color w:val="C00000"/>
        </w:rPr>
        <w:t>-9.44%  🔴 Sous-performance</w:t>
      </w:r>
      <w:r>
        <w:br/>
      </w:r>
      <w:r>
        <w:rPr>
          <w:b/>
        </w:rPr>
        <w:t xml:space="preserve">Sentiment général: </w:t>
      </w:r>
      <w:r>
        <w:t xml:space="preserve">ACHAT  |  </w:t>
      </w:r>
      <w:r>
        <w:rPr>
          <w:b/>
        </w:rPr>
        <w:t xml:space="preserve">Risque moyen: </w:t>
      </w:r>
      <w:r>
        <w:t xml:space="preserve">Moyen  |  </w:t>
      </w:r>
      <w:r>
        <w:rPr>
          <w:b/>
        </w:rPr>
        <w:t xml:space="preserve">Prix moyen: </w:t>
      </w:r>
      <w:r>
        <w:t>6595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15.62%</w:t>
      </w:r>
      <w:r>
        <w:t xml:space="preserve">  |  </w:t>
      </w:r>
      <w:r>
        <w:rPr>
          <w:b/>
        </w:rPr>
        <w:t xml:space="preserve">vs BRVM Composite: </w:t>
      </w:r>
      <w:r>
        <w:rPr>
          <w:b/>
          <w:color w:val="C00000"/>
        </w:rPr>
        <w:t>-14.66%  🔴 Sous-performance</w:t>
      </w:r>
      <w:r>
        <w:br/>
      </w:r>
      <w:r>
        <w:rPr>
          <w:b/>
        </w:rPr>
        <w:t xml:space="preserve">Sentiment général: </w:t>
      </w:r>
      <w:r>
        <w:t xml:space="preserve">ACHAT  |  </w:t>
      </w:r>
      <w:r>
        <w:rPr>
          <w:b/>
        </w:rPr>
        <w:t xml:space="preserve">Risque moyen: </w:t>
      </w:r>
      <w:r>
        <w:t xml:space="preserve">Moyen  |  </w:t>
      </w:r>
      <w:r>
        <w:rPr>
          <w:b/>
        </w:rPr>
        <w:t xml:space="preserve">Prix moyen: </w:t>
      </w:r>
      <w:r>
        <w:t>2930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-0.64%</w:t>
      </w:r>
      <w:r>
        <w:t xml:space="preserve">  |  </w:t>
      </w:r>
      <w:r>
        <w:rPr>
          <w:b/>
        </w:rPr>
        <w:t xml:space="preserve">vs BRVM Composite: </w:t>
      </w:r>
      <w:r>
        <w:rPr>
          <w:b/>
          <w:color w:val="C00000"/>
        </w:rPr>
        <w:t>-30.92%  🔴 Sous-performance</w:t>
      </w:r>
      <w:r>
        <w:br/>
      </w:r>
      <w:r>
        <w:rPr>
          <w:b/>
        </w:rPr>
        <w:t xml:space="preserve">Sentiment général: </w:t>
      </w:r>
      <w:r>
        <w:t xml:space="preserve">ACHAT  |  </w:t>
      </w:r>
      <w:r>
        <w:rPr>
          <w:b/>
        </w:rPr>
        <w:t xml:space="preserve">Risque moyen: </w:t>
      </w:r>
      <w:r>
        <w:t xml:space="preserve">Moyen  |  </w:t>
      </w:r>
      <w:r>
        <w:rPr>
          <w:b/>
        </w:rPr>
        <w:t xml:space="preserve">Prix moyen: </w:t>
      </w:r>
      <w:r>
        <w:t>2519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BOAS, LNBB, NSBC, SAFC, SCRC, SICC, SLBC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BICC, BNBC, BOAM, CABC, CIEC, ETIT, FTSC, NEIC, NTLC, ONTBF, ORGT, PALC, SEMC, SHEC, SIBC, SOGC, STAC, STBC, TTLC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BOABF, BOAN, CBIBF, CFAC, ECOC, ORAC, PRSC, SDCC, SDSC, SGBC, SIVC, SMBC, SNTS, SPHC, TTLS, UNLC, UNXC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1661132</w:t>
            </w:r>
          </w:p>
        </w:tc>
        <w:tc>
          <w:tcPr>
            <w:tcW w:type="dxa" w:w="1728"/>
          </w:tcPr>
          <w:p>
            <w:r>
              <w:t>110050439 FCFA</w:t>
            </w:r>
          </w:p>
        </w:tc>
        <w:tc>
          <w:tcPr>
            <w:tcW w:type="dxa" w:w="1728"/>
          </w:tcPr>
          <w:p>
            <w:r>
              <w:t>106.25%</w:t>
            </w:r>
          </w:p>
        </w:tc>
        <w:tc>
          <w:tcPr>
            <w:tcW w:type="dxa" w:w="1728"/>
          </w:tcPr>
          <w:p>
            <w:r>
              <w:t>ACHAT</w:t>
            </w:r>
          </w:p>
        </w:tc>
      </w:tr>
      <w:tr>
        <w:tc>
          <w:tcPr>
            <w:tcW w:type="dxa" w:w="1728"/>
          </w:tcPr>
          <w:p>
            <w:r>
              <w:t>BICB (BIIC BN - Banque internationale pour le commerce du benin)</w:t>
            </w:r>
          </w:p>
        </w:tc>
        <w:tc>
          <w:tcPr>
            <w:tcW w:type="dxa" w:w="1728"/>
          </w:tcPr>
          <w:p>
            <w:r>
              <w:t>21440</w:t>
            </w:r>
          </w:p>
        </w:tc>
        <w:tc>
          <w:tcPr>
            <w:tcW w:type="dxa" w:w="1728"/>
          </w:tcPr>
          <w:p>
            <w:r>
              <w:t>172139469 FCFA</w:t>
            </w:r>
          </w:p>
        </w:tc>
        <w:tc>
          <w:tcPr>
            <w:tcW w:type="dxa" w:w="1728"/>
          </w:tcPr>
          <w:p>
            <w:r>
              <w:t>61.10%</w:t>
            </w:r>
          </w:p>
        </w:tc>
        <w:tc>
          <w:tcPr>
            <w:tcW w:type="dxa" w:w="1728"/>
          </w:tcPr>
          <w:p>
            <w:r>
              <w:t>ACHAT</w:t>
            </w:r>
          </w:p>
        </w:tc>
      </w:tr>
      <w:tr>
        <w:tc>
          <w:tcPr>
            <w:tcW w:type="dxa" w:w="1728"/>
          </w:tcPr>
          <w:p>
            <w:r>
              <w:t>SDSC (SDSC - AFRICA GLOBAL LOGISTICS CI)</w:t>
            </w:r>
          </w:p>
        </w:tc>
        <w:tc>
          <w:tcPr>
            <w:tcW w:type="dxa" w:w="1728"/>
          </w:tcPr>
          <w:p>
            <w:r>
              <w:t>16215</w:t>
            </w:r>
          </w:p>
        </w:tc>
        <w:tc>
          <w:tcPr>
            <w:tcW w:type="dxa" w:w="1728"/>
          </w:tcPr>
          <w:p>
            <w:r>
              <w:t>41460089 FCFA</w:t>
            </w:r>
          </w:p>
        </w:tc>
        <w:tc>
          <w:tcPr>
            <w:tcW w:type="dxa" w:w="1728"/>
          </w:tcPr>
          <w:p>
            <w:r>
              <w:t>39.35%</w:t>
            </w:r>
          </w:p>
        </w:tc>
        <w:tc>
          <w:tcPr>
            <w:tcW w:type="dxa" w:w="1728"/>
          </w:tcPr>
          <w:p>
            <w:r>
              <w:t>ACHAT</w:t>
            </w:r>
          </w:p>
        </w:tc>
      </w:tr>
      <w:tr>
        <w:tc>
          <w:tcPr>
            <w:tcW w:type="dxa" w:w="1728"/>
          </w:tcPr>
          <w:p>
            <w:r>
              <w:t>SNTS (SNTS - SONATEL SN)</w:t>
            </w:r>
          </w:p>
        </w:tc>
        <w:tc>
          <w:tcPr>
            <w:tcW w:type="dxa" w:w="1728"/>
          </w:tcPr>
          <w:p>
            <w:r>
              <w:t>13073</w:t>
            </w:r>
          </w:p>
        </w:tc>
        <w:tc>
          <w:tcPr>
            <w:tcW w:type="dxa" w:w="1728"/>
          </w:tcPr>
          <w:p>
            <w:r>
              <w:t>412969828 FCFA</w:t>
            </w:r>
          </w:p>
        </w:tc>
        <w:tc>
          <w:tcPr>
            <w:tcW w:type="dxa" w:w="1728"/>
          </w:tcPr>
          <w:p>
            <w:r>
              <w:t>30.21%</w:t>
            </w:r>
          </w:p>
        </w:tc>
        <w:tc>
          <w:tcPr>
            <w:tcW w:type="dxa" w:w="1728"/>
          </w:tcPr>
          <w:p>
            <w:r>
              <w:t>ACHAT</w:t>
            </w:r>
          </w:p>
        </w:tc>
      </w:tr>
      <w:tr>
        <w:tc>
          <w:tcPr>
            <w:tcW w:type="dxa" w:w="1728"/>
          </w:tcPr>
          <w:p>
            <w:r>
              <w:t>UNXC (UNXC - UNIWAX COTE D'IVOIRE)</w:t>
            </w:r>
          </w:p>
        </w:tc>
        <w:tc>
          <w:tcPr>
            <w:tcW w:type="dxa" w:w="1728"/>
          </w:tcPr>
          <w:p>
            <w:r>
              <w:t>12827</w:t>
            </w:r>
          </w:p>
        </w:tc>
        <w:tc>
          <w:tcPr>
            <w:tcW w:type="dxa" w:w="1728"/>
          </w:tcPr>
          <w:p>
            <w:r>
              <w:t>26962491 FCFA</w:t>
            </w:r>
          </w:p>
        </w:tc>
        <w:tc>
          <w:tcPr>
            <w:tcW w:type="dxa" w:w="1728"/>
          </w:tcPr>
          <w:p>
            <w:r>
              <w:t>17.66%</w:t>
            </w:r>
          </w:p>
        </w:tc>
        <w:tc>
          <w:tcPr>
            <w:tcW w:type="dxa" w:w="1728"/>
          </w:tcPr>
          <w:p>
            <w:r>
              <w:t>ACHAT</w:t>
            </w:r>
          </w:p>
        </w:tc>
      </w:tr>
      <w:tr>
        <w:tc>
          <w:tcPr>
            <w:tcW w:type="dxa" w:w="1728"/>
          </w:tcPr>
          <w:p>
            <w:r>
              <w:t>SOGC (SOGC - Société des caoutchoucs de Grand-Béréby)</w:t>
            </w:r>
          </w:p>
        </w:tc>
        <w:tc>
          <w:tcPr>
            <w:tcW w:type="dxa" w:w="1728"/>
          </w:tcPr>
          <w:p>
            <w:r>
              <w:t>11575</w:t>
            </w:r>
          </w:p>
        </w:tc>
        <w:tc>
          <w:tcPr>
            <w:tcW w:type="dxa" w:w="1728"/>
          </w:tcPr>
          <w:p>
            <w:r>
              <w:t>87117537 FCFA</w:t>
            </w:r>
          </w:p>
        </w:tc>
        <w:tc>
          <w:tcPr>
            <w:tcW w:type="dxa" w:w="1728"/>
          </w:tcPr>
          <w:p>
            <w:r>
              <w:t>-0.30%</w:t>
            </w:r>
          </w:p>
        </w:tc>
        <w:tc>
          <w:tcPr>
            <w:tcW w:type="dxa" w:w="1728"/>
          </w:tcPr>
          <w:p>
            <w:r>
              <w:t>ACHAT</w:t>
            </w:r>
          </w:p>
        </w:tc>
      </w:tr>
      <w:tr>
        <w:tc>
          <w:tcPr>
            <w:tcW w:type="dxa" w:w="1728"/>
          </w:tcPr>
          <w:p>
            <w:r>
              <w:t>BOAS (BANK OF AFRICA SENEGAL)</w:t>
            </w:r>
          </w:p>
        </w:tc>
        <w:tc>
          <w:tcPr>
            <w:tcW w:type="dxa" w:w="1728"/>
          </w:tcPr>
          <w:p>
            <w:r>
              <w:t>10889</w:t>
            </w:r>
          </w:p>
        </w:tc>
        <w:tc>
          <w:tcPr>
            <w:tcW w:type="dxa" w:w="1728"/>
          </w:tcPr>
          <w:p>
            <w:r>
              <w:t>84267946 FCFA</w:t>
            </w:r>
          </w:p>
        </w:tc>
        <w:tc>
          <w:tcPr>
            <w:tcW w:type="dxa" w:w="1728"/>
          </w:tcPr>
          <w:p>
            <w:r>
              <w:t>21.40%</w:t>
            </w:r>
          </w:p>
        </w:tc>
        <w:tc>
          <w:tcPr>
            <w:tcW w:type="dxa" w:w="1728"/>
          </w:tcPr>
          <w:p>
            <w:r>
              <w:t>ACHAT</w:t>
            </w:r>
          </w:p>
        </w:tc>
      </w:tr>
      <w:tr>
        <w:tc>
          <w:tcPr>
            <w:tcW w:type="dxa" w:w="1728"/>
          </w:tcPr>
          <w:p>
            <w:r>
              <w:t>BOAC (BANK OF AFRICA COTE D'IVOIRE)</w:t>
            </w:r>
          </w:p>
        </w:tc>
        <w:tc>
          <w:tcPr>
            <w:tcW w:type="dxa" w:w="1728"/>
          </w:tcPr>
          <w:p>
            <w:r>
              <w:t>9185</w:t>
            </w:r>
          </w:p>
        </w:tc>
        <w:tc>
          <w:tcPr>
            <w:tcW w:type="dxa" w:w="1728"/>
          </w:tcPr>
          <w:p>
            <w:r>
              <w:t>111853018 FCFA</w:t>
            </w:r>
          </w:p>
        </w:tc>
        <w:tc>
          <w:tcPr>
            <w:tcW w:type="dxa" w:w="1728"/>
          </w:tcPr>
          <w:p>
            <w:r>
              <w:t>49.25%</w:t>
            </w:r>
          </w:p>
        </w:tc>
        <w:tc>
          <w:tcPr>
            <w:tcW w:type="dxa" w:w="1728"/>
          </w:tcPr>
          <w:p>
            <w:r>
              <w:t>ACHAT</w:t>
            </w:r>
          </w:p>
        </w:tc>
      </w:tr>
      <w:tr>
        <w:tc>
          <w:tcPr>
            <w:tcW w:type="dxa" w:w="1728"/>
          </w:tcPr>
          <w:p>
            <w:r>
              <w:t>SIBC (SIBC - SOCIETE IVOIRIENNE DE BANQUE)</w:t>
            </w:r>
          </w:p>
        </w:tc>
        <w:tc>
          <w:tcPr>
            <w:tcW w:type="dxa" w:w="1728"/>
          </w:tcPr>
          <w:p>
            <w:r>
              <w:t>8533</w:t>
            </w:r>
          </w:p>
        </w:tc>
        <w:tc>
          <w:tcPr>
            <w:tcW w:type="dxa" w:w="1728"/>
          </w:tcPr>
          <w:p>
            <w:r>
              <w:t>78125578 FCFA</w:t>
            </w:r>
          </w:p>
        </w:tc>
        <w:tc>
          <w:tcPr>
            <w:tcW w:type="dxa" w:w="1728"/>
          </w:tcPr>
          <w:p>
            <w:r>
              <w:t>27.66%</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3302</w:t>
            </w:r>
          </w:p>
        </w:tc>
        <w:tc>
          <w:tcPr>
            <w:tcW w:type="dxa" w:w="1728"/>
          </w:tcPr>
          <w:p>
            <w:r>
              <w:t>7448583 FCFA</w:t>
            </w:r>
          </w:p>
        </w:tc>
        <w:tc>
          <w:tcPr>
            <w:tcW w:type="dxa" w:w="1728"/>
          </w:tcPr>
          <w:p>
            <w:r>
              <w:t>-20.87%</w:t>
            </w:r>
          </w:p>
        </w:tc>
        <w:tc>
          <w:tcPr>
            <w:tcW w:type="dxa" w:w="1728"/>
          </w:tcPr>
          <w:p>
            <w:r>
              <w:t>ACHAT</w:t>
            </w:r>
          </w:p>
        </w:tc>
      </w:tr>
      <w:tr>
        <w:tc>
          <w:tcPr>
            <w:tcW w:type="dxa" w:w="1728"/>
          </w:tcPr>
          <w:p>
            <w:r>
              <w:t>ABJC (ABJC - SERVAIR ABIDJAN CI)</w:t>
            </w:r>
          </w:p>
        </w:tc>
        <w:tc>
          <w:tcPr>
            <w:tcW w:type="dxa" w:w="1728"/>
          </w:tcPr>
          <w:p>
            <w:r>
              <w:t>2945</w:t>
            </w:r>
          </w:p>
        </w:tc>
        <w:tc>
          <w:tcPr>
            <w:tcW w:type="dxa" w:w="1728"/>
          </w:tcPr>
          <w:p>
            <w:r>
              <w:t>9265931 FCFA</w:t>
            </w:r>
          </w:p>
        </w:tc>
        <w:tc>
          <w:tcPr>
            <w:tcW w:type="dxa" w:w="1728"/>
          </w:tcPr>
          <w:p>
            <w:r>
              <w:t>-4.29%</w:t>
            </w:r>
          </w:p>
        </w:tc>
        <w:tc>
          <w:tcPr>
            <w:tcW w:type="dxa" w:w="1728"/>
          </w:tcPr>
          <w:p>
            <w:r>
              <w:t>ACHAT</w:t>
            </w:r>
          </w:p>
        </w:tc>
      </w:tr>
      <w:tr>
        <w:tc>
          <w:tcPr>
            <w:tcW w:type="dxa" w:w="1728"/>
          </w:tcPr>
          <w:p>
            <w:r>
              <w:t>CABC (CABC - SICABLE COTE D'IVOIRE)</w:t>
            </w:r>
          </w:p>
        </w:tc>
        <w:tc>
          <w:tcPr>
            <w:tcW w:type="dxa" w:w="1728"/>
          </w:tcPr>
          <w:p>
            <w:r>
              <w:t>2829</w:t>
            </w:r>
          </w:p>
        </w:tc>
        <w:tc>
          <w:tcPr>
            <w:tcW w:type="dxa" w:w="1728"/>
          </w:tcPr>
          <w:p>
            <w:r>
              <w:t>10043596 FCFA</w:t>
            </w:r>
          </w:p>
        </w:tc>
        <w:tc>
          <w:tcPr>
            <w:tcW w:type="dxa" w:w="1728"/>
          </w:tcPr>
          <w:p>
            <w:r>
              <w:t>10.98%</w:t>
            </w:r>
          </w:p>
        </w:tc>
        <w:tc>
          <w:tcPr>
            <w:tcW w:type="dxa" w:w="1728"/>
          </w:tcPr>
          <w:p>
            <w:r>
              <w:t>ACHAT</w:t>
            </w:r>
          </w:p>
        </w:tc>
      </w:tr>
      <w:tr>
        <w:tc>
          <w:tcPr>
            <w:tcW w:type="dxa" w:w="1728"/>
          </w:tcPr>
          <w:p>
            <w:r>
              <w:t>CFAC (CFAC - CFAO MOTORS CI)</w:t>
            </w:r>
          </w:p>
        </w:tc>
        <w:tc>
          <w:tcPr>
            <w:tcW w:type="dxa" w:w="1728"/>
          </w:tcPr>
          <w:p>
            <w:r>
              <w:t>2809</w:t>
            </w:r>
          </w:p>
        </w:tc>
        <w:tc>
          <w:tcPr>
            <w:tcW w:type="dxa" w:w="1728"/>
          </w:tcPr>
          <w:p>
            <w:r>
              <w:t>4677725 FCFA</w:t>
            </w:r>
          </w:p>
        </w:tc>
        <w:tc>
          <w:tcPr>
            <w:tcW w:type="dxa" w:w="1728"/>
          </w:tcPr>
          <w:p>
            <w:r>
              <w:t>6.75%</w:t>
            </w:r>
          </w:p>
        </w:tc>
        <w:tc>
          <w:tcPr>
            <w:tcW w:type="dxa" w:w="1728"/>
          </w:tcPr>
          <w:p>
            <w:r>
              <w:t>ACHAT</w:t>
            </w:r>
          </w:p>
        </w:tc>
      </w:tr>
      <w:tr>
        <w:tc>
          <w:tcPr>
            <w:tcW w:type="dxa" w:w="1728"/>
          </w:tcPr>
          <w:p>
            <w:r>
              <w:t>PALC (PALC - PALM COTE D'IVOIRE)</w:t>
            </w:r>
          </w:p>
        </w:tc>
        <w:tc>
          <w:tcPr>
            <w:tcW w:type="dxa" w:w="1728"/>
          </w:tcPr>
          <w:p>
            <w:r>
              <w:t>2383</w:t>
            </w:r>
          </w:p>
        </w:tc>
        <w:tc>
          <w:tcPr>
            <w:tcW w:type="dxa" w:w="1728"/>
          </w:tcPr>
          <w:p>
            <w:r>
              <w:t>21656851 FCFA</w:t>
            </w:r>
          </w:p>
        </w:tc>
        <w:tc>
          <w:tcPr>
            <w:tcW w:type="dxa" w:w="1728"/>
          </w:tcPr>
          <w:p>
            <w:r>
              <w:t>17.44%</w:t>
            </w:r>
          </w:p>
        </w:tc>
        <w:tc>
          <w:tcPr>
            <w:tcW w:type="dxa" w:w="1728"/>
          </w:tcPr>
          <w:p>
            <w:r>
              <w:t>ACHAT</w:t>
            </w:r>
          </w:p>
        </w:tc>
      </w:tr>
      <w:tr>
        <w:tc>
          <w:tcPr>
            <w:tcW w:type="dxa" w:w="1728"/>
          </w:tcPr>
          <w:p>
            <w:r>
              <w:t>TTLS (TTLS - TOTAL ENERGIES MARKETING SENEGAL)</w:t>
            </w:r>
          </w:p>
        </w:tc>
        <w:tc>
          <w:tcPr>
            <w:tcW w:type="dxa" w:w="1728"/>
          </w:tcPr>
          <w:p>
            <w:r>
              <w:t>2367</w:t>
            </w:r>
          </w:p>
        </w:tc>
        <w:tc>
          <w:tcPr>
            <w:tcW w:type="dxa" w:w="1728"/>
          </w:tcPr>
          <w:p>
            <w:r>
              <w:t>8686086 FCFA</w:t>
            </w:r>
          </w:p>
        </w:tc>
        <w:tc>
          <w:tcPr>
            <w:tcW w:type="dxa" w:w="1728"/>
          </w:tcPr>
          <w:p>
            <w:r>
              <w:t>20.00%</w:t>
            </w:r>
          </w:p>
        </w:tc>
        <w:tc>
          <w:tcPr>
            <w:tcW w:type="dxa" w:w="1728"/>
          </w:tcPr>
          <w:p>
            <w:r>
              <w:t>ACHAT</w:t>
            </w:r>
          </w:p>
        </w:tc>
      </w:tr>
      <w:tr>
        <w:tc>
          <w:tcPr>
            <w:tcW w:type="dxa" w:w="1728"/>
          </w:tcPr>
          <w:p>
            <w:r>
              <w:t>SLBC (SLBC - SOLIBRA COTE D'IVOIRE)</w:t>
            </w:r>
          </w:p>
        </w:tc>
        <w:tc>
          <w:tcPr>
            <w:tcW w:type="dxa" w:w="1728"/>
          </w:tcPr>
          <w:p>
            <w:r>
              <w:t>2098</w:t>
            </w:r>
          </w:p>
        </w:tc>
        <w:tc>
          <w:tcPr>
            <w:tcW w:type="dxa" w:w="1728"/>
          </w:tcPr>
          <w:p>
            <w:r>
              <w:t>80274352 FCFA</w:t>
            </w:r>
          </w:p>
        </w:tc>
        <w:tc>
          <w:tcPr>
            <w:tcW w:type="dxa" w:w="1728"/>
          </w:tcPr>
          <w:p>
            <w:r>
              <w:t>-4.63%</w:t>
            </w:r>
          </w:p>
        </w:tc>
        <w:tc>
          <w:tcPr>
            <w:tcW w:type="dxa" w:w="1728"/>
          </w:tcPr>
          <w:p>
            <w:r>
              <w:t>ACHAT</w:t>
            </w:r>
          </w:p>
        </w:tc>
      </w:tr>
      <w:tr>
        <w:tc>
          <w:tcPr>
            <w:tcW w:type="dxa" w:w="1728"/>
          </w:tcPr>
          <w:p>
            <w:r>
              <w:t>BNBC (BNBC - BERNABE CI)</w:t>
            </w:r>
          </w:p>
        </w:tc>
        <w:tc>
          <w:tcPr>
            <w:tcW w:type="dxa" w:w="1728"/>
          </w:tcPr>
          <w:p>
            <w:r>
              <w:t>1985</w:t>
            </w:r>
          </w:p>
        </w:tc>
        <w:tc>
          <w:tcPr>
            <w:tcW w:type="dxa" w:w="1728"/>
          </w:tcPr>
          <w:p>
            <w:r>
              <w:t>3866824 FCFA</w:t>
            </w:r>
          </w:p>
        </w:tc>
        <w:tc>
          <w:tcPr>
            <w:tcW w:type="dxa" w:w="1728"/>
          </w:tcPr>
          <w:p>
            <w:r>
              <w:t>23.60%</w:t>
            </w:r>
          </w:p>
        </w:tc>
        <w:tc>
          <w:tcPr>
            <w:tcW w:type="dxa" w:w="1728"/>
          </w:tcPr>
          <w:p>
            <w:r>
              <w:t>ACHAT</w:t>
            </w:r>
          </w:p>
        </w:tc>
      </w:tr>
      <w:tr>
        <w:tc>
          <w:tcPr>
            <w:tcW w:type="dxa" w:w="1728"/>
          </w:tcPr>
          <w:p>
            <w:r>
              <w:t>NSBC (NSBC - NSIA BANQUE COTE D'IVOIRE)</w:t>
            </w:r>
          </w:p>
        </w:tc>
        <w:tc>
          <w:tcPr>
            <w:tcW w:type="dxa" w:w="1728"/>
          </w:tcPr>
          <w:p>
            <w:r>
              <w:t>1921</w:t>
            </w:r>
          </w:p>
        </w:tc>
        <w:tc>
          <w:tcPr>
            <w:tcW w:type="dxa" w:w="1728"/>
          </w:tcPr>
          <w:p>
            <w:r>
              <w:t>44770422 FCFA</w:t>
            </w:r>
          </w:p>
        </w:tc>
        <w:tc>
          <w:tcPr>
            <w:tcW w:type="dxa" w:w="1728"/>
          </w:tcPr>
          <w:p>
            <w:r>
              <w:t>61.89%</w:t>
            </w:r>
          </w:p>
        </w:tc>
        <w:tc>
          <w:tcPr>
            <w:tcW w:type="dxa" w:w="1728"/>
          </w:tcPr>
          <w:p>
            <w:r>
              <w:t>ACHAT</w:t>
            </w:r>
          </w:p>
        </w:tc>
      </w:tr>
      <w:tr>
        <w:tc>
          <w:tcPr>
            <w:tcW w:type="dxa" w:w="1728"/>
          </w:tcPr>
          <w:p>
            <w:r>
              <w:t>SMBC (SMBC - Société Multinationale de Bitumes COTE D'IVOIRE)</w:t>
            </w:r>
          </w:p>
        </w:tc>
        <w:tc>
          <w:tcPr>
            <w:tcW w:type="dxa" w:w="1728"/>
          </w:tcPr>
          <w:p>
            <w:r>
              <w:t>1775</w:t>
            </w:r>
          </w:p>
        </w:tc>
        <w:tc>
          <w:tcPr>
            <w:tcW w:type="dxa" w:w="1728"/>
          </w:tcPr>
          <w:p>
            <w:r>
              <w:t>28371134 FCFA</w:t>
            </w:r>
          </w:p>
        </w:tc>
        <w:tc>
          <w:tcPr>
            <w:tcW w:type="dxa" w:w="1728"/>
          </w:tcPr>
          <w:p>
            <w:r>
              <w:t>35.67%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 - BANK OF AFRICA BENIN</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BOABF - BANK OF AFRICA BURKINA FASO</w:t>
      </w:r>
    </w:p>
    <w:p>
      <w:r>
        <w:rPr>
          <w:b/>
        </w:rPr>
        <w:t xml:space="preserve">Score de divergence: </w:t>
      </w:r>
      <w:r>
        <w:t>6/8</w:t>
        <w:br/>
      </w:r>
      <w:r>
        <w:rPr>
          <w:b/>
        </w:rPr>
        <w:t xml:space="preserve">Description: </w:t>
      </w:r>
      <w:r>
        <w:t>Signaux d'achat: MM | Signaux de vente: Bollinger, MACD, RSI, Stochastique | Recommandation finale: ACHAT</w:t>
        <w:br/>
      </w:r>
    </w:p>
    <w:p/>
    <w:p>
      <w:pPr>
        <w:pStyle w:val="Heading3"/>
      </w:pPr>
      <w:r>
        <w:t>3. CBIBF - CBIBF - CORIS BANK INTERNATIONAL BURKINA FASO</w:t>
      </w:r>
    </w:p>
    <w:p>
      <w:r>
        <w:rPr>
          <w:b/>
        </w:rPr>
        <w:t xml:space="preserve">Score de divergence: </w:t>
      </w:r>
      <w:r>
        <w:t>6/8</w:t>
        <w:br/>
      </w:r>
      <w:r>
        <w:rPr>
          <w:b/>
        </w:rPr>
        <w:t xml:space="preserve">Description: </w:t>
      </w:r>
      <w:r>
        <w:t>Signaux d'achat: MM | Signaux de vente: Bollinger, MACD, RSI, Stochastique | Recommandation finale: ACHAT</w:t>
        <w:br/>
      </w:r>
    </w:p>
    <w:p/>
    <w:p>
      <w:pPr>
        <w:pStyle w:val="Heading3"/>
      </w:pPr>
      <w:r>
        <w:t>4. CFAC - CFAC - CFAO MOTORS CI</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5. PRSC - PRSC - TRACTAFRIC MOTORS CI</w:t>
      </w:r>
    </w:p>
    <w:p>
      <w:r>
        <w:rPr>
          <w:b/>
        </w:rPr>
        <w:t xml:space="preserve">Score de divergence: </w:t>
      </w:r>
      <w:r>
        <w:t>5/8</w:t>
        <w:br/>
      </w:r>
      <w:r>
        <w:rPr>
          <w:b/>
        </w:rPr>
        <w:t xml:space="preserve">Description: </w:t>
      </w:r>
      <w:r>
        <w:t>Signaux de vente: MM, MACD | Recommandation finale: ACHAT FORT</w:t>
        <w:br/>
      </w:r>
    </w:p>
    <w:p/>
    <w:p>
      <w:pPr>
        <w:pStyle w:val="Heading3"/>
      </w:pPr>
      <w:r>
        <w:t>6. SMBC - SMBC - Société Multinationale de Bitumes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7.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ORAC - ORAC - ORANGE COTE D'IVOIRE</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18</w:t>
            </w:r>
          </w:p>
        </w:tc>
        <w:tc>
          <w:tcPr>
            <w:tcW w:type="dxa" w:w="2160"/>
          </w:tcPr>
          <w:p>
            <w:r>
              <w:t>0</w:t>
            </w:r>
          </w:p>
        </w:tc>
      </w:tr>
      <w:tr>
        <w:tc>
          <w:tcPr>
            <w:tcW w:type="dxa" w:w="2160"/>
          </w:tcPr>
          <w:p>
            <w:r>
              <w:t>Risque Moyen</w:t>
            </w:r>
          </w:p>
        </w:tc>
        <w:tc>
          <w:tcPr>
            <w:tcW w:type="dxa" w:w="2160"/>
          </w:tcPr>
          <w:p>
            <w:r>
              <w:t>0</w:t>
            </w:r>
          </w:p>
        </w:tc>
        <w:tc>
          <w:tcPr>
            <w:tcW w:type="dxa" w:w="2160"/>
          </w:tcPr>
          <w:p>
            <w:r>
              <w:t>29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ECOC (ECOC - ECOBANK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CABC (CABC - SICABLE COTE D'IVOIRE)</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FTSC (FTSC - FILTISAC COTE D'IVOIRE)</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MACRO-FINANCIÈRE — BRVM**</w:t>
      </w:r>
    </w:p>
    <w:p>
      <w:pPr>
        <w:spacing w:before="20" w:after="40"/>
        <w:ind w:left="0"/>
      </w:pPr>
      <w:r>
        <w:rPr>
          <w:sz w:val="18"/>
        </w:rPr>
        <w:t>**Date : 23 Août 2026**</w:t>
      </w:r>
    </w:p>
    <w:p>
      <w:pPr>
        <w:spacing w:before="20" w:after="40"/>
        <w:ind w:left="0"/>
      </w:pPr>
      <w:r>
        <w:rPr>
          <w:sz w:val="18"/>
        </w:rPr>
        <w:t>**Indice BRVM Composite : 529.15 points**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prix du pétrole progressent sur les marchés internationaux, soutenus par des tensions géopolitiques persistantes entre les États-Unis et l'Iran. L'indice mondial des matières premières (MXV) a dépassé les 2 900 points, atteignant son plus haut niveau depuis fin mai, signe d'une vigueur généralisée des cours des matières premières.</w:t>
      </w:r>
    </w:p>
    <w:p>
      <w:pPr>
        <w:pStyle w:val="Heading3"/>
      </w:pPr>
      <w:r>
        <w:rPr>
          <w:color w:val="500050"/>
        </w:rPr>
        <w:t>⚡ Impact estimé sur la BRVM</w:t>
      </w:r>
    </w:p>
    <w:p>
      <w:pPr>
        <w:spacing w:before="20" w:after="40"/>
        <w:ind w:left="280"/>
      </w:pPr>
      <w:r>
        <w:rPr>
          <w:i/>
          <w:sz w:val="18"/>
        </w:rPr>
        <w:t>La hausse des prix du pétrole est un facteur de pression sur les coûts pour les entreprises énergétiques et industrielles de la BRVM, notamment **TTLC** et **SHEC** (Énergie). Cependant, l'envolée des matières premières agricoles pourrait bénéficier aux sociétés agro-industrielles comme **PALC** et **SLBC** (Consommation de base), qui pourraient voir la valeur de leurs stocks et de leurs ventes augmenter.</w:t>
      </w:r>
    </w:p>
    <w:p>
      <w:pPr>
        <w:pStyle w:val="Heading2"/>
      </w:pPr>
      <w:r>
        <w:rPr>
          <w:color w:val="006E32"/>
        </w:rPr>
        <w:t>🌍 Plan Africain</w:t>
      </w:r>
    </w:p>
    <w:p>
      <w:pPr>
        <w:spacing w:before="20" w:after="40"/>
        <w:ind w:left="0"/>
      </w:pPr>
      <w:r>
        <w:rPr>
          <w:sz w:val="18"/>
        </w:rPr>
        <w:t>Les perspectives d'investissement en Afrique restent positives, avec des secteurs porteurs identifiés par Bpifrance : infrastructures, agro-industrie et énergies renouvelables. Par ailleurs, le Sénégal explore des leviers de croissance stratégiques via l'économie des soins, et la Senelec a levé 108 milliards de FCFA en dette verte à la Bourse de Luxembourg.</w:t>
      </w:r>
    </w:p>
    <w:p>
      <w:pPr>
        <w:pStyle w:val="Heading3"/>
      </w:pPr>
      <w:r>
        <w:rPr>
          <w:color w:val="500050"/>
        </w:rPr>
        <w:t>⚡ Impact estimé sur la BRVM</w:t>
      </w:r>
    </w:p>
    <w:p>
      <w:pPr>
        <w:spacing w:before="20" w:after="40"/>
        <w:ind w:left="280"/>
      </w:pPr>
      <w:r>
        <w:rPr>
          <w:i/>
          <w:sz w:val="18"/>
        </w:rPr>
        <w:t>La dynamique d'investissement dans les infrastructures et l'énergie en Afrique de l'Ouest est un signal positif pour le secteur des **Services financiers** (banques de financement) et **Industriels** de la BRVM. Les banques comme **BOAC**, **BOAS** et **BOAM** pourraient bénéficier de la hausse des financements de projets régionaux. La levée de dette verte de Senelec démontre l'appétit des investisseurs pour les actifs de la zone, renforçant l'attractivité générale de la région.</w:t>
      </w:r>
    </w:p>
    <w:p>
      <w:pPr>
        <w:pStyle w:val="Heading2"/>
      </w:pPr>
      <w:r>
        <w:rPr>
          <w:color w:val="145A28"/>
        </w:rPr>
        <w:t>🌍 Plan Afrique de l'Ouest</w:t>
      </w:r>
    </w:p>
    <w:p>
      <w:pPr>
        <w:spacing w:before="20" w:after="40"/>
        <w:ind w:left="0"/>
      </w:pPr>
      <w:r>
        <w:rPr>
          <w:sz w:val="18"/>
        </w:rPr>
        <w:t>La croissance économique du Libéria est estimée à 5% pour 2026, reflétant une dynamique positive dans la sous-région. Parallèlement, la FEWACCI appelle à lever les barrières commerciales et non tarifaires au sein de la CEDEAO pour stimuler le commerce intra-régional.</w:t>
      </w:r>
    </w:p>
    <w:p>
      <w:pPr>
        <w:pStyle w:val="Heading3"/>
      </w:pPr>
      <w:r>
        <w:rPr>
          <w:color w:val="500050"/>
        </w:rPr>
        <w:t>⚡ Impact estimé sur la BRVM</w:t>
      </w:r>
    </w:p>
    <w:p>
      <w:pPr>
        <w:spacing w:before="20" w:after="40"/>
        <w:ind w:left="280"/>
      </w:pPr>
      <w:r>
        <w:rPr>
          <w:i/>
          <w:sz w:val="18"/>
        </w:rPr>
        <w:t>La levée des barrières commerciales en CEDEAO est un catalyseur majeur pour les entreprises cotées opérant à l'échelle régionale. Les sociétés de distribution et de consommation comme **LNBB**, **UNXC** et **BNBC** (Consommation discrétionnaire) pourraient voir leurs débouchés s'élargir. La croissance du Libéria, bien que modeste, contribue à la stabilité économique régionale, favorable aux affaires.</w:t>
      </w:r>
    </w:p>
    <w:p>
      <w:pPr>
        <w:pStyle w:val="Heading2"/>
      </w:pPr>
      <w:r>
        <w:rPr>
          <w:color w:val="8C4600"/>
        </w:rPr>
        <w:t>🏦 Plan UEMOA / Zone Franc</w:t>
      </w:r>
    </w:p>
    <w:p>
      <w:pPr>
        <w:spacing w:before="20" w:after="40"/>
        <w:ind w:left="0"/>
      </w:pPr>
      <w:r>
        <w:rPr>
          <w:sz w:val="18"/>
        </w:rPr>
        <w:t>Données insuffisantes concernant les décisions de la BCEAO, l'inflation ou la liquidité bancaire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Les résultats encourageants des sociétés cotées ivoiriennes à la BRVM ont été soulignés par la presse spécialisée, indiquant une santé financière positive des entreprises de la place.</w:t>
      </w:r>
    </w:p>
    <w:p>
      <w:pPr>
        <w:pStyle w:val="Heading3"/>
      </w:pPr>
      <w:r>
        <w:rPr>
          <w:color w:val="500050"/>
        </w:rPr>
        <w:t>⚡ Impact estimé sur la BRVM</w:t>
      </w:r>
    </w:p>
    <w:p>
      <w:pPr>
        <w:spacing w:before="20" w:after="40"/>
        <w:ind w:left="280"/>
      </w:pPr>
      <w:r>
        <w:rPr>
          <w:i/>
          <w:sz w:val="18"/>
        </w:rPr>
        <w:t>La publication de résultats solides est un moteur essentiel pour la performance de l'indice BRVM Composite (529.15 points). Cela renforce la confiance des investisseurs et pourrait soutenir les cours des valeurs vedettes comme **SGBC**, **BICB** (banques), et **PALC**, **SOGC** (agro-industrie), qui affichent généralement de bonnes performances.</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géopolitiques entre les États-Unis et l'Iran s'intensifient, avec des menaces de guerre économique. Ces tensions sont un facteur de volatilité sur les marchés mondiaux et influencent directement les prix du pétrole.</w:t>
      </w:r>
    </w:p>
    <w:p>
      <w:pPr>
        <w:pStyle w:val="Heading3"/>
      </w:pPr>
      <w:r>
        <w:rPr>
          <w:color w:val="500050"/>
        </w:rPr>
        <w:t>⚡ Impact estimé sur la BRVM</w:t>
      </w:r>
    </w:p>
    <w:p>
      <w:pPr>
        <w:spacing w:before="20" w:after="40"/>
        <w:ind w:left="280"/>
      </w:pPr>
      <w:r>
        <w:rPr>
          <w:i/>
          <w:sz w:val="18"/>
        </w:rPr>
        <w:t>L'instabilité géopolitique mondiale accroît l'aversion au risque chez les investisseurs internationaux. Cela peut entraîner des flux de capitaux vers des valeurs refuges, au détriment des marchés émergents comme la BRVM. Cependant, la BRVM, étant peu corrélée aux marchés développés, peut être perçue comme une valeur de diversification.</w:t>
      </w:r>
    </w:p>
    <w:p>
      <w:pPr>
        <w:pStyle w:val="Heading2"/>
      </w:pPr>
      <w:r>
        <w:rPr>
          <w:color w:val="006E32"/>
        </w:rPr>
        <w:t>🌍 Plan Africain</w:t>
      </w:r>
    </w:p>
    <w:p>
      <w:pPr>
        <w:spacing w:before="20" w:after="40"/>
        <w:ind w:left="0"/>
      </w:pPr>
      <w:r>
        <w:rPr>
          <w:sz w:val="18"/>
        </w:rPr>
        <w:t>La situation politique au Mali est marquée par une alliance entre rebelles touaregs et groupes jihadistes, une évolution sécuritaire préoccupante pour la région. En parallèle, le Maroc et le Mali utilisent la religion comme levier de rapprochement politique, un signe de diplomatie active.</w:t>
      </w:r>
    </w:p>
    <w:p>
      <w:pPr>
        <w:pStyle w:val="Heading3"/>
      </w:pPr>
      <w:r>
        <w:rPr>
          <w:color w:val="500050"/>
        </w:rPr>
        <w:t>⚡ Impact estimé sur la BRVM</w:t>
      </w:r>
    </w:p>
    <w:p>
      <w:pPr>
        <w:spacing w:before="20" w:after="40"/>
        <w:ind w:left="280"/>
      </w:pPr>
      <w:r>
        <w:rPr>
          <w:i/>
          <w:sz w:val="18"/>
        </w:rPr>
        <w:t>L'instabilité sécuritaire au Sahel (Mali) peut peser sur la confiance des investisseurs dans la région, mais son impact direct sur les sociétés cotées à la BRVM (basées principalement en Côte d'Ivoire, Sénégal, etc.) est limité. Les flux de capitaux pourraient se rediriger vers les places financières plus stables de la région, comme Abidjan.</w:t>
      </w:r>
    </w:p>
    <w:p>
      <w:pPr>
        <w:pStyle w:val="Heading2"/>
      </w:pPr>
      <w:r>
        <w:rPr>
          <w:color w:val="145A28"/>
        </w:rPr>
        <w:t>🌍 Plan Afrique de l'Ouest</w:t>
      </w:r>
    </w:p>
    <w:p>
      <w:pPr>
        <w:spacing w:before="20" w:after="40"/>
        <w:ind w:left="0"/>
      </w:pPr>
      <w:r>
        <w:rPr>
          <w:sz w:val="18"/>
        </w:rPr>
        <w:t>La CEDEAO s'engage à harmoniser les statistiques migratoires dans ses États membres, une initiative de gouvernance régionale. La FEWACCI appelle à la levée des barrières commerciales pour renforcer l'intégration économique.</w:t>
      </w:r>
    </w:p>
    <w:p>
      <w:pPr>
        <w:pStyle w:val="Heading3"/>
      </w:pPr>
      <w:r>
        <w:rPr>
          <w:color w:val="500050"/>
        </w:rPr>
        <w:t>⚡ Impact estimé sur la BRVM</w:t>
      </w:r>
    </w:p>
    <w:p>
      <w:pPr>
        <w:spacing w:before="20" w:after="40"/>
        <w:ind w:left="280"/>
      </w:pPr>
      <w:r>
        <w:rPr>
          <w:i/>
          <w:sz w:val="18"/>
        </w:rPr>
        <w:t>La stabilité et l'intégration régionale sont des facteurs clés pour la BRVM. Les initiatives de la CEDEAO visant à améliorer la gouvernance et le commerce sont positives pour l'environnement des affaires, bénéficiant aux entreprises cotées qui opèrent dans plusieurs pays de l'Union.</w:t>
      </w:r>
    </w:p>
    <w:p>
      <w:pPr>
        <w:pStyle w:val="Heading2"/>
      </w:pPr>
      <w:r>
        <w:rPr>
          <w:color w:val="8C4600"/>
        </w:rPr>
        <w:t>🏦 Plan UEMOA / Zone Franc</w:t>
      </w:r>
    </w:p>
    <w:p>
      <w:pPr>
        <w:spacing w:before="20" w:after="40"/>
        <w:ind w:left="0"/>
      </w:pPr>
      <w:r>
        <w:rPr>
          <w:sz w:val="18"/>
        </w:rPr>
        <w:t>La situation politique dans les pays membres de l'UEMOA est globalement stable, bien que le Mali (hors UEMOA) connaisse des tensions. Aucune réforme institutionnelle majeure n'est signalée dans les actualités fournies.</w:t>
      </w:r>
    </w:p>
    <w:p>
      <w:pPr>
        <w:pStyle w:val="Heading3"/>
      </w:pPr>
      <w:r>
        <w:rPr>
          <w:color w:val="500050"/>
        </w:rPr>
        <w:t>⚡ Impact estimé sur la BRVM</w:t>
      </w:r>
    </w:p>
    <w:p>
      <w:pPr>
        <w:spacing w:before="20" w:after="40"/>
        <w:ind w:left="280"/>
      </w:pPr>
      <w:r>
        <w:rPr>
          <w:i/>
          <w:sz w:val="18"/>
        </w:rPr>
        <w:t>La stabilité politique relative au sein de l'UEMOA est un pilier de la résilience de la BRVM. Elle permet aux entreprises de se concentrer sur leurs activités économiques sans risque politique majeur, ce qui soutient la valorisation des actifs cotés.</w:t>
      </w:r>
    </w:p>
    <w:p>
      <w:pPr>
        <w:pStyle w:val="Heading2"/>
      </w:pPr>
      <w:r>
        <w:rPr>
          <w:color w:val="003366"/>
        </w:rPr>
        <w:t>📈 Plan BRVM</w:t>
      </w:r>
    </w:p>
    <w:p>
      <w:pPr>
        <w:spacing w:before="20" w:after="40"/>
        <w:ind w:left="0"/>
      </w:pPr>
      <w:r>
        <w:rPr>
          <w:sz w:val="18"/>
        </w:rPr>
        <w:t>Aucune actualité spécifique concernant la réglementation CREPMF, de nouvelles cotations ou la gouvernance des sociétés n'a été fournie.</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La hausse des prix du pétrole et des matières premières est le principal fait marquant des marchés financiers mondiaux. L'indice MXV atteint des sommets, indiquant une pression inflationniste potentielle à l'échelle globale.</w:t>
      </w:r>
    </w:p>
    <w:p>
      <w:pPr>
        <w:pStyle w:val="Heading3"/>
      </w:pPr>
      <w:r>
        <w:rPr>
          <w:color w:val="500050"/>
        </w:rPr>
        <w:t>⚡ Impact estimé sur la BRVM</w:t>
      </w:r>
    </w:p>
    <w:p>
      <w:pPr>
        <w:spacing w:before="20" w:after="40"/>
        <w:ind w:left="280"/>
      </w:pPr>
      <w:r>
        <w:rPr>
          <w:i/>
          <w:sz w:val="18"/>
        </w:rPr>
        <w:t>L'inflation mondiale peut conduire à un resserrement des conditions financières dans les pays développés, ce qui pourrait réduire l'appétit pour le risque sur les marchés émergents. Cependant, la BRVM, avec son faible niveau de corrélation, pourrait continuer à attirer des investisseurs en quête de rendement.</w:t>
      </w:r>
    </w:p>
    <w:p>
      <w:pPr>
        <w:pStyle w:val="Heading2"/>
      </w:pPr>
      <w:r>
        <w:rPr>
          <w:color w:val="006E32"/>
        </w:rPr>
        <w:t>🌍 Plan Africain</w:t>
      </w:r>
    </w:p>
    <w:p>
      <w:pPr>
        <w:spacing w:before="20" w:after="40"/>
        <w:ind w:left="0"/>
      </w:pPr>
      <w:r>
        <w:rPr>
          <w:sz w:val="18"/>
        </w:rPr>
        <w:t>Données insuffisantes concernant les marchés obligataires africains, les eurobonds ou les notations souveraines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spacing w:before="20" w:after="40"/>
        <w:ind w:left="0"/>
      </w:pPr>
      <w:r>
        <w:rPr>
          <w:sz w:val="18"/>
        </w:rPr>
        <w:t>La FEWACCI appelle à lever les barrières commerciales au sein de la CEDEAO, ce qui pourrait stimuler les flux de capitaux et d'investissements dans la sous-région.</w:t>
      </w:r>
    </w:p>
    <w:p>
      <w:pPr>
        <w:pStyle w:val="Heading3"/>
      </w:pPr>
      <w:r>
        <w:rPr>
          <w:color w:val="500050"/>
        </w:rPr>
        <w:t>⚡ Impact estimé sur la BRVM</w:t>
      </w:r>
    </w:p>
    <w:p>
      <w:pPr>
        <w:spacing w:before="20" w:after="40"/>
        <w:ind w:left="280"/>
      </w:pPr>
      <w:r>
        <w:rPr>
          <w:i/>
          <w:sz w:val="18"/>
        </w:rPr>
        <w:t>Une meilleure intégration économique régionale renforcerait l'attractivité de la BRVM en tant que plateforme d'investissement pour toute l'Afrique de l'Ouest. Cela pourrait attirer des capitaux vers les sociétés cotées ayant une forte exposition régionale, comme les banques **BOAC**, **BOAS** et les industriels **FTSC**.</w:t>
      </w:r>
    </w:p>
    <w:p>
      <w:pPr>
        <w:pStyle w:val="Heading2"/>
      </w:pPr>
      <w:r>
        <w:rPr>
          <w:color w:val="8C4600"/>
        </w:rPr>
        <w:t>🏦 Plan UEMOA / Zone Franc</w:t>
      </w:r>
    </w:p>
    <w:p>
      <w:pPr>
        <w:spacing w:before="20" w:after="40"/>
        <w:ind w:left="0"/>
      </w:pPr>
      <w:r>
        <w:rPr>
          <w:sz w:val="18"/>
        </w:rPr>
        <w:t>Données insuffisantes concernant le marché des titres publics UEMOA, le taux interbancaire ou la liquidité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se situe à 529.15 points. Les résultats encourageants des sociétés cotées ivoiriennes sont le principal catalyseur positif du marché. Aucun mouvement majeur de titre n'est signalé dans les actualités.</w:t>
      </w:r>
    </w:p>
    <w:p>
      <w:pPr>
        <w:pStyle w:val="Heading3"/>
      </w:pPr>
      <w:r>
        <w:rPr>
          <w:color w:val="500050"/>
        </w:rPr>
        <w:t>⚡ Impact estimé sur la BRVM</w:t>
      </w:r>
    </w:p>
    <w:p>
      <w:pPr>
        <w:spacing w:before="20" w:after="40"/>
        <w:ind w:left="280"/>
      </w:pPr>
      <w:r>
        <w:rPr>
          <w:i/>
          <w:sz w:val="18"/>
        </w:rPr>
        <w:t>Les fondamentaux solides des entreprises de la cote (résultats encourageants) sont un signal positif. Les investisseurs pourraient se positionner sur les valeurs de qualité comme **SGBC**, **BICB**, **PALC**, **SLBC** et **ETIT**. Les valeurs énergétiques (**TTLC**, **SHEC**) pourraient être sous pression en raison de la volatilité des prix du pétrole, mais pourraient aussi bénéficier de la hausse des cours. Les titres comme **ONTBF**, **CFAC**, **NTLC**, **SIVC** et **SOGC** devraient suivre la tendance générale du marché.</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pour la BRVM est globalement stable et porteur. Les tensions géopolitiques mondiales et la hausse des prix du pétrole créent une volatilité externe, mais l'impact direct sur la BRVM est limité. Les fondamentaux internes restent solides, soutenus par des résultats d'entreprises encourageants et une dynamique régionale positive en Afrique de l'Ouest (croissance, intégration commerciale).</w:t>
      </w:r>
    </w:p>
    <w:p>
      <w:pPr>
        <w:spacing w:before="20" w:after="40"/>
        <w:ind w:left="0"/>
      </w:pPr>
      <w:r>
        <w:rPr>
          <w:sz w:val="18"/>
        </w:rPr>
        <w:t>**Recommandation :** Maintenir une position investie sur le marché. Privilégier les secteurs de la Consommation de base (**PALC**, **SLBC**) et des Services financiers (**BOAC**, **SGBC**) qui bénéficient de la dynamique régionale. Surveiller de près l'évolution des prix du pétrole pour les valeurs énergétiques (**TTLC**, **SHEC**), et rester attentif à toute dégradation de la situation sécuritaire au Sahel.</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Renforcement de la production des données migratoires en Afrique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Russie-CEDEAO : après les ruptures au Sahel, avec qui l’Afrique de l’O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Maroc - Mali : La religion au service du rapprochement politique - Yab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VIDÉO. Sénégal : la nouvelle hausse des prix du carburant suscite l'in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Maroc - Mali : La religion au service du rapprochement politique - Yab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Maroc - Mali : La religion au service du rapprochement politique - Yab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Maroc - Mali : La religion au service du rapprochement politique - Yab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Maroc - Mali : La religion au service du rapprochement politique - Yab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Maroc - Mali : La religion au service du rapprochement politique - Yab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L'excision, un sujet tabou qui refait surface au Mali - DW</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Mali : le cercle restreint d’Alghabass Ag Intalla, l’architecte de 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2026-08-23</w:t>
            </w:r>
          </w:p>
        </w:tc>
        <w:tc>
          <w:tcPr>
            <w:tcW w:type="dxa" w:w="1728"/>
          </w:tcPr>
          <w:p>
            <w:r>
              <w:rPr>
                <w:sz w:val="14"/>
              </w:rPr>
              <w:t>Maroc - Mali : La religion au service du rapprochement politique - Yab</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Matières premières Canada : les prix du pétrole progressent, l'Iran re</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2026-08-20</w:t>
            </w:r>
          </w:p>
        </w:tc>
        <w:tc>
          <w:tcPr>
            <w:tcW w:type="dxa" w:w="1728"/>
          </w:tcPr>
          <w:p>
            <w:r>
              <w:rPr>
                <w:sz w:val="14"/>
              </w:rPr>
              <w:t>Matières premières Canada : les prix du pétrole poursuivent leur ascen</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[23/08/2026] 🟢  </w:t>
      </w:r>
      <w:r>
        <w:rPr>
          <w:b/>
          <w:color w:val="008000"/>
          <w:sz w:val="18"/>
        </w:rPr>
        <w:t>Maroc - Mali : La religion au service du rapprochement politique - Yabiladi.com</w:t>
      </w:r>
      <w:r>
        <w:rPr>
          <w:color w:val="787878"/>
          <w:sz w:val="15"/>
        </w:rPr>
        <w:t xml:space="preserve">  [politique]</w:t>
      </w:r>
      <w:r>
        <w:rPr>
          <w:color w:val="B47800"/>
          <w:sz w:val="16"/>
        </w:rPr>
        <w:t xml:space="preserve">  ★ 50/10</w:t>
      </w:r>
    </w:p>
    <w:p>
      <w:pPr>
        <w:spacing w:before="0" w:after="20"/>
        <w:ind w:left="600"/>
      </w:pPr>
      <w:r>
        <w:rPr>
          <w:color w:val="323232"/>
          <w:sz w:val="17"/>
        </w:rPr>
        <w:t>L'article de Yabiladi.com rapporte que le Maroc et le Mali utilisent la religion comme levier pour renforcer leur rapprochement politique. Cette démarche s'inscrit dans un contexte de coopération bilatérale accrue, visant à consolider les liens diplomatiques et culturels entre les deux pays. Bien que l'article soit axé sur la politique, il pourrait</w:t>
      </w:r>
    </w:p>
    <w:p>
      <w:pPr>
        <w:spacing w:before="0" w:after="40"/>
        <w:ind w:left="600"/>
      </w:pPr>
      <w:r>
        <w:rPr>
          <w:color w:val="00643C"/>
          <w:sz w:val="16"/>
        </w:rPr>
        <w:t>Points clés : Le Maroc et le Mali renforcent leur coopération politique via la religion.  •  Cette initiative vise à consolider les liens diplomatiques et culturels.  •  Le rapprochement pourrait favoriser les échanges économiques dans la zone UEMOA.</w:t>
      </w:r>
    </w:p>
    <w:p>
      <w:pPr>
        <w:spacing w:before="0" w:after="60"/>
        <w:ind w:left="600"/>
      </w:pPr>
      <w:r>
        <w:rPr>
          <w:color w:val="0064B4"/>
          <w:sz w:val="15"/>
        </w:rPr>
        <w:t>Source : https://news.google.com/rss/articles/CBMiqAFBVV95cUxNWU96UDBKR25WT3ZHVGExbnRhb1g</w:t>
      </w:r>
    </w:p>
    <w:p>
      <w:pPr>
        <w:spacing w:before="40" w:after="40"/>
        <w:ind w:left="360"/>
      </w:pPr>
      <w:r>
        <w:rPr>
          <w:color w:val="646464"/>
          <w:sz w:val="17"/>
        </w:rPr>
        <w:t xml:space="preserve">[23/08/2026] 🔴  </w:t>
      </w:r>
      <w:r>
        <w:rPr>
          <w:b/>
          <w:color w:val="C00000"/>
          <w:sz w:val="18"/>
        </w:rPr>
        <w:t>Mali : le cercle restreint d’Alghabass Ag Intalla, l’architecte de l’alliance entre rebelles et jihadistes - Jeune Afriq</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met en lumière le rôle central d'Alghabass Ag Intalla dans la formation d'une alliance entre les rebelles touaregs et les groupes jihadistes au Mali. Cette alliance, bien que controversée, vise à contrer l'influence de l'État malien et des forces étrangères dans la région. L'article analyse le cercle restreint de ce leade</w:t>
      </w:r>
    </w:p>
    <w:p>
      <w:pPr>
        <w:spacing w:before="0" w:after="40"/>
        <w:ind w:left="600"/>
      </w:pPr>
      <w:r>
        <w:rPr>
          <w:color w:val="00643C"/>
          <w:sz w:val="16"/>
        </w:rPr>
        <w:t>Points clés : Alghabass Ag Intalla est présenté comme l'architecte d'une alliance stratégique entre rebelles et jihadistes.  •  L'alliance vise à renforcer la position des groupes armés face à l'État malien et à ses partenaires internationaux.  •  Le cercle restreint d'Ag Intalla joue un rôle clé dans la négociation et la consolidation de cette alliance.</w:t>
      </w:r>
    </w:p>
    <w:p>
      <w:pPr>
        <w:spacing w:before="0" w:after="60"/>
        <w:ind w:left="600"/>
      </w:pPr>
      <w:r>
        <w:rPr>
          <w:color w:val="0064B4"/>
          <w:sz w:val="15"/>
        </w:rPr>
        <w:t>Source : https://news.google.com/rss/articles/CBMi4gFBVV95cUxPV0tsbUxaOWJjd0psallfQVZpa09</w:t>
      </w:r>
    </w:p>
    <w:p>
      <w:pPr>
        <w:spacing w:before="40" w:after="40"/>
        <w:ind w:left="360"/>
      </w:pPr>
      <w:r>
        <w:rPr>
          <w:color w:val="646464"/>
          <w:sz w:val="17"/>
        </w:rPr>
        <w:t xml:space="preserve">[22/08/2026] 🟢  </w:t>
      </w:r>
      <w:r>
        <w:rPr>
          <w:b/>
          <w:color w:val="008000"/>
          <w:sz w:val="18"/>
        </w:rPr>
        <w:t>États-Unis : la justice invalide le gel des visas visant 75 pays, dont le Sénégal - NDARINFO</w:t>
      </w:r>
      <w:r>
        <w:rPr>
          <w:color w:val="787878"/>
          <w:sz w:val="15"/>
        </w:rPr>
        <w:t xml:space="preserve">  [politique]</w:t>
      </w:r>
      <w:r>
        <w:rPr>
          <w:color w:val="B47800"/>
          <w:sz w:val="16"/>
        </w:rPr>
        <w:t xml:space="preserve">  ★ 50/10</w:t>
      </w:r>
    </w:p>
    <w:p>
      <w:pPr>
        <w:spacing w:before="0" w:after="20"/>
        <w:ind w:left="600"/>
      </w:pPr>
      <w:r>
        <w:rPr>
          <w:color w:val="323232"/>
          <w:sz w:val="17"/>
        </w:rPr>
        <w:t xml:space="preserve">La justice américaine a invalidé le décret présidentiel gelant les visas pour 75 pays, dont le Sénégal. Cette décision annule une mesure qui aurait pu affecter les voyages et les relations diplomatiques. Pour les pays de l'UEMOA, cela lève une incertitude sur la mobilité des personnes et des affaires. L'impact économique direct est limité, mais la </w:t>
      </w:r>
    </w:p>
    <w:p>
      <w:pPr>
        <w:spacing w:before="0" w:after="40"/>
        <w:ind w:left="600"/>
      </w:pPr>
      <w:r>
        <w:rPr>
          <w:color w:val="00643C"/>
          <w:sz w:val="16"/>
        </w:rPr>
        <w:t>Points clés : Annulation du gel des visas par la justice américaine  •  Le Sénégal et d'autres pays de l'UEMOA sont concernés  •  Réduction de l'incertitude pour les voyages d'affaires et les investissements</w:t>
      </w:r>
    </w:p>
    <w:p>
      <w:pPr>
        <w:spacing w:before="0" w:after="60"/>
        <w:ind w:left="600"/>
      </w:pPr>
      <w:r>
        <w:rPr>
          <w:color w:val="0064B4"/>
          <w:sz w:val="15"/>
        </w:rPr>
        <w:t>Source : https://news.google.com/rss/articles/CBMitgFBVV95cUxQZGFmNGVfb1N1ZjJ4ODZMMDY1RVh</w:t>
      </w:r>
    </w:p>
    <w:p>
      <w:pPr>
        <w:spacing w:before="40" w:after="40"/>
        <w:ind w:left="360"/>
      </w:pPr>
      <w:r>
        <w:rPr>
          <w:color w:val="646464"/>
          <w:sz w:val="17"/>
        </w:rPr>
        <w:t xml:space="preserve">[22/08/2026] ⚪  </w:t>
      </w:r>
      <w:r>
        <w:rPr>
          <w:b/>
          <w:color w:val="505050"/>
          <w:sz w:val="18"/>
        </w:rPr>
        <w:t>Ras Bath : comment un animateur radio est devenu l’une des voix les plus controversées du Mali - africaradio.com</w:t>
      </w:r>
      <w:r>
        <w:rPr>
          <w:color w:val="787878"/>
          <w:sz w:val="15"/>
        </w:rPr>
        <w:t xml:space="preserve">  [politique]</w:t>
      </w:r>
      <w:r>
        <w:rPr>
          <w:color w:val="B47800"/>
          <w:sz w:val="16"/>
        </w:rPr>
        <w:t xml:space="preserve">  ★ 50/10</w:t>
      </w:r>
    </w:p>
    <w:p>
      <w:pPr>
        <w:spacing w:before="0" w:after="20"/>
        <w:ind w:left="600"/>
      </w:pPr>
      <w:r>
        <w:rPr>
          <w:color w:val="323232"/>
          <w:sz w:val="17"/>
        </w:rPr>
        <w:t>L'article relate le parcours de Ras Bath, un animateur radio malien devenu une figure controversée en raison de ses prises de position politiques et sociales. Il est décrit comme une voix influente mais clivante, suscitant des débats sur la liberté d'expression et le rôle des médias au Mali. L'article ne contient aucune information économique ou fi</w:t>
      </w:r>
    </w:p>
    <w:p>
      <w:pPr>
        <w:spacing w:before="0" w:after="40"/>
        <w:ind w:left="600"/>
      </w:pPr>
      <w:r>
        <w:rPr>
          <w:color w:val="00643C"/>
          <w:sz w:val="16"/>
        </w:rPr>
        <w:t>Points clés : Ras Bath est une personnalité médiatique influente au Mali.  •  Ses prises de position politiques le rendent controversé.  •  L'article traite de la liberté d'expression et du rôle des médias.</w:t>
      </w:r>
    </w:p>
    <w:p>
      <w:pPr>
        <w:spacing w:before="0" w:after="60"/>
        <w:ind w:left="600"/>
      </w:pPr>
      <w:r>
        <w:rPr>
          <w:color w:val="0064B4"/>
          <w:sz w:val="15"/>
        </w:rPr>
        <w:t>Source : https://news.google.com/rss/articles/CBMi0wFBVV95cUxPaWVCRG9DaVlkYkJES2V5c0NXUlV</w:t>
      </w:r>
    </w:p>
    <w:p>
      <w:pPr>
        <w:spacing w:before="40" w:after="40"/>
        <w:ind w:left="360"/>
      </w:pPr>
      <w:r>
        <w:rPr>
          <w:color w:val="646464"/>
          <w:sz w:val="17"/>
        </w:rPr>
        <w:t xml:space="preserve">[22/08/2026] ⚪  </w:t>
      </w:r>
      <w:r>
        <w:rPr>
          <w:b/>
          <w:color w:val="505050"/>
          <w:sz w:val="18"/>
        </w:rPr>
        <w:t>Sénégal : Bachir Fofana répond à Marie Rose Faye sur les fonds de la Primature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relate la réponse de Bachir Fofana aux accusations de Marie Rose Faye concernant la gestion des fonds de la Primature sénégalaise. Cette controverse politique intervient dans un contexte de surveillance accrue des finances publiques au Sénégal, membre de l'UEMOA. Les échanges entre les deux personnalités pourraient influencer la perceptio</w:t>
      </w:r>
    </w:p>
    <w:p>
      <w:pPr>
        <w:spacing w:before="0" w:after="40"/>
        <w:ind w:left="600"/>
      </w:pPr>
      <w:r>
        <w:rPr>
          <w:color w:val="00643C"/>
          <w:sz w:val="16"/>
        </w:rPr>
        <w:t>Points clés : Réponse de Bachir Fofana aux critiques de Marie Rose Faye sur les fonds de la Primature.  •  Sujet sensible de la gestion des fonds publics au Sénégal, pays de l'UEMOA.  •  Risque de perception négative sur la gouvernance, mais sans effet immédiat sur la BRVM.</w:t>
      </w:r>
    </w:p>
    <w:p>
      <w:pPr>
        <w:spacing w:before="0" w:after="60"/>
        <w:ind w:left="600"/>
      </w:pPr>
      <w:r>
        <w:rPr>
          <w:color w:val="0064B4"/>
          <w:sz w:val="15"/>
        </w:rPr>
        <w:t>Source : https://news.google.com/rss/articles/CBMirgFBVV95cUxOOUxvVnFwcG4wekFldlNIVUFuUUp</w:t>
      </w:r>
    </w:p>
    <w:p>
      <w:pPr>
        <w:spacing w:before="120" w:after="40"/>
      </w:pPr>
      <w:r>
        <w:rPr>
          <w:b/>
          <w:color w:val="00467F"/>
          <w:sz w:val="20"/>
        </w:rPr>
        <w:t>🔑 économique  (2 alerte(s))</w:t>
      </w:r>
    </w:p>
    <w:p>
      <w:pPr>
        <w:spacing w:before="40" w:after="40"/>
        <w:ind w:left="360"/>
      </w:pPr>
      <w:r>
        <w:rPr>
          <w:color w:val="646464"/>
          <w:sz w:val="17"/>
        </w:rPr>
        <w:t xml:space="preserve">[22/08/2026] 🟢  </w:t>
      </w:r>
      <w:r>
        <w:rPr>
          <w:b/>
          <w:color w:val="008000"/>
          <w:sz w:val="18"/>
        </w:rPr>
        <w:t>COUNTRY REPORT - CEDEAO REPORT : la croissance du Libéria économique estimée à 5% pour 2026 - Africa24 TV</w:t>
      </w:r>
      <w:r>
        <w:rPr>
          <w:color w:val="787878"/>
          <w:sz w:val="15"/>
        </w:rPr>
        <w:t xml:space="preserve">  [économique]</w:t>
      </w:r>
      <w:r>
        <w:rPr>
          <w:color w:val="B47800"/>
          <w:sz w:val="16"/>
        </w:rPr>
        <w:t xml:space="preserve">  ★ 50/10</w:t>
      </w:r>
    </w:p>
    <w:p>
      <w:pPr>
        <w:spacing w:before="0" w:after="20"/>
        <w:ind w:left="600"/>
      </w:pPr>
      <w:r>
        <w:rPr>
          <w:color w:val="323232"/>
          <w:sz w:val="17"/>
        </w:rPr>
        <w:t>Le rapport Country Report de la CEDEAO indique que la croissance économique du Libéria est estimée à 5% pour 2026, reflétant une dynamique positive dans la sous-région ouest-africaine. Cette prévision s'inscrit dans un contexte de reprise économique et de consolidation des activités dans les pays membres de la CEDEAO. Le Libéria, bien que de taille</w:t>
      </w:r>
    </w:p>
    <w:p>
      <w:pPr>
        <w:spacing w:before="0" w:after="40"/>
        <w:ind w:left="600"/>
      </w:pPr>
      <w:r>
        <w:rPr>
          <w:color w:val="00643C"/>
          <w:sz w:val="16"/>
        </w:rPr>
        <w:t>Points clés : Croissance économique du Libéria estimée à 5% pour 2026.  •  Perspectives positives pour la sous-région CEDEAO.  •  Réformes et investissements soutiennent la reprise au Libéria.</w:t>
      </w:r>
    </w:p>
    <w:p>
      <w:pPr>
        <w:spacing w:before="0" w:after="60"/>
        <w:ind w:left="600"/>
      </w:pPr>
      <w:r>
        <w:rPr>
          <w:color w:val="0064B4"/>
          <w:sz w:val="15"/>
        </w:rPr>
        <w:t>Source : https://news.google.com/rss/articles/CBMirwFBVV95cUxNOWk4ajA1bkJpVnh6RVFUUUNhdUt</w:t>
      </w:r>
    </w:p>
    <w:p>
      <w:pPr>
        <w:spacing w:before="40" w:after="40"/>
        <w:ind w:left="360"/>
      </w:pPr>
      <w:r>
        <w:rPr>
          <w:color w:val="646464"/>
          <w:sz w:val="17"/>
        </w:rPr>
        <w:t xml:space="preserve">[22/08/2026] 🟢  </w:t>
      </w:r>
      <w:r>
        <w:rPr>
          <w:b/>
          <w:color w:val="008000"/>
          <w:sz w:val="18"/>
        </w:rPr>
        <w:t>PORTRAIT – CEDEAO REPORT : la FEWACCI appelle à lever les barrières - Africa24 TV</w:t>
      </w:r>
      <w:r>
        <w:rPr>
          <w:color w:val="787878"/>
          <w:sz w:val="15"/>
        </w:rPr>
        <w:t xml:space="preserve">  [économique]</w:t>
      </w:r>
      <w:r>
        <w:rPr>
          <w:color w:val="B47800"/>
          <w:sz w:val="16"/>
        </w:rPr>
        <w:t xml:space="preserve">  ★ 50/10</w:t>
      </w:r>
    </w:p>
    <w:p>
      <w:pPr>
        <w:spacing w:before="0" w:after="20"/>
        <w:ind w:left="600"/>
      </w:pPr>
      <w:r>
        <w:rPr>
          <w:color w:val="323232"/>
          <w:sz w:val="17"/>
        </w:rPr>
        <w:t>La Fédération des chambres de commerce et d'industrie de la CEDEAO (FEWACCI) a appelé à la levée des barrières commerciales et non tarifaires au sein de la région, lors d'un rapport présenté dans le cadre de la CEDEAO. Cette initiative vise à renforcer l'intégration économique régionale et à faciliter les échanges transfrontaliers. L'article soulig</w:t>
      </w:r>
    </w:p>
    <w:p>
      <w:pPr>
        <w:spacing w:before="0" w:after="40"/>
        <w:ind w:left="600"/>
      </w:pPr>
      <w:r>
        <w:rPr>
          <w:color w:val="00643C"/>
          <w:sz w:val="16"/>
        </w:rPr>
        <w:t>Points clés : La FEWACCI appelle à lever les barrières commerciales dans la CEDEAO.  •  L'objectif est de renforcer l'intégration économique régionale et les échanges transfrontaliers.</w:t>
      </w:r>
    </w:p>
    <w:p>
      <w:pPr>
        <w:spacing w:before="0" w:after="60"/>
        <w:ind w:left="600"/>
      </w:pPr>
      <w:r>
        <w:rPr>
          <w:color w:val="0064B4"/>
          <w:sz w:val="15"/>
        </w:rPr>
        <w:t>Source : https://news.google.com/rss/articles/CBMikAFBVV95cUxQUHZ2cHc4MXpQa0c5cXZzX1l4WEN</w:t>
      </w:r>
    </w:p>
    <w:p>
      <w:pPr>
        <w:spacing w:before="120" w:after="40"/>
      </w:pPr>
      <w:r>
        <w:rPr>
          <w:b/>
          <w:color w:val="00467F"/>
          <w:sz w:val="20"/>
        </w:rPr>
        <w:t>🔑 marche_financier  (4 alerte(s))</w:t>
      </w:r>
    </w:p>
    <w:p>
      <w:pPr>
        <w:spacing w:before="40" w:after="40"/>
        <w:ind w:left="360"/>
      </w:pPr>
      <w:r>
        <w:rPr>
          <w:color w:val="646464"/>
          <w:sz w:val="17"/>
        </w:rPr>
        <w:t xml:space="preserve">[22/08/2026] 🟢  </w:t>
      </w:r>
      <w:r>
        <w:rPr>
          <w:b/>
          <w:color w:val="008000"/>
          <w:sz w:val="18"/>
        </w:rPr>
        <w:t>La BRVM franchit le cap historique des 20 000 milliards de francs CFA de capitalisation - Forbes Afrique</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20 000 milliards de francs CFA, un record pour le marché financier de l'UEMOA. Cette performance reflète la dynamique positive des entreprises cotées et l'attractivité croissante de la place financière régionale. Le franchisse</w:t>
      </w:r>
    </w:p>
    <w:p>
      <w:pPr>
        <w:spacing w:before="0" w:after="40"/>
        <w:ind w:left="600"/>
      </w:pPr>
      <w:r>
        <w:rPr>
          <w:color w:val="00643C"/>
          <w:sz w:val="16"/>
        </w:rPr>
        <w:t>Points clés : Capitalisation boursière record de 20 000 milliards FCFA atteinte par la BRVM.  •  Confirmation de la dynamique haussière du marché financier de l'UEMOA.  •  Attractivité accrue de la BRVM auprès des investisseurs régionaux et internationaux.</w:t>
      </w:r>
    </w:p>
    <w:p>
      <w:pPr>
        <w:spacing w:before="0" w:after="60"/>
        <w:ind w:left="600"/>
      </w:pPr>
      <w:r>
        <w:rPr>
          <w:color w:val="0064B4"/>
          <w:sz w:val="15"/>
        </w:rPr>
        <w:t>Source : https://news.google.com/rss/articles/CBMitAFBVV95cUxNc3RLNHNFd3NwNEdyMFBHUDdOblF</w:t>
      </w:r>
    </w:p>
    <w:p>
      <w:pPr>
        <w:spacing w:before="40" w:after="40"/>
        <w:ind w:left="360"/>
      </w:pPr>
      <w:r>
        <w:rPr>
          <w:color w:val="646464"/>
          <w:sz w:val="17"/>
        </w:rPr>
        <w:t xml:space="preserve">[21/08/2026] 🟢  </w:t>
      </w:r>
      <w:r>
        <w:rPr>
          <w:b/>
          <w:color w:val="008000"/>
          <w:sz w:val="18"/>
        </w:rPr>
        <w:t>BRVM: la capitalisation boursière du marché des actions franchit le Cap des 20.000 milliards FCFA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plus de 20 000 milliards de FCFA sur le marché des actions. Cette performance reflète la dynamique positive du marché financier de l'UEMOA, portée par la confiance des investisseurs et la bonne tenue des valeurs cotées. Ce seu</w:t>
      </w:r>
    </w:p>
    <w:p>
      <w:pPr>
        <w:spacing w:before="0" w:after="40"/>
        <w:ind w:left="600"/>
      </w:pPr>
      <w:r>
        <w:rPr>
          <w:color w:val="00643C"/>
          <w:sz w:val="16"/>
        </w:rPr>
        <w:t>Points clés : La capitalisation boursière du marché des actions de la BRVM dépasse 20 000 milliards FCFA.  •  Cette progression témoigne de la vitalité du marché financier de l'UEMOA.  •  Le franchissement de ce cap renforce l'attractivité de la BRVM auprès des investisseurs.</w:t>
      </w:r>
    </w:p>
    <w:p>
      <w:pPr>
        <w:spacing w:before="0" w:after="60"/>
        <w:ind w:left="600"/>
      </w:pPr>
      <w:r>
        <w:rPr>
          <w:color w:val="0064B4"/>
          <w:sz w:val="15"/>
        </w:rPr>
        <w:t>Source : https://news.google.com/rss/articles/CBMi0gFBVV95cUxQVGJBZ3F1amtfMEVCcGRZUHZUeUx</w:t>
      </w:r>
    </w:p>
    <w:p>
      <w:pPr>
        <w:spacing w:before="40" w:after="40"/>
        <w:ind w:left="360"/>
      </w:pPr>
      <w:r>
        <w:rPr>
          <w:color w:val="646464"/>
          <w:sz w:val="17"/>
        </w:rPr>
        <w:t xml:space="preserve">[21/08/2026] 🟢  </w:t>
      </w:r>
      <w:r>
        <w:rPr>
          <w:b/>
          <w:color w:val="008000"/>
          <w:sz w:val="18"/>
        </w:rPr>
        <w:t>La BRVM dépasse pour la première fois 20 000 milliards de FCFA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pour la première fois de son histoire le cap symbolique des 20 000 milliards de FCFA de capitalisation boursière. Cette performance témoigne de la dynamique positive du marché financier de l'UEMOA, portée par la confiance des investisseurs et la bonne tenue des valeurs cotées. Ce seuil his</w:t>
      </w:r>
    </w:p>
    <w:p>
      <w:pPr>
        <w:spacing w:before="0" w:after="40"/>
        <w:ind w:left="600"/>
      </w:pPr>
      <w:r>
        <w:rPr>
          <w:color w:val="00643C"/>
          <w:sz w:val="16"/>
        </w:rPr>
        <w:t>Points clés : Franchissement historique du seuil de 20 000 milliards de FCFA de capitalisation boursière.  •  Confirmation de la tendance haussière du marché financier de l'UEMOA.</w:t>
      </w:r>
    </w:p>
    <w:p>
      <w:pPr>
        <w:spacing w:before="0" w:after="60"/>
        <w:ind w:left="600"/>
      </w:pPr>
      <w:r>
        <w:rPr>
          <w:color w:val="0064B4"/>
          <w:sz w:val="15"/>
        </w:rPr>
        <w:t>Source : https://news.google.com/rss/articles/CBMimwFBVV95cUxOZFBrNTAyNlZkaFJTXzRfZk5HdGV</w:t>
      </w:r>
    </w:p>
    <w:p>
      <w:pPr>
        <w:spacing w:before="40" w:after="40"/>
        <w:ind w:left="360"/>
      </w:pPr>
      <w:r>
        <w:rPr>
          <w:color w:val="646464"/>
          <w:sz w:val="17"/>
        </w:rPr>
        <w:t xml:space="preserve">[20/08/2026] 🟢  </w:t>
      </w:r>
      <w:r>
        <w:rPr>
          <w:b/>
          <w:color w:val="008000"/>
          <w:sz w:val="18"/>
        </w:rPr>
        <w:t>BRVM : la flambée de Sonatel de 190 milliards FCFA hisse les indices à un record - Capmad</w:t>
      </w:r>
      <w:r>
        <w:rPr>
          <w:color w:val="787878"/>
          <w:sz w:val="15"/>
        </w:rPr>
        <w:t xml:space="preserve">  [marche_financier]</w:t>
      </w:r>
      <w:r>
        <w:rPr>
          <w:color w:val="B47800"/>
          <w:sz w:val="16"/>
        </w:rPr>
        <w:t xml:space="preserve">  ★ 50/10</w:t>
      </w:r>
    </w:p>
    <w:p>
      <w:pPr>
        <w:spacing w:before="0" w:after="20"/>
        <w:ind w:left="600"/>
      </w:pPr>
      <w:r>
        <w:rPr>
          <w:color w:val="323232"/>
          <w:sz w:val="17"/>
        </w:rPr>
        <w:t>La BRVM a enregistré une hausse record de ses indices, portée principalement par la flambée du titre Sonatel qui a gagné 190 milliards FCFA de capitalisation boursière. Cette performance exceptionnelle a propulsé l'indice composite et l'indice BRVM 10 à des niveaux historiques. Le marché financier de l'UEMOA montre ainsi une dynamique positive, sou</w:t>
      </w:r>
    </w:p>
    <w:p>
      <w:pPr>
        <w:spacing w:before="0" w:after="40"/>
        <w:ind w:left="600"/>
      </w:pPr>
      <w:r>
        <w:rPr>
          <w:color w:val="00643C"/>
          <w:sz w:val="16"/>
        </w:rPr>
        <w:t>Points clés : Hausse record des indices de la BRVM grâce à Sonatel.  •  Gain de 190 milliards FCFA de capitalisation pour Sonatel.  •  Nouveaux sommets historiques pour les indices BRVM.</w:t>
      </w:r>
    </w:p>
    <w:p>
      <w:pPr>
        <w:spacing w:before="0" w:after="60"/>
        <w:ind w:left="600"/>
      </w:pPr>
      <w:r>
        <w:rPr>
          <w:color w:val="0064B4"/>
          <w:sz w:val="15"/>
        </w:rPr>
        <w:t>Source : https://news.google.com/rss/articles/CBMirgFBVV95cUxPU2kyZ3hrU0tRNFJxYzVEa2xlNG5</w:t>
      </w:r>
    </w:p>
    <w:p>
      <w:pPr>
        <w:spacing w:before="120" w:after="40"/>
      </w:pPr>
      <w:r>
        <w:rPr>
          <w:b/>
          <w:color w:val="00467F"/>
          <w:sz w:val="20"/>
        </w:rPr>
        <w:t>🔑 politique_monetaire  (1 alerte(s))</w:t>
      </w:r>
    </w:p>
    <w:p>
      <w:pPr>
        <w:spacing w:before="40" w:after="40"/>
        <w:ind w:left="360"/>
      </w:pPr>
      <w:r>
        <w:rPr>
          <w:color w:val="646464"/>
          <w:sz w:val="17"/>
        </w:rPr>
        <w:t xml:space="preserve">[21/08/2026] 🔴  </w:t>
      </w:r>
      <w:r>
        <w:rPr>
          <w:b/>
          <w:color w:val="C00000"/>
          <w:sz w:val="18"/>
        </w:rPr>
        <w:t>Dette : pourquoi l'annulation proposée par Jean-Luc Mélenchon ne peut pas fonctionner - Les Echos</w:t>
      </w:r>
      <w:r>
        <w:rPr>
          <w:color w:val="787878"/>
          <w:sz w:val="15"/>
        </w:rPr>
        <w:t xml:space="preserve">  [politique_monetaire]</w:t>
      </w:r>
      <w:r>
        <w:rPr>
          <w:color w:val="B47800"/>
          <w:sz w:val="16"/>
        </w:rPr>
        <w:t xml:space="preserve">  ★ 50/10</w:t>
      </w:r>
    </w:p>
    <w:p>
      <w:pPr>
        <w:spacing w:before="0" w:after="20"/>
        <w:ind w:left="600"/>
      </w:pPr>
      <w:r>
        <w:rPr>
          <w:color w:val="323232"/>
          <w:sz w:val="17"/>
        </w:rPr>
        <w:t>L'article des Echos critique la proposition de Jean-Luc Mélenchon d'annuler la dette publique, arguant que cette mesure est irréaliste et dangereuse pour l'économie. Il souligne que l'annulation unilatérale de la dette entraînerait une perte de confiance des investisseurs, une hausse des taux d'intérêt et une exclusion des marchés financiers. L'art</w:t>
      </w:r>
    </w:p>
    <w:p>
      <w:pPr>
        <w:spacing w:before="0" w:after="40"/>
        <w:ind w:left="600"/>
      </w:pPr>
      <w:r>
        <w:rPr>
          <w:color w:val="00643C"/>
          <w:sz w:val="16"/>
        </w:rPr>
        <w:t>Points clés : L'annulation de la dette est jugée irréaliste et contre-productive.  •  Elle provoquerait une défiance des marchés et une hausse des coûts de financement.  •  Les conséquences seraient graves pour la stabilité économique de la zone euro.  •  L'article défend une approche de gestion de la dette plutôt que son annulation.</w:t>
      </w:r>
    </w:p>
    <w:p>
      <w:pPr>
        <w:spacing w:before="0" w:after="60"/>
        <w:ind w:left="600"/>
      </w:pPr>
      <w:r>
        <w:rPr>
          <w:color w:val="0064B4"/>
          <w:sz w:val="15"/>
        </w:rPr>
        <w:t>Source : https://news.google.com/rss/articles/CBMi4AFBVV95cUxNZGdWbVFpckg4MTdSWmxybU5YaEx</w:t>
      </w:r>
    </w:p>
    <w:p>
      <w:pPr>
        <w:spacing w:before="120" w:after="40"/>
      </w:pPr>
      <w:r>
        <w:rPr>
          <w:b/>
          <w:color w:val="00467F"/>
          <w:sz w:val="20"/>
        </w:rPr>
        <w:t>🔑 matieres_premieres  (1 alerte(s))</w:t>
      </w:r>
    </w:p>
    <w:p>
      <w:pPr>
        <w:spacing w:before="40" w:after="40"/>
        <w:ind w:left="360"/>
      </w:pPr>
      <w:r>
        <w:rPr>
          <w:color w:val="646464"/>
          <w:sz w:val="17"/>
        </w:rPr>
        <w:t xml:space="preserve">[21/08/2026] 🟢  </w:t>
      </w:r>
      <w:r>
        <w:rPr>
          <w:b/>
          <w:color w:val="008000"/>
          <w:sz w:val="18"/>
        </w:rPr>
        <w:t>Marché des matières premières : l'indice MXV dépasse les 2 900 points, atteignant son plus haut niveau depuis fin mai. -</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dépassé les 2 900 points, atteignant son plus haut niveau depuis fin mai. Cette hausse reflète une dynamique positive sur les marchés internationaux des matières premières. Les investisseurs suivent de près cette évolution qui pourrait influencer les coûts des intrants et les revenus des exp</w:t>
      </w:r>
    </w:p>
    <w:p>
      <w:pPr>
        <w:spacing w:before="0" w:after="40"/>
        <w:ind w:left="600"/>
      </w:pPr>
      <w:r>
        <w:rPr>
          <w:color w:val="00643C"/>
          <w:sz w:val="16"/>
        </w:rPr>
        <w:t>Points clés : L'indice MXV a franchi le seuil des 2 900 points, un niveau inédit depuis fin mai.  •  Cette hausse témoigne d'un regain d'appétit pour les matières premières sur les marchés internationaux.</w:t>
      </w:r>
    </w:p>
    <w:p>
      <w:pPr>
        <w:spacing w:before="0" w:after="60"/>
        <w:ind w:left="600"/>
      </w:pPr>
      <w:r>
        <w:rPr>
          <w:color w:val="0064B4"/>
          <w:sz w:val="15"/>
        </w:rPr>
        <w:t>Source : https://news.google.com/rss/articles/CBMipwFBVV95cUxNeTQtYTFhekt1MWVKMFFKWnFBVGR</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4,095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12,985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2,465</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3,380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2,180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9,630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2,460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9,440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21,015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36,980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2,400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22,900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6,900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8,175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17,000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3,125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3,350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9,985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3,640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1,740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16,620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12,145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8,650</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39,195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28,800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1,550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4,470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4,095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12,985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2,465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8,000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16,795</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4,095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12,985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2,465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3,380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8,000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3,400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1,990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4,095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12,985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2,465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3,380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8,000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3,400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1,990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 — BANK OF AFRICA BENIN</w:t>
      </w:r>
    </w:p>
    <w:p>
      <w:pPr>
        <w:pStyle w:val="ListBullet"/>
        <w:spacing w:before="20"/>
        <w:ind w:left="400"/>
      </w:pPr>
      <w:r>
        <w:rPr>
          <w:sz w:val="18"/>
        </w:rPr>
        <w:t>🔴 RSI surachat (81.3 &gt; 70) — risque de correction</w:t>
      </w:r>
    </w:p>
    <w:p>
      <w:pPr>
        <w:pStyle w:val="ListBullet"/>
        <w:spacing w:before="20"/>
        <w:ind w:left="400"/>
      </w:pPr>
      <w:r>
        <w:rPr>
          <w:sz w:val="18"/>
        </w:rPr>
        <w:t>⚠️ Cours à 0.0% du plus haut 100j (9,985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(72.7 &gt; 70) — risque de correction</w:t>
      </w:r>
    </w:p>
    <w:p>
      <w:pPr>
        <w:pStyle w:val="ListBullet"/>
        <w:spacing w:before="20"/>
        <w:ind w:left="400"/>
      </w:pPr>
      <w:r>
        <w:rPr>
          <w:sz w:val="18"/>
        </w:rPr>
        <w:t>⚠️ Cours à 0.0% du plus haut 100j (7,600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(76.7 &gt; 70) — risque de correction</w:t>
      </w:r>
    </w:p>
    <w:p>
      <w:pPr>
        <w:pStyle w:val="ListBullet"/>
        <w:spacing w:before="20"/>
        <w:ind w:left="400"/>
      </w:pPr>
      <w:r>
        <w:rPr>
          <w:sz w:val="18"/>
        </w:rPr>
        <w:t>⚠️ Cours à 0.0% du plus haut 100j (30,005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(96.0 &gt; 70) — risque de correction</w:t>
      </w:r>
    </w:p>
    <w:p>
      <w:pPr>
        <w:pStyle w:val="ListBullet"/>
        <w:spacing w:before="20"/>
        <w:ind w:left="400"/>
      </w:pPr>
      <w:r>
        <w:rPr>
          <w:sz w:val="18"/>
        </w:rPr>
        <w:t>⚠️ Cours à 0.0% du plus haut 100j (21,015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(84.8 &gt; 70) — risque de correction</w:t>
      </w:r>
    </w:p>
    <w:p>
      <w:pPr>
        <w:pStyle w:val="ListBullet"/>
        <w:spacing w:before="20"/>
        <w:ind w:left="400"/>
      </w:pPr>
      <w:r>
        <w:rPr>
          <w:sz w:val="18"/>
        </w:rPr>
        <w:t>⚠️ Cours à 0.0% du plus haut 100j (36,980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(76.7 &gt; 70) — risque de correction</w:t>
      </w:r>
    </w:p>
    <w:p>
      <w:pPr>
        <w:pStyle w:val="ListBullet"/>
        <w:spacing w:before="20"/>
        <w:ind w:left="400"/>
      </w:pPr>
      <w:r>
        <w:rPr>
          <w:sz w:val="18"/>
        </w:rPr>
        <w:t>⚠️ Cours à 2.3% du plus haut 100j (9,660 FCFA)</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(86.6 &gt; 70) — risque de correction</w:t>
      </w:r>
    </w:p>
    <w:p>
      <w:pPr>
        <w:pStyle w:val="ListBullet"/>
        <w:spacing w:before="20"/>
        <w:ind w:left="400"/>
      </w:pPr>
      <w:r>
        <w:rPr>
          <w:sz w:val="18"/>
        </w:rPr>
        <w:t>⚠️ Cours à 0.2% du plus haut 100j (2,470 FCFA)</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(6,490 FCFA)</w:t>
      </w:r>
    </w:p>
    <w:p>
      <w:pPr>
        <w:spacing w:before="120"/>
      </w:pPr>
      <w:r>
        <w:rPr>
          <w:b/>
          <w:color w:val="0050A0"/>
          <w:sz w:val="20"/>
        </w:rPr>
        <w:t>BOAN — BANK OF AFRICA NIGER</w:t>
      </w:r>
    </w:p>
    <w:p>
      <w:pPr>
        <w:pStyle w:val="ListBullet"/>
        <w:spacing w:before="20"/>
        <w:ind w:left="400"/>
      </w:pPr>
      <w:r>
        <w:rPr>
          <w:sz w:val="18"/>
        </w:rPr>
        <w:t>⚠️ Cours à 2.2%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Cours à 2.8%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surachat (77.9 &gt; 70) — risque de correction</w:t>
      </w:r>
    </w:p>
    <w:p>
      <w:pPr>
        <w:pStyle w:val="ListBullet"/>
        <w:spacing w:before="20"/>
        <w:ind w:left="400"/>
      </w:pPr>
      <w:r>
        <w:rPr>
          <w:sz w:val="18"/>
        </w:rPr>
        <w:t>⚠️ Cours à 0.1% du plus haut 100j (9,640 FCFA)</w:t>
      </w:r>
    </w:p>
    <w:p>
      <w:pPr>
        <w:spacing w:before="120"/>
      </w:pPr>
      <w:r>
        <w:rPr>
          <w:b/>
          <w:color w:val="0050A0"/>
          <w:sz w:val="20"/>
        </w:rPr>
        <w:t>SDCC — SDCC - Société de Distribution d'Eau de Côte d'Ivoire</w:t>
      </w:r>
    </w:p>
    <w:p>
      <w:pPr>
        <w:pStyle w:val="ListBullet"/>
        <w:spacing w:before="20"/>
        <w:ind w:left="400"/>
      </w:pPr>
      <w:r>
        <w:rPr>
          <w:sz w:val="18"/>
        </w:rPr>
        <w:t>⚠️ Cours à 0.4%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1.4%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0.3%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(75.5 &gt; 70) — risque de correction</w:t>
      </w:r>
    </w:p>
    <w:p>
      <w:pPr>
        <w:pStyle w:val="ListBullet"/>
        <w:spacing w:before="20"/>
        <w:ind w:left="400"/>
      </w:pPr>
      <w:r>
        <w:rPr>
          <w:sz w:val="18"/>
        </w:rPr>
        <w:t>⚠️ Cours à 0.0% du plus haut 100j (2,460 FCFA)</w:t>
      </w:r>
    </w:p>
    <w:p>
      <w:pPr>
        <w:spacing w:before="120"/>
      </w:pPr>
      <w:r>
        <w:rPr>
          <w:b/>
          <w:color w:val="0050A0"/>
          <w:sz w:val="20"/>
        </w:rPr>
        <w:t>SMBC — SMBC - Société Multinationale de Bitumes COTE D'IVOIRE</w:t>
      </w:r>
    </w:p>
    <w:p>
      <w:pPr>
        <w:pStyle w:val="ListBullet"/>
        <w:spacing w:before="20"/>
        <w:ind w:left="400"/>
      </w:pPr>
      <w:r>
        <w:rPr>
          <w:sz w:val="18"/>
        </w:rPr>
        <w:t>🔴 RSI surachat (84.0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2.3% du plus haut 100j (29,490 FCFA)</w:t>
      </w:r>
    </w:p>
    <w:p>
      <w:pPr>
        <w:spacing w:before="120"/>
      </w:pPr>
      <w:r>
        <w:rPr>
          <w:b/>
          <w:color w:val="0050A0"/>
          <w:sz w:val="20"/>
        </w:rPr>
        <w:t>BNBC — BNBC - BERNABE CI</w:t>
      </w:r>
    </w:p>
    <w:p>
      <w:pPr>
        <w:pStyle w:val="ListBullet"/>
        <w:spacing w:before="20"/>
        <w:ind w:left="400"/>
      </w:pPr>
      <w:r>
        <w:rPr>
          <w:sz w:val="18"/>
        </w:rPr>
        <w:t>🔴 RSI surachat (75.0 &gt; 70) — risque de correction</w:t>
      </w:r>
    </w:p>
    <w:p>
      <w:pPr>
        <w:spacing w:before="120"/>
      </w:pPr>
      <w:r>
        <w:rPr>
          <w:b/>
          <w:color w:val="0050A0"/>
          <w:sz w:val="20"/>
        </w:rPr>
        <w:t>BOAC — BANK OF AFRICA COTE D'IVOIRE</w:t>
      </w:r>
    </w:p>
    <w:p>
      <w:pPr>
        <w:pStyle w:val="ListBullet"/>
        <w:spacing w:before="20"/>
        <w:ind w:left="400"/>
      </w:pPr>
      <w:r>
        <w:rPr>
          <w:sz w:val="18"/>
        </w:rPr>
        <w:t>🔴 RSI surachat (85.0 &gt; 70) — risque de correction</w:t>
      </w:r>
    </w:p>
    <w:p>
      <w:pPr>
        <w:spacing w:before="120"/>
      </w:pPr>
      <w:r>
        <w:rPr>
          <w:b/>
          <w:color w:val="0050A0"/>
          <w:sz w:val="20"/>
        </w:rPr>
        <w:t>BOAS — BANK OF AFRICA SENEGAL</w:t>
      </w:r>
    </w:p>
    <w:p>
      <w:pPr>
        <w:pStyle w:val="ListBullet"/>
        <w:spacing w:before="20"/>
        <w:ind w:left="400"/>
      </w:pPr>
      <w:r>
        <w:rPr>
          <w:sz w:val="18"/>
        </w:rPr>
        <w:t>⚠️ Cours à 0.6% du plus haut 100j (8,050 FCFA)</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(88.2 &gt; 70) — risque de correction</w:t>
      </w:r>
    </w:p>
    <w:p>
      <w:pPr>
        <w:spacing w:before="120"/>
      </w:pPr>
      <w:r>
        <w:rPr>
          <w:b/>
          <w:color w:val="0050A0"/>
          <w:sz w:val="20"/>
        </w:rPr>
        <w:t>FTSC — FTSC - FILTISAC COTE D'IVOIRE</w:t>
      </w:r>
    </w:p>
    <w:p>
      <w:pPr>
        <w:pStyle w:val="ListBullet"/>
        <w:spacing w:before="20"/>
        <w:ind w:left="400"/>
      </w:pPr>
      <w:r>
        <w:rPr>
          <w:sz w:val="18"/>
        </w:rPr>
        <w:t>🔴 RSI surachat (72.3 &gt; 70) — risque de correction</w:t>
      </w:r>
    </w:p>
    <w:p>
      <w:pPr>
        <w:spacing w:before="120"/>
      </w:pPr>
      <w:r>
        <w:rPr>
          <w:b/>
          <w:color w:val="0050A0"/>
          <w:sz w:val="20"/>
        </w:rPr>
        <w:t>LNBB — LNBB - LOTERIE NATIONALE DU BENIN</w:t>
      </w:r>
    </w:p>
    <w:p>
      <w:pPr>
        <w:pStyle w:val="ListBullet"/>
        <w:spacing w:before="20"/>
        <w:ind w:left="400"/>
      </w:pPr>
      <w:r>
        <w:rPr>
          <w:sz w:val="18"/>
        </w:rPr>
        <w:t>🟢 RSI survente (29.2 &lt; 30) — opportunité potentielle</w:t>
      </w:r>
    </w:p>
    <w:p>
      <w:pPr>
        <w:spacing w:before="120"/>
      </w:pPr>
      <w:r>
        <w:rPr>
          <w:b/>
          <w:color w:val="0050A0"/>
          <w:sz w:val="20"/>
        </w:rPr>
        <w:t>NEIC — NEIC - NEI-CEDA CI</w:t>
      </w:r>
    </w:p>
    <w:p>
      <w:pPr>
        <w:pStyle w:val="ListBullet"/>
        <w:spacing w:before="20"/>
        <w:ind w:left="400"/>
      </w:pPr>
      <w:r>
        <w:rPr>
          <w:sz w:val="18"/>
        </w:rPr>
        <w:t>⚠️ Cours à 0.0% du plus haut 100j (2,400 FCFA)</w:t>
      </w:r>
    </w:p>
    <w:p>
      <w:pPr>
        <w:spacing w:before="120"/>
      </w:pPr>
      <w:r>
        <w:rPr>
          <w:b/>
          <w:color w:val="0050A0"/>
          <w:sz w:val="20"/>
        </w:rPr>
        <w:t>NTLC — NTLC - NESTLE COTE D'IVOIRE</w:t>
      </w:r>
    </w:p>
    <w:p>
      <w:pPr>
        <w:pStyle w:val="ListBullet"/>
        <w:spacing w:before="20"/>
        <w:ind w:left="400"/>
      </w:pPr>
      <w:r>
        <w:rPr>
          <w:sz w:val="18"/>
        </w:rPr>
        <w:t>⚠️ Cours à 2.6% du plus haut 100j (17,450 FCFA)</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 FORT</w:t>
      </w:r>
    </w:p>
    <w:p>
      <w:pPr>
        <w:spacing w:before="120"/>
      </w:pPr>
      <w:r>
        <w:rPr>
          <w:b/>
          <w:color w:val="0050A0"/>
          <w:sz w:val="20"/>
        </w:rPr>
        <w:t>SICC — SICC - SICOR COTE D'IVOIRE</w:t>
      </w:r>
    </w:p>
    <w:p>
      <w:pPr>
        <w:pStyle w:val="ListBullet"/>
        <w:spacing w:before="20"/>
        <w:ind w:left="400"/>
      </w:pPr>
      <w:r>
        <w:rPr>
          <w:sz w:val="18"/>
        </w:rPr>
        <w:t>🔴 RSI surachat (71.0 &gt; 70) — risque de correction</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0.0% du plus haut 100j (3,400 FCFA)</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18 société(s) (38%)</w:t>
            </w:r>
          </w:p>
        </w:tc>
        <w:tc>
          <w:tcPr>
            <w:tcW w:type="dxa" w:w="1644"/>
            <w:shd w:fill="FFEB9C" w:val="clear"/>
          </w:tcPr>
          <w:p>
            <w:r>
              <w:rPr>
                <w:b/>
                <w:color w:val="825A00"/>
                <w:sz w:val="19"/>
              </w:rPr>
              <w:t>29 société(s) (62%)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21.4/100</w:t>
            </w:r>
          </w:p>
        </w:tc>
        <w:tc>
          <w:tcPr>
            <w:tcW w:type="dxa" w:w="1644"/>
            <w:shd w:fill="DEEAF1" w:val="clear"/>
          </w:tcPr>
          <w:p>
            <w:r>
              <w:rPr>
                <w:b/>
                <w:color w:val="000000"/>
                <w:sz w:val="19"/>
              </w:rPr>
              <w:t>20.8/100</w:t>
            </w:r>
          </w:p>
        </w:tc>
      </w:tr>
    </w:tbl>
    <w:p/>
    <w:p>
      <w:r>
        <w:rPr>
          <w:i/>
          <w:color w:val="006400"/>
          <w:sz w:val="18"/>
        </w:rPr>
        <w:t>✅ Le marché BRVM présente globalement un profil de risque FAIBLE (score moyen 21.4/100).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34.6/100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CIEC (34.6/100 — Moyen) : </w:t>
      </w:r>
      <w:r>
        <w:rPr>
          <w:sz w:val="17"/>
        </w:rPr>
        <w:t>Volatilité=Élevée | Bêta=Agressif | Liquidité=Bonne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34.6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29.6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-12.30%  |  Médiane : -9.10%</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38 sociétés sur 47 sont orientées à la baisse avec une variation moyenne de -12.30%.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3,640 FCFA</w:t>
            </w:r>
          </w:p>
        </w:tc>
        <w:tc>
          <w:tcPr>
            <w:tcW w:type="dxa" w:w="1417"/>
            <w:shd w:fill="FFFFFF" w:val="clear"/>
          </w:tcPr>
          <w:p>
            <w:r>
              <w:rPr>
                <w:sz w:val="16"/>
              </w:rPr>
              <w:t>6,549 FCFA</w:t>
            </w:r>
          </w:p>
        </w:tc>
        <w:tc>
          <w:tcPr>
            <w:tcW w:type="dxa" w:w="1134"/>
            <w:shd w:fill="C6EFCE" w:val="clear"/>
          </w:tcPr>
          <w:p>
            <w:r>
              <w:rPr>
                <w:b/>
                <w:color w:val="007800"/>
                <w:sz w:val="16"/>
              </w:rPr>
              <w:t>+79.91%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22,900 FCFA</w:t>
            </w:r>
          </w:p>
        </w:tc>
        <w:tc>
          <w:tcPr>
            <w:tcW w:type="dxa" w:w="1417"/>
            <w:shd w:fill="FFFFFF" w:val="clear"/>
          </w:tcPr>
          <w:p>
            <w:r>
              <w:rPr>
                <w:sz w:val="16"/>
              </w:rPr>
              <w:t>27,008 FCFA</w:t>
            </w:r>
          </w:p>
        </w:tc>
        <w:tc>
          <w:tcPr>
            <w:tcW w:type="dxa" w:w="1134"/>
            <w:shd w:fill="C6EFCE" w:val="clear"/>
          </w:tcPr>
          <w:p>
            <w:r>
              <w:rPr>
                <w:b/>
                <w:color w:val="007800"/>
                <w:sz w:val="16"/>
              </w:rPr>
              <w:t>+17.94%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59,025 FCFA</w:t>
            </w:r>
          </w:p>
        </w:tc>
        <w:tc>
          <w:tcPr>
            <w:tcW w:type="dxa" w:w="1134"/>
            <w:shd w:fill="C6EFCE" w:val="clear"/>
          </w:tcPr>
          <w:p>
            <w:r>
              <w:rPr>
                <w:b/>
                <w:color w:val="007800"/>
                <w:sz w:val="16"/>
              </w:rPr>
              <w:t>+13.08%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22,900 FCFA</w:t>
            </w:r>
          </w:p>
        </w:tc>
        <w:tc>
          <w:tcPr>
            <w:tcW w:type="dxa" w:w="1417"/>
            <w:shd w:fill="FFFFFF" w:val="clear"/>
          </w:tcPr>
          <w:p>
            <w:r>
              <w:rPr>
                <w:sz w:val="16"/>
              </w:rPr>
              <w:t>25,368 FCFA</w:t>
            </w:r>
          </w:p>
        </w:tc>
        <w:tc>
          <w:tcPr>
            <w:tcW w:type="dxa" w:w="1134"/>
            <w:shd w:fill="C6EFCE" w:val="clear"/>
          </w:tcPr>
          <w:p>
            <w:r>
              <w:rPr>
                <w:b/>
                <w:color w:val="007800"/>
                <w:sz w:val="16"/>
              </w:rPr>
              <w:t>+10.78%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2,180 FCFA</w:t>
            </w:r>
          </w:p>
        </w:tc>
        <w:tc>
          <w:tcPr>
            <w:tcW w:type="dxa" w:w="1417"/>
            <w:shd w:fill="FFFFFF" w:val="clear"/>
          </w:tcPr>
          <w:p>
            <w:r>
              <w:rPr>
                <w:sz w:val="16"/>
              </w:rPr>
              <w:t>2,276 FCFA</w:t>
            </w:r>
          </w:p>
        </w:tc>
        <w:tc>
          <w:tcPr>
            <w:tcW w:type="dxa" w:w="1134"/>
            <w:shd w:fill="C6EFCE" w:val="clear"/>
          </w:tcPr>
          <w:p>
            <w:r>
              <w:rPr>
                <w:b/>
                <w:color w:val="007800"/>
                <w:sz w:val="16"/>
              </w:rPr>
              <w:t>+4.42%</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(+79.9%) — signal potentiellement excessif, à croiser avec l'analyse technique. Trajectoire : 📈 Hausse continue. Cours actuel : 3,640 FCFA → prédit J+10 : 6,549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(+17.9%) — potentiel de revalorisation notable. Trajectoire : 📈 Hausse continue. Cours actuel : 22,900 FCFA → prédit J+10 : 27,008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(+13.1%) — potentiel de revalorisation notable. Trajectoire : 📈 Hausse continue. Cours actuel : 52,200 FCFA → prédit J+10 : 59,025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(+10.8%) — potentiel de revalorisation notable. Trajectoire : 📈 Hausse continue. Cours actuel : 22,900 FCFA → prédit J+10 : 25,368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(+4.4%) — progression graduelle attendue. Trajectoire : 📈 Hausse continue. Cours actuel : 2,180 FCFA → prédit J+10 : 2,276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2,614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3,380 FCFA</w:t>
            </w:r>
          </w:p>
        </w:tc>
        <w:tc>
          <w:tcPr>
            <w:tcW w:type="dxa" w:w="1417"/>
            <w:shd w:fill="FFFFFF" w:val="clear"/>
          </w:tcPr>
          <w:p>
            <w:r>
              <w:rPr>
                <w:sz w:val="16"/>
              </w:rPr>
              <w:t>1,550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66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6,900 FCFA</w:t>
            </w:r>
          </w:p>
        </w:tc>
        <w:tc>
          <w:tcPr>
            <w:tcW w:type="dxa" w:w="1417"/>
            <w:shd w:fill="FFFFFF" w:val="clear"/>
          </w:tcPr>
          <w:p>
            <w:r>
              <w:rPr>
                <w:sz w:val="16"/>
              </w:rPr>
              <w:t>3,265 FCFA</w:t>
            </w:r>
          </w:p>
        </w:tc>
        <w:tc>
          <w:tcPr>
            <w:tcW w:type="dxa" w:w="1134"/>
            <w:shd w:fill="FFC7CE" w:val="clear"/>
          </w:tcPr>
          <w:p>
            <w:r>
              <w:rPr>
                <w:b/>
                <w:color w:val="B40000"/>
                <w:sz w:val="16"/>
              </w:rPr>
              <w:t>-52.69%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30,000 FCFA</w:t>
            </w:r>
          </w:p>
        </w:tc>
        <w:tc>
          <w:tcPr>
            <w:tcW w:type="dxa" w:w="1417"/>
            <w:shd w:fill="FFFFFF" w:val="clear"/>
          </w:tcPr>
          <w:p>
            <w:r>
              <w:rPr>
                <w:sz w:val="16"/>
              </w:rPr>
              <w:t>17,468 FCFA</w:t>
            </w:r>
          </w:p>
        </w:tc>
        <w:tc>
          <w:tcPr>
            <w:tcW w:type="dxa" w:w="1134"/>
            <w:shd w:fill="FFC7CE" w:val="clear"/>
          </w:tcPr>
          <w:p>
            <w:r>
              <w:rPr>
                <w:b/>
                <w:color w:val="B40000"/>
                <w:sz w:val="16"/>
              </w:rPr>
              <w:t>-41.77%</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5,700 FCFA → prédit J+10 : 2,614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3,380 FCFA → prédit J+10 : 1,550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66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(-52.7%) — amplitude potentiellement surestimée par le modèle. Trajectoire : 📉 Baisse continue. Cours actuel : 6,900 FCFA → prédit J+10 : 3,265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(-41.8%) — amplitude potentiellement surestimée par le modèle. Trajectoire : 📉 Baisse continue. Cours actuel : 30,000 FCFA → prédit J+10 : 17,468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3,640</w:t>
            </w:r>
          </w:p>
        </w:tc>
        <w:tc>
          <w:tcPr>
            <w:tcW w:type="dxa" w:w="1417"/>
            <w:shd w:fill="FFFFFF" w:val="clear"/>
          </w:tcPr>
          <w:p>
            <w:r>
              <w:rPr>
                <w:sz w:val="16"/>
              </w:rPr>
              <w:t>6,549</w:t>
            </w:r>
          </w:p>
        </w:tc>
        <w:tc>
          <w:tcPr>
            <w:tcW w:type="dxa" w:w="1134"/>
            <w:shd w:fill="C6EFCE" w:val="clear"/>
          </w:tcPr>
          <w:p>
            <w:r>
              <w:rPr>
                <w:b/>
                <w:color w:val="007800"/>
                <w:sz w:val="16"/>
              </w:rPr>
              <w:t>+79.91%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22,900</w:t>
            </w:r>
          </w:p>
        </w:tc>
        <w:tc>
          <w:tcPr>
            <w:tcW w:type="dxa" w:w="1417"/>
            <w:shd w:fill="FFFFFF" w:val="clear"/>
          </w:tcPr>
          <w:p>
            <w:r>
              <w:rPr>
                <w:sz w:val="16"/>
              </w:rPr>
              <w:t>27,008</w:t>
            </w:r>
          </w:p>
        </w:tc>
        <w:tc>
          <w:tcPr>
            <w:tcW w:type="dxa" w:w="1134"/>
            <w:shd w:fill="C6EFCE" w:val="clear"/>
          </w:tcPr>
          <w:p>
            <w:r>
              <w:rPr>
                <w:b/>
                <w:color w:val="007800"/>
                <w:sz w:val="16"/>
              </w:rPr>
              <w:t>+17.94%</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59,025</w:t>
            </w:r>
          </w:p>
        </w:tc>
        <w:tc>
          <w:tcPr>
            <w:tcW w:type="dxa" w:w="1134"/>
            <w:shd w:fill="C6EFCE" w:val="clear"/>
          </w:tcPr>
          <w:p>
            <w:r>
              <w:rPr>
                <w:b/>
                <w:color w:val="007800"/>
                <w:sz w:val="16"/>
              </w:rPr>
              <w:t>+13.08%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22,900</w:t>
            </w:r>
          </w:p>
        </w:tc>
        <w:tc>
          <w:tcPr>
            <w:tcW w:type="dxa" w:w="1417"/>
            <w:shd w:fill="FFFFFF" w:val="clear"/>
          </w:tcPr>
          <w:p>
            <w:r>
              <w:rPr>
                <w:sz w:val="16"/>
              </w:rPr>
              <w:t>25,368</w:t>
            </w:r>
          </w:p>
        </w:tc>
        <w:tc>
          <w:tcPr>
            <w:tcW w:type="dxa" w:w="1134"/>
            <w:shd w:fill="C6EFCE" w:val="clear"/>
          </w:tcPr>
          <w:p>
            <w:r>
              <w:rPr>
                <w:b/>
                <w:color w:val="007800"/>
                <w:sz w:val="16"/>
              </w:rPr>
              <w:t>+10.78%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2,180</w:t>
            </w:r>
          </w:p>
        </w:tc>
        <w:tc>
          <w:tcPr>
            <w:tcW w:type="dxa" w:w="1417"/>
            <w:shd w:fill="FFFFFF" w:val="clear"/>
          </w:tcPr>
          <w:p>
            <w:r>
              <w:rPr>
                <w:sz w:val="16"/>
              </w:rPr>
              <w:t>2,276</w:t>
            </w:r>
          </w:p>
        </w:tc>
        <w:tc>
          <w:tcPr>
            <w:tcW w:type="dxa" w:w="1134"/>
            <w:shd w:fill="C6EFCE" w:val="clear"/>
          </w:tcPr>
          <w:p>
            <w:r>
              <w:rPr>
                <w:b/>
                <w:color w:val="007800"/>
                <w:sz w:val="16"/>
              </w:rPr>
              <w:t>+4.42%</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9,630</w:t>
            </w:r>
          </w:p>
        </w:tc>
        <w:tc>
          <w:tcPr>
            <w:tcW w:type="dxa" w:w="1417"/>
            <w:shd w:fill="FFFFFF" w:val="clear"/>
          </w:tcPr>
          <w:p>
            <w:r>
              <w:rPr>
                <w:sz w:val="16"/>
              </w:rPr>
              <w:t>9,885</w:t>
            </w:r>
          </w:p>
        </w:tc>
        <w:tc>
          <w:tcPr>
            <w:tcW w:type="dxa" w:w="1134"/>
            <w:shd w:fill="C6EFCE" w:val="clear"/>
          </w:tcPr>
          <w:p>
            <w:r>
              <w:rPr>
                <w:b/>
                <w:color w:val="007800"/>
                <w:sz w:val="16"/>
              </w:rPr>
              <w:t>+2.65%</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8,175</w:t>
            </w:r>
          </w:p>
        </w:tc>
        <w:tc>
          <w:tcPr>
            <w:tcW w:type="dxa" w:w="1417"/>
            <w:shd w:fill="FFFFFF" w:val="clear"/>
          </w:tcPr>
          <w:p>
            <w:r>
              <w:rPr>
                <w:sz w:val="16"/>
              </w:rPr>
              <w:t>8,285</w:t>
            </w:r>
          </w:p>
        </w:tc>
        <w:tc>
          <w:tcPr>
            <w:tcW w:type="dxa" w:w="1134"/>
            <w:shd w:fill="C6EFCE" w:val="clear"/>
          </w:tcPr>
          <w:p>
            <w:r>
              <w:rPr>
                <w:b/>
                <w:color w:val="007800"/>
                <w:sz w:val="16"/>
              </w:rPr>
              <w:t>+1.35%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37,005</w:t>
            </w:r>
          </w:p>
        </w:tc>
        <w:tc>
          <w:tcPr>
            <w:tcW w:type="dxa" w:w="1417"/>
            <w:shd w:fill="FFFFFF" w:val="clear"/>
          </w:tcPr>
          <w:p>
            <w:r>
              <w:rPr>
                <w:sz w:val="16"/>
              </w:rPr>
              <w:t>36,982</w:t>
            </w:r>
          </w:p>
        </w:tc>
        <w:tc>
          <w:tcPr>
            <w:tcW w:type="dxa" w:w="1134"/>
            <w:shd w:fill="FFEB9C" w:val="clear"/>
          </w:tcPr>
          <w:p>
            <w:r>
              <w:rPr>
                <w:b/>
                <w:color w:val="646400"/>
                <w:sz w:val="16"/>
              </w:rPr>
              <w:t>-0.06%</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1,974</w:t>
            </w:r>
          </w:p>
        </w:tc>
        <w:tc>
          <w:tcPr>
            <w:tcW w:type="dxa" w:w="1134"/>
            <w:shd w:fill="FFEB9C" w:val="clear"/>
          </w:tcPr>
          <w:p>
            <w:r>
              <w:rPr>
                <w:b/>
                <w:color w:val="646400"/>
                <w:sz w:val="16"/>
              </w:rPr>
              <w:t>-0.81%</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3,125</w:t>
            </w:r>
          </w:p>
        </w:tc>
        <w:tc>
          <w:tcPr>
            <w:tcW w:type="dxa" w:w="1417"/>
            <w:shd w:fill="FFFFFF" w:val="clear"/>
          </w:tcPr>
          <w:p>
            <w:r>
              <w:rPr>
                <w:sz w:val="16"/>
              </w:rPr>
              <w:t>3,090</w:t>
            </w:r>
          </w:p>
        </w:tc>
        <w:tc>
          <w:tcPr>
            <w:tcW w:type="dxa" w:w="1134"/>
            <w:shd w:fill="FFC7CE" w:val="clear"/>
          </w:tcPr>
          <w:p>
            <w:r>
              <w:rPr>
                <w:b/>
                <w:color w:val="B40000"/>
                <w:sz w:val="16"/>
              </w:rPr>
              <w:t>-1.12%</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2,885</w:t>
            </w:r>
          </w:p>
        </w:tc>
        <w:tc>
          <w:tcPr>
            <w:tcW w:type="dxa" w:w="1417"/>
            <w:shd w:fill="FFFFFF" w:val="clear"/>
          </w:tcPr>
          <w:p>
            <w:r>
              <w:rPr>
                <w:sz w:val="16"/>
              </w:rPr>
              <w:t>2,845</w:t>
            </w:r>
          </w:p>
        </w:tc>
        <w:tc>
          <w:tcPr>
            <w:tcW w:type="dxa" w:w="1134"/>
            <w:shd w:fill="FFC7CE" w:val="clear"/>
          </w:tcPr>
          <w:p>
            <w:r>
              <w:rPr>
                <w:b/>
                <w:color w:val="B40000"/>
                <w:sz w:val="16"/>
              </w:rPr>
              <w:t>-1.40%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16,459</w:t>
            </w:r>
          </w:p>
        </w:tc>
        <w:tc>
          <w:tcPr>
            <w:tcW w:type="dxa" w:w="1134"/>
            <w:shd w:fill="FFC7CE" w:val="clear"/>
          </w:tcPr>
          <w:p>
            <w:r>
              <w:rPr>
                <w:b/>
                <w:color w:val="B40000"/>
                <w:sz w:val="16"/>
              </w:rPr>
              <w:t>-2.00%</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5,280</w:t>
            </w:r>
          </w:p>
        </w:tc>
        <w:tc>
          <w:tcPr>
            <w:tcW w:type="dxa" w:w="1417"/>
            <w:shd w:fill="FFFFFF" w:val="clear"/>
          </w:tcPr>
          <w:p>
            <w:r>
              <w:rPr>
                <w:sz w:val="16"/>
              </w:rPr>
              <w:t>5,146</w:t>
            </w:r>
          </w:p>
        </w:tc>
        <w:tc>
          <w:tcPr>
            <w:tcW w:type="dxa" w:w="1134"/>
            <w:shd w:fill="FFC7CE" w:val="clear"/>
          </w:tcPr>
          <w:p>
            <w:r>
              <w:rPr>
                <w:b/>
                <w:color w:val="B40000"/>
                <w:sz w:val="16"/>
              </w:rPr>
              <w:t>-2.54%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17,000</w:t>
            </w:r>
          </w:p>
        </w:tc>
        <w:tc>
          <w:tcPr>
            <w:tcW w:type="dxa" w:w="1417"/>
            <w:shd w:fill="FFFFFF" w:val="clear"/>
          </w:tcPr>
          <w:p>
            <w:r>
              <w:rPr>
                <w:sz w:val="16"/>
              </w:rPr>
              <w:t>16,408</w:t>
            </w:r>
          </w:p>
        </w:tc>
        <w:tc>
          <w:tcPr>
            <w:tcW w:type="dxa" w:w="1134"/>
            <w:shd w:fill="FFC7CE" w:val="clear"/>
          </w:tcPr>
          <w:p>
            <w:r>
              <w:rPr>
                <w:b/>
                <w:color w:val="B40000"/>
                <w:sz w:val="16"/>
              </w:rPr>
              <w:t>-3.48%</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4,095</w:t>
            </w:r>
          </w:p>
        </w:tc>
        <w:tc>
          <w:tcPr>
            <w:tcW w:type="dxa" w:w="1417"/>
            <w:shd w:fill="FFFFFF" w:val="clear"/>
          </w:tcPr>
          <w:p>
            <w:r>
              <w:rPr>
                <w:sz w:val="16"/>
              </w:rPr>
              <w:t>3,944</w:t>
            </w:r>
          </w:p>
        </w:tc>
        <w:tc>
          <w:tcPr>
            <w:tcW w:type="dxa" w:w="1134"/>
            <w:shd w:fill="FFC7CE" w:val="clear"/>
          </w:tcPr>
          <w:p>
            <w:r>
              <w:rPr>
                <w:b/>
                <w:color w:val="B40000"/>
                <w:sz w:val="16"/>
              </w:rPr>
              <w:t>-3.69%</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39,195</w:t>
            </w:r>
          </w:p>
        </w:tc>
        <w:tc>
          <w:tcPr>
            <w:tcW w:type="dxa" w:w="1417"/>
            <w:shd w:fill="FFFFFF" w:val="clear"/>
          </w:tcPr>
          <w:p>
            <w:r>
              <w:rPr>
                <w:sz w:val="16"/>
              </w:rPr>
              <w:t>37,716</w:t>
            </w:r>
          </w:p>
        </w:tc>
        <w:tc>
          <w:tcPr>
            <w:tcW w:type="dxa" w:w="1134"/>
            <w:shd w:fill="FFC7CE" w:val="clear"/>
          </w:tcPr>
          <w:p>
            <w:r>
              <w:rPr>
                <w:b/>
                <w:color w:val="B40000"/>
                <w:sz w:val="16"/>
              </w:rPr>
              <w:t>-3.77%</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16,620</w:t>
            </w:r>
          </w:p>
        </w:tc>
        <w:tc>
          <w:tcPr>
            <w:tcW w:type="dxa" w:w="1417"/>
            <w:shd w:fill="FFFFFF" w:val="clear"/>
          </w:tcPr>
          <w:p>
            <w:r>
              <w:rPr>
                <w:sz w:val="16"/>
              </w:rPr>
              <w:t>15,947</w:t>
            </w:r>
          </w:p>
        </w:tc>
        <w:tc>
          <w:tcPr>
            <w:tcW w:type="dxa" w:w="1134"/>
            <w:shd w:fill="FFC7CE" w:val="clear"/>
          </w:tcPr>
          <w:p>
            <w:r>
              <w:rPr>
                <w:b/>
                <w:color w:val="B40000"/>
                <w:sz w:val="16"/>
              </w:rPr>
              <w:t>-4.05%</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3,258</w:t>
            </w:r>
          </w:p>
        </w:tc>
        <w:tc>
          <w:tcPr>
            <w:tcW w:type="dxa" w:w="1134"/>
            <w:shd w:fill="FFC7CE" w:val="clear"/>
          </w:tcPr>
          <w:p>
            <w:r>
              <w:rPr>
                <w:b/>
                <w:color w:val="B40000"/>
                <w:sz w:val="16"/>
              </w:rPr>
              <w:t>-4.19%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4,470</w:t>
            </w:r>
          </w:p>
        </w:tc>
        <w:tc>
          <w:tcPr>
            <w:tcW w:type="dxa" w:w="1417"/>
            <w:shd w:fill="FFFFFF" w:val="clear"/>
          </w:tcPr>
          <w:p>
            <w:r>
              <w:rPr>
                <w:sz w:val="16"/>
              </w:rPr>
              <w:t>4,246</w:t>
            </w:r>
          </w:p>
        </w:tc>
        <w:tc>
          <w:tcPr>
            <w:tcW w:type="dxa" w:w="1134"/>
            <w:shd w:fill="FFC7CE" w:val="clear"/>
          </w:tcPr>
          <w:p>
            <w:r>
              <w:rPr>
                <w:b/>
                <w:color w:val="B40000"/>
                <w:sz w:val="16"/>
              </w:rPr>
              <w:t>-5.01%</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9,440</w:t>
            </w:r>
          </w:p>
        </w:tc>
        <w:tc>
          <w:tcPr>
            <w:tcW w:type="dxa" w:w="1417"/>
            <w:shd w:fill="FFFFFF" w:val="clear"/>
          </w:tcPr>
          <w:p>
            <w:r>
              <w:rPr>
                <w:sz w:val="16"/>
              </w:rPr>
              <w:t>8,809</w:t>
            </w:r>
          </w:p>
        </w:tc>
        <w:tc>
          <w:tcPr>
            <w:tcW w:type="dxa" w:w="1134"/>
            <w:shd w:fill="FFC7CE" w:val="clear"/>
          </w:tcPr>
          <w:p>
            <w:r>
              <w:rPr>
                <w:b/>
                <w:color w:val="B40000"/>
                <w:sz w:val="16"/>
              </w:rPr>
              <w:t>-6.68%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2,780</w:t>
            </w:r>
          </w:p>
        </w:tc>
        <w:tc>
          <w:tcPr>
            <w:tcW w:type="dxa" w:w="1417"/>
            <w:shd w:fill="FFFFFF" w:val="clear"/>
          </w:tcPr>
          <w:p>
            <w:r>
              <w:rPr>
                <w:sz w:val="16"/>
              </w:rPr>
              <w:t>2,534</w:t>
            </w:r>
          </w:p>
        </w:tc>
        <w:tc>
          <w:tcPr>
            <w:tcW w:type="dxa" w:w="1134"/>
            <w:shd w:fill="FFC7CE" w:val="clear"/>
          </w:tcPr>
          <w:p>
            <w:r>
              <w:rPr>
                <w:b/>
                <w:color w:val="B40000"/>
                <w:sz w:val="16"/>
              </w:rPr>
              <w:t>-8.84%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2,465</w:t>
            </w:r>
          </w:p>
        </w:tc>
        <w:tc>
          <w:tcPr>
            <w:tcW w:type="dxa" w:w="1417"/>
            <w:shd w:fill="FFFFFF" w:val="clear"/>
          </w:tcPr>
          <w:p>
            <w:r>
              <w:rPr>
                <w:sz w:val="16"/>
              </w:rPr>
              <w:t>2,244</w:t>
            </w:r>
          </w:p>
        </w:tc>
        <w:tc>
          <w:tcPr>
            <w:tcW w:type="dxa" w:w="1134"/>
            <w:shd w:fill="FFC7CE" w:val="clear"/>
          </w:tcPr>
          <w:p>
            <w:r>
              <w:rPr>
                <w:b/>
                <w:color w:val="B40000"/>
                <w:sz w:val="16"/>
              </w:rPr>
              <w:t>-8.95%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36,980</w:t>
            </w:r>
          </w:p>
        </w:tc>
        <w:tc>
          <w:tcPr>
            <w:tcW w:type="dxa" w:w="1417"/>
            <w:shd w:fill="FFFFFF" w:val="clear"/>
          </w:tcPr>
          <w:p>
            <w:r>
              <w:rPr>
                <w:sz w:val="16"/>
              </w:rPr>
              <w:t>33,635</w:t>
            </w:r>
          </w:p>
        </w:tc>
        <w:tc>
          <w:tcPr>
            <w:tcW w:type="dxa" w:w="1134"/>
            <w:shd w:fill="FFC7CE" w:val="clear"/>
          </w:tcPr>
          <w:p>
            <w:r>
              <w:rPr>
                <w:b/>
                <w:color w:val="B40000"/>
                <w:sz w:val="16"/>
              </w:rPr>
              <w:t>-9.05%</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28,800</w:t>
            </w:r>
          </w:p>
        </w:tc>
        <w:tc>
          <w:tcPr>
            <w:tcW w:type="dxa" w:w="1417"/>
            <w:shd w:fill="FFFFFF" w:val="clear"/>
          </w:tcPr>
          <w:p>
            <w:r>
              <w:rPr>
                <w:sz w:val="16"/>
              </w:rPr>
              <w:t>26,179</w:t>
            </w:r>
          </w:p>
        </w:tc>
        <w:tc>
          <w:tcPr>
            <w:tcW w:type="dxa" w:w="1134"/>
            <w:shd w:fill="FFC7CE" w:val="clear"/>
          </w:tcPr>
          <w:p>
            <w:r>
              <w:rPr>
                <w:b/>
                <w:color w:val="B40000"/>
                <w:sz w:val="16"/>
              </w:rPr>
              <w:t>-9.10%</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21,015</w:t>
            </w:r>
          </w:p>
        </w:tc>
        <w:tc>
          <w:tcPr>
            <w:tcW w:type="dxa" w:w="1417"/>
            <w:shd w:fill="FFFFFF" w:val="clear"/>
          </w:tcPr>
          <w:p>
            <w:r>
              <w:rPr>
                <w:sz w:val="16"/>
              </w:rPr>
              <w:t>18,964</w:t>
            </w:r>
          </w:p>
        </w:tc>
        <w:tc>
          <w:tcPr>
            <w:tcW w:type="dxa" w:w="1134"/>
            <w:shd w:fill="FFC7CE" w:val="clear"/>
          </w:tcPr>
          <w:p>
            <w:r>
              <w:rPr>
                <w:b/>
                <w:color w:val="B40000"/>
                <w:sz w:val="16"/>
              </w:rPr>
              <w:t>-9.76%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1,550</w:t>
            </w:r>
          </w:p>
        </w:tc>
        <w:tc>
          <w:tcPr>
            <w:tcW w:type="dxa" w:w="1417"/>
            <w:shd w:fill="FFFFFF" w:val="clear"/>
          </w:tcPr>
          <w:p>
            <w:r>
              <w:rPr>
                <w:sz w:val="16"/>
              </w:rPr>
              <w:t>1,392</w:t>
            </w:r>
          </w:p>
        </w:tc>
        <w:tc>
          <w:tcPr>
            <w:tcW w:type="dxa" w:w="1134"/>
            <w:shd w:fill="FFC7CE" w:val="clear"/>
          </w:tcPr>
          <w:p>
            <w:r>
              <w:rPr>
                <w:b/>
                <w:color w:val="B40000"/>
                <w:sz w:val="16"/>
              </w:rPr>
              <w:t>-10.19%</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12,145</w:t>
            </w:r>
          </w:p>
        </w:tc>
        <w:tc>
          <w:tcPr>
            <w:tcW w:type="dxa" w:w="1417"/>
            <w:shd w:fill="FFFFFF" w:val="clear"/>
          </w:tcPr>
          <w:p>
            <w:r>
              <w:rPr>
                <w:sz w:val="16"/>
              </w:rPr>
              <w:t>10,906</w:t>
            </w:r>
          </w:p>
        </w:tc>
        <w:tc>
          <w:tcPr>
            <w:tcW w:type="dxa" w:w="1134"/>
            <w:shd w:fill="FFC7CE" w:val="clear"/>
          </w:tcPr>
          <w:p>
            <w:r>
              <w:rPr>
                <w:b/>
                <w:color w:val="B40000"/>
                <w:sz w:val="16"/>
              </w:rPr>
              <w:t>-10.21%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7,600</w:t>
            </w:r>
          </w:p>
        </w:tc>
        <w:tc>
          <w:tcPr>
            <w:tcW w:type="dxa" w:w="1417"/>
            <w:shd w:fill="FFFFFF" w:val="clear"/>
          </w:tcPr>
          <w:p>
            <w:r>
              <w:rPr>
                <w:sz w:val="16"/>
              </w:rPr>
              <w:t>6,664</w:t>
            </w:r>
          </w:p>
        </w:tc>
        <w:tc>
          <w:tcPr>
            <w:tcW w:type="dxa" w:w="1134"/>
            <w:shd w:fill="FFC7CE" w:val="clear"/>
          </w:tcPr>
          <w:p>
            <w:r>
              <w:rPr>
                <w:b/>
                <w:color w:val="B40000"/>
                <w:sz w:val="16"/>
              </w:rPr>
              <w:t>-12.31%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3,350</w:t>
            </w:r>
          </w:p>
        </w:tc>
        <w:tc>
          <w:tcPr>
            <w:tcW w:type="dxa" w:w="1417"/>
            <w:shd w:fill="FFFFFF" w:val="clear"/>
          </w:tcPr>
          <w:p>
            <w:r>
              <w:rPr>
                <w:sz w:val="16"/>
              </w:rPr>
              <w:t>2,908</w:t>
            </w:r>
          </w:p>
        </w:tc>
        <w:tc>
          <w:tcPr>
            <w:tcW w:type="dxa" w:w="1134"/>
            <w:shd w:fill="FFC7CE" w:val="clear"/>
          </w:tcPr>
          <w:p>
            <w:r>
              <w:rPr>
                <w:b/>
                <w:color w:val="B40000"/>
                <w:sz w:val="16"/>
              </w:rPr>
              <w:t>-13.20%</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8,000</w:t>
            </w:r>
          </w:p>
        </w:tc>
        <w:tc>
          <w:tcPr>
            <w:tcW w:type="dxa" w:w="1417"/>
            <w:shd w:fill="FFFFFF" w:val="clear"/>
          </w:tcPr>
          <w:p>
            <w:r>
              <w:rPr>
                <w:sz w:val="16"/>
              </w:rPr>
              <w:t>6,872</w:t>
            </w:r>
          </w:p>
        </w:tc>
        <w:tc>
          <w:tcPr>
            <w:tcW w:type="dxa" w:w="1134"/>
            <w:shd w:fill="FFC7CE" w:val="clear"/>
          </w:tcPr>
          <w:p>
            <w:r>
              <w:rPr>
                <w:b/>
                <w:color w:val="B40000"/>
                <w:sz w:val="16"/>
              </w:rPr>
              <w:t>-14.10%</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6,490</w:t>
            </w:r>
          </w:p>
        </w:tc>
        <w:tc>
          <w:tcPr>
            <w:tcW w:type="dxa" w:w="1417"/>
            <w:shd w:fill="FFFFFF" w:val="clear"/>
          </w:tcPr>
          <w:p>
            <w:r>
              <w:rPr>
                <w:sz w:val="16"/>
              </w:rPr>
              <w:t>5,486</w:t>
            </w:r>
          </w:p>
        </w:tc>
        <w:tc>
          <w:tcPr>
            <w:tcW w:type="dxa" w:w="1134"/>
            <w:shd w:fill="FFC7CE" w:val="clear"/>
          </w:tcPr>
          <w:p>
            <w:r>
              <w:rPr>
                <w:b/>
                <w:color w:val="B40000"/>
                <w:sz w:val="16"/>
              </w:rPr>
              <w:t>-15.47%</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3,900</w:t>
            </w:r>
          </w:p>
        </w:tc>
        <w:tc>
          <w:tcPr>
            <w:tcW w:type="dxa" w:w="1417"/>
            <w:shd w:fill="FFFFFF" w:val="clear"/>
          </w:tcPr>
          <w:p>
            <w:r>
              <w:rPr>
                <w:sz w:val="16"/>
              </w:rPr>
              <w:t>3,286</w:t>
            </w:r>
          </w:p>
        </w:tc>
        <w:tc>
          <w:tcPr>
            <w:tcW w:type="dxa" w:w="1134"/>
            <w:shd w:fill="FFC7CE" w:val="clear"/>
          </w:tcPr>
          <w:p>
            <w:r>
              <w:rPr>
                <w:b/>
                <w:color w:val="B40000"/>
                <w:sz w:val="16"/>
              </w:rPr>
              <w:t>-15.76%</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1,458</w:t>
            </w:r>
          </w:p>
        </w:tc>
        <w:tc>
          <w:tcPr>
            <w:tcW w:type="dxa" w:w="1134"/>
            <w:shd w:fill="FFC7CE" w:val="clear"/>
          </w:tcPr>
          <w:p>
            <w:r>
              <w:rPr>
                <w:b/>
                <w:color w:val="B40000"/>
                <w:sz w:val="16"/>
              </w:rPr>
              <w:t>-16.20%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9,985</w:t>
            </w:r>
          </w:p>
        </w:tc>
        <w:tc>
          <w:tcPr>
            <w:tcW w:type="dxa" w:w="1417"/>
            <w:shd w:fill="FFFFFF" w:val="clear"/>
          </w:tcPr>
          <w:p>
            <w:r>
              <w:rPr>
                <w:sz w:val="16"/>
              </w:rPr>
              <w:t>8,141</w:t>
            </w:r>
          </w:p>
        </w:tc>
        <w:tc>
          <w:tcPr>
            <w:tcW w:type="dxa" w:w="1134"/>
            <w:shd w:fill="FFC7CE" w:val="clear"/>
          </w:tcPr>
          <w:p>
            <w:r>
              <w:rPr>
                <w:b/>
                <w:color w:val="B40000"/>
                <w:sz w:val="16"/>
              </w:rPr>
              <w:t>-18.47%</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7,158</w:t>
            </w:r>
          </w:p>
        </w:tc>
        <w:tc>
          <w:tcPr>
            <w:tcW w:type="dxa" w:w="1134"/>
            <w:shd w:fill="FFC7CE" w:val="clear"/>
          </w:tcPr>
          <w:p>
            <w:r>
              <w:rPr>
                <w:b/>
                <w:color w:val="B40000"/>
                <w:sz w:val="16"/>
              </w:rPr>
              <w:t>-20.47%</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8,650</w:t>
            </w:r>
          </w:p>
        </w:tc>
        <w:tc>
          <w:tcPr>
            <w:tcW w:type="dxa" w:w="1417"/>
            <w:shd w:fill="FFFFFF" w:val="clear"/>
          </w:tcPr>
          <w:p>
            <w:r>
              <w:rPr>
                <w:sz w:val="16"/>
              </w:rPr>
              <w:t>6,736</w:t>
            </w:r>
          </w:p>
        </w:tc>
        <w:tc>
          <w:tcPr>
            <w:tcW w:type="dxa" w:w="1134"/>
            <w:shd w:fill="FFC7CE" w:val="clear"/>
          </w:tcPr>
          <w:p>
            <w:r>
              <w:rPr>
                <w:b/>
                <w:color w:val="B40000"/>
                <w:sz w:val="16"/>
              </w:rPr>
              <w:t>-22.12%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2,370</w:t>
            </w:r>
          </w:p>
        </w:tc>
        <w:tc>
          <w:tcPr>
            <w:tcW w:type="dxa" w:w="1417"/>
            <w:shd w:fill="FFFFFF" w:val="clear"/>
          </w:tcPr>
          <w:p>
            <w:r>
              <w:rPr>
                <w:sz w:val="16"/>
              </w:rPr>
              <w:t>1,831</w:t>
            </w:r>
          </w:p>
        </w:tc>
        <w:tc>
          <w:tcPr>
            <w:tcW w:type="dxa" w:w="1134"/>
            <w:shd w:fill="FFC7CE" w:val="clear"/>
          </w:tcPr>
          <w:p>
            <w:r>
              <w:rPr>
                <w:b/>
                <w:color w:val="B40000"/>
                <w:sz w:val="16"/>
              </w:rPr>
              <w:t>-22.76%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2,460</w:t>
            </w:r>
          </w:p>
        </w:tc>
        <w:tc>
          <w:tcPr>
            <w:tcW w:type="dxa" w:w="1417"/>
            <w:shd w:fill="FFFFFF" w:val="clear"/>
          </w:tcPr>
          <w:p>
            <w:r>
              <w:rPr>
                <w:sz w:val="16"/>
              </w:rPr>
              <w:t>1,699</w:t>
            </w:r>
          </w:p>
        </w:tc>
        <w:tc>
          <w:tcPr>
            <w:tcW w:type="dxa" w:w="1134"/>
            <w:shd w:fill="FFC7CE" w:val="clear"/>
          </w:tcPr>
          <w:p>
            <w:r>
              <w:rPr>
                <w:b/>
                <w:color w:val="B40000"/>
                <w:sz w:val="16"/>
              </w:rPr>
              <w:t>-30.93%</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12,985</w:t>
            </w:r>
          </w:p>
        </w:tc>
        <w:tc>
          <w:tcPr>
            <w:tcW w:type="dxa" w:w="1417"/>
            <w:shd w:fill="FFFFFF" w:val="clear"/>
          </w:tcPr>
          <w:p>
            <w:r>
              <w:rPr>
                <w:sz w:val="16"/>
              </w:rPr>
              <w:t>8,837</w:t>
            </w:r>
          </w:p>
        </w:tc>
        <w:tc>
          <w:tcPr>
            <w:tcW w:type="dxa" w:w="1134"/>
            <w:shd w:fill="FFC7CE" w:val="clear"/>
          </w:tcPr>
          <w:p>
            <w:r>
              <w:rPr>
                <w:b/>
                <w:color w:val="B40000"/>
                <w:sz w:val="16"/>
              </w:rPr>
              <w:t>-31.94%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8,200</w:t>
            </w:r>
          </w:p>
        </w:tc>
        <w:tc>
          <w:tcPr>
            <w:tcW w:type="dxa" w:w="1417"/>
            <w:shd w:fill="FFFFFF" w:val="clear"/>
          </w:tcPr>
          <w:p>
            <w:r>
              <w:rPr>
                <w:sz w:val="16"/>
              </w:rPr>
              <w:t>5,498</w:t>
            </w:r>
          </w:p>
        </w:tc>
        <w:tc>
          <w:tcPr>
            <w:tcW w:type="dxa" w:w="1134"/>
            <w:shd w:fill="FFC7CE" w:val="clear"/>
          </w:tcPr>
          <w:p>
            <w:r>
              <w:rPr>
                <w:b/>
                <w:color w:val="B40000"/>
                <w:sz w:val="16"/>
              </w:rPr>
              <w:t>-32.95%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1,605</w:t>
            </w:r>
          </w:p>
        </w:tc>
        <w:tc>
          <w:tcPr>
            <w:tcW w:type="dxa" w:w="1134"/>
            <w:shd w:fill="FFC7CE" w:val="clear"/>
          </w:tcPr>
          <w:p>
            <w:r>
              <w:rPr>
                <w:b/>
                <w:color w:val="B40000"/>
                <w:sz w:val="16"/>
              </w:rPr>
              <w:t>-38.15%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2,400</w:t>
            </w:r>
          </w:p>
        </w:tc>
        <w:tc>
          <w:tcPr>
            <w:tcW w:type="dxa" w:w="1417"/>
            <w:shd w:fill="FFFFFF" w:val="clear"/>
          </w:tcPr>
          <w:p>
            <w:r>
              <w:rPr>
                <w:sz w:val="16"/>
              </w:rPr>
              <w:t>1,402</w:t>
            </w:r>
          </w:p>
        </w:tc>
        <w:tc>
          <w:tcPr>
            <w:tcW w:type="dxa" w:w="1134"/>
            <w:shd w:fill="FFC7CE" w:val="clear"/>
          </w:tcPr>
          <w:p>
            <w:r>
              <w:rPr>
                <w:b/>
                <w:color w:val="B40000"/>
                <w:sz w:val="16"/>
              </w:rPr>
              <w:t>-41.58%</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30,000</w:t>
            </w:r>
          </w:p>
        </w:tc>
        <w:tc>
          <w:tcPr>
            <w:tcW w:type="dxa" w:w="1417"/>
            <w:shd w:fill="FFFFFF" w:val="clear"/>
          </w:tcPr>
          <w:p>
            <w:r>
              <w:rPr>
                <w:sz w:val="16"/>
              </w:rPr>
              <w:t>17,468</w:t>
            </w:r>
          </w:p>
        </w:tc>
        <w:tc>
          <w:tcPr>
            <w:tcW w:type="dxa" w:w="1134"/>
            <w:shd w:fill="FFC7CE" w:val="clear"/>
          </w:tcPr>
          <w:p>
            <w:r>
              <w:rPr>
                <w:b/>
                <w:color w:val="B40000"/>
                <w:sz w:val="16"/>
              </w:rPr>
              <w:t>-41.77%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6,900</w:t>
            </w:r>
          </w:p>
        </w:tc>
        <w:tc>
          <w:tcPr>
            <w:tcW w:type="dxa" w:w="1417"/>
            <w:shd w:fill="FFFFFF" w:val="clear"/>
          </w:tcPr>
          <w:p>
            <w:r>
              <w:rPr>
                <w:sz w:val="16"/>
              </w:rPr>
              <w:t>3,265</w:t>
            </w:r>
          </w:p>
        </w:tc>
        <w:tc>
          <w:tcPr>
            <w:tcW w:type="dxa" w:w="1134"/>
            <w:shd w:fill="FFC7CE" w:val="clear"/>
          </w:tcPr>
          <w:p>
            <w:r>
              <w:rPr>
                <w:b/>
                <w:color w:val="B40000"/>
                <w:sz w:val="16"/>
              </w:rPr>
              <w:t>-52.69%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3,380</w:t>
            </w:r>
          </w:p>
        </w:tc>
        <w:tc>
          <w:tcPr>
            <w:tcW w:type="dxa" w:w="1417"/>
            <w:shd w:fill="FFFFFF" w:val="clear"/>
          </w:tcPr>
          <w:p>
            <w:r>
              <w:rPr>
                <w:sz w:val="16"/>
              </w:rPr>
              <w:t>1,550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5,700</w:t>
            </w:r>
          </w:p>
        </w:tc>
        <w:tc>
          <w:tcPr>
            <w:tcW w:type="dxa" w:w="1417"/>
            <w:shd w:fill="FFFFFF" w:val="clear"/>
          </w:tcPr>
          <w:p>
            <w:r>
              <w:rPr>
                <w:sz w:val="16"/>
              </w:rPr>
              <w:t>2,614</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3,195 titres</w:t>
            </w:r>
          </w:p>
        </w:tc>
        <w:tc>
          <w:tcPr>
            <w:tcW w:type="dxa" w:w="2268"/>
            <w:shd w:fill="FFF2CC" w:val="clear"/>
          </w:tcPr>
          <w:p>
            <w:r>
              <w:rPr>
                <w:b/>
                <w:color w:val="503200"/>
                <w:sz w:val="16"/>
              </w:rPr>
              <w:t xml:space="preserve">Cours actuel : </w:t>
            </w:r>
            <w:r>
              <w:rPr>
                <w:color w:val="000000"/>
                <w:sz w:val="17"/>
              </w:rPr>
              <w:t>3,350 FCFA</w:t>
            </w:r>
          </w:p>
          <w:p>
            <w:r>
              <w:rPr>
                <w:b/>
                <w:color w:val="503200"/>
                <w:sz w:val="16"/>
              </w:rPr>
              <w:t xml:space="preserve">Var. 100 jours : </w:t>
            </w:r>
            <w:r>
              <w:rPr>
                <w:b/>
                <w:color w:val="B40000"/>
                <w:sz w:val="17"/>
              </w:rPr>
              <w:t>-4.29%</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7.18% (Moyenne) — μ=3,208 FCFA, σ=230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β=0.1733 (Défensif) — Cov=0.000006, Var(idx)=0.000035, ρ=0.033,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3,127</w:t>
            </w:r>
          </w:p>
        </w:tc>
        <w:tc>
          <w:tcPr>
            <w:tcW w:type="dxa" w:w="1440"/>
            <w:shd w:fill="FAFAFA" w:val="clear"/>
          </w:tcPr>
          <w:p>
            <w:r>
              <w:rPr>
                <w:b/>
                <w:sz w:val="17"/>
              </w:rPr>
              <w:t>3,285</w:t>
            </w:r>
          </w:p>
        </w:tc>
        <w:tc>
          <w:tcPr>
            <w:tcW w:type="dxa" w:w="1440"/>
            <w:shd w:fill="FAFAFA" w:val="clear"/>
          </w:tcPr>
          <w:p>
            <w:r>
              <w:rPr>
                <w:sz w:val="17"/>
              </w:rPr>
              <w:t>3,443</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3,009</w:t>
            </w:r>
          </w:p>
        </w:tc>
        <w:tc>
          <w:tcPr>
            <w:tcW w:type="dxa" w:w="1440"/>
            <w:shd w:fill="FFDCE0" w:val="clear"/>
          </w:tcPr>
          <w:p>
            <w:r>
              <w:rPr>
                <w:b/>
                <w:sz w:val="17"/>
              </w:rPr>
              <w:t>3,229</w:t>
            </w:r>
          </w:p>
        </w:tc>
        <w:tc>
          <w:tcPr>
            <w:tcW w:type="dxa" w:w="1440"/>
            <w:shd w:fill="FFDCE0" w:val="clear"/>
          </w:tcPr>
          <w:p>
            <w:r>
              <w:rPr>
                <w:sz w:val="17"/>
              </w:rPr>
              <w:t>3,449</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2,912</w:t>
            </w:r>
          </w:p>
        </w:tc>
        <w:tc>
          <w:tcPr>
            <w:tcW w:type="dxa" w:w="1440"/>
            <w:shd w:fill="FFDCE0" w:val="clear"/>
          </w:tcPr>
          <w:p>
            <w:r>
              <w:rPr>
                <w:b/>
                <w:sz w:val="17"/>
              </w:rPr>
              <w:t>3,177</w:t>
            </w:r>
          </w:p>
        </w:tc>
        <w:tc>
          <w:tcPr>
            <w:tcW w:type="dxa" w:w="1440"/>
            <w:shd w:fill="FFDCE0" w:val="clear"/>
          </w:tcPr>
          <w:p>
            <w:r>
              <w:rPr>
                <w:sz w:val="17"/>
              </w:rPr>
              <w:t>3,442</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2,829</w:t>
            </w:r>
          </w:p>
        </w:tc>
        <w:tc>
          <w:tcPr>
            <w:tcW w:type="dxa" w:w="1440"/>
            <w:shd w:fill="FFDCE0" w:val="clear"/>
          </w:tcPr>
          <w:p>
            <w:r>
              <w:rPr>
                <w:b/>
                <w:sz w:val="17"/>
              </w:rPr>
              <w:t>3,131</w:t>
            </w:r>
          </w:p>
        </w:tc>
        <w:tc>
          <w:tcPr>
            <w:tcW w:type="dxa" w:w="1440"/>
            <w:shd w:fill="FFDCE0" w:val="clear"/>
          </w:tcPr>
          <w:p>
            <w:r>
              <w:rPr>
                <w:sz w:val="17"/>
              </w:rPr>
              <w:t>3,432</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2,755</w:t>
            </w:r>
          </w:p>
        </w:tc>
        <w:tc>
          <w:tcPr>
            <w:tcW w:type="dxa" w:w="1440"/>
            <w:shd w:fill="FFDCE0" w:val="clear"/>
          </w:tcPr>
          <w:p>
            <w:r>
              <w:rPr>
                <w:b/>
                <w:sz w:val="17"/>
              </w:rPr>
              <w:t>3,088</w:t>
            </w:r>
          </w:p>
        </w:tc>
        <w:tc>
          <w:tcPr>
            <w:tcW w:type="dxa" w:w="1440"/>
            <w:shd w:fill="FFDCE0" w:val="clear"/>
          </w:tcPr>
          <w:p>
            <w:r>
              <w:rPr>
                <w:sz w:val="17"/>
              </w:rPr>
              <w:t>3,420</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2,688</w:t>
            </w:r>
          </w:p>
        </w:tc>
        <w:tc>
          <w:tcPr>
            <w:tcW w:type="dxa" w:w="1440"/>
            <w:shd w:fill="FFDCE0" w:val="clear"/>
          </w:tcPr>
          <w:p>
            <w:r>
              <w:rPr>
                <w:b/>
                <w:sz w:val="17"/>
              </w:rPr>
              <w:t>3,048</w:t>
            </w:r>
          </w:p>
        </w:tc>
        <w:tc>
          <w:tcPr>
            <w:tcW w:type="dxa" w:w="1440"/>
            <w:shd w:fill="FFDCE0" w:val="clear"/>
          </w:tcPr>
          <w:p>
            <w:r>
              <w:rPr>
                <w:sz w:val="17"/>
              </w:rPr>
              <w:t>3,408</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2,627</w:t>
            </w:r>
          </w:p>
        </w:tc>
        <w:tc>
          <w:tcPr>
            <w:tcW w:type="dxa" w:w="1440"/>
            <w:shd w:fill="FFDCE0" w:val="clear"/>
          </w:tcPr>
          <w:p>
            <w:r>
              <w:rPr>
                <w:b/>
                <w:sz w:val="17"/>
              </w:rPr>
              <w:t>3,010</w:t>
            </w:r>
          </w:p>
        </w:tc>
        <w:tc>
          <w:tcPr>
            <w:tcW w:type="dxa" w:w="1440"/>
            <w:shd w:fill="FFDCE0" w:val="clear"/>
          </w:tcPr>
          <w:p>
            <w:r>
              <w:rPr>
                <w:sz w:val="17"/>
              </w:rPr>
              <w:t>3,394</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2,569</w:t>
            </w:r>
          </w:p>
        </w:tc>
        <w:tc>
          <w:tcPr>
            <w:tcW w:type="dxa" w:w="1440"/>
            <w:shd w:fill="FFDCE0" w:val="clear"/>
          </w:tcPr>
          <w:p>
            <w:r>
              <w:rPr>
                <w:b/>
                <w:sz w:val="17"/>
              </w:rPr>
              <w:t>2,975</w:t>
            </w:r>
          </w:p>
        </w:tc>
        <w:tc>
          <w:tcPr>
            <w:tcW w:type="dxa" w:w="1440"/>
            <w:shd w:fill="FFDCE0" w:val="clear"/>
          </w:tcPr>
          <w:p>
            <w:r>
              <w:rPr>
                <w:sz w:val="17"/>
              </w:rPr>
              <w:t>3,380</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2,516</w:t>
            </w:r>
          </w:p>
        </w:tc>
        <w:tc>
          <w:tcPr>
            <w:tcW w:type="dxa" w:w="1440"/>
            <w:shd w:fill="FFDCE0" w:val="clear"/>
          </w:tcPr>
          <w:p>
            <w:r>
              <w:rPr>
                <w:b/>
                <w:sz w:val="17"/>
              </w:rPr>
              <w:t>2,940</w:t>
            </w:r>
          </w:p>
        </w:tc>
        <w:tc>
          <w:tcPr>
            <w:tcW w:type="dxa" w:w="1440"/>
            <w:shd w:fill="FFDCE0" w:val="clear"/>
          </w:tcPr>
          <w:p>
            <w:r>
              <w:rPr>
                <w:sz w:val="17"/>
              </w:rPr>
              <w:t>3,365</w:t>
            </w:r>
          </w:p>
        </w:tc>
        <w:tc>
          <w:tcPr>
            <w:tcW w:type="dxa" w:w="1440"/>
            <w:shd w:fill="FFDCE0" w:val="clear"/>
          </w:tcPr>
          <w:p>
            <w:r>
              <w:rPr>
                <w:b/>
                <w:color w:val="C00000"/>
                <w:sz w:val="17"/>
              </w:rPr>
              <w:t>-12.2%</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2,465</w:t>
            </w:r>
          </w:p>
        </w:tc>
        <w:tc>
          <w:tcPr>
            <w:tcW w:type="dxa" w:w="1440"/>
            <w:shd w:fill="FFDCE0" w:val="clear"/>
          </w:tcPr>
          <w:p>
            <w:r>
              <w:rPr>
                <w:b/>
                <w:sz w:val="17"/>
              </w:rPr>
              <w:t>2,908</w:t>
            </w:r>
          </w:p>
        </w:tc>
        <w:tc>
          <w:tcPr>
            <w:tcW w:type="dxa" w:w="1440"/>
            <w:shd w:fill="FFDCE0" w:val="clear"/>
          </w:tcPr>
          <w:p>
            <w:r>
              <w:rPr>
                <w:sz w:val="17"/>
              </w:rPr>
              <w:t>3,351</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36,56 milliards FCFA, un niveau significatif pour une valeur de la BRVM, reflétant une reconnaissance certaine du marché. Avec un BPA de 124 FCFA, le titre se paie un PER de 27,1x, ce qui est très élevé par rapport à la moyenne historique de la BRVM (8-12x). Cette prime suggère que les investisseurs intègrent des attentes de croissance future substantielles, mais expose également le titre à un risque de correction si ces attentes ne se matérialisent pas. Le P/B de 7,09x confirme cette valorisation exigeante, le marché valorisant l'actif net bien au-delà de sa valeur comptable. Enfin, un EV/EBITDA de 13,7x, dans la fourchette haute (10-15x), indique que la valeur totale de l'entreprise (capitalisation + dette nette) reste chère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de -4,29%, avec une dernière séance en recul de -1,47% à 3 350 FCFA. Le titre a évolué dans une fourchette de 2 800 à 3 780 FCFA, montrant une amplitude de trading importante. La moyenne du cours sur la période est de 3 208 FCFA, très proche de la médiane (3 182 FCFA), indiquant une distribution des prix relativement symétrique, ce que confirme le skewness de 0.287. L'écart-type de 232 FCFA (CV=7,2%) montre une dispersion modérée autour de la moyenne. Le kurtosis de -0.661 (mésokurtique) suggère une absence de risques de variations extrêmes (pas de "grosses queues" de distribution). La volatilité annualisée de 48,6% est très élevée, classant le titre comme spéculatif et risqué à court terme, malgré une distribution statistique des prix apparemment calme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La MM20 (3 135 FCFA) est inférieure à la MM50 (3 195,2 FCFA), et le cours actuel (3 350 FCFA) se situe au-dessus des deux. Cette configuration est ambiguë : le cours est en hausse à court terme, mais la MM50 sous la MM20 indique une tendance de fond encore baissière. La décision de "Vente" est probablement liée à la croix de la mort passée, mais le rebond actuel pourrait signaler un retournement.</w:t>
      </w:r>
    </w:p>
    <w:p>
      <w:pPr>
        <w:spacing w:after="120" w:line="276" w:lineRule="auto"/>
      </w:pPr>
      <w:r>
        <w:t>**Bandes de Bollinger**: Le cours (3 350 FCFA) évolue dans la partie supérieure des bandes (borne haute à 3 462 FCFA, borne basse à 2 807 FCFA). La largeur des bandes est très importante, reflétant la forte volatilité du titre. La décision "Neutre" est cohérente : le prix n'est pas en zone de surachat extrême, mais la pression acheteuse est présente.</w:t>
      </w:r>
    </w:p>
    <w:p>
      <w:pPr>
        <w:spacing w:after="120" w:line="276" w:lineRule="auto"/>
      </w:pPr>
      <w:r>
        <w:t>**MACD**: Le MACD (68,4) est nettement au-dessus de son signal (26,6), indiquant un momentum haussier très fort. La décision "Achat" est justifiée par cette divergence positive, qui suggère que la dynamique de court terme est clairement en faveur des acheteurs.</w:t>
      </w:r>
    </w:p>
    <w:p>
      <w:pPr>
        <w:spacing w:after="120" w:line="276" w:lineRule="auto"/>
      </w:pPr>
      <w:r>
        <w:t>**RSI**: Le RSI à 69,2 est en zone neutre, mais très proche du seuil de surachat (70). Cela indique une forte pression acheteuse sans qu'elle soit encore excessive. La décision "Neutre" est prudente, mais un dépassement des 70 signalerait un essoufflement potentiel.</w:t>
      </w:r>
    </w:p>
    <w:p>
      <w:pPr>
        <w:spacing w:after="120" w:line="276" w:lineRule="auto"/>
      </w:pPr>
      <w:r>
        <w:t>**Stochastique**: Le %K (91,7) et le %D (97,2) sont tous deux en zone de surachat extrême (&gt;80). Cette configuration signale un marché survendu à la hausse, avec un fort risque de retournement baissier. La décision "Vente" est justifiée par ce niveau extrême.</w:t>
      </w:r>
    </w:p>
    <w:p>
      <w:pPr>
        <w:spacing w:after="120" w:line="276" w:lineRule="auto"/>
      </w:pPr>
      <w:r>
        <w:t>**Conclusion technique**: Les indicateurs sont contradictoires. Le MACD et la position du cours dans les bandes de Bollinger suggèrent une dynamique haussière, mais le RSI proche du surachat et surtout le Stochastique extrêmement suracheté indiquent un risque élevé de correction à très court terme. La tendance de fond (MM50) reste baissière. Le signal global est donc celui d'un rebond technique fragile, potentiellement à bout de souffle.</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2025, ABJC affiche un chiffre d'affaires de 13,298 milliards FCFA, en croissance de 6,7%, et un résultat net de 1,351 milliard FCFA. La rentabilité est excellente avec un ROE de 26,18% et un ROA de 14,64%. La structure financière est saine avec un ratio d'autonomie de 55,9% et une trésorerie nette très positive de 4,035 milliards FCFA. L'entreprise, non bancaire, présente un BFR de 257 millions FCFA, un délai client de 70 jours (élevé, à surveiller) et un délai fournisseur de 92 jours (favorable). Les rapports narratifs de 2025 confirment cette tendance : le rapport du 3ème trimestre 2025 (cumul 9 mois) montre une solide croissance du CA (+10,3% sur le T3) et une forte hausse du résultat net (+17,1%). Cependant, le rapport du 1er trimestre 2026 (publié en 2026) indique une forte dégradation de la rentabilité avec un résultat net en chute de -35,6%, impacté par des ajustements de redevances aéroportuaires. Sur la base de ce T1 2026, on estime que l'exercice 2026 pourrait voir une contraction significative de la marge nette, malgré une croissance du CA de 1,9%. La solidité financière et la rentabilité passée sont des atouts, mais les perspectives immédiates sont assombries par ce choc réglementaire.</w:t>
      </w:r>
    </w:p>
    <w:p>
      <w:pPr>
        <w:spacing w:after="120" w:line="276" w:lineRule="auto"/>
      </w:pPr>
      <w:r>
        <w:t>---</w:t>
      </w:r>
    </w:p>
    <w:p>
      <w:pPr>
        <w:spacing w:after="120" w:line="276" w:lineRule="auto"/>
      </w:pPr>
      <w:r>
        <w:t>### PARTIE 4 : CONCLUSION D'INVESTISSEMENT</w:t>
      </w:r>
    </w:p>
    <w:p>
      <w:pPr>
        <w:spacing w:after="120" w:line="276" w:lineRule="auto"/>
      </w:pPr>
      <w:r>
        <w:t>La valorisation d'ABJC est extrêmement exigeante (PER 27x, P/B 7x), ce qui laisse peu de marge d'erreur. Le comportement du cours sur 100 jours est baissier avec une volatilité très élevée, et les statistiques suggèrent un marché prudent. Les signaux techniques sont mitigés : un momentum haussier (MACD) mais des indicateurs de surachat (Stochastique) qui annoncent une correction probable, dans une tendance de fond (MM50) encore baissière. Les fondamentaux, bien que solides en 2025 (ROE de 26%), se dégradent nettement en 2026, comme le montre la chute de -35,6% du résultat net au T1 2026. Les prédictions IA pour les 10 prochains jours (baisse de 3 285 à 3 088 FCFA) confirment cette analyse baissière à court terme. En synthèse, la convergence des signaux (valorisation excessive, dégradation des fondamentaux, prédictions IA baissières) est défavorable. **Recommandation : VENTE.** Le niveau de confiance est **Moyen** (la solidité du bilan limite le risque de chute brutale). Le niveau de risque global est **Élevé**. L'horizon d'investissement optimal est le **court terme (&lt; 3 mois)** pour les investisseurs cherchant à réduire leur exposition, en attendant une meilleure visibilité sur la résolution des tensions sur les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11,325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+61.10%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5,090 FCFA</w:t>
            </w:r>
          </w:p>
          <w:p>
            <w:r>
              <w:rPr>
                <w:b/>
                <w:color w:val="503200"/>
                <w:sz w:val="16"/>
              </w:rPr>
              <w:t xml:space="preserve">Volatilité ann. : </w:t>
            </w:r>
            <w:r>
              <w:rPr>
                <w:color w:val="000000"/>
                <w:sz w:val="17"/>
              </w:rPr>
              <w:t>30.2%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17.57% (Élevée) — μ=6,040 FCFA, σ=1,061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β=0.2662 (Défensif) — Cov=0.000009, Var(idx)=0.000035, ρ=0.083,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σ_j=1.90%/j (Stable) — Vol. annualisée≈30.2%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7,259</w:t>
            </w:r>
          </w:p>
        </w:tc>
        <w:tc>
          <w:tcPr>
            <w:tcW w:type="dxa" w:w="1440"/>
            <w:shd w:fill="FFDCE0" w:val="clear"/>
          </w:tcPr>
          <w:p>
            <w:r>
              <w:rPr>
                <w:b/>
                <w:sz w:val="17"/>
              </w:rPr>
              <w:t>7,585</w:t>
            </w:r>
          </w:p>
        </w:tc>
        <w:tc>
          <w:tcPr>
            <w:tcW w:type="dxa" w:w="1440"/>
            <w:shd w:fill="FFDCE0" w:val="clear"/>
          </w:tcPr>
          <w:p>
            <w:r>
              <w:rPr>
                <w:sz w:val="17"/>
              </w:rPr>
              <w:t>7,911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6,590</w:t>
            </w:r>
          </w:p>
        </w:tc>
        <w:tc>
          <w:tcPr>
            <w:tcW w:type="dxa" w:w="1440"/>
            <w:shd w:fill="FFDCE0" w:val="clear"/>
          </w:tcPr>
          <w:p>
            <w:r>
              <w:rPr>
                <w:b/>
                <w:sz w:val="17"/>
              </w:rPr>
              <w:t>7,016</w:t>
            </w:r>
          </w:p>
        </w:tc>
        <w:tc>
          <w:tcPr>
            <w:tcW w:type="dxa" w:w="1440"/>
            <w:shd w:fill="FFDCE0" w:val="clear"/>
          </w:tcPr>
          <w:p>
            <w:r>
              <w:rPr>
                <w:sz w:val="17"/>
              </w:rPr>
              <w:t>7,442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6,007</w:t>
            </w:r>
          </w:p>
        </w:tc>
        <w:tc>
          <w:tcPr>
            <w:tcW w:type="dxa" w:w="1440"/>
            <w:shd w:fill="FFDCE0" w:val="clear"/>
          </w:tcPr>
          <w:p>
            <w:r>
              <w:rPr>
                <w:b/>
                <w:sz w:val="17"/>
              </w:rPr>
              <w:t>6,490</w:t>
            </w:r>
          </w:p>
        </w:tc>
        <w:tc>
          <w:tcPr>
            <w:tcW w:type="dxa" w:w="1440"/>
            <w:shd w:fill="FFDCE0" w:val="clear"/>
          </w:tcPr>
          <w:p>
            <w:r>
              <w:rPr>
                <w:sz w:val="17"/>
              </w:rPr>
              <w:t>6,973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5,671</w:t>
            </w:r>
          </w:p>
        </w:tc>
        <w:tc>
          <w:tcPr>
            <w:tcW w:type="dxa" w:w="1440"/>
            <w:shd w:fill="FFDCE0" w:val="clear"/>
          </w:tcPr>
          <w:p>
            <w:r>
              <w:rPr>
                <w:b/>
                <w:sz w:val="17"/>
              </w:rPr>
              <w:t>6,204</w:t>
            </w:r>
          </w:p>
        </w:tc>
        <w:tc>
          <w:tcPr>
            <w:tcW w:type="dxa" w:w="1440"/>
            <w:shd w:fill="FFDCE0" w:val="clear"/>
          </w:tcPr>
          <w:p>
            <w:r>
              <w:rPr>
                <w:sz w:val="17"/>
              </w:rPr>
              <w:t>6,737</w:t>
            </w:r>
          </w:p>
        </w:tc>
        <w:tc>
          <w:tcPr>
            <w:tcW w:type="dxa" w:w="1440"/>
            <w:shd w:fill="FFDCE0" w:val="clear"/>
          </w:tcPr>
          <w:p>
            <w:r>
              <w:rPr>
                <w:b/>
                <w:color w:val="C00000"/>
                <w:sz w:val="17"/>
              </w:rPr>
              <w:t>-24.3%</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5,461</w:t>
            </w:r>
          </w:p>
        </w:tc>
        <w:tc>
          <w:tcPr>
            <w:tcW w:type="dxa" w:w="1440"/>
            <w:shd w:fill="FFDCE0" w:val="clear"/>
          </w:tcPr>
          <w:p>
            <w:r>
              <w:rPr>
                <w:b/>
                <w:sz w:val="17"/>
              </w:rPr>
              <w:t>6,041</w:t>
            </w:r>
          </w:p>
        </w:tc>
        <w:tc>
          <w:tcPr>
            <w:tcW w:type="dxa" w:w="1440"/>
            <w:shd w:fill="FFDCE0" w:val="clear"/>
          </w:tcPr>
          <w:p>
            <w:r>
              <w:rPr>
                <w:sz w:val="17"/>
              </w:rPr>
              <w:t>6,621</w:t>
            </w:r>
          </w:p>
        </w:tc>
        <w:tc>
          <w:tcPr>
            <w:tcW w:type="dxa" w:w="1440"/>
            <w:shd w:fill="FFDCE0" w:val="clear"/>
          </w:tcPr>
          <w:p>
            <w:r>
              <w:rPr>
                <w:b/>
                <w:color w:val="C00000"/>
                <w:sz w:val="17"/>
              </w:rPr>
              <w:t>-26.3%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5,278</w:t>
            </w:r>
          </w:p>
        </w:tc>
        <w:tc>
          <w:tcPr>
            <w:tcW w:type="dxa" w:w="1440"/>
            <w:shd w:fill="FFDCE0" w:val="clear"/>
          </w:tcPr>
          <w:p>
            <w:r>
              <w:rPr>
                <w:b/>
                <w:sz w:val="17"/>
              </w:rPr>
              <w:t>5,899</w:t>
            </w:r>
          </w:p>
        </w:tc>
        <w:tc>
          <w:tcPr>
            <w:tcW w:type="dxa" w:w="1440"/>
            <w:shd w:fill="FFDCE0" w:val="clear"/>
          </w:tcPr>
          <w:p>
            <w:r>
              <w:rPr>
                <w:sz w:val="17"/>
              </w:rPr>
              <w:t>6,519</w:t>
            </w:r>
          </w:p>
        </w:tc>
        <w:tc>
          <w:tcPr>
            <w:tcW w:type="dxa" w:w="1440"/>
            <w:shd w:fill="FFDCE0" w:val="clear"/>
          </w:tcPr>
          <w:p>
            <w:r>
              <w:rPr>
                <w:b/>
                <w:color w:val="C00000"/>
                <w:sz w:val="17"/>
              </w:rPr>
              <w:t>-28.1%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5,119</w:t>
            </w:r>
          </w:p>
        </w:tc>
        <w:tc>
          <w:tcPr>
            <w:tcW w:type="dxa" w:w="1440"/>
            <w:shd w:fill="FFDCE0" w:val="clear"/>
          </w:tcPr>
          <w:p>
            <w:r>
              <w:rPr>
                <w:b/>
                <w:sz w:val="17"/>
              </w:rPr>
              <w:t>5,776</w:t>
            </w:r>
          </w:p>
        </w:tc>
        <w:tc>
          <w:tcPr>
            <w:tcW w:type="dxa" w:w="1440"/>
            <w:shd w:fill="FFDCE0" w:val="clear"/>
          </w:tcPr>
          <w:p>
            <w:r>
              <w:rPr>
                <w:sz w:val="17"/>
              </w:rPr>
              <w:t>6,432</w:t>
            </w:r>
          </w:p>
        </w:tc>
        <w:tc>
          <w:tcPr>
            <w:tcW w:type="dxa" w:w="1440"/>
            <w:shd w:fill="FFDCE0" w:val="clear"/>
          </w:tcPr>
          <w:p>
            <w:r>
              <w:rPr>
                <w:b/>
                <w:color w:val="C00000"/>
                <w:sz w:val="17"/>
              </w:rPr>
              <w:t>-29.6%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4,981</w:t>
            </w:r>
          </w:p>
        </w:tc>
        <w:tc>
          <w:tcPr>
            <w:tcW w:type="dxa" w:w="1440"/>
            <w:shd w:fill="FFDCE0" w:val="clear"/>
          </w:tcPr>
          <w:p>
            <w:r>
              <w:rPr>
                <w:b/>
                <w:sz w:val="17"/>
              </w:rPr>
              <w:t>5,670</w:t>
            </w:r>
          </w:p>
        </w:tc>
        <w:tc>
          <w:tcPr>
            <w:tcW w:type="dxa" w:w="1440"/>
            <w:shd w:fill="FFDCE0" w:val="clear"/>
          </w:tcPr>
          <w:p>
            <w:r>
              <w:rPr>
                <w:sz w:val="17"/>
              </w:rPr>
              <w:t>6,358</w:t>
            </w:r>
          </w:p>
        </w:tc>
        <w:tc>
          <w:tcPr>
            <w:tcW w:type="dxa" w:w="1440"/>
            <w:shd w:fill="FFDCE0" w:val="clear"/>
          </w:tcPr>
          <w:p>
            <w:r>
              <w:rPr>
                <w:b/>
                <w:color w:val="C00000"/>
                <w:sz w:val="17"/>
              </w:rPr>
              <w:t>-30.9%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4,859</w:t>
            </w:r>
          </w:p>
        </w:tc>
        <w:tc>
          <w:tcPr>
            <w:tcW w:type="dxa" w:w="1440"/>
            <w:shd w:fill="FFDCE0" w:val="clear"/>
          </w:tcPr>
          <w:p>
            <w:r>
              <w:rPr>
                <w:b/>
                <w:sz w:val="17"/>
              </w:rPr>
              <w:t>5,578</w:t>
            </w:r>
          </w:p>
        </w:tc>
        <w:tc>
          <w:tcPr>
            <w:tcW w:type="dxa" w:w="1440"/>
            <w:shd w:fill="FFDCE0" w:val="clear"/>
          </w:tcPr>
          <w:p>
            <w:r>
              <w:rPr>
                <w:sz w:val="17"/>
              </w:rPr>
              <w:t>6,296</w:t>
            </w:r>
          </w:p>
        </w:tc>
        <w:tc>
          <w:tcPr>
            <w:tcW w:type="dxa" w:w="1440"/>
            <w:shd w:fill="FFDCE0" w:val="clear"/>
          </w:tcPr>
          <w:p>
            <w:r>
              <w:rPr>
                <w:b/>
                <w:color w:val="C00000"/>
                <w:sz w:val="17"/>
              </w:rPr>
              <w:t>-32.0%</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4,751</w:t>
            </w:r>
          </w:p>
        </w:tc>
        <w:tc>
          <w:tcPr>
            <w:tcW w:type="dxa" w:w="1440"/>
            <w:shd w:fill="FFDCE0" w:val="clear"/>
          </w:tcPr>
          <w:p>
            <w:r>
              <w:rPr>
                <w:b/>
                <w:sz w:val="17"/>
              </w:rPr>
              <w:t>5,498</w:t>
            </w:r>
          </w:p>
        </w:tc>
        <w:tc>
          <w:tcPr>
            <w:tcW w:type="dxa" w:w="1440"/>
            <w:shd w:fill="FFDCE0" w:val="clear"/>
          </w:tcPr>
          <w:p>
            <w:r>
              <w:rPr>
                <w:sz w:val="17"/>
              </w:rPr>
              <w:t>6,245</w:t>
            </w:r>
          </w:p>
        </w:tc>
        <w:tc>
          <w:tcPr>
            <w:tcW w:type="dxa" w:w="1440"/>
            <w:shd w:fill="FFDCE0" w:val="clear"/>
          </w:tcPr>
          <w:p>
            <w:r>
              <w:rPr>
                <w:b/>
                <w:color w:val="C00000"/>
                <w:sz w:val="17"/>
              </w:rPr>
              <w:t>-32.9%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Absolument. Voici un rapport d'analyse structuré et professionnel pour l'action BICB (BIIC)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473,63 milliards FCFA positionne la BICB comme l'une des valeurs les plus significatives de la BRVM, reflétant sa stature de leader bancaire régional. Avec un BPA de 627 FCFA, chaque action génère un bénéfice substantiel. Le PER de 13,1x est légèrement supérieur à la moyenne historique de la BRVM (8-12x), indiquant que les investisseurs acceptent de payer une prime pour la croissance et la solidité de la banque. Le P/B de 3,51x confirme cette prime, le marché valorisant l'actif net comptable bien au-delà de sa valeur, signe de fortes attentes de création de valeur future. Enfin, l'EV/EBITDA de 23,7x, bien que très exigeant, témoigne de la confiance du marché dans la capacité opérationnelle de la banque à générer des flux, même si ce niveau est élevé par rapport aux standards.</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exceptionnelle de +61,10%, bien que la dernière séance ait clôturé en baisse de -2,38% à 8 200 FCFA. Cette tendance haussière marquée est illustrée par un range de trading très large, oscillant entre un plus bas de 5 090 FCFA et un plus haut de 8 500 FCFA. L'analyse statistique révèle une distribution asymétrique positive (skewness de 1.046), avec une moyenne (6 040 FCFA) nettement supérieure à la médiane (5 595 FCFA), ce qui indique que la majorité des séances se sont déroulées sous le prix moyen, mais que les fortes hausses récentes ont tiré la moyenne vers le haut. L'écart-type de 1 066 FCFA (CV=17,7%) montre une dispersion modérée, tandis que le kurtosis de -0.266 (mésokurtique) suggère une distribution des rendements proche de la normale, sans risque de pics extrêmes. La volatilité annualisée de 30,2% classe le titre comme très volatil, un niveau élevé qui reflète un fort intérêt spéculatif et des mouvements de prix amples.</w:t>
      </w:r>
    </w:p>
    <w:p>
      <w:pPr>
        <w:spacing w:after="120" w:line="276" w:lineRule="auto"/>
      </w:pPr>
      <w:r>
        <w:t>### PARTIE 2 : ANALYSE TECHNIQUE DÉTAILLÉE</w:t>
      </w:r>
    </w:p>
    <w:p>
      <w:pPr>
        <w:spacing w:after="120" w:line="276" w:lineRule="auto"/>
      </w:pPr>
      <w:r>
        <w:t>**Moyennes Mobiles**: Le cours actuel (8 200 FCFA) se situe nettement au-dessus de la MM20 (7 933 FCFA) et de la MM50 (6 848 FCFA). Cette configuration haussière, où les moyennes sont orientées à la hausse, confirme une dynamique de tendance positive. La décision d'**Achat** est justifiée par la force de la tendance de fond, le prix évoluant dans un canal ascendant.</w:t>
      </w:r>
    </w:p>
    <w:p>
      <w:pPr>
        <w:spacing w:after="120" w:line="276" w:lineRule="auto"/>
      </w:pPr>
      <w:r>
        <w:t>**Bandes de Bollinger**: Le prix se positionne dans la partie supérieure des bandes, entre la borne inférieure (7 168,8 FCFA) et la borne supérieure (8 697,2 FCFA), sans la toucher. Cela indique une volatilité modérée et un momentum positif, mais sans condition de surachat extrême. La décision **Neutre** est cohérente avec un prix qui respire dans un canal haussier sans être en extension excessive.</w:t>
      </w:r>
    </w:p>
    <w:p>
      <w:pPr>
        <w:spacing w:after="120" w:line="276" w:lineRule="auto"/>
      </w:pPr>
      <w:r>
        <w:t>**MACD**: La valeur du MACD (456,65) est légèrement inférieure à son signal (472,02), indiquant un affaiblissement du momentum haussier à court terme. Bien que les deux lignes soient en territoire positif, ce croisement baissier suggère une possible consolidation ou correction technique après la forte hausse. La décision de **Vente** est un signal de prudence, signalant un essoufflement potentiel.</w:t>
      </w:r>
    </w:p>
    <w:p>
      <w:pPr>
        <w:spacing w:after="120" w:line="276" w:lineRule="auto"/>
      </w:pPr>
      <w:r>
        <w:t>**RSI**: Avec une valeur de 66,94, le RSI est en zone neutre-haute, proche du seuil de surachat (70). Il indique que la pression acheteuse reste dominante, mais que le titre commence à devenir techniquement étendu. La décision **Neutre** est pertinente, car le RSI n'est pas encore en surachat extrême, mais il faut surveiller une possible entrée en zone de surachat.</w:t>
      </w:r>
    </w:p>
    <w:p>
      <w:pPr>
        <w:spacing w:after="120" w:line="276" w:lineRule="auto"/>
      </w:pPr>
      <w:r>
        <w:t>**Stochastique**: Le %K (70,0) est inférieur au %D (83,5), formant un croisement baissier en territoire élevé. Ce signal indique un affaiblissement de la dynamique haussière à court terme, suggérant une possible phase de correction ou de consolidation. La décision **Neutre** est prudente, car le croisement baissier n'est pas encore confirmé par une sortie de zone de surachat.</w:t>
      </w:r>
    </w:p>
    <w:p>
      <w:pPr>
        <w:spacing w:after="120" w:line="276" w:lineRule="auto"/>
      </w:pPr>
      <w:r>
        <w:t>**Conclusion technique**: La tendance de fond reste résolument haussière, portée par les moyennes mobiles. Cependant, les indicateurs de momentum (MACD, Stochastique) montrent des signes d'essoufflement, et le RSI approche des niveaux de surachat. Ce mélange de signaux suggère une phase de consolidation à court terme avant une possible reprise de la tendance haussière. La prudence est de mise pour les nouveaux achats à ces niveaux.</w:t>
      </w:r>
    </w:p>
    <w:p>
      <w:pPr>
        <w:spacing w:after="120" w:line="276" w:lineRule="auto"/>
      </w:pPr>
      <w:r>
        <w:t>### PARTIE 3 : ANALYSE FONDAMENTALE (SECTION CRITIQUE)</w:t>
      </w:r>
    </w:p>
    <w:p>
      <w:pPr>
        <w:spacing w:after="120" w:line="276" w:lineRule="auto"/>
      </w:pPr>
      <w:r>
        <w:t>En 2025, la BICB affiche des fondamentaux solides avec un Produit Net Bancaire (PNB) de 52,805 milliards FCFA et un résultat net de 36,237 milliards FCFA. La rentabilité est excellente, avec un ROE de 26,82% et un ROA de 1,96%. Le coefficient d'exploitation de 31,12% témoigne d'une excellente maîtrise des charges, bien en deçà du seuil de 60% considéré comme efficace. Le coût du risque de 9,61% est un point de vigilance, indiquant un risque de crédit significatif. La transformation est très dynamique, avec des dépôts clients (1 181,045 Mds FCFA) supérieurs aux créances sur la clientèle (1 151,536 Mds FCFA), mais le ratio crédits/dépôts est très tendu à 97,5%. Les rapports trimestriels de 2025 montrent une croissance commerciale vigoureuse (PNB +26% au T3), mais une rentabilité en recul en raison d'un provisionnement massif. Cependant, le rapport T1 2026 est très encourageant, avec un résultat net en hausse de 48% à 8,0 milliards FCFA, suggérant une normalisation du coût du risque et une amélioration de la rentabilité. On estime que l'exercice 2026 pourrait voir une poursuite de cette dynamique, avec un PNB en forte croissance et une rentabilité en nette amélioration.</w:t>
      </w:r>
    </w:p>
    <w:p>
      <w:pPr>
        <w:spacing w:after="120" w:line="276" w:lineRule="auto"/>
      </w:pPr>
      <w:r>
        <w:t>### PARTIE 4 : CONCLUSION D'INVESTISSEMENT</w:t>
      </w:r>
    </w:p>
    <w:p>
      <w:pPr>
        <w:spacing w:after="120" w:line="276" w:lineRule="auto"/>
      </w:pPr>
      <w:r>
        <w:t>La valorisation de la BICB (PER 13,1x, P/B 3,51x) reflète une prime de croissance justifiée par des fondamentaux solides, mais le comportement du cours (+61% en 100 jours, volatilité élevée de 30,2%) suggère une possible extension excessive à court terme. Les signaux techniques sont mitigés : la tendance de fond est haussière, mais les indicateurs de momentum (MACD, Stochastique) montrent des signes de faiblesse, et le RSI approche du surachat. Les fondamentaux, eux, sont robustes avec une croissance du PNB et du résultat net attendue pour 2026, soutenue par le rapport T1 2026 très positif. Les prédictions IA, qui anticipent une correction sévère du cours (jusqu'à 6 041 FCFA), contredisent fortement les signaux haussiers de long terme et suggèrent une bulle spéculative à court terme. La convergence entre le risque technique de correction et les prédictions IA est un signal d'alerte majeur. Par conséquent, la recommandation est de **CONSERVER** le titre pour les investisseurs à moyen/long terme, mais d'éviter tout nouvel achat à ces niveaux de prix. Le niveau de confiance est **Moyen**, le risque global est **Élevé**, et l'horizon d'investissement optimal est le **moyen terme (3-12 mois)**, après une probable phase de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 titres</w:t>
            </w:r>
          </w:p>
        </w:tc>
        <w:tc>
          <w:tcPr>
            <w:tcW w:type="dxa" w:w="2268"/>
            <w:shd w:fill="FFF2CC" w:val="clear"/>
          </w:tcPr>
          <w:p>
            <w:r>
              <w:rPr>
                <w:b/>
                <w:color w:val="503200"/>
                <w:sz w:val="16"/>
              </w:rPr>
              <w:t xml:space="preserve">Cours actuel : </w:t>
            </w:r>
            <w:r>
              <w:rPr>
                <w:color w:val="000000"/>
                <w:sz w:val="17"/>
              </w:rPr>
              <w:t>28,800 FCFA</w:t>
            </w:r>
          </w:p>
          <w:p>
            <w:r>
              <w:rPr>
                <w:b/>
                <w:color w:val="503200"/>
                <w:sz w:val="16"/>
              </w:rPr>
              <w:t xml:space="preserve">Var. 100 jours : </w:t>
            </w:r>
            <w:r>
              <w:rPr>
                <w:b/>
                <w:color w:val="007800"/>
                <w:sz w:val="17"/>
              </w:rPr>
              <w:t>+12.50%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7.35% (Moyenne) — μ=27,176 FCFA, σ=1,998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β=0.3002 (Défensif) — Cov=0.000010, Var(idx)=0.000035, ρ=0.102,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27,828</w:t>
            </w:r>
          </w:p>
        </w:tc>
        <w:tc>
          <w:tcPr>
            <w:tcW w:type="dxa" w:w="1440"/>
            <w:shd w:fill="FAFAFA" w:val="clear"/>
          </w:tcPr>
          <w:p>
            <w:r>
              <w:rPr>
                <w:b/>
                <w:sz w:val="17"/>
              </w:rPr>
              <w:t>28,344</w:t>
            </w:r>
          </w:p>
        </w:tc>
        <w:tc>
          <w:tcPr>
            <w:tcW w:type="dxa" w:w="1440"/>
            <w:shd w:fill="FAFAFA" w:val="clear"/>
          </w:tcPr>
          <w:p>
            <w:r>
              <w:rPr>
                <w:sz w:val="17"/>
              </w:rPr>
              <w:t>28,859</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27,339</w:t>
            </w:r>
          </w:p>
        </w:tc>
        <w:tc>
          <w:tcPr>
            <w:tcW w:type="dxa" w:w="1440"/>
            <w:shd w:fill="FFDCE0" w:val="clear"/>
          </w:tcPr>
          <w:p>
            <w:r>
              <w:rPr>
                <w:b/>
                <w:sz w:val="17"/>
              </w:rPr>
              <w:t>28,060</w:t>
            </w:r>
          </w:p>
        </w:tc>
        <w:tc>
          <w:tcPr>
            <w:tcW w:type="dxa" w:w="1440"/>
            <w:shd w:fill="FFDCE0" w:val="clear"/>
          </w:tcPr>
          <w:p>
            <w:r>
              <w:rPr>
                <w:sz w:val="17"/>
              </w:rPr>
              <w:t>28,782</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26,899</w:t>
            </w:r>
          </w:p>
        </w:tc>
        <w:tc>
          <w:tcPr>
            <w:tcW w:type="dxa" w:w="1440"/>
            <w:shd w:fill="FFDCE0" w:val="clear"/>
          </w:tcPr>
          <w:p>
            <w:r>
              <w:rPr>
                <w:b/>
                <w:sz w:val="17"/>
              </w:rPr>
              <w:t>27,774</w:t>
            </w:r>
          </w:p>
        </w:tc>
        <w:tc>
          <w:tcPr>
            <w:tcW w:type="dxa" w:w="1440"/>
            <w:shd w:fill="FFDCE0" w:val="clear"/>
          </w:tcPr>
          <w:p>
            <w:r>
              <w:rPr>
                <w:sz w:val="17"/>
              </w:rPr>
              <w:t>28,649</w:t>
            </w:r>
          </w:p>
        </w:tc>
        <w:tc>
          <w:tcPr>
            <w:tcW w:type="dxa" w:w="1440"/>
            <w:shd w:fill="FFDCE0" w:val="clear"/>
          </w:tcPr>
          <w:p>
            <w:r>
              <w:rPr>
                <w:b/>
                <w:color w:val="C00000"/>
                <w:sz w:val="17"/>
              </w:rPr>
              <w:t>-3.6%</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26,511</w:t>
            </w:r>
          </w:p>
        </w:tc>
        <w:tc>
          <w:tcPr>
            <w:tcW w:type="dxa" w:w="1440"/>
            <w:shd w:fill="FFDCE0" w:val="clear"/>
          </w:tcPr>
          <w:p>
            <w:r>
              <w:rPr>
                <w:b/>
                <w:sz w:val="17"/>
              </w:rPr>
              <w:t>27,512</w:t>
            </w:r>
          </w:p>
        </w:tc>
        <w:tc>
          <w:tcPr>
            <w:tcW w:type="dxa" w:w="1440"/>
            <w:shd w:fill="FFDCE0" w:val="clear"/>
          </w:tcPr>
          <w:p>
            <w:r>
              <w:rPr>
                <w:sz w:val="17"/>
              </w:rPr>
              <w:t>28,512</w:t>
            </w:r>
          </w:p>
        </w:tc>
        <w:tc>
          <w:tcPr>
            <w:tcW w:type="dxa" w:w="1440"/>
            <w:shd w:fill="FFDCE0" w:val="clear"/>
          </w:tcPr>
          <w:p>
            <w:r>
              <w:rPr>
                <w:b/>
                <w:color w:val="C00000"/>
                <w:sz w:val="17"/>
              </w:rPr>
              <w:t>-4.5%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26,158</w:t>
            </w:r>
          </w:p>
        </w:tc>
        <w:tc>
          <w:tcPr>
            <w:tcW w:type="dxa" w:w="1440"/>
            <w:shd w:fill="FFDCE0" w:val="clear"/>
          </w:tcPr>
          <w:p>
            <w:r>
              <w:rPr>
                <w:b/>
                <w:sz w:val="17"/>
              </w:rPr>
              <w:t>27,267</w:t>
            </w:r>
          </w:p>
        </w:tc>
        <w:tc>
          <w:tcPr>
            <w:tcW w:type="dxa" w:w="1440"/>
            <w:shd w:fill="FFDCE0" w:val="clear"/>
          </w:tcPr>
          <w:p>
            <w:r>
              <w:rPr>
                <w:sz w:val="17"/>
              </w:rPr>
              <w:t>28,376</w:t>
            </w:r>
          </w:p>
        </w:tc>
        <w:tc>
          <w:tcPr>
            <w:tcW w:type="dxa" w:w="1440"/>
            <w:shd w:fill="FFDCE0" w:val="clear"/>
          </w:tcPr>
          <w:p>
            <w:r>
              <w:rPr>
                <w:b/>
                <w:color w:val="C00000"/>
                <w:sz w:val="17"/>
              </w:rPr>
              <w:t>-5.3%</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25,829</w:t>
            </w:r>
          </w:p>
        </w:tc>
        <w:tc>
          <w:tcPr>
            <w:tcW w:type="dxa" w:w="1440"/>
            <w:shd w:fill="FFDCE0" w:val="clear"/>
          </w:tcPr>
          <w:p>
            <w:r>
              <w:rPr>
                <w:b/>
                <w:sz w:val="17"/>
              </w:rPr>
              <w:t>27,033</w:t>
            </w:r>
          </w:p>
        </w:tc>
        <w:tc>
          <w:tcPr>
            <w:tcW w:type="dxa" w:w="1440"/>
            <w:shd w:fill="FFDCE0" w:val="clear"/>
          </w:tcPr>
          <w:p>
            <w:r>
              <w:rPr>
                <w:sz w:val="17"/>
              </w:rPr>
              <w:t>28,237</w:t>
            </w:r>
          </w:p>
        </w:tc>
        <w:tc>
          <w:tcPr>
            <w:tcW w:type="dxa" w:w="1440"/>
            <w:shd w:fill="FFDCE0" w:val="clear"/>
          </w:tcPr>
          <w:p>
            <w:r>
              <w:rPr>
                <w:b/>
                <w:color w:val="C00000"/>
                <w:sz w:val="17"/>
              </w:rPr>
              <w:t>-6.1%</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25,518</w:t>
            </w:r>
          </w:p>
        </w:tc>
        <w:tc>
          <w:tcPr>
            <w:tcW w:type="dxa" w:w="1440"/>
            <w:shd w:fill="FFDCE0" w:val="clear"/>
          </w:tcPr>
          <w:p>
            <w:r>
              <w:rPr>
                <w:b/>
                <w:sz w:val="17"/>
              </w:rPr>
              <w:t>26,808</w:t>
            </w:r>
          </w:p>
        </w:tc>
        <w:tc>
          <w:tcPr>
            <w:tcW w:type="dxa" w:w="1440"/>
            <w:shd w:fill="FFDCE0" w:val="clear"/>
          </w:tcPr>
          <w:p>
            <w:r>
              <w:rPr>
                <w:sz w:val="17"/>
              </w:rPr>
              <w:t>28,097</w:t>
            </w:r>
          </w:p>
        </w:tc>
        <w:tc>
          <w:tcPr>
            <w:tcW w:type="dxa" w:w="1440"/>
            <w:shd w:fill="FFDCE0" w:val="clear"/>
          </w:tcPr>
          <w:p>
            <w:r>
              <w:rPr>
                <w:b/>
                <w:color w:val="C00000"/>
                <w:sz w:val="17"/>
              </w:rPr>
              <w:t>-6.9%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25,223</w:t>
            </w:r>
          </w:p>
        </w:tc>
        <w:tc>
          <w:tcPr>
            <w:tcW w:type="dxa" w:w="1440"/>
            <w:shd w:fill="FFDCE0" w:val="clear"/>
          </w:tcPr>
          <w:p>
            <w:r>
              <w:rPr>
                <w:b/>
                <w:sz w:val="17"/>
              </w:rPr>
              <w:t>26,590</w:t>
            </w:r>
          </w:p>
        </w:tc>
        <w:tc>
          <w:tcPr>
            <w:tcW w:type="dxa" w:w="1440"/>
            <w:shd w:fill="FFDCE0" w:val="clear"/>
          </w:tcPr>
          <w:p>
            <w:r>
              <w:rPr>
                <w:sz w:val="17"/>
              </w:rPr>
              <w:t>27,958</w:t>
            </w:r>
          </w:p>
        </w:tc>
        <w:tc>
          <w:tcPr>
            <w:tcW w:type="dxa" w:w="1440"/>
            <w:shd w:fill="FFDCE0" w:val="clear"/>
          </w:tcPr>
          <w:p>
            <w:r>
              <w:rPr>
                <w:b/>
                <w:color w:val="C00000"/>
                <w:sz w:val="17"/>
              </w:rPr>
              <w:t>-7.7%</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24,942</w:t>
            </w:r>
          </w:p>
        </w:tc>
        <w:tc>
          <w:tcPr>
            <w:tcW w:type="dxa" w:w="1440"/>
            <w:shd w:fill="FFDCE0" w:val="clear"/>
          </w:tcPr>
          <w:p>
            <w:r>
              <w:rPr>
                <w:b/>
                <w:sz w:val="17"/>
              </w:rPr>
              <w:t>26,381</w:t>
            </w:r>
          </w:p>
        </w:tc>
        <w:tc>
          <w:tcPr>
            <w:tcW w:type="dxa" w:w="1440"/>
            <w:shd w:fill="FFDCE0" w:val="clear"/>
          </w:tcPr>
          <w:p>
            <w:r>
              <w:rPr>
                <w:sz w:val="17"/>
              </w:rPr>
              <w:t>27,820</w:t>
            </w:r>
          </w:p>
        </w:tc>
        <w:tc>
          <w:tcPr>
            <w:tcW w:type="dxa" w:w="1440"/>
            <w:shd w:fill="FFDCE0" w:val="clear"/>
          </w:tcPr>
          <w:p>
            <w:r>
              <w:rPr>
                <w:b/>
                <w:color w:val="C00000"/>
                <w:sz w:val="17"/>
              </w:rPr>
              <w:t>-8.4%</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24,674</w:t>
            </w:r>
          </w:p>
        </w:tc>
        <w:tc>
          <w:tcPr>
            <w:tcW w:type="dxa" w:w="1440"/>
            <w:shd w:fill="FFDCE0" w:val="clear"/>
          </w:tcPr>
          <w:p>
            <w:r>
              <w:rPr>
                <w:b/>
                <w:sz w:val="17"/>
              </w:rPr>
              <w:t>26,179</w:t>
            </w:r>
          </w:p>
        </w:tc>
        <w:tc>
          <w:tcPr>
            <w:tcW w:type="dxa" w:w="1440"/>
            <w:shd w:fill="FFDCE0" w:val="clear"/>
          </w:tcPr>
          <w:p>
            <w:r>
              <w:rPr>
                <w:sz w:val="17"/>
              </w:rPr>
              <w:t>27,684</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480 milliards FCFA, ce qui en fait une valeur de première ligne sur la BRVM, représentative du secteur bancaire ivoirien. Avec un BPA de 2 191 FCFA, chaque action génère un bénéfice substantiel, justifiant un PER de 13,1x, légèrement au-dessus de la moyenne historique de la place (8-12x), ce qui traduit une prime de croissance accordée par le marché. Le P/B de 3,98x confirme cette prime, le marché valorisant près de 4 fois les fonds propres comptables, signe d'une forte rentabilité attendue. Enfin, un EV/EBITDA de 9,2x reste dans une zone raisonnable (5-10x), indiquant que la valeur totale de l'entreprise n'est pas surévaluée par rapport à sa capacité opérationnelle. L'ensemble de ces ratios suggère une valorisation exigeante mais cohérente avec la qualité de l'actif.</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BICC a progressé de 12,50%, avec un léger repli de -1,54% lors de la dernière séance, montrant une consolidation après une phase haussière. Le titre a évolué dans un range de 22 500 FCFA (plus bas) à 29 490 FCFA (plus haut), démontrant une forte dynamique. La moyenne (27 176 FCFA) est inférieure à la médiane (28 105 FCFA), et le skewness négatif (-0.771) indique que le cours a passé plus de temps au-dessus de sa moyenne, avec des épisodes de baisse marqués. L'écart-type de 2 008 FCFA (CV de 7,4%) révèle une dispersion modérée. Le kurtosis de -0.882 (mésokurtique) suggère une distribution proche de la normale, sans risque de variations extrêmes. La volatilité annualisée de 27,7% classe le titre dans une zone de risque modéré à élevé, typique des valeurs de croissance sur ce marché.</w:t>
      </w:r>
    </w:p>
    <w:p>
      <w:pPr>
        <w:spacing w:after="120" w:line="276" w:lineRule="auto" w:before="240"/>
      </w:pPr>
      <w:r>
        <w:rPr>
          <w:b/>
          <w:color w:val="003366"/>
          <w:sz w:val="24"/>
        </w:rPr>
        <w:t>**PARTIE 2 : ANALYSE TECHNIQUE DÉTAILLÉE**</w:t>
      </w:r>
    </w:p>
    <w:p>
      <w:pPr>
        <w:spacing w:after="120" w:line="276" w:lineRule="auto"/>
      </w:pPr>
      <w:r>
        <w:t>Les **Moyennes Mobiles** (MM20 à 28 940,75 et MM50 à 28 603,3) sont toutes deux inférieures au cours actuel de 28 800 FCFA, bien que le prix soit légèrement sous la MM20. Cette configuration indique une tendance haussière de fond, mais avec un essoufflement à court terme. La décision "Achat" est justifiée par la position du cours au-dessus de la MM50, confirmant la tendance de moyen terme.</w:t>
      </w:r>
    </w:p>
    <w:p>
      <w:pPr>
        <w:spacing w:after="120" w:line="276" w:lineRule="auto"/>
      </w:pPr>
      <w:r>
        <w:t>Les **Bandes de Bollinger** montrent un cours (28 800) proche de la borne inférieure (28 490,1), avec une borne supérieure à 29 391,4. Cette position suggère une volatilité en contraction et un potentiel de rebond technique. La décision "Neutre" est cohérente, le prix n'étant pas en zone de surachat ni de survente extrême.</w:t>
      </w:r>
    </w:p>
    <w:p>
      <w:pPr>
        <w:spacing w:after="120" w:line="276" w:lineRule="auto"/>
      </w:pPr>
      <w:r>
        <w:t>Le **MACD** affiche une valeur (157,27) inférieure à son signal (173,09), indiquant un momentum baissier à court terme. Cette divergence négative, bien que légère, justifie la décision "Vente" et suggère une possible poursuite de la consolidation avant un nouveau mouvement haussier.</w:t>
      </w:r>
    </w:p>
    <w:p>
      <w:pPr>
        <w:spacing w:after="120" w:line="276" w:lineRule="auto"/>
      </w:pPr>
      <w:r>
        <w:t>Le **RSI** à 53,07 est en zone neutre (30-70), montrant un équilibre entre pression acheteuse et vendeuse. Cette valeur n'indique ni surachat ni survente, laissant place à une interprétation "Neutre" avec un biais légèrement positif.</w:t>
      </w:r>
    </w:p>
    <w:p>
      <w:pPr>
        <w:spacing w:after="120" w:line="276" w:lineRule="auto"/>
      </w:pPr>
      <w:r>
        <w:t>Le **Stochastique** présente un %K (22,41) nettement inférieur à %D (74,14), signalant une faiblesse à très court terme. Ce croisement baissier, bien que le %K soit en zone de survente (&lt;20), suggère un potentiel de rebond technique mais justifie la décision "Neutre".</w:t>
      </w:r>
    </w:p>
    <w:p>
      <w:pPr>
        <w:spacing w:after="120" w:line="276" w:lineRule="auto"/>
      </w:pPr>
      <w:r>
        <w:t>En **conclusion technique**, les indicateurs sont mitigés : la tendance de fond reste haussière (MM), mais les oscillateurs (MACD, Stochastique) montrent une faiblesse à court terme. Le RSI neutre et les bandes de Bollinger suggèrent une consolidation dans un range étroit avant la prochaine impulsion. Le signal global est donc prudent, avec un biais haussier à moyen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révèlent une banque extrêmement performante : le PNB s'établit à 79,563 Mds FCFA, avec un résultat net de 36,520 Mds FCFA, soit une marge nette exceptionnelle de 45,9%. Le ROE atteint 30,29%, un niveau remarquable, et le ROA de 3,24% est également solide. Le coefficient d'exploitation de 50,8% témoigne d'une excellente maîtrise des charges, tandis que le coût du risque négatif (-12,1%) indique une reprise de provisions, signe d'une qualité de portefeuille élevée. Le ratio de transformation (crédits/dépôts) est de 55%, montrant une gestion prudente de la liquidité. Les rapports trimestriels de 2025 confirment cette dynamique : le T3 2025 (cumulé) affiche un PNB de 58,119 Mds (+16,4%) et un résultat net de 27,402 Mds (+50,8%), avec une marge nette de 47,1%. Le rapport T1 2026, analysé le 1er mai 2026, montre une poursuite de la croissance avec un PNB de 21,214 Mds (+17,0%) et un résultat net de 10,387 Mds (+29,7%), malgré une baisse des crédits de 4,5%. La banque bénéficie d'une collecte de dépôts massive (952,872 Mds en 2025, +14,5% au T1 2026), renforçant sa solidité. Les capitaux propres de 120,570 Mds et une autonomie financière de 10,7% (faible mais typique du secteur bancaire) complètent un bilan robuste. L'évolution sur 2024-2026 montre une amélioration continue de la rentabilité, passant d'un ROE estimé à 28,6% en 2024 à 30,3% en 2025. La recommandation fondamentale est clairement **ACHAT**, la banque démontrant une croissance rentable, une gestion rigoureuse des risques et des perspectives positives.</w:t>
      </w:r>
    </w:p>
    <w:p>
      <w:pPr>
        <w:spacing w:after="120" w:line="276" w:lineRule="auto" w:before="240"/>
      </w:pPr>
      <w:r>
        <w:rPr>
          <w:b/>
          <w:color w:val="003366"/>
          <w:sz w:val="24"/>
        </w:rPr>
        <w:t>**PARTIE 4 : CONCLUSION D'INVESTISSEMENT**</w:t>
      </w:r>
    </w:p>
    <w:p>
      <w:pPr>
        <w:spacing w:after="120" w:line="276" w:lineRule="auto"/>
      </w:pPr>
      <w:r>
        <w:t>La valorisation de BICC (PER 13,1x, P/B 3,98x) est exigeante mais justifiée par une rentabilité supérieure à la moyenne du marché, indiquant une qualité de l'actif reconnue. Le comportement du cours sur 100 jours (+12,5%) est positif, avec une volatilité modérée (27,7%) et une distribution des rendements asymétrique à la hausse, bien que les indicateurs techniques soient actuellement mitigés, avec une consolidation à court terme (MACD et Stochastique baissiers) dans une tendance haussière de fond (MM). Les fondamentaux sont excellents, avec un ROE de 30,3%, une croissance du PNB de 16,9% et une maîtrise du coût du risque, confirmés par les rapports trimestriels récents. Les prédictions IA pour les 10 prochains jours (28 344 à 27 267 FCFA) suggèrent une légère correction, contredisant les signaux techniques à court terme mais s'alignant avec la consolidation en cours. En synthèse, la convergence entre la solidité fondamentale et la tendance de fond haussière l'emporte sur les signaux techniques à court terme. **Recommandation finale : ACHAT**, avec un niveau de confiance **Élevé**, un risque global **Moyen** (volatilité et valorisation), et un horizon d'investissement optimal à **moyen terme (3-12 mois)**, en attendant une meilleure entrée sur les niveaux de support actuels.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2,217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+23.60%</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11.82% (Moyenne) — μ=1,753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β=0.0852 (Défensif) — Cov=0.000003, Var(idx)=0.000035, ρ=0.017,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1,915</w:t>
            </w:r>
          </w:p>
        </w:tc>
        <w:tc>
          <w:tcPr>
            <w:tcW w:type="dxa" w:w="1440"/>
            <w:shd w:fill="FAFAFA" w:val="clear"/>
          </w:tcPr>
          <w:p>
            <w:r>
              <w:rPr>
                <w:b/>
                <w:sz w:val="17"/>
              </w:rPr>
              <w:t>1,987</w:t>
            </w:r>
          </w:p>
        </w:tc>
        <w:tc>
          <w:tcPr>
            <w:tcW w:type="dxa" w:w="1440"/>
            <w:shd w:fill="FAFAFA" w:val="clear"/>
          </w:tcPr>
          <w:p>
            <w:r>
              <w:rPr>
                <w:sz w:val="17"/>
              </w:rPr>
              <w:t>2,059</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1,884</w:t>
            </w:r>
          </w:p>
        </w:tc>
        <w:tc>
          <w:tcPr>
            <w:tcW w:type="dxa" w:w="1440"/>
            <w:shd w:fill="FAFAFA" w:val="clear"/>
          </w:tcPr>
          <w:p>
            <w:r>
              <w:rPr>
                <w:b/>
                <w:sz w:val="17"/>
              </w:rPr>
              <w:t>1,985</w:t>
            </w:r>
          </w:p>
        </w:tc>
        <w:tc>
          <w:tcPr>
            <w:tcW w:type="dxa" w:w="1440"/>
            <w:shd w:fill="FAFAFA" w:val="clear"/>
          </w:tcPr>
          <w:p>
            <w:r>
              <w:rPr>
                <w:sz w:val="17"/>
              </w:rPr>
              <w:t>2,087</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1,859</w:t>
            </w:r>
          </w:p>
        </w:tc>
        <w:tc>
          <w:tcPr>
            <w:tcW w:type="dxa" w:w="1440"/>
            <w:shd w:fill="FAFAFA" w:val="clear"/>
          </w:tcPr>
          <w:p>
            <w:r>
              <w:rPr>
                <w:b/>
                <w:sz w:val="17"/>
              </w:rPr>
              <w:t>1,984</w:t>
            </w:r>
          </w:p>
        </w:tc>
        <w:tc>
          <w:tcPr>
            <w:tcW w:type="dxa" w:w="1440"/>
            <w:shd w:fill="FAFAFA" w:val="clear"/>
          </w:tcPr>
          <w:p>
            <w:r>
              <w:rPr>
                <w:sz w:val="17"/>
              </w:rPr>
              <w:t>2,108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1,838</w:t>
            </w:r>
          </w:p>
        </w:tc>
        <w:tc>
          <w:tcPr>
            <w:tcW w:type="dxa" w:w="1440"/>
            <w:shd w:fill="FAFAFA" w:val="clear"/>
          </w:tcPr>
          <w:p>
            <w:r>
              <w:rPr>
                <w:b/>
                <w:sz w:val="17"/>
              </w:rPr>
              <w:t>1,982</w:t>
            </w:r>
          </w:p>
        </w:tc>
        <w:tc>
          <w:tcPr>
            <w:tcW w:type="dxa" w:w="1440"/>
            <w:shd w:fill="FAFAFA" w:val="clear"/>
          </w:tcPr>
          <w:p>
            <w:r>
              <w:rPr>
                <w:sz w:val="17"/>
              </w:rPr>
              <w:t>2,126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1,820</w:t>
            </w:r>
          </w:p>
        </w:tc>
        <w:tc>
          <w:tcPr>
            <w:tcW w:type="dxa" w:w="1440"/>
            <w:shd w:fill="FAFAFA" w:val="clear"/>
          </w:tcPr>
          <w:p>
            <w:r>
              <w:rPr>
                <w:b/>
                <w:sz w:val="17"/>
              </w:rPr>
              <w:t>1,980</w:t>
            </w:r>
          </w:p>
        </w:tc>
        <w:tc>
          <w:tcPr>
            <w:tcW w:type="dxa" w:w="1440"/>
            <w:shd w:fill="FAFAFA" w:val="clear"/>
          </w:tcPr>
          <w:p>
            <w:r>
              <w:rPr>
                <w:sz w:val="17"/>
              </w:rPr>
              <w:t>2,141</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1,803</w:t>
            </w:r>
          </w:p>
        </w:tc>
        <w:tc>
          <w:tcPr>
            <w:tcW w:type="dxa" w:w="1440"/>
            <w:shd w:fill="FAFAFA" w:val="clear"/>
          </w:tcPr>
          <w:p>
            <w:r>
              <w:rPr>
                <w:b/>
                <w:sz w:val="17"/>
              </w:rPr>
              <w:t>1,979</w:t>
            </w:r>
          </w:p>
        </w:tc>
        <w:tc>
          <w:tcPr>
            <w:tcW w:type="dxa" w:w="1440"/>
            <w:shd w:fill="FAFAFA" w:val="clear"/>
          </w:tcPr>
          <w:p>
            <w:r>
              <w:rPr>
                <w:sz w:val="17"/>
              </w:rPr>
              <w:t>2,155</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1,788</w:t>
            </w:r>
          </w:p>
        </w:tc>
        <w:tc>
          <w:tcPr>
            <w:tcW w:type="dxa" w:w="1440"/>
            <w:shd w:fill="FAFAFA" w:val="clear"/>
          </w:tcPr>
          <w:p>
            <w:r>
              <w:rPr>
                <w:b/>
                <w:sz w:val="17"/>
              </w:rPr>
              <w:t>1,978</w:t>
            </w:r>
          </w:p>
        </w:tc>
        <w:tc>
          <w:tcPr>
            <w:tcW w:type="dxa" w:w="1440"/>
            <w:shd w:fill="FAFAFA" w:val="clear"/>
          </w:tcPr>
          <w:p>
            <w:r>
              <w:rPr>
                <w:sz w:val="17"/>
              </w:rPr>
              <w:t>2,167</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2026-09-03</w:t>
            </w:r>
          </w:p>
        </w:tc>
        <w:tc>
          <w:tcPr>
            <w:tcW w:type="dxa" w:w="1440"/>
            <w:shd w:fill="FAFAFA" w:val="clear"/>
          </w:tcPr>
          <w:p>
            <w:r>
              <w:rPr>
                <w:sz w:val="17"/>
              </w:rPr>
              <w:t>1,774</w:t>
            </w:r>
          </w:p>
        </w:tc>
        <w:tc>
          <w:tcPr>
            <w:tcW w:type="dxa" w:w="1440"/>
            <w:shd w:fill="FAFAFA" w:val="clear"/>
          </w:tcPr>
          <w:p>
            <w:r>
              <w:rPr>
                <w:b/>
                <w:sz w:val="17"/>
              </w:rPr>
              <w:t>1,976</w:t>
            </w:r>
          </w:p>
        </w:tc>
        <w:tc>
          <w:tcPr>
            <w:tcW w:type="dxa" w:w="1440"/>
            <w:shd w:fill="FAFAFA" w:val="clear"/>
          </w:tcPr>
          <w:p>
            <w:r>
              <w:rPr>
                <w:sz w:val="17"/>
              </w:rPr>
              <w:t>2,179</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2026-09-04</w:t>
            </w:r>
          </w:p>
        </w:tc>
        <w:tc>
          <w:tcPr>
            <w:tcW w:type="dxa" w:w="1440"/>
            <w:shd w:fill="FAFAFA" w:val="clear"/>
          </w:tcPr>
          <w:p>
            <w:r>
              <w:rPr>
                <w:sz w:val="17"/>
              </w:rPr>
              <w:t>1,760</w:t>
            </w:r>
          </w:p>
        </w:tc>
        <w:tc>
          <w:tcPr>
            <w:tcW w:type="dxa" w:w="1440"/>
            <w:shd w:fill="FAFAFA" w:val="clear"/>
          </w:tcPr>
          <w:p>
            <w:r>
              <w:rPr>
                <w:b/>
                <w:sz w:val="17"/>
              </w:rPr>
              <w:t>1,975</w:t>
            </w:r>
          </w:p>
        </w:tc>
        <w:tc>
          <w:tcPr>
            <w:tcW w:type="dxa" w:w="1440"/>
            <w:shd w:fill="FAFAFA" w:val="clear"/>
          </w:tcPr>
          <w:p>
            <w:r>
              <w:rPr>
                <w:sz w:val="17"/>
              </w:rPr>
              <w:t>2,190</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2026-09-07</w:t>
            </w:r>
          </w:p>
        </w:tc>
        <w:tc>
          <w:tcPr>
            <w:tcW w:type="dxa" w:w="1440"/>
            <w:shd w:fill="FAFAFA" w:val="clear"/>
          </w:tcPr>
          <w:p>
            <w:r>
              <w:rPr>
                <w:sz w:val="17"/>
              </w:rPr>
              <w:t>1,748</w:t>
            </w:r>
          </w:p>
        </w:tc>
        <w:tc>
          <w:tcPr>
            <w:tcW w:type="dxa" w:w="1440"/>
            <w:shd w:fill="FAFAFA" w:val="clear"/>
          </w:tcPr>
          <w:p>
            <w:r>
              <w:rPr>
                <w:b/>
                <w:sz w:val="17"/>
              </w:rPr>
              <w:t>1,974</w:t>
            </w:r>
          </w:p>
        </w:tc>
        <w:tc>
          <w:tcPr>
            <w:tcW w:type="dxa" w:w="1440"/>
            <w:shd w:fill="FAFAFA" w:val="clear"/>
          </w:tcPr>
          <w:p>
            <w:r>
              <w:rPr>
                <w:sz w:val="17"/>
              </w:rPr>
              <w:t>2,200</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13,18 milliards FCFA, un niveau modeste qui la positionne parmi les petites capitalisations de la BRVM, reflétant une liquidité limitée avec un volume moyen de seulement 2 217 titres par jour. Le BPA de 3 FCFA par action est extrêmement faible, ce qui explique un PER de 590,6x, très largement au-dessus de la moyenne du marché BRVM (8-12x), signalant une valorisation extrêmement exigeante par rapport aux bénéfices générés. En revanche, le P/B de 0,74x indique que le marché valorise le titre sous sa valeur comptable, offrant potentiellement une décote sur l'actif net. L'EV/EBITDA de 24,2x, bien que supérieur au seuil de 15x considéré comme exigeant, doit être relativisé compte tenu de la faiblesse de la rentabilité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remarquable de +23,60%, avec un cours actuel de 1 990 FCFA, tandis que la dernière séance s'est soldée par une stabilité (0,00%). Le titre a évolué dans une fourchette de 1 300 à 2 100 FCFA, démontrant une amplitude de trading significative de 800 FCFA. La moyenne (1 753 FCFA) et la médiane (1 752 FCFA) étant quasi identiques, la distribution des cours est relativement symétrique, confirmée par un skewness de -0,203. L'écart-type de 208 FCFA (CV=11,9%) indique une dispersion modérée autour de la moyenne. Le kurtosis de -1,299 (platykurtique) révèle une distribution aplatie avec peu de valeurs extrêmes, suggérant l'absence de pics de volatilité soudains. La volatilité annualisée de 47,8% classe le titre comme très volatil, un niveau élevé qui implique un risque substantiel pour les investisseurs malgré la tendance haussière observée.</w:t>
      </w:r>
    </w:p>
    <w:p>
      <w:pPr>
        <w:spacing w:after="120" w:line="276" w:lineRule="auto" w:before="240"/>
      </w:pPr>
      <w:r>
        <w:rPr>
          <w:b/>
          <w:color w:val="003366"/>
          <w:sz w:val="24"/>
        </w:rPr>
        <w:t>**PARTIE 2 : ANALYSE TECHNIQUE DÉTAILLÉE**</w:t>
      </w:r>
    </w:p>
    <w:p>
      <w:pPr>
        <w:spacing w:after="120" w:line="276" w:lineRule="auto"/>
      </w:pPr>
      <w:r>
        <w:t>**Moyennes Mobiles** : Les MM20 (1 945,75 FCFA) et MM50 (1 940,8 FCFA) sont toutes deux inférieures au cours actuel de 1 990 FCFA, confirmant une dynamique haussière à court et moyen terme. Le signal d'achat est justifié par la position du prix au-dessus de ces moyennes, indiquant que la tendance reste positive malgré la proximité des deux moyennes qui suggère une consolidation possible.</w:t>
      </w:r>
    </w:p>
    <w:p>
      <w:pPr>
        <w:spacing w:after="120" w:line="276" w:lineRule="auto"/>
      </w:pPr>
      <w:r>
        <w:t>**Bandes de Bollinger** : Le cours à 1 990 FCFA se situe entre la borne supérieure (2 044,12 FCFA) et la borne inférieure (1 847,38 FCFA), proche de la borne haute. La décision neutre s'explique par une volatilité modérée, mais la proximité de la borne supérieure pourrait indiquer une résistance à surveiller.</w:t>
      </w:r>
    </w:p>
    <w:p>
      <w:pPr>
        <w:spacing w:after="120" w:line="276" w:lineRule="auto"/>
      </w:pPr>
      <w:r>
        <w:t>**MACD** : Avec une valeur de 26,301 et un signal à 23,464, le MACD est positif et au-dessus de son signal, confirmant un momentum haussier. La décision d'achat est cohérente avec cette configuration, bien que l'écart relativement faible suggère un momentum modéré qui pourrait s'essouffler.</w:t>
      </w:r>
    </w:p>
    <w:p>
      <w:pPr>
        <w:spacing w:after="120" w:line="276" w:lineRule="auto"/>
      </w:pPr>
      <w:r>
        <w:t>**RSI** : À 75,0, le RSI est entré en zone de surachat (&gt;70), signalant que le titre est potentiellement surévalué à court terme. La décision de vente est justifiée par ce niveau élevé qui précède souvent une correction ou une consolidation.</w:t>
      </w:r>
    </w:p>
    <w:p>
      <w:pPr>
        <w:spacing w:after="120" w:line="276" w:lineRule="auto"/>
      </w:pPr>
      <w:r>
        <w:t>**Stochastique** : Le %K (90,0) et le %D (90,859) sont tous deux en zone de surachat extrême (&gt;80), avec un %D légèrement supérieur au %K, indiquant un possible retournement baissier imminent. La décision de vente est cohérente avec cette configuration.</w:t>
      </w:r>
    </w:p>
    <w:p>
      <w:pPr>
        <w:spacing w:after="120" w:line="276" w:lineRule="auto"/>
      </w:pPr>
      <w:r>
        <w:t>**Conclusion technique** : Les indicateurs de tendance (MM, MACD) sont positifs, mais les oscillateurs (RSI, Stochastique) signalent un épuisement haussier. Cette divergence suggère qu'un repli technique est probable à court terme, même si la tendance de fond reste haussière.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avec un résultat net de 22,32 millions FCFA, en amélioration par rapport aux 7,31 millions de 2024 mais représentant une marge nette dérisoire de 0,05%. Le ROE de 0,13% et le ROA de 0,05% sont extrêmement faibles, traduisant une rentabilité anémique. En tant qu'entreprise commerciale, les délais clients (104 jours) et la durée de stockage (339 jours) sont préoccupants, immobilisant significativement la trésorerie, tandis que le BFR de 29,373 milliards FCFA et la trésorerie nette négative de -16,689 milliards FCFA révèlent une pression de liquidité majeure. Les rapports trimestriels 2025 montrent une dégradation progressive : le T1 2025 affichait un bénéfice de 16,15 millions FCFA, mais le S1 2025 s'est soldé par une perte de -139,57 millions FCFA, et le T3 2025 par une perte cumulée de -157,03 millions FCFA. Le rapport T1 2026 (daté du 31 décembre 2026) indique un retour à un résultat net positif de 65,57 millions FCFA sur un CA stable de 11,194 milliards FCFA, grâce à l'intégration de la division Équipement. On estime que l'exercice 2026 pourrait voir une amélioration progressive de la rentabilité si la montée en puissance de cette division se confirme, mais la situation reste fragile avec un endettement de 105,48% des capitaux propres et une capacité de remboursement de 19,17 ans.</w:t>
      </w:r>
    </w:p>
    <w:p>
      <w:pPr>
        <w:spacing w:after="120" w:line="276" w:lineRule="auto" w:before="240"/>
      </w:pPr>
      <w:r>
        <w:rPr>
          <w:b/>
          <w:color w:val="003366"/>
          <w:sz w:val="24"/>
        </w:rPr>
        <w:t>**PARTIE 4 : CONCLUSION D'INVESTISSEMENT**</w:t>
      </w:r>
    </w:p>
    <w:p>
      <w:pPr>
        <w:spacing w:after="120" w:line="276" w:lineRule="auto"/>
      </w:pPr>
      <w:r>
        <w:t>La valorisation de BNBC présente un paradoxe : un PER extrêmement élevé (590,6x) suggère une surévaluation flagrante, tandis que le P/B de 0,74x indique une décote par rapport à l'actif net comptable. Le comportement du cours (+23,60% sur 100 jours) est haussier mais accompagné d'une volatilité élevée (47,8%) et de statistiques montrant une distribution relativement stable. Les signaux techniques sont mitigés : la tendance (MM, MACD) reste positive, mais les oscillateurs (RSI à 75, Stochastique à 90) signalent un surachat imminent. Les fondamentaux sont préoccupants avec une rentabilité quasi nulle, une trésorerie négative de -16,689 milliards FCFA et des délais de stockage excessifs, bien que le T1 2026 montre un retour aux bénéfices. Les prédictions IA (1 987 à 1 980 FCFA sur 10 jours) suggèrent une légère correction, confirmant les signaux techniques de surachat. La convergence entre la faiblesse des fondamentaux, les signaux techniques de surachat et les prédictions baissières conduit à une recommandation de **VENTE** avec un niveau de confiance **Moyen** et un risque global **Élevé**. L'horizon d'investissement optimal serait le **court terme (&lt;3 mois)** pour les investisseurs existants cherchant à sécuriser leurs gains, tandis que les nouveaux investisseurs devraient attendre une correction significative et une amélioration durable des fondamentaux avant d'envisager une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5,924 titres</w:t>
            </w:r>
          </w:p>
        </w:tc>
        <w:tc>
          <w:tcPr>
            <w:tcW w:type="dxa" w:w="2268"/>
            <w:shd w:fill="FFF2CC" w:val="clear"/>
          </w:tcPr>
          <w:p>
            <w:r>
              <w:rPr>
                <w:b/>
                <w:color w:val="503200"/>
                <w:sz w:val="16"/>
              </w:rPr>
              <w:t xml:space="preserve">Cours actuel : </w:t>
            </w:r>
            <w:r>
              <w:rPr>
                <w:color w:val="000000"/>
                <w:sz w:val="17"/>
              </w:rPr>
              <w:t>9,985 FCFA</w:t>
            </w:r>
          </w:p>
          <w:p>
            <w:r>
              <w:rPr>
                <w:b/>
                <w:color w:val="503200"/>
                <w:sz w:val="16"/>
              </w:rPr>
              <w:t xml:space="preserve">Var. 100 jours : </w:t>
            </w:r>
            <w:r>
              <w:rPr>
                <w:b/>
                <w:color w:val="007800"/>
                <w:sz w:val="17"/>
              </w:rPr>
              <w:t>+35.85%</w:t>
            </w:r>
          </w:p>
          <w:p>
            <w:r>
              <w:rPr>
                <w:b/>
                <w:color w:val="503200"/>
                <w:sz w:val="16"/>
              </w:rPr>
              <w:t xml:space="preserve">Plus haut 100j : </w:t>
            </w:r>
            <w:r>
              <w:rPr>
                <w:color w:val="000000"/>
                <w:sz w:val="17"/>
              </w:rPr>
              <w:t>9,985 FCFA</w:t>
            </w:r>
          </w:p>
          <w:p>
            <w:r>
              <w:rPr>
                <w:b/>
                <w:color w:val="503200"/>
                <w:sz w:val="16"/>
              </w:rPr>
              <w:t xml:space="preserve">Plus bas 100j : </w:t>
            </w:r>
            <w:r>
              <w:rPr>
                <w:color w:val="000000"/>
                <w:sz w:val="17"/>
              </w:rPr>
              <w:t>7,350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6.45% (Moyenne) — μ=8,672 FCFA, σ=559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β=-0.0519 (Contre-cyclique) — Cov=-0.000002, Var(idx)=0.000035, ρ=-0.019,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9,061</w:t>
            </w:r>
          </w:p>
        </w:tc>
        <w:tc>
          <w:tcPr>
            <w:tcW w:type="dxa" w:w="1440"/>
            <w:shd w:fill="FFDCE0" w:val="clear"/>
          </w:tcPr>
          <w:p>
            <w:r>
              <w:rPr>
                <w:b/>
                <w:sz w:val="17"/>
              </w:rPr>
              <w:t>9,357</w:t>
            </w:r>
          </w:p>
        </w:tc>
        <w:tc>
          <w:tcPr>
            <w:tcW w:type="dxa" w:w="1440"/>
            <w:shd w:fill="FFDCE0" w:val="clear"/>
          </w:tcPr>
          <w:p>
            <w:r>
              <w:rPr>
                <w:sz w:val="17"/>
              </w:rPr>
              <w:t>9,652</w:t>
            </w:r>
          </w:p>
        </w:tc>
        <w:tc>
          <w:tcPr>
            <w:tcW w:type="dxa" w:w="1440"/>
            <w:shd w:fill="FFDCE0" w:val="clear"/>
          </w:tcPr>
          <w:p>
            <w:r>
              <w:rPr>
                <w:b/>
                <w:color w:val="C00000"/>
                <w:sz w:val="17"/>
              </w:rPr>
              <w:t>-6.3%</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8,715</w:t>
            </w:r>
          </w:p>
        </w:tc>
        <w:tc>
          <w:tcPr>
            <w:tcW w:type="dxa" w:w="1440"/>
            <w:shd w:fill="FFDCE0" w:val="clear"/>
          </w:tcPr>
          <w:p>
            <w:r>
              <w:rPr>
                <w:b/>
                <w:sz w:val="17"/>
              </w:rPr>
              <w:t>9,122</w:t>
            </w:r>
          </w:p>
        </w:tc>
        <w:tc>
          <w:tcPr>
            <w:tcW w:type="dxa" w:w="1440"/>
            <w:shd w:fill="FFDCE0" w:val="clear"/>
          </w:tcPr>
          <w:p>
            <w:r>
              <w:rPr>
                <w:sz w:val="17"/>
              </w:rPr>
              <w:t>9,530</w:t>
            </w:r>
          </w:p>
        </w:tc>
        <w:tc>
          <w:tcPr>
            <w:tcW w:type="dxa" w:w="1440"/>
            <w:shd w:fill="FFDCE0" w:val="clear"/>
          </w:tcPr>
          <w:p>
            <w:r>
              <w:rPr>
                <w:b/>
                <w:color w:val="C00000"/>
                <w:sz w:val="17"/>
              </w:rPr>
              <w:t>-8.6%</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8,424</w:t>
            </w:r>
          </w:p>
        </w:tc>
        <w:tc>
          <w:tcPr>
            <w:tcW w:type="dxa" w:w="1440"/>
            <w:shd w:fill="FFDCE0" w:val="clear"/>
          </w:tcPr>
          <w:p>
            <w:r>
              <w:rPr>
                <w:b/>
                <w:sz w:val="17"/>
              </w:rPr>
              <w:t>8,912</w:t>
            </w:r>
          </w:p>
        </w:tc>
        <w:tc>
          <w:tcPr>
            <w:tcW w:type="dxa" w:w="1440"/>
            <w:shd w:fill="FFDCE0" w:val="clear"/>
          </w:tcPr>
          <w:p>
            <w:r>
              <w:rPr>
                <w:sz w:val="17"/>
              </w:rPr>
              <w:t>9,400</w:t>
            </w:r>
          </w:p>
        </w:tc>
        <w:tc>
          <w:tcPr>
            <w:tcW w:type="dxa" w:w="1440"/>
            <w:shd w:fill="FFDCE0" w:val="clear"/>
          </w:tcPr>
          <w:p>
            <w:r>
              <w:rPr>
                <w:b/>
                <w:color w:val="C00000"/>
                <w:sz w:val="17"/>
              </w:rPr>
              <w:t>-10.7%</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8,209</w:t>
            </w:r>
          </w:p>
        </w:tc>
        <w:tc>
          <w:tcPr>
            <w:tcW w:type="dxa" w:w="1440"/>
            <w:shd w:fill="FFDCE0" w:val="clear"/>
          </w:tcPr>
          <w:p>
            <w:r>
              <w:rPr>
                <w:b/>
                <w:sz w:val="17"/>
              </w:rPr>
              <w:t>8,763</w:t>
            </w:r>
          </w:p>
        </w:tc>
        <w:tc>
          <w:tcPr>
            <w:tcW w:type="dxa" w:w="1440"/>
            <w:shd w:fill="FFDCE0" w:val="clear"/>
          </w:tcPr>
          <w:p>
            <w:r>
              <w:rPr>
                <w:sz w:val="17"/>
              </w:rPr>
              <w:t>9,317</w:t>
            </w:r>
          </w:p>
        </w:tc>
        <w:tc>
          <w:tcPr>
            <w:tcW w:type="dxa" w:w="1440"/>
            <w:shd w:fill="FFDCE0" w:val="clear"/>
          </w:tcPr>
          <w:p>
            <w:r>
              <w:rPr>
                <w:b/>
                <w:color w:val="C00000"/>
                <w:sz w:val="17"/>
              </w:rPr>
              <w:t>-12.2%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8,029</w:t>
            </w:r>
          </w:p>
        </w:tc>
        <w:tc>
          <w:tcPr>
            <w:tcW w:type="dxa" w:w="1440"/>
            <w:shd w:fill="FFDCE0" w:val="clear"/>
          </w:tcPr>
          <w:p>
            <w:r>
              <w:rPr>
                <w:b/>
                <w:sz w:val="17"/>
              </w:rPr>
              <w:t>8,639</w:t>
            </w:r>
          </w:p>
        </w:tc>
        <w:tc>
          <w:tcPr>
            <w:tcW w:type="dxa" w:w="1440"/>
            <w:shd w:fill="FFDCE0" w:val="clear"/>
          </w:tcPr>
          <w:p>
            <w:r>
              <w:rPr>
                <w:sz w:val="17"/>
              </w:rPr>
              <w:t>9,250</w:t>
            </w:r>
          </w:p>
        </w:tc>
        <w:tc>
          <w:tcPr>
            <w:tcW w:type="dxa" w:w="1440"/>
            <w:shd w:fill="FFDCE0" w:val="clear"/>
          </w:tcPr>
          <w:p>
            <w:r>
              <w:rPr>
                <w:b/>
                <w:color w:val="C00000"/>
                <w:sz w:val="17"/>
              </w:rPr>
              <w:t>-13.5%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7,866</w:t>
            </w:r>
          </w:p>
        </w:tc>
        <w:tc>
          <w:tcPr>
            <w:tcW w:type="dxa" w:w="1440"/>
            <w:shd w:fill="FFDCE0" w:val="clear"/>
          </w:tcPr>
          <w:p>
            <w:r>
              <w:rPr>
                <w:b/>
                <w:sz w:val="17"/>
              </w:rPr>
              <w:t>8,526</w:t>
            </w:r>
          </w:p>
        </w:tc>
        <w:tc>
          <w:tcPr>
            <w:tcW w:type="dxa" w:w="1440"/>
            <w:shd w:fill="FFDCE0" w:val="clear"/>
          </w:tcPr>
          <w:p>
            <w:r>
              <w:rPr>
                <w:sz w:val="17"/>
              </w:rPr>
              <w:t>9,186</w:t>
            </w:r>
          </w:p>
        </w:tc>
        <w:tc>
          <w:tcPr>
            <w:tcW w:type="dxa" w:w="1440"/>
            <w:shd w:fill="FFDCE0" w:val="clear"/>
          </w:tcPr>
          <w:p>
            <w:r>
              <w:rPr>
                <w:b/>
                <w:color w:val="C00000"/>
                <w:sz w:val="17"/>
              </w:rPr>
              <w:t>-14.6%</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7,717</w:t>
            </w:r>
          </w:p>
        </w:tc>
        <w:tc>
          <w:tcPr>
            <w:tcW w:type="dxa" w:w="1440"/>
            <w:shd w:fill="FFDCE0" w:val="clear"/>
          </w:tcPr>
          <w:p>
            <w:r>
              <w:rPr>
                <w:b/>
                <w:sz w:val="17"/>
              </w:rPr>
              <w:t>8,421</w:t>
            </w:r>
          </w:p>
        </w:tc>
        <w:tc>
          <w:tcPr>
            <w:tcW w:type="dxa" w:w="1440"/>
            <w:shd w:fill="FFDCE0" w:val="clear"/>
          </w:tcPr>
          <w:p>
            <w:r>
              <w:rPr>
                <w:sz w:val="17"/>
              </w:rPr>
              <w:t>9,125</w:t>
            </w:r>
          </w:p>
        </w:tc>
        <w:tc>
          <w:tcPr>
            <w:tcW w:type="dxa" w:w="1440"/>
            <w:shd w:fill="FFDCE0" w:val="clear"/>
          </w:tcPr>
          <w:p>
            <w:r>
              <w:rPr>
                <w:b/>
                <w:color w:val="C00000"/>
                <w:sz w:val="17"/>
              </w:rPr>
              <w:t>-15.7%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7,578</w:t>
            </w:r>
          </w:p>
        </w:tc>
        <w:tc>
          <w:tcPr>
            <w:tcW w:type="dxa" w:w="1440"/>
            <w:shd w:fill="FFDCE0" w:val="clear"/>
          </w:tcPr>
          <w:p>
            <w:r>
              <w:rPr>
                <w:b/>
                <w:sz w:val="17"/>
              </w:rPr>
              <w:t>8,322</w:t>
            </w:r>
          </w:p>
        </w:tc>
        <w:tc>
          <w:tcPr>
            <w:tcW w:type="dxa" w:w="1440"/>
            <w:shd w:fill="FFDCE0" w:val="clear"/>
          </w:tcPr>
          <w:p>
            <w:r>
              <w:rPr>
                <w:sz w:val="17"/>
              </w:rPr>
              <w:t>9,066</w:t>
            </w:r>
          </w:p>
        </w:tc>
        <w:tc>
          <w:tcPr>
            <w:tcW w:type="dxa" w:w="1440"/>
            <w:shd w:fill="FFDCE0" w:val="clear"/>
          </w:tcPr>
          <w:p>
            <w:r>
              <w:rPr>
                <w:b/>
                <w:color w:val="C00000"/>
                <w:sz w:val="17"/>
              </w:rPr>
              <w:t>-16.7%</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7,449</w:t>
            </w:r>
          </w:p>
        </w:tc>
        <w:tc>
          <w:tcPr>
            <w:tcW w:type="dxa" w:w="1440"/>
            <w:shd w:fill="FFDCE0" w:val="clear"/>
          </w:tcPr>
          <w:p>
            <w:r>
              <w:rPr>
                <w:b/>
                <w:sz w:val="17"/>
              </w:rPr>
              <w:t>8,229</w:t>
            </w:r>
          </w:p>
        </w:tc>
        <w:tc>
          <w:tcPr>
            <w:tcW w:type="dxa" w:w="1440"/>
            <w:shd w:fill="FFDCE0" w:val="clear"/>
          </w:tcPr>
          <w:p>
            <w:r>
              <w:rPr>
                <w:sz w:val="17"/>
              </w:rPr>
              <w:t>9,009</w:t>
            </w:r>
          </w:p>
        </w:tc>
        <w:tc>
          <w:tcPr>
            <w:tcW w:type="dxa" w:w="1440"/>
            <w:shd w:fill="FFDCE0" w:val="clear"/>
          </w:tcPr>
          <w:p>
            <w:r>
              <w:rPr>
                <w:b/>
                <w:color w:val="C00000"/>
                <w:sz w:val="17"/>
              </w:rPr>
              <w:t>-17.6%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7,327</w:t>
            </w:r>
          </w:p>
        </w:tc>
        <w:tc>
          <w:tcPr>
            <w:tcW w:type="dxa" w:w="1440"/>
            <w:shd w:fill="FFDCE0" w:val="clear"/>
          </w:tcPr>
          <w:p>
            <w:r>
              <w:rPr>
                <w:b/>
                <w:sz w:val="17"/>
              </w:rPr>
              <w:t>8,141</w:t>
            </w:r>
          </w:p>
        </w:tc>
        <w:tc>
          <w:tcPr>
            <w:tcW w:type="dxa" w:w="1440"/>
            <w:shd w:fill="FFDCE0" w:val="clear"/>
          </w:tcPr>
          <w:p>
            <w:r>
              <w:rPr>
                <w:sz w:val="17"/>
              </w:rPr>
              <w:t>8,955</w:t>
            </w:r>
          </w:p>
        </w:tc>
        <w:tc>
          <w:tcPr>
            <w:tcW w:type="dxa" w:w="1440"/>
            <w:shd w:fill="FFDCE0" w:val="clear"/>
          </w:tcPr>
          <w:p>
            <w:r>
              <w:rPr>
                <w:b/>
                <w:color w:val="C00000"/>
                <w:sz w:val="17"/>
              </w:rPr>
              <w:t>-18.5%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un rapport d'analyse professionnel structuré en quatre parties, conforme à vos instructions et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405 milliards FCFA, ce qui en fait une valeur de première ligne sur la BRVM, représentative d'un établissement bancaire systémique dans la zone UEMOA. Avec un BPA de 496 FCFA, le titre se négocie à un PER de 20,1x, nettement supérieur à la moyenne historique du marché (8-12x). Ce niveau élevé suggère que les investisseurs intègrent des attentes de croissance future significative, mais expose également le titre à un risque de correction si ces attentes ne se matérialisent pas. Le P/B de 3,45x confirme cette prime, le marché valorisant la banque bien au-delà de sa valeur comptable, ce qui est souvent le cas pour les banques affichant un ROE supérieur à 15%. Enfin, un EV/EBITDA de 20,5x, très exigeant, indique que la valeur d'entreprise est élevée par rapport à la capacité bénéficiaire brute, renforçant l'idée d'une valorisation qui anticipe une performance opérationnelle soutenue.</w:t>
      </w:r>
    </w:p>
    <w:p>
      <w:pPr>
        <w:spacing w:after="120" w:line="276" w:lineRule="auto"/>
      </w:pPr>
      <w:r>
        <w:t>### **PARTIE 1 : ANALYSE DU COURS — STATISTIQUES ET ÉVOLUTION (100 derniers jours)**</w:t>
      </w:r>
    </w:p>
    <w:p>
      <w:pPr>
        <w:spacing w:after="120" w:line="276" w:lineRule="auto"/>
      </w:pPr>
      <w:r>
        <w:t>Sur les 100 derniers jours, l'action BOAB a enregistré une performance exceptionnelle de +35,85%, avec une accélération marquée lors de la dernière séance (+5,11%). Le cours, actuellement à 9 985 FCFA, se situe à son plus haut niveau sur la période, après être parti d'un plancher de 7 350 FCFA, illustrant une tendance haussière puissante et continue. L'analyse statistique révèle que la moyenne (8 672 FCFA) est inférieure à la médiane (8 758 FCFA), ce qui, combiné à un skewness négatif (-0.812), indique que la distribution des rendements est asymétrique avec une queue de distribution vers les rendements négatifs, mais que les jours de forte hausse ont été plus fréquents. La dispersion des cours est relativement faible (CV=6,5%), et le kurtosis proche de zéro (0.282) suggère une distribution mésokurtique, sans risque de variations extrêmes particulier. La volatilité annualisée de 26,1% classe le titre dans la catégorie "modérée à élevée", reflétant un risque non négligeable mais cohérent avec la forte appréciation du cours.</w:t>
      </w:r>
    </w:p>
    <w:p>
      <w:pPr>
        <w:spacing w:after="120" w:line="276" w:lineRule="auto"/>
      </w:pPr>
      <w:r>
        <w:t>### **PARTIE 2 : ANALYSE TECHNIQUE DÉTAILLÉE**</w:t>
      </w:r>
    </w:p>
    <w:p>
      <w:pPr>
        <w:spacing w:after="120" w:line="276" w:lineRule="auto"/>
      </w:pPr>
      <w:r>
        <w:t>**Moyennes Mobiles** : Le cours actuel (9 985 FCFA) est largement au-dessus de ses moyennes mobiles à 20 et 50 jours (respectivement 8 836 et 8 858 FCFA). Bien que la configuration soit haussière à long terme, l'écart important entre le prix et les moyennes indique une condition de surachat technique. La décision de "Vente" est donc justifiée par un risque de retour vers ces moyennes.</w:t>
      </w:r>
    </w:p>
    <w:p>
      <w:pPr>
        <w:spacing w:after="120" w:line="276" w:lineRule="auto"/>
      </w:pPr>
      <w:r>
        <w:t>**Bandes de Bollinger** : Le cours a franchi et se maintient au-dessus de la borne supérieure (9 583 FCFA), ce qui est un signal classique de surachat et de volatilité extrême. Cet écart, couplé à l'élargissement des bandes, suggère une phase de spéculation intense. La décision de "Vente" est cohérente, car un retour à l'intérieur des bandes est statistiquement probable.</w:t>
      </w:r>
    </w:p>
    <w:p>
      <w:pPr>
        <w:spacing w:after="120" w:line="276" w:lineRule="auto"/>
      </w:pPr>
      <w:r>
        <w:t>**MACD** : Le MACD (174.55) est nettement au-dessus de sa ligne de signal (41.15), indiquant un momentum haussier très fort. La décision "Achat" est justifiée par cette dynamique positive, mais la divergence croissante souligne également un marché qui pourrait être suracheté à court terme.</w:t>
      </w:r>
    </w:p>
    <w:p>
      <w:pPr>
        <w:spacing w:after="120" w:line="276" w:lineRule="auto"/>
      </w:pPr>
      <w:r>
        <w:t>**RSI** : Avec une valeur de 81.27, le RSI est profondément en zone de surachat (au-delà de 70). Cela signale que l'actif est survendu et qu'un repli technique est de plus en plus probable. La décision de "Vente" est ici un signal d'alerte majeur pour les investisseurs à court terme.</w:t>
      </w:r>
    </w:p>
    <w:p>
      <w:pPr>
        <w:spacing w:after="120" w:line="276" w:lineRule="auto"/>
      </w:pPr>
      <w:r>
        <w:t>**Stochastique** : Le %K (100.0) et le %D (86.67) sont tous deux à des niveaux extrêmes de surachat. Le %K a atteint sa valeur maximale, ce qui indique une pression d'achat absolue. La décision de "Vente" est justifiée, car un croisement baissier de ces deux lignes pourrait déclencher une correction significative.</w:t>
      </w:r>
    </w:p>
    <w:p>
      <w:pPr>
        <w:spacing w:after="120" w:line="276" w:lineRule="auto"/>
      </w:pPr>
      <w:r>
        <w:t>**Conclusion technique** : L'ensemble des indicateurs (MM, Bollinger, RSI, Stochastique) converge vers un signal de surachat extrême, tandis que seul le MACD reste positif. Cette divergence signale un risque élevé de correction à court terme, malgré une tendance de fond haussière. La prudence est donc de mise pour tout nouvel achat à ces niveaux de prix.</w:t>
      </w:r>
    </w:p>
    <w:p>
      <w:pPr>
        <w:spacing w:after="120" w:line="276" w:lineRule="auto"/>
      </w:pPr>
      <w:r>
        <w:t>### **PARTIE 3 : ANALYSE FONDAMENTALE (SECTION CRITIQUE)**</w:t>
      </w:r>
    </w:p>
    <w:p>
      <w:pPr>
        <w:spacing w:after="120" w:line="276" w:lineRule="auto"/>
      </w:pPr>
      <w:r>
        <w:t>En 2025, les données financières structurées de BOAB font état d'un Produit Net Bancaire (PNB) de 51,274 milliards FCFA, en croissance de 10,2%, et d'un résultat net de 20,107 milliards FCFA. La banque affiche une rentabilité excellente avec un ROE de 17,1% et un ROA de 2,08%. Le coefficient d'exploitation de 49,5% témoigne d'une gestion très efficace. Cependant, le coût du risque, à 22,5% des charges financières, est un point de vigilance. Le bilan est solide avec des dépôts clients (711,6 Mds) représentant 1,8 fois les créances sur la clientèle (391,7 Mds), bien que le ratio d'autonomie financière (12,2%) reste faible. Les rapports trimestriels de 2025 montrent une dynamique contrastée : le T1 2025 (PNB +1,7%, RN -8,2%) a été pénalisé par une hausse du coût du risque, tandis que le T3 2025 (PNB +9%, RN +13%) a bénéficié d'une amélioration des marges et des commissions. Sur la base de ces tendances, on estime que l'exercice 2025 devrait confirmer une croissance solide, portée par la maîtrise des coûts et la diversification des revenus, malgré une contraction des crédits et dépôts. La banque semble privilégier la qualité de ses actifs et sa rentabilité à la croissance volumique.</w:t>
      </w:r>
    </w:p>
    <w:p>
      <w:pPr>
        <w:spacing w:after="120" w:line="276" w:lineRule="auto"/>
      </w:pPr>
      <w:r>
        <w:t>### **PARTIE 4 : CONCLUSION D'INVESTISSEMENT**</w:t>
      </w:r>
    </w:p>
    <w:p>
      <w:pPr>
        <w:spacing w:after="120" w:line="276" w:lineRule="auto"/>
      </w:pPr>
      <w:r>
        <w:t>La valorisation de BOAB (PER 20,1x, P/B 3,45x) est exigeante, intégrant une croissance future que les fondamentaux récents (croissance du PNB, ROE &gt;17%) semblent justifier. Le comportement du cours, avec une hausse de 35,85% en 100 jours et des statistiques montrant une asymétrie négative, suggère un momentum fort mais un risque de retour à la moyenne. Les signaux techniques sont unanimes sur un état de surachat extrême, prédisant une correction à court terme, tandis que les prédictions IA (baisse de 9 985 à 8 639 FCFA sur 10 jours) confirment cette anticipation de repli. Enfin, les fondamentaux restent solides, avec une banque efficace et rentable, mais confrontée à un coût du risque élevé et une contraction de son bilan. En synthèse, la convergence des signaux techniques et des prédictions IA vers un repli, malgré des fondamentaux sains, conduit à une recommandation de **CONSERVER** pour les investisseurs actuels, et d'attendre un point d'entrée plus favorable pour les nouveaux. Le niveau de confiance est **Moyen**, le risque global est **Élevé** à court terme, et l'horizon d'investissement optimal serait le **moyen terme (3-12 mois)** après une probable phase de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334.40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6,077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+37.93%</w:t>
            </w:r>
          </w:p>
          <w:p>
            <w:r>
              <w:rPr>
                <w:b/>
                <w:color w:val="503200"/>
                <w:sz w:val="16"/>
              </w:rPr>
              <w:t xml:space="preserve">Plus haut 100j : </w:t>
            </w:r>
            <w:r>
              <w:rPr>
                <w:color w:val="000000"/>
                <w:sz w:val="17"/>
              </w:rPr>
              <w:t>7,600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12.18% (Moyenne) — μ=6,026 FCFA, σ=734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β=0.2883 (Défensif) — Cov=0.000010, Var(idx)=0.000035, ρ=0.093,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7,086</w:t>
            </w:r>
          </w:p>
        </w:tc>
        <w:tc>
          <w:tcPr>
            <w:tcW w:type="dxa" w:w="1440"/>
            <w:shd w:fill="FFDCE0" w:val="clear"/>
          </w:tcPr>
          <w:p>
            <w:r>
              <w:rPr>
                <w:b/>
                <w:sz w:val="17"/>
              </w:rPr>
              <w:t>7,384</w:t>
            </w:r>
          </w:p>
        </w:tc>
        <w:tc>
          <w:tcPr>
            <w:tcW w:type="dxa" w:w="1440"/>
            <w:shd w:fill="FFDCE0" w:val="clear"/>
          </w:tcPr>
          <w:p>
            <w:r>
              <w:rPr>
                <w:sz w:val="17"/>
              </w:rPr>
              <w:t>7,681</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6,825</w:t>
            </w:r>
          </w:p>
        </w:tc>
        <w:tc>
          <w:tcPr>
            <w:tcW w:type="dxa" w:w="1440"/>
            <w:shd w:fill="FFDCE0" w:val="clear"/>
          </w:tcPr>
          <w:p>
            <w:r>
              <w:rPr>
                <w:b/>
                <w:sz w:val="17"/>
              </w:rPr>
              <w:t>7,238</w:t>
            </w:r>
          </w:p>
        </w:tc>
        <w:tc>
          <w:tcPr>
            <w:tcW w:type="dxa" w:w="1440"/>
            <w:shd w:fill="FFDCE0" w:val="clear"/>
          </w:tcPr>
          <w:p>
            <w:r>
              <w:rPr>
                <w:sz w:val="17"/>
              </w:rPr>
              <w:t>7,650</w:t>
            </w:r>
          </w:p>
        </w:tc>
        <w:tc>
          <w:tcPr>
            <w:tcW w:type="dxa" w:w="1440"/>
            <w:shd w:fill="FFDCE0" w:val="clear"/>
          </w:tcPr>
          <w:p>
            <w:r>
              <w:rPr>
                <w:b/>
                <w:color w:val="C00000"/>
                <w:sz w:val="17"/>
              </w:rPr>
              <w:t>-4.8%</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6,622</w:t>
            </w:r>
          </w:p>
        </w:tc>
        <w:tc>
          <w:tcPr>
            <w:tcW w:type="dxa" w:w="1440"/>
            <w:shd w:fill="FFDCE0" w:val="clear"/>
          </w:tcPr>
          <w:p>
            <w:r>
              <w:rPr>
                <w:b/>
                <w:sz w:val="17"/>
              </w:rPr>
              <w:t>7,119</w:t>
            </w:r>
          </w:p>
        </w:tc>
        <w:tc>
          <w:tcPr>
            <w:tcW w:type="dxa" w:w="1440"/>
            <w:shd w:fill="FFDCE0" w:val="clear"/>
          </w:tcPr>
          <w:p>
            <w:r>
              <w:rPr>
                <w:sz w:val="17"/>
              </w:rPr>
              <w:t>7,616</w:t>
            </w:r>
          </w:p>
        </w:tc>
        <w:tc>
          <w:tcPr>
            <w:tcW w:type="dxa" w:w="1440"/>
            <w:shd w:fill="FFDCE0" w:val="clear"/>
          </w:tcPr>
          <w:p>
            <w:r>
              <w:rPr>
                <w:b/>
                <w:color w:val="C00000"/>
                <w:sz w:val="17"/>
              </w:rPr>
              <w:t>-6.3%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6,464</w:t>
            </w:r>
          </w:p>
        </w:tc>
        <w:tc>
          <w:tcPr>
            <w:tcW w:type="dxa" w:w="1440"/>
            <w:shd w:fill="FFDCE0" w:val="clear"/>
          </w:tcPr>
          <w:p>
            <w:r>
              <w:rPr>
                <w:b/>
                <w:sz w:val="17"/>
              </w:rPr>
              <w:t>7,030</w:t>
            </w:r>
          </w:p>
        </w:tc>
        <w:tc>
          <w:tcPr>
            <w:tcW w:type="dxa" w:w="1440"/>
            <w:shd w:fill="FFDCE0" w:val="clear"/>
          </w:tcPr>
          <w:p>
            <w:r>
              <w:rPr>
                <w:sz w:val="17"/>
              </w:rPr>
              <w:t>7,597</w:t>
            </w:r>
          </w:p>
        </w:tc>
        <w:tc>
          <w:tcPr>
            <w:tcW w:type="dxa" w:w="1440"/>
            <w:shd w:fill="FFDCE0" w:val="clear"/>
          </w:tcPr>
          <w:p>
            <w:r>
              <w:rPr>
                <w:b/>
                <w:color w:val="C00000"/>
                <w:sz w:val="17"/>
              </w:rPr>
              <w:t>-7.5%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6,330</w:t>
            </w:r>
          </w:p>
        </w:tc>
        <w:tc>
          <w:tcPr>
            <w:tcW w:type="dxa" w:w="1440"/>
            <w:shd w:fill="FFDCE0" w:val="clear"/>
          </w:tcPr>
          <w:p>
            <w:r>
              <w:rPr>
                <w:b/>
                <w:sz w:val="17"/>
              </w:rPr>
              <w:t>6,957</w:t>
            </w:r>
          </w:p>
        </w:tc>
        <w:tc>
          <w:tcPr>
            <w:tcW w:type="dxa" w:w="1440"/>
            <w:shd w:fill="FFDCE0" w:val="clear"/>
          </w:tcPr>
          <w:p>
            <w:r>
              <w:rPr>
                <w:sz w:val="17"/>
              </w:rPr>
              <w:t>7,584</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6,212</w:t>
            </w:r>
          </w:p>
        </w:tc>
        <w:tc>
          <w:tcPr>
            <w:tcW w:type="dxa" w:w="1440"/>
            <w:shd w:fill="FFDCE0" w:val="clear"/>
          </w:tcPr>
          <w:p>
            <w:r>
              <w:rPr>
                <w:b/>
                <w:sz w:val="17"/>
              </w:rPr>
              <w:t>6,892</w:t>
            </w:r>
          </w:p>
        </w:tc>
        <w:tc>
          <w:tcPr>
            <w:tcW w:type="dxa" w:w="1440"/>
            <w:shd w:fill="FFDCE0" w:val="clear"/>
          </w:tcPr>
          <w:p>
            <w:r>
              <w:rPr>
                <w:sz w:val="17"/>
              </w:rPr>
              <w:t>7,573</w:t>
            </w:r>
          </w:p>
        </w:tc>
        <w:tc>
          <w:tcPr>
            <w:tcW w:type="dxa" w:w="1440"/>
            <w:shd w:fill="FFDCE0" w:val="clear"/>
          </w:tcPr>
          <w:p>
            <w:r>
              <w:rPr>
                <w:b/>
                <w:color w:val="C00000"/>
                <w:sz w:val="17"/>
              </w:rPr>
              <w:t>-9.3%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6,103</w:t>
            </w:r>
          </w:p>
        </w:tc>
        <w:tc>
          <w:tcPr>
            <w:tcW w:type="dxa" w:w="1440"/>
            <w:shd w:fill="FFDCE0" w:val="clear"/>
          </w:tcPr>
          <w:p>
            <w:r>
              <w:rPr>
                <w:b/>
                <w:sz w:val="17"/>
              </w:rPr>
              <w:t>6,832</w:t>
            </w:r>
          </w:p>
        </w:tc>
        <w:tc>
          <w:tcPr>
            <w:tcW w:type="dxa" w:w="1440"/>
            <w:shd w:fill="FFDCE0" w:val="clear"/>
          </w:tcPr>
          <w:p>
            <w:r>
              <w:rPr>
                <w:sz w:val="17"/>
              </w:rPr>
              <w:t>7,560</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6,002</w:t>
            </w:r>
          </w:p>
        </w:tc>
        <w:tc>
          <w:tcPr>
            <w:tcW w:type="dxa" w:w="1440"/>
            <w:shd w:fill="FFDCE0" w:val="clear"/>
          </w:tcPr>
          <w:p>
            <w:r>
              <w:rPr>
                <w:b/>
                <w:sz w:val="17"/>
              </w:rPr>
              <w:t>6,774</w:t>
            </w:r>
          </w:p>
        </w:tc>
        <w:tc>
          <w:tcPr>
            <w:tcW w:type="dxa" w:w="1440"/>
            <w:shd w:fill="FFDCE0" w:val="clear"/>
          </w:tcPr>
          <w:p>
            <w:r>
              <w:rPr>
                <w:sz w:val="17"/>
              </w:rPr>
              <w:t>7,546</w:t>
            </w:r>
          </w:p>
        </w:tc>
        <w:tc>
          <w:tcPr>
            <w:tcW w:type="dxa" w:w="1440"/>
            <w:shd w:fill="FFDCE0" w:val="clear"/>
          </w:tcPr>
          <w:p>
            <w:r>
              <w:rPr>
                <w:b/>
                <w:color w:val="C00000"/>
                <w:sz w:val="17"/>
              </w:rPr>
              <w:t>-10.9%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5,906</w:t>
            </w:r>
          </w:p>
        </w:tc>
        <w:tc>
          <w:tcPr>
            <w:tcW w:type="dxa" w:w="1440"/>
            <w:shd w:fill="FFDCE0" w:val="clear"/>
          </w:tcPr>
          <w:p>
            <w:r>
              <w:rPr>
                <w:b/>
                <w:sz w:val="17"/>
              </w:rPr>
              <w:t>6,718</w:t>
            </w:r>
          </w:p>
        </w:tc>
        <w:tc>
          <w:tcPr>
            <w:tcW w:type="dxa" w:w="1440"/>
            <w:shd w:fill="FFDCE0" w:val="clear"/>
          </w:tcPr>
          <w:p>
            <w:r>
              <w:rPr>
                <w:sz w:val="17"/>
              </w:rPr>
              <w:t>7,530</w:t>
            </w:r>
          </w:p>
        </w:tc>
        <w:tc>
          <w:tcPr>
            <w:tcW w:type="dxa" w:w="1440"/>
            <w:shd w:fill="FFDCE0" w:val="clear"/>
          </w:tcPr>
          <w:p>
            <w:r>
              <w:rPr>
                <w:b/>
                <w:color w:val="C00000"/>
                <w:sz w:val="17"/>
              </w:rPr>
              <w:t>-11.6%</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5,815</w:t>
            </w:r>
          </w:p>
        </w:tc>
        <w:tc>
          <w:tcPr>
            <w:tcW w:type="dxa" w:w="1440"/>
            <w:shd w:fill="FFDCE0" w:val="clear"/>
          </w:tcPr>
          <w:p>
            <w:r>
              <w:rPr>
                <w:b/>
                <w:sz w:val="17"/>
              </w:rPr>
              <w:t>6,664</w:t>
            </w:r>
          </w:p>
        </w:tc>
        <w:tc>
          <w:tcPr>
            <w:tcW w:type="dxa" w:w="1440"/>
            <w:shd w:fill="FFDCE0" w:val="clear"/>
          </w:tcPr>
          <w:p>
            <w:r>
              <w:rPr>
                <w:sz w:val="17"/>
              </w:rPr>
              <w:t>7,514</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334,40 milliards FCFA, ce qui positionne la banque parmi les valeurs moyennes à grandes capitalisations de la BRVM, lui conférant une liquidité et une visibilité notables. Avec un BPA de 438 FCFA, chaque action génère un bénéfice substantiel, justifiant un PER de 17,4x. Ce niveau est nettement supérieur à la moyenne historique de la BRVM (8-12x), indiquant que le marché applique une prime de croissance et de qualité, valorisant ainsi le titre au-dessus de la moyenne du marché. Le P/B de 2,64x confirme cette perception, les investisseurs acceptant de payer plus de 2,5 fois la valeur comptable des actifs, signe d'une confiance dans la création de valeur future. Enfin, l'EV/EBITDA de 7,5x reste dans une zone raisonnable (5-10x), suggérant que la valorisation globale de l'entreprise, bien que généreuse sur le plan boursier, n'est pas excessive par rapport à sa capacité opérationnelle à générer des liquidités.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performance remarquable de +37,93%, avec une dernière séance en hausse de +1,33%, clôturant à 7 600 FCFA, son plus haut niveau sur la période. Cette tendance haussière marquée s'est déroulée dans un range de trading de 5 235 à 7 600 FCFA, démontrant une forte dynamique d'appréciation. Les statistiques descriptives révèlent une moyenne de 6 026 FCFA, inférieure à la médiane de 5 630 FCFA, ce qui, combiné à un skewness positif de 0.911, indique une distribution asymétrique avec des journées de forte hausse plus fréquentes que les baisses. L'écart-type de 738 FCFA (CV=12,2%) montre une dispersion modérée des cours autour de la moyenne. Le kurtosis de -0.914 (mésokurtique) suggère une distribution proche de la normale, sans risque extrême de pics ou de queues épaisses. La volatilité annualisée de 28,9% classe le titre dans la catégorie "élevée" (proche du seuil de 30%), reflétant un risque de marché substantiel mais cohérent avec la forte appréciation du cours.</w:t>
      </w:r>
    </w:p>
    <w:p>
      <w:pPr>
        <w:spacing w:after="120" w:line="276" w:lineRule="auto" w:before="240"/>
      </w:pPr>
      <w:r>
        <w:rPr>
          <w:b/>
          <w:color w:val="003366"/>
          <w:sz w:val="24"/>
        </w:rPr>
        <w:t>**PARTIE 2 : ANALYSE TECHNIQUE DÉTAILLÉE**</w:t>
      </w:r>
    </w:p>
    <w:p>
      <w:pPr>
        <w:spacing w:after="120" w:line="276" w:lineRule="auto"/>
      </w:pPr>
      <w:r>
        <w:t>**Moyennes Mobiles**: Le cours actuel de 7 600 FCFA se situe nettement au-dessus de la MM20 (7 217,5 FCFA) et de la MM50 (6 530,4 FCFA). Cette configuration haussière, où le prix est supérieur aux deux moyennes, confirme une tendance de fond positive. La décision d'achat est justifiée par la vigueur de la tendance, mais l'écart important avec la MM20 suggère un marché potentiellement suracheté à court terme.</w:t>
      </w:r>
    </w:p>
    <w:p>
      <w:pPr>
        <w:spacing w:after="120" w:line="276" w:lineRule="auto"/>
      </w:pPr>
      <w:r>
        <w:t>**Bandes de Bollinger**: Le prix de 7 600 FCFA a franchi la borne supérieure de la bande (7 535,7 FCFA), signalant une condition de surachat extrême. Cette sortie de canal indique une pression d'achat exceptionnelle, mais également une probabilité accrue de consolidation ou de correction technique. La décision de vente est donc cohérente avec ce signal de retour à la moyenne.</w:t>
      </w:r>
    </w:p>
    <w:p>
      <w:pPr>
        <w:spacing w:after="120" w:line="276" w:lineRule="auto"/>
      </w:pPr>
      <w:r>
        <w:t>**MACD**: La valeur du MACD (231,9) est inférieure à son signal (242,7), indiquant un ralentissement du momentum haussier. Bien que les deux lignes restent en territoire positif, ce croisement baissier suggère une perte de vigueur de la tendance. La décision de vente reflète cette perte d'élan, prévenant d'un possible retournement.</w:t>
      </w:r>
    </w:p>
    <w:p>
      <w:pPr>
        <w:spacing w:after="120" w:line="276" w:lineRule="auto"/>
      </w:pPr>
      <w:r>
        <w:t>**RSI**: Avec une valeur de 72,7, le RSI est entré en zone de surachat (&gt;70). Ce niveau indique que le titre a été acheté de manière excessive à court terme et que le potentiel de hausse immédiat est limité. La décision de vente est justifiée par ce signal classique de retournement, bien qu'un RSI puisse rester suracheté en tendance forte.</w:t>
      </w:r>
    </w:p>
    <w:p>
      <w:pPr>
        <w:spacing w:after="120" w:line="276" w:lineRule="auto"/>
      </w:pPr>
      <w:r>
        <w:t>**Stochastique**: Le %K à 100,0 et le %D à 93,3 sont tous deux en zone de surachat extrême. Ce niveau maximal indique que le prix a clôturé à son plus haut sur la période, une condition souvent associée à une correction imminente. La décision de vente est cohérente avec ce signal de retournement.</w:t>
      </w:r>
    </w:p>
    <w:p>
      <w:pPr>
        <w:spacing w:after="120" w:line="276" w:lineRule="auto"/>
      </w:pPr>
      <w:r>
        <w:t>**Conclusion technique**: L'ensemble des indicateurs techniques converge vers un signal de vente à court terme, malgré une tendance de fond haussière. Le titre est en situation de surachat généralisé (Bollinger, RSI, Stochastique) avec un momentum en perte de vitesse (MACD). Cette configuration suggère une pause ou une correction technique probable avant la poursuite de la tendance haussière de moyen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BOABF révèlent une banque solide mais confrontée à des défis majeurs. Le Produit Net Bancaire (PNB) s'établit à 57,82 milliards FCFA, avec un résultat net de 19,25 milliards FCFA, générant un ROE de 15,2% (excellent, &gt;15%) et un ROA de 1,68%. Le coefficient d'exploitation de 47,2% témoigne d'une excellente maîtrise des charges, bien en dessous du seuil de 60%. Cependant, le coût du risque de 33,9% est élevé, signalant une dégradation de la qualité du portefeuille de crédits. La structure financière montre une dépendance forte aux dépôts clientèle (877,8 milliards FCFA) pour financer des crédits de 474,1 milliards FCFA, avec un ratio de transformation de 54%. Les rapports trimestriels de 2025 confirment cette tendance : le T1 2025 (PNB +2,3%, RN -16,6%) et le S1 2025 (PNB +1,4%, RN -46,5%) montrent une stagnation de l'activité et un effondrement de la rentabilité, principalement due à une explosion du coût du risque (+1336% au S1). Le T3 2025 (PNB +0,85%, RN -27,7%) confirme la persistance de ces difficultés. Pour 2026, le rapport T1 2026 (PNB -10,75%, RN -12,99%) indique une poursuite de la dégradation. On estime que l'exercice 2026 devrait être difficile, avec une pression continue sur la rentabilité, malgré une collecte de dépôts dynamique (+6,3% au T1 2026). La banque conserve des fondamentaux opérationnels sains mais subit un environnement économique et sécuritaire burkinabè dégradé.</w:t>
      </w:r>
    </w:p>
    <w:p>
      <w:pPr>
        <w:spacing w:after="120" w:line="276" w:lineRule="auto" w:before="240"/>
      </w:pPr>
      <w:r>
        <w:rPr>
          <w:b/>
          <w:color w:val="003366"/>
          <w:sz w:val="24"/>
        </w:rPr>
        <w:t>**PARTIE 4 : CONCLUSION D'INVESTISSEMENT**</w:t>
      </w:r>
    </w:p>
    <w:p>
      <w:pPr>
        <w:spacing w:after="120" w:line="276" w:lineRule="auto"/>
      </w:pPr>
      <w:r>
        <w:t>La valorisation de BOABF (PER 17,4x, P/B 2,64x) apparaît élevée par rapport au marché, intégrant une prime de croissance qui semble difficile à justifier au vu des fondamentaux actuels. Le comportement du cours (+37,93% sur 100 jours) montre une dynamique haussière spectaculaire, mais les statistiques (volatilité 28,9%, skewness positif) et les signaux techniques (RSI 72,7, Stochastique 100, prix au-delà de la borne de Bollinger) indiquent un surachat extrême, prédisant une correction probable. Les fondamentaux, bien que solides sur le plan opérationnel (coefficient d'exploitation 47,2%, ROE 15,2%), se dégradent rapidement avec un coût du risque en explosion et une rentabilité en chute libre. Les prédictions IA (baisse de 7 600 à 6 957 FCFA sur 10 jours) confirment cette anticipation de correction. La convergence entre les signaux techniques, les prédictions IA et la détérioration fondamentale, malgré une valorisation encore élevée, conduit à une recommandation de **VENTE** à court terme. Le niveau de confiance est **Moyen**, car la tendance de fond reste haussière et la banque conserve des atouts structurels. Le risque global est **Élevé** en raison de la volatilité et de l'incertitude économique. L'horizon d'investissement optimal serait de moyen terme (3-12 mois) pour observer une stabilisation des fondamentaux et une correction du cours avant d'envisager un réinvestissement.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14,234 titres</w:t>
            </w:r>
          </w:p>
        </w:tc>
        <w:tc>
          <w:tcPr>
            <w:tcW w:type="dxa" w:w="2268"/>
            <w:shd w:fill="FFF2CC" w:val="clear"/>
          </w:tcPr>
          <w:p>
            <w:r>
              <w:rPr>
                <w:b/>
                <w:color w:val="503200"/>
                <w:sz w:val="16"/>
              </w:rPr>
              <w:t xml:space="preserve">Cours actuel : </w:t>
            </w:r>
            <w:r>
              <w:rPr>
                <w:color w:val="000000"/>
                <w:sz w:val="17"/>
              </w:rPr>
              <w:t>12,985 FCFA</w:t>
            </w:r>
          </w:p>
          <w:p>
            <w:r>
              <w:rPr>
                <w:b/>
                <w:color w:val="503200"/>
                <w:sz w:val="16"/>
              </w:rPr>
              <w:t xml:space="preserve">Var. 100 jours : </w:t>
            </w:r>
            <w:r>
              <w:rPr>
                <w:b/>
                <w:color w:val="007800"/>
                <w:sz w:val="17"/>
              </w:rPr>
              <w:t>+49.25%</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13.92% (Moyenne) — μ=9,548 FCFA, σ=1,329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β=0.2884 (Défensif) — Cov=0.000010, Var(idx)=0.000035, ρ=0.096,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14,234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11,833</w:t>
            </w:r>
          </w:p>
        </w:tc>
        <w:tc>
          <w:tcPr>
            <w:tcW w:type="dxa" w:w="1440"/>
            <w:shd w:fill="FFDCE0" w:val="clear"/>
          </w:tcPr>
          <w:p>
            <w:r>
              <w:rPr>
                <w:b/>
                <w:sz w:val="17"/>
              </w:rPr>
              <w:t>12,243</w:t>
            </w:r>
          </w:p>
        </w:tc>
        <w:tc>
          <w:tcPr>
            <w:tcW w:type="dxa" w:w="1440"/>
            <w:shd w:fill="FFDCE0" w:val="clear"/>
          </w:tcPr>
          <w:p>
            <w:r>
              <w:rPr>
                <w:sz w:val="17"/>
              </w:rPr>
              <w:t>12,653</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11,093</w:t>
            </w:r>
          </w:p>
        </w:tc>
        <w:tc>
          <w:tcPr>
            <w:tcW w:type="dxa" w:w="1440"/>
            <w:shd w:fill="FFDCE0" w:val="clear"/>
          </w:tcPr>
          <w:p>
            <w:r>
              <w:rPr>
                <w:b/>
                <w:sz w:val="17"/>
              </w:rPr>
              <w:t>11,644</w:t>
            </w:r>
          </w:p>
        </w:tc>
        <w:tc>
          <w:tcPr>
            <w:tcW w:type="dxa" w:w="1440"/>
            <w:shd w:fill="FFDCE0" w:val="clear"/>
          </w:tcPr>
          <w:p>
            <w:r>
              <w:rPr>
                <w:sz w:val="17"/>
              </w:rPr>
              <w:t>12,195</w:t>
            </w:r>
          </w:p>
        </w:tc>
        <w:tc>
          <w:tcPr>
            <w:tcW w:type="dxa" w:w="1440"/>
            <w:shd w:fill="FFDCE0" w:val="clear"/>
          </w:tcPr>
          <w:p>
            <w:r>
              <w:rPr>
                <w:b/>
                <w:color w:val="C00000"/>
                <w:sz w:val="17"/>
              </w:rPr>
              <w:t>-10.3%</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10,439</w:t>
            </w:r>
          </w:p>
        </w:tc>
        <w:tc>
          <w:tcPr>
            <w:tcW w:type="dxa" w:w="1440"/>
            <w:shd w:fill="FFDCE0" w:val="clear"/>
          </w:tcPr>
          <w:p>
            <w:r>
              <w:rPr>
                <w:b/>
                <w:sz w:val="17"/>
              </w:rPr>
              <w:t>11,081</w:t>
            </w:r>
          </w:p>
        </w:tc>
        <w:tc>
          <w:tcPr>
            <w:tcW w:type="dxa" w:w="1440"/>
            <w:shd w:fill="FFDCE0" w:val="clear"/>
          </w:tcPr>
          <w:p>
            <w:r>
              <w:rPr>
                <w:sz w:val="17"/>
              </w:rPr>
              <w:t>11,723</w:t>
            </w:r>
          </w:p>
        </w:tc>
        <w:tc>
          <w:tcPr>
            <w:tcW w:type="dxa" w:w="1440"/>
            <w:shd w:fill="FFDCE0" w:val="clear"/>
          </w:tcPr>
          <w:p>
            <w:r>
              <w:rPr>
                <w:b/>
                <w:color w:val="C00000"/>
                <w:sz w:val="17"/>
              </w:rPr>
              <w:t>-14.7%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9,888</w:t>
            </w:r>
          </w:p>
        </w:tc>
        <w:tc>
          <w:tcPr>
            <w:tcW w:type="dxa" w:w="1440"/>
            <w:shd w:fill="FFDCE0" w:val="clear"/>
          </w:tcPr>
          <w:p>
            <w:r>
              <w:rPr>
                <w:b/>
                <w:sz w:val="17"/>
              </w:rPr>
              <w:t>10,597</w:t>
            </w:r>
          </w:p>
        </w:tc>
        <w:tc>
          <w:tcPr>
            <w:tcW w:type="dxa" w:w="1440"/>
            <w:shd w:fill="FFDCE0" w:val="clear"/>
          </w:tcPr>
          <w:p>
            <w:r>
              <w:rPr>
                <w:sz w:val="17"/>
              </w:rPr>
              <w:t>11,306</w:t>
            </w:r>
          </w:p>
        </w:tc>
        <w:tc>
          <w:tcPr>
            <w:tcW w:type="dxa" w:w="1440"/>
            <w:shd w:fill="FFDCE0" w:val="clear"/>
          </w:tcPr>
          <w:p>
            <w:r>
              <w:rPr>
                <w:b/>
                <w:color w:val="C00000"/>
                <w:sz w:val="17"/>
              </w:rPr>
              <w:t>-18.4%</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9,424</w:t>
            </w:r>
          </w:p>
        </w:tc>
        <w:tc>
          <w:tcPr>
            <w:tcW w:type="dxa" w:w="1440"/>
            <w:shd w:fill="FFDCE0" w:val="clear"/>
          </w:tcPr>
          <w:p>
            <w:r>
              <w:rPr>
                <w:b/>
                <w:sz w:val="17"/>
              </w:rPr>
              <w:t>10,186</w:t>
            </w:r>
          </w:p>
        </w:tc>
        <w:tc>
          <w:tcPr>
            <w:tcW w:type="dxa" w:w="1440"/>
            <w:shd w:fill="FFDCE0" w:val="clear"/>
          </w:tcPr>
          <w:p>
            <w:r>
              <w:rPr>
                <w:sz w:val="17"/>
              </w:rPr>
              <w:t>10,948</w:t>
            </w:r>
          </w:p>
        </w:tc>
        <w:tc>
          <w:tcPr>
            <w:tcW w:type="dxa" w:w="1440"/>
            <w:shd w:fill="FFDCE0" w:val="clear"/>
          </w:tcPr>
          <w:p>
            <w:r>
              <w:rPr>
                <w:b/>
                <w:color w:val="C00000"/>
                <w:sz w:val="17"/>
              </w:rPr>
              <w:t>-21.6%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9,029</w:t>
            </w:r>
          </w:p>
        </w:tc>
        <w:tc>
          <w:tcPr>
            <w:tcW w:type="dxa" w:w="1440"/>
            <w:shd w:fill="FFDCE0" w:val="clear"/>
          </w:tcPr>
          <w:p>
            <w:r>
              <w:rPr>
                <w:b/>
                <w:sz w:val="17"/>
              </w:rPr>
              <w:t>9,834</w:t>
            </w:r>
          </w:p>
        </w:tc>
        <w:tc>
          <w:tcPr>
            <w:tcW w:type="dxa" w:w="1440"/>
            <w:shd w:fill="FFDCE0" w:val="clear"/>
          </w:tcPr>
          <w:p>
            <w:r>
              <w:rPr>
                <w:sz w:val="17"/>
              </w:rPr>
              <w:t>10,640</w:t>
            </w:r>
          </w:p>
        </w:tc>
        <w:tc>
          <w:tcPr>
            <w:tcW w:type="dxa" w:w="1440"/>
            <w:shd w:fill="FFDCE0" w:val="clear"/>
          </w:tcPr>
          <w:p>
            <w:r>
              <w:rPr>
                <w:b/>
                <w:color w:val="C00000"/>
                <w:sz w:val="17"/>
              </w:rPr>
              <w:t>-24.3%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8,689</w:t>
            </w:r>
          </w:p>
        </w:tc>
        <w:tc>
          <w:tcPr>
            <w:tcW w:type="dxa" w:w="1440"/>
            <w:shd w:fill="FFDCE0" w:val="clear"/>
          </w:tcPr>
          <w:p>
            <w:r>
              <w:rPr>
                <w:b/>
                <w:sz w:val="17"/>
              </w:rPr>
              <w:t>9,532</w:t>
            </w:r>
          </w:p>
        </w:tc>
        <w:tc>
          <w:tcPr>
            <w:tcW w:type="dxa" w:w="1440"/>
            <w:shd w:fill="FFDCE0" w:val="clear"/>
          </w:tcPr>
          <w:p>
            <w:r>
              <w:rPr>
                <w:sz w:val="17"/>
              </w:rPr>
              <w:t>10,376</w:t>
            </w:r>
          </w:p>
        </w:tc>
        <w:tc>
          <w:tcPr>
            <w:tcW w:type="dxa" w:w="1440"/>
            <w:shd w:fill="FFDCE0" w:val="clear"/>
          </w:tcPr>
          <w:p>
            <w:r>
              <w:rPr>
                <w:b/>
                <w:color w:val="C00000"/>
                <w:sz w:val="17"/>
              </w:rPr>
              <w:t>-26.6%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8,393</w:t>
            </w:r>
          </w:p>
        </w:tc>
        <w:tc>
          <w:tcPr>
            <w:tcW w:type="dxa" w:w="1440"/>
            <w:shd w:fill="FFDCE0" w:val="clear"/>
          </w:tcPr>
          <w:p>
            <w:r>
              <w:rPr>
                <w:b/>
                <w:sz w:val="17"/>
              </w:rPr>
              <w:t>9,270</w:t>
            </w:r>
          </w:p>
        </w:tc>
        <w:tc>
          <w:tcPr>
            <w:tcW w:type="dxa" w:w="1440"/>
            <w:shd w:fill="FFDCE0" w:val="clear"/>
          </w:tcPr>
          <w:p>
            <w:r>
              <w:rPr>
                <w:sz w:val="17"/>
              </w:rPr>
              <w:t>10,147</w:t>
            </w:r>
          </w:p>
        </w:tc>
        <w:tc>
          <w:tcPr>
            <w:tcW w:type="dxa" w:w="1440"/>
            <w:shd w:fill="FFDCE0" w:val="clear"/>
          </w:tcPr>
          <w:p>
            <w:r>
              <w:rPr>
                <w:b/>
                <w:color w:val="C00000"/>
                <w:sz w:val="17"/>
              </w:rPr>
              <w:t>-28.6%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8,133</w:t>
            </w:r>
          </w:p>
        </w:tc>
        <w:tc>
          <w:tcPr>
            <w:tcW w:type="dxa" w:w="1440"/>
            <w:shd w:fill="FFDCE0" w:val="clear"/>
          </w:tcPr>
          <w:p>
            <w:r>
              <w:rPr>
                <w:b/>
                <w:sz w:val="17"/>
              </w:rPr>
              <w:t>9,040</w:t>
            </w:r>
          </w:p>
        </w:tc>
        <w:tc>
          <w:tcPr>
            <w:tcW w:type="dxa" w:w="1440"/>
            <w:shd w:fill="FFDCE0" w:val="clear"/>
          </w:tcPr>
          <w:p>
            <w:r>
              <w:rPr>
                <w:sz w:val="17"/>
              </w:rPr>
              <w:t>9,947</w:t>
            </w:r>
          </w:p>
        </w:tc>
        <w:tc>
          <w:tcPr>
            <w:tcW w:type="dxa" w:w="1440"/>
            <w:shd w:fill="FFDCE0" w:val="clear"/>
          </w:tcPr>
          <w:p>
            <w:r>
              <w:rPr>
                <w:b/>
                <w:color w:val="C00000"/>
                <w:sz w:val="17"/>
              </w:rPr>
              <w:t>-30.4%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7,902</w:t>
            </w:r>
          </w:p>
        </w:tc>
        <w:tc>
          <w:tcPr>
            <w:tcW w:type="dxa" w:w="1440"/>
            <w:shd w:fill="FFDCE0" w:val="clear"/>
          </w:tcPr>
          <w:p>
            <w:r>
              <w:rPr>
                <w:b/>
                <w:sz w:val="17"/>
              </w:rPr>
              <w:t>8,837</w:t>
            </w:r>
          </w:p>
        </w:tc>
        <w:tc>
          <w:tcPr>
            <w:tcW w:type="dxa" w:w="1440"/>
            <w:shd w:fill="FFDCE0" w:val="clear"/>
          </w:tcPr>
          <w:p>
            <w:r>
              <w:rPr>
                <w:sz w:val="17"/>
              </w:rPr>
              <w:t>9,772</w:t>
            </w:r>
          </w:p>
        </w:tc>
        <w:tc>
          <w:tcPr>
            <w:tcW w:type="dxa" w:w="1440"/>
            <w:shd w:fill="FFDCE0" w:val="clear"/>
          </w:tcPr>
          <w:p>
            <w:r>
              <w:rPr>
                <w:b/>
                <w:color w:val="C00000"/>
                <w:sz w:val="17"/>
              </w:rPr>
              <w:t>-31.9%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519,40 Mds FCFA, BOAC se positionne comme l'une des valeurs les plus significatives de la BRVM, reflétant la confiance des investisseurs dans le secteur bancaire ivoirien. Le BPA de 888 FCFA indique que chaque action génère un bénéfice substantiel, mais le PER de 14,6x se situe au-dessus de la moyenne historique de la BRVM (8-12x), suggérant que le marché intègre déjà des perspectives de croissance solides. Le P/B de 4,08x confirme cette prime, le cours se négociant à plus de quatre fois la valeur comptable des actifs, ce qui est exigeant. Enfin, l'EV/EBITDA de 27,8x est particulièrement élevé, signalant une valorisation qui anticipe une amélioration significative de la capacité opérationnelle future pour justifier de tels niveaux.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performance spectaculaire de +49,25%, passant d'un plus bas de 8 100 FCFA à un plus haut de 13 450 FCFA, avant de clôturer à 12 985 FCFA, en léger repli de -2,37% sur la dernière séance. La moyenne du cours (9 548 FCFA) étant inférieure à la médiane (8 982 FCFA) et au mode (8 500 FCFA), la distribution est asymétrique, avec une concentration des prix sur des niveaux bas et une queue de distribution vers les hauts, ce que confirme le skewness positif de 1,614. L'écart-type de 1 336 FCFA (CV de 14%) indique une dispersion modérée, mais le kurtosis de 1,592 signale un risque de mouvements extrêmes (queues épaisses). La volatilité annualisée de 28,3% classe le titre dans la catégorie "modérée à élevée", justifiant une prudence accrue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(12 985 FCFA) évolue nettement au-dessus de sa MM20 (11 933,5 FCFA) et de sa MM50 (10 407,8 FCFA), confirmant une tendance haussière de fond. La configuration en "courbe ascendante" des moyennes mobiles valide la dynamique positive, d'où la décision d'**Achat**.</w:t>
      </w:r>
    </w:p>
    <w:p>
      <w:pPr>
        <w:spacing w:after="120" w:line="276" w:lineRule="auto"/>
      </w:pPr>
      <w:r>
        <w:t>**Bandes de Bollinger :** Le prix se situe à l'intérieur des bandes, mais proche de la borne supérieure (13 990 FCFA), indiquant une pression acheteuse persistante. La largeur des bandes reflète une volatilité accrue. La décision est **Neutre**, car le titre n'est ni en situation de surachat extrême ni de survente, mais la proximité de la borne supérieure suggère une possible consolidation.</w:t>
      </w:r>
    </w:p>
    <w:p>
      <w:pPr>
        <w:spacing w:after="120" w:line="276" w:lineRule="auto"/>
      </w:pPr>
      <w:r>
        <w:t>**MACD :** Le MACD (876,39) est positif et supérieur à sa ligne de signal (794,81), ce qui est un signal haussier classique. Le momentum reste en faveur des acheteurs, justifiant la décision d'**Achat**. Cependant, l'écart entre les deux lignes pourrait se resserrer, indiquant un essoufflement potentiel du mouvement.</w:t>
      </w:r>
    </w:p>
    <w:p>
      <w:pPr>
        <w:spacing w:after="120" w:line="276" w:lineRule="auto"/>
      </w:pPr>
      <w:r>
        <w:t>**RSI :** À 85,0, le RSI est en zone de surachat extrême (au-dessus de 70). Cela signale que le titre est survendu à la hausse et qu'un repli technique est probable à court terme. La décision est donc **Vente**, car le potentiel de hausse immédiate est limité.</w:t>
      </w:r>
    </w:p>
    <w:p>
      <w:pPr>
        <w:spacing w:after="120" w:line="276" w:lineRule="auto"/>
      </w:pPr>
      <w:r>
        <w:t>**Stochastique :** Le %K (77,857) est inférieur au %D (88,835), ce qui suggère un croisement baissier potentiel. Bien que les deux lignes soient en zone de surachat, la dynamique semble s'affaiblir. La décision est **Neutre**, avec un biais négatif à surveiller.</w:t>
      </w:r>
    </w:p>
    <w:p>
      <w:pPr>
        <w:spacing w:after="120" w:line="276" w:lineRule="auto"/>
      </w:pPr>
      <w:r>
        <w:t>**Conclusion technique :** Les indicateurs de tendance (MM, MACD) sont résolument haussiers, mais les oscillateurs de momentum (RSI, Stochastique) signalent une condition de surachat. Cette divergence suggère qu'un repli technique ou une phase de consolidation est probable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BOAC font état d'un Produit Net Bancaire (PNB) de 73,545 Mds FCFA, en légère croissance de 1,13%, et d'un résultat net de 35,540 Mds FCFA. La banque affiche une rentabilité exceptionnelle avec un ROE de 27,9% et un ROA de 3,2%, témoignant d'une excellente utilisation de ses capitaux propres. Le coefficient d'exploitation de 36,7% est remarquable, indiquant une gestion très efficace des charges. Cependant, le coût du risque (6,67%) reste un point de vigilance, reflétant un portefeuille de crédits présentant un risque significatif. Les dépôts clients (850,548 Mds FCFA) dépassent largement les créances sur la clientèle (430,433 Mds FCFA), montrant une forte capacité de transformation. En croisant avec les rapports trimestriels de 2025, on observe une dynamique contrastée : le T1 était excellent (résultat net +14,59%), mais le S1 et le T3 ont montré une stagnation du PNB et une contraction des crédits (-11,97% au T3). Sur la base de ces tendances, on estime que l'exercice 2026 pourrait voir une reprise modérée de l'activité, portée par les objectifs triennaux ambitieux (croissance du PNB de +11,6% d'ici 2027), mais la prudence reste de mise sur la qualité des actifs.</w:t>
      </w:r>
    </w:p>
    <w:p>
      <w:pPr>
        <w:spacing w:after="120" w:line="276" w:lineRule="auto"/>
      </w:pPr>
      <w:r>
        <w:t>---</w:t>
      </w:r>
    </w:p>
    <w:p>
      <w:pPr>
        <w:spacing w:after="120" w:line="276" w:lineRule="auto"/>
      </w:pPr>
      <w:r>
        <w:t>### PARTIE 4 : CONCLUSION D'INVESTISSEMENT</w:t>
      </w:r>
    </w:p>
    <w:p>
      <w:pPr>
        <w:spacing w:after="120" w:line="276" w:lineRule="auto"/>
      </w:pPr>
      <w:r>
        <w:t>La valorisation de BOAC (PER 14,6x, P/B 4,08x, EV/EBITDA 27,8x) est exigeante, intégrant des attentes de croissance élevées. Le comportement du cours sur 100 jours est extrêmement haussier (+49,25%), mais les statistiques (kurtosis élevé) et la volatilité (28,3%) signalent un risque de retournement brutal. Les signaux techniques sont partagés : la tendance de fond (MM, MACD) est positive, mais le RSI en surachat extrême suggère un repli imminent. Les fondamentaux sont solides avec un ROE de 27,9% et un coefficient d'exploitation de 36,7%, mais la croissance du PNB est atone et le coût du risque reste élevé. Les prédictions IA (12 243 FCFA à 10 186 FCFA sur 10 jours) confirment un scénario de correction, en ligne avec les signaux de surachat technique. En synthèse, la convergence entre le surachat technique et la prédiction IA suggère une consolidation à court terme, malgré des fondamentaux robustes. **Recommandation : CONSERVER** avec un niveau de confiance **Moyen** et un risque global **Élevé**. L'horizon d'investissement optimal est le **moyen terme (3-12 mois)**, en attendant une correction technique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6,207 titres</w:t>
            </w:r>
          </w:p>
        </w:tc>
        <w:tc>
          <w:tcPr>
            <w:tcW w:type="dxa" w:w="2268"/>
            <w:shd w:fill="FFF2CC" w:val="clear"/>
          </w:tcPr>
          <w:p>
            <w:r>
              <w:rPr>
                <w:b/>
                <w:color w:val="503200"/>
                <w:sz w:val="16"/>
              </w:rPr>
              <w:t xml:space="preserve">Cours actuel : </w:t>
            </w:r>
            <w:r>
              <w:rPr>
                <w:color w:val="000000"/>
                <w:sz w:val="17"/>
              </w:rPr>
              <w:t>6,490 FCFA</w:t>
            </w:r>
          </w:p>
          <w:p>
            <w:r>
              <w:rPr>
                <w:b/>
                <w:color w:val="503200"/>
                <w:sz w:val="16"/>
              </w:rPr>
              <w:t xml:space="preserve">Var. 100 jours : </w:t>
            </w:r>
            <w:r>
              <w:rPr>
                <w:b/>
                <w:color w:val="007800"/>
                <w:sz w:val="17"/>
              </w:rPr>
              <w:t>+38.23%</w:t>
            </w:r>
          </w:p>
          <w:p>
            <w:r>
              <w:rPr>
                <w:b/>
                <w:color w:val="503200"/>
                <w:sz w:val="16"/>
              </w:rPr>
              <w:t xml:space="preserve">Plus haut 100j : </w:t>
            </w:r>
            <w:r>
              <w:rPr>
                <w:color w:val="000000"/>
                <w:sz w:val="17"/>
              </w:rPr>
              <w:t>6,490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10.44% (Moyenne) — μ=5,065 FCFA, σ=529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β=0.5449 (Défensif) — Cov=0.000019, Var(idx)=0.000035, ρ=0.158,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6,291</w:t>
            </w:r>
          </w:p>
        </w:tc>
        <w:tc>
          <w:tcPr>
            <w:tcW w:type="dxa" w:w="1440"/>
            <w:shd w:fill="FAFAFA" w:val="clear"/>
          </w:tcPr>
          <w:p>
            <w:r>
              <w:rPr>
                <w:b/>
                <w:sz w:val="17"/>
              </w:rPr>
              <w:t>6,482</w:t>
            </w:r>
          </w:p>
        </w:tc>
        <w:tc>
          <w:tcPr>
            <w:tcW w:type="dxa" w:w="1440"/>
            <w:shd w:fill="FAFAFA" w:val="clear"/>
          </w:tcPr>
          <w:p>
            <w:r>
              <w:rPr>
                <w:sz w:val="17"/>
              </w:rPr>
              <w:t>6,673</w:t>
            </w:r>
          </w:p>
        </w:tc>
        <w:tc>
          <w:tcPr>
            <w:tcW w:type="dxa" w:w="1440"/>
            <w:shd w:fill="FAFAFA" w:val="clear"/>
          </w:tcPr>
          <w:p>
            <w:r>
              <w:rPr>
                <w:b/>
                <w:color w:val="C00000"/>
                <w:sz w:val="17"/>
              </w:rPr>
              <w:t>-0.1%</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6,073</w:t>
            </w:r>
          </w:p>
        </w:tc>
        <w:tc>
          <w:tcPr>
            <w:tcW w:type="dxa" w:w="1440"/>
            <w:shd w:fill="FFDCE0" w:val="clear"/>
          </w:tcPr>
          <w:p>
            <w:r>
              <w:rPr>
                <w:b/>
                <w:sz w:val="17"/>
              </w:rPr>
              <w:t>6,336</w:t>
            </w:r>
          </w:p>
        </w:tc>
        <w:tc>
          <w:tcPr>
            <w:tcW w:type="dxa" w:w="1440"/>
            <w:shd w:fill="FFDCE0" w:val="clear"/>
          </w:tcPr>
          <w:p>
            <w:r>
              <w:rPr>
                <w:sz w:val="17"/>
              </w:rPr>
              <w:t>6,600</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5,853</w:t>
            </w:r>
          </w:p>
        </w:tc>
        <w:tc>
          <w:tcPr>
            <w:tcW w:type="dxa" w:w="1440"/>
            <w:shd w:fill="FFDCE0" w:val="clear"/>
          </w:tcPr>
          <w:p>
            <w:r>
              <w:rPr>
                <w:b/>
                <w:sz w:val="17"/>
              </w:rPr>
              <w:t>6,168</w:t>
            </w:r>
          </w:p>
        </w:tc>
        <w:tc>
          <w:tcPr>
            <w:tcW w:type="dxa" w:w="1440"/>
            <w:shd w:fill="FFDCE0" w:val="clear"/>
          </w:tcPr>
          <w:p>
            <w:r>
              <w:rPr>
                <w:sz w:val="17"/>
              </w:rPr>
              <w:t>6,482</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5,669</w:t>
            </w:r>
          </w:p>
        </w:tc>
        <w:tc>
          <w:tcPr>
            <w:tcW w:type="dxa" w:w="1440"/>
            <w:shd w:fill="FFDCE0" w:val="clear"/>
          </w:tcPr>
          <w:p>
            <w:r>
              <w:rPr>
                <w:b/>
                <w:sz w:val="17"/>
              </w:rPr>
              <w:t>6,024</w:t>
            </w:r>
          </w:p>
        </w:tc>
        <w:tc>
          <w:tcPr>
            <w:tcW w:type="dxa" w:w="1440"/>
            <w:shd w:fill="FFDCE0" w:val="clear"/>
          </w:tcPr>
          <w:p>
            <w:r>
              <w:rPr>
                <w:sz w:val="17"/>
              </w:rPr>
              <w:t>6,379</w:t>
            </w:r>
          </w:p>
        </w:tc>
        <w:tc>
          <w:tcPr>
            <w:tcW w:type="dxa" w:w="1440"/>
            <w:shd w:fill="FFDCE0" w:val="clear"/>
          </w:tcPr>
          <w:p>
            <w:r>
              <w:rPr>
                <w:b/>
                <w:color w:val="C00000"/>
                <w:sz w:val="17"/>
              </w:rPr>
              <w:t>-7.2%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5,518</w:t>
            </w:r>
          </w:p>
        </w:tc>
        <w:tc>
          <w:tcPr>
            <w:tcW w:type="dxa" w:w="1440"/>
            <w:shd w:fill="FFDCE0" w:val="clear"/>
          </w:tcPr>
          <w:p>
            <w:r>
              <w:rPr>
                <w:b/>
                <w:sz w:val="17"/>
              </w:rPr>
              <w:t>5,907</w:t>
            </w:r>
          </w:p>
        </w:tc>
        <w:tc>
          <w:tcPr>
            <w:tcW w:type="dxa" w:w="1440"/>
            <w:shd w:fill="FFDCE0" w:val="clear"/>
          </w:tcPr>
          <w:p>
            <w:r>
              <w:rPr>
                <w:sz w:val="17"/>
              </w:rPr>
              <w:t>6,296</w:t>
            </w:r>
          </w:p>
        </w:tc>
        <w:tc>
          <w:tcPr>
            <w:tcW w:type="dxa" w:w="1440"/>
            <w:shd w:fill="FFDCE0" w:val="clear"/>
          </w:tcPr>
          <w:p>
            <w:r>
              <w:rPr>
                <w:b/>
                <w:color w:val="C00000"/>
                <w:sz w:val="17"/>
              </w:rPr>
              <w:t>-9.0%</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5,389</w:t>
            </w:r>
          </w:p>
        </w:tc>
        <w:tc>
          <w:tcPr>
            <w:tcW w:type="dxa" w:w="1440"/>
            <w:shd w:fill="FFDCE0" w:val="clear"/>
          </w:tcPr>
          <w:p>
            <w:r>
              <w:rPr>
                <w:b/>
                <w:sz w:val="17"/>
              </w:rPr>
              <w:t>5,807</w:t>
            </w:r>
          </w:p>
        </w:tc>
        <w:tc>
          <w:tcPr>
            <w:tcW w:type="dxa" w:w="1440"/>
            <w:shd w:fill="FFDCE0" w:val="clear"/>
          </w:tcPr>
          <w:p>
            <w:r>
              <w:rPr>
                <w:sz w:val="17"/>
              </w:rPr>
              <w:t>6,226</w:t>
            </w:r>
          </w:p>
        </w:tc>
        <w:tc>
          <w:tcPr>
            <w:tcW w:type="dxa" w:w="1440"/>
            <w:shd w:fill="FFDCE0" w:val="clear"/>
          </w:tcPr>
          <w:p>
            <w:r>
              <w:rPr>
                <w:b/>
                <w:color w:val="C00000"/>
                <w:sz w:val="17"/>
              </w:rPr>
              <w:t>-10.5%</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5,273</w:t>
            </w:r>
          </w:p>
        </w:tc>
        <w:tc>
          <w:tcPr>
            <w:tcW w:type="dxa" w:w="1440"/>
            <w:shd w:fill="FFDCE0" w:val="clear"/>
          </w:tcPr>
          <w:p>
            <w:r>
              <w:rPr>
                <w:b/>
                <w:sz w:val="17"/>
              </w:rPr>
              <w:t>5,718</w:t>
            </w:r>
          </w:p>
        </w:tc>
        <w:tc>
          <w:tcPr>
            <w:tcW w:type="dxa" w:w="1440"/>
            <w:shd w:fill="FFDCE0" w:val="clear"/>
          </w:tcPr>
          <w:p>
            <w:r>
              <w:rPr>
                <w:sz w:val="17"/>
              </w:rPr>
              <w:t>6,164</w:t>
            </w:r>
          </w:p>
        </w:tc>
        <w:tc>
          <w:tcPr>
            <w:tcW w:type="dxa" w:w="1440"/>
            <w:shd w:fill="FFDCE0" w:val="clear"/>
          </w:tcPr>
          <w:p>
            <w:r>
              <w:rPr>
                <w:b/>
                <w:color w:val="C00000"/>
                <w:sz w:val="17"/>
              </w:rPr>
              <w:t>-11.9%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5,166</w:t>
            </w:r>
          </w:p>
        </w:tc>
        <w:tc>
          <w:tcPr>
            <w:tcW w:type="dxa" w:w="1440"/>
            <w:shd w:fill="FFDCE0" w:val="clear"/>
          </w:tcPr>
          <w:p>
            <w:r>
              <w:rPr>
                <w:b/>
                <w:sz w:val="17"/>
              </w:rPr>
              <w:t>5,636</w:t>
            </w:r>
          </w:p>
        </w:tc>
        <w:tc>
          <w:tcPr>
            <w:tcW w:type="dxa" w:w="1440"/>
            <w:shd w:fill="FFDCE0" w:val="clear"/>
          </w:tcPr>
          <w:p>
            <w:r>
              <w:rPr>
                <w:sz w:val="17"/>
              </w:rPr>
              <w:t>6,105</w:t>
            </w:r>
          </w:p>
        </w:tc>
        <w:tc>
          <w:tcPr>
            <w:tcW w:type="dxa" w:w="1440"/>
            <w:shd w:fill="FFDCE0" w:val="clear"/>
          </w:tcPr>
          <w:p>
            <w:r>
              <w:rPr>
                <w:b/>
                <w:color w:val="C00000"/>
                <w:sz w:val="17"/>
              </w:rPr>
              <w:t>-13.2%</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5,067</w:t>
            </w:r>
          </w:p>
        </w:tc>
        <w:tc>
          <w:tcPr>
            <w:tcW w:type="dxa" w:w="1440"/>
            <w:shd w:fill="FFDCE0" w:val="clear"/>
          </w:tcPr>
          <w:p>
            <w:r>
              <w:rPr>
                <w:b/>
                <w:sz w:val="17"/>
              </w:rPr>
              <w:t>5,558</w:t>
            </w:r>
          </w:p>
        </w:tc>
        <w:tc>
          <w:tcPr>
            <w:tcW w:type="dxa" w:w="1440"/>
            <w:shd w:fill="FFDCE0" w:val="clear"/>
          </w:tcPr>
          <w:p>
            <w:r>
              <w:rPr>
                <w:sz w:val="17"/>
              </w:rPr>
              <w:t>6,050</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4,975</w:t>
            </w:r>
          </w:p>
        </w:tc>
        <w:tc>
          <w:tcPr>
            <w:tcW w:type="dxa" w:w="1440"/>
            <w:shd w:fill="FFDCE0" w:val="clear"/>
          </w:tcPr>
          <w:p>
            <w:r>
              <w:rPr>
                <w:b/>
                <w:sz w:val="17"/>
              </w:rPr>
              <w:t>5,486</w:t>
            </w:r>
          </w:p>
        </w:tc>
        <w:tc>
          <w:tcPr>
            <w:tcW w:type="dxa" w:w="1440"/>
            <w:shd w:fill="FFDCE0" w:val="clear"/>
          </w:tcPr>
          <w:p>
            <w:r>
              <w:rPr>
                <w:sz w:val="17"/>
              </w:rPr>
              <w:t>5,997</w:t>
            </w:r>
          </w:p>
        </w:tc>
        <w:tc>
          <w:tcPr>
            <w:tcW w:type="dxa" w:w="1440"/>
            <w:shd w:fill="FFDCE0" w:val="clear"/>
          </w:tcPr>
          <w:p>
            <w:r>
              <w:rPr>
                <w:b/>
                <w:color w:val="C00000"/>
                <w:sz w:val="17"/>
              </w:rPr>
              <w:t>-15.5%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 — BRVM**</w:t>
      </w:r>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178,15 milliards FCFA, un niveau significatif qui positionne la banque parmi les valeurs moyennes à grandes capitalisations de la BRVM. Avec un BPA de 404 FCFA, chaque action génère un bénéfice substantiel, justifiant un PER de 16,1x. Ce ratio est supérieur à la moyenne historique de la BRVM (8-12x), indiquant que le marché valorise déjà une prime de croissance et de qualité sur le titre. Le P/B de 3,58x confirme cette prime, le marché valorisant la banque bien au-dessus de sa valeur comptable, signe d'une forte confiance dans sa rentabilité future. Enfin, un EV/EBITDA de 8,5x reste dans une zone raisonnable, suggérant que la valeur totale de l'entreprise reste cohérente avec sa capacité opérationnelle de génération de cash, malgré une valorisation boursière exigeante.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+38,23%, avec une dernière séance en hausse de +3,84% pour clôturer à 6 490 FCFA, son plus haut niveau sur la période. Le titre a évolué dans une fourchette de 4 425 à 6 490 FCFA, démontrant une dynamique haussière puissante. La moyenne (5 065 FCFA) étant supérieure à la médiane (4 872 FCFA), la distribution des prix est asymétrique, avec un skewness positif (0.876) indiquant que le cours a passé plus de temps sous sa moyenne avant de connaître des poussées haussières récentes. L'écart-type de 532 FCFA (CV=10,5%) montre une dispersion modérée, tandis que le kurtosis de -0.451 (mésokurtique) suggère une absence de risques de pics extrêmes. La volatilité annualisée de 32,3% classe le titre comme très volatil, reflétant un risque élevé mais aussi un fort potentiel de rendement.</w:t>
      </w:r>
    </w:p>
    <w:p>
      <w:pPr>
        <w:spacing w:after="120" w:line="276" w:lineRule="auto" w:before="240"/>
      </w:pPr>
      <w:r>
        <w:rPr>
          <w:b/>
          <w:color w:val="003366"/>
          <w:sz w:val="24"/>
        </w:rPr>
        <w:t>**PARTIE 2 : ANALYSE TECHNIQUE DÉTAILLÉE**</w:t>
      </w:r>
    </w:p>
    <w:p>
      <w:pPr>
        <w:spacing w:after="120" w:line="276" w:lineRule="auto"/>
      </w:pPr>
      <w:r>
        <w:t>Les **Moyennes Mobiles** (MM20 à 5 862,5 et MM50 à 5 404,1) sont toutes deux largement dépassées par le cours actuel de 6 490 FCFA. Cette configuration en "courbe ascendante" confirme une tendance haussière solide à court et moyen terme, justifiant la décision d'achat. Le titre évolue dans une dynamique de forte accélération, bien au-dessus de ses moyennes.</w:t>
      </w:r>
    </w:p>
    <w:p>
      <w:pPr>
        <w:spacing w:after="120" w:line="276" w:lineRule="auto"/>
      </w:pPr>
      <w:r>
        <w:t>Les **Bandes de Bollinger** montrent un cours à 6 490 FCFA, très proche de la borne supérieure (6 500,3 FCFA). Cette position indique une pression acheteuse extrême et une volatilité accrue. Le signal est neutre car le cours n'a pas encore franchi la borne, mais la proximité suggère une possible consolidation ou un breakout imminent.</w:t>
      </w:r>
    </w:p>
    <w:p>
      <w:pPr>
        <w:spacing w:after="120" w:line="276" w:lineRule="auto"/>
      </w:pPr>
      <w:r>
        <w:t>Le **MACD** (254,04) est nettement au-dessus de son signal (211,65), avec un écart positif croissant. Cette divergence haussière confirme un momentum très fort en faveur des acheteurs, justifiant la décision d'achat. La dynamique reste positive, mais l'ampleur de l'écart pourrait signaler une fatigue à court terme.</w:t>
      </w:r>
    </w:p>
    <w:p>
      <w:pPr>
        <w:spacing w:after="120" w:line="276" w:lineRule="auto"/>
      </w:pPr>
      <w:r>
        <w:t>Le **RSI** à 88,02 est extrêmement élevé, bien au-delà du seuil de surachat de 70. Cette valeur indique que le titre est massivement suracheté, ce qui suggère une probabilité élevée de correction technique à venir. La décision de vente est justifiée par ce niveau extrême.</w:t>
      </w:r>
    </w:p>
    <w:p>
      <w:pPr>
        <w:spacing w:after="120" w:line="276" w:lineRule="auto"/>
      </w:pPr>
      <w:r>
        <w:t>Le **Stochastique** (%K=100, %D=98,11) est également en zone de surachat extrême. Les deux lignes sont au plafond, indiquant que le marché est saturé d'acheteurs. Ce niveau est historiquement associé à des retournements de tendance, justifiant la décision de vente.</w:t>
      </w:r>
    </w:p>
    <w:p>
      <w:pPr>
        <w:spacing w:after="120" w:line="276" w:lineRule="auto"/>
      </w:pPr>
      <w:r>
        <w:t>En conclusion technique, la tendance de fond reste résolument haussière, portée par des moyennes mobiles et un MACD positifs. Cependant, les oscillateurs (RSI et Stochastique) sont en zone de surachat extrême, signalant un risque élevé de correction à court terme. Le titre est dans une phase de "surchauffe" qui pourrait précéder un repli technique.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affichent une santé financière robuste. Le Produit Net Bancaire (PNB) s'élève à 37,996 milliards FCFA, générant un résultat net de 11,081 milliards FCFA. La banque démontre une excellente rentabilité avec un ROE de 22,24% et un ROA de 1,87%, bien au-dessus des moyennes sectorielles. Le coefficient d'exploitation de 63,14% reste légèrement au-dessus du seuil d'efficacité de 60%, indiquant une marge de progression dans la maîtrise des charges. Le coût du risque à 43,39% est préoccupant, signalant un portefeuille de crédits sous tension. Cependant, la transformation est saine avec 253,65 milliards FCFA de crédits clientèle adossés à 502,89 milliards FCFA de dépôts. Les rapports trimestriels 2025 confirment une trajectoire ascendante : le T1 affiche un résultat net de 3,02 milliards (+91,2%), le S1 atteint 6,21 milliards (+28,8%), et le T3 cumulé à 9,16 milliards (+26,2%). Sur la base de ces performances, on estime que le résultat net annuel 2025 devrait dépasser les 12 milliards FCFA, confirmant la solidité et la résilience de la banque dans un environnement malien difficile.</w:t>
      </w:r>
    </w:p>
    <w:p>
      <w:pPr>
        <w:spacing w:after="120" w:line="276" w:lineRule="auto" w:before="240"/>
      </w:pPr>
      <w:r>
        <w:rPr>
          <w:b/>
          <w:color w:val="003366"/>
          <w:sz w:val="24"/>
        </w:rPr>
        <w:t>**PARTIE 4 : CONCLUSION D'INVESTISSEMENT**</w:t>
      </w:r>
    </w:p>
    <w:p>
      <w:pPr>
        <w:spacing w:after="120" w:line="276" w:lineRule="auto"/>
      </w:pPr>
      <w:r>
        <w:t>La valorisation de BOAM (PER 16,1x, P/B 3,58x) est exigeante mais justifiée par une rentabilité exceptionnelle (ROE &gt;22%) et une croissance soutenue du résultat net. Le comportement du cours, avec une hausse de 38% en 100 jours, est spectaculaire mais a propulsé les indicateurs techniques en zone de surachat extrême (RSI 88, Stochastique 100), signalant un risque élevé de correction à court terme. Les fondamentaux restent solides, avec des estimations annuelles 2025 dépassant les 12 milliards FCFA de bénéfices, soutenues par une gestion rigoureuse des coûts et une amélioration du coût du risque. Les prédictions IA (6 482 à 5 907 FCFA sur 10 jours) confirment ce scénario de consolidation, anticipant un repli progressif du cours. La convergence entre les signaux techniques de surachat et les prédictions IA suggère une pause nécessaire après la forte hausse. **Recommandation : CONSERVER**, avec un niveau de confiance **Moyen** et un risque global **Élevé**. L'horizon d'investissement optimal est le **moyen terme (3-12 mois)**, en attendant une correction technique pour renforcer les positions sur une valeur aux fondamentaux solides.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10,395 titres</w:t>
            </w:r>
          </w:p>
        </w:tc>
        <w:tc>
          <w:tcPr>
            <w:tcW w:type="dxa" w:w="2268"/>
            <w:shd w:fill="FFF2CC" w:val="clear"/>
          </w:tcPr>
          <w:p>
            <w:r>
              <w:rPr>
                <w:b/>
                <w:color w:val="503200"/>
                <w:sz w:val="16"/>
              </w:rPr>
              <w:t xml:space="preserve">Cours actuel : </w:t>
            </w:r>
            <w:r>
              <w:rPr>
                <w:color w:val="000000"/>
                <w:sz w:val="17"/>
              </w:rPr>
              <w:t>5,280 FCFA</w:t>
            </w:r>
          </w:p>
          <w:p>
            <w:r>
              <w:rPr>
                <w:b/>
                <w:color w:val="503200"/>
                <w:sz w:val="16"/>
              </w:rPr>
              <w:t xml:space="preserve">Var. 100 jours : </w:t>
            </w:r>
            <w:r>
              <w:rPr>
                <w:b/>
                <w:color w:val="007800"/>
                <w:sz w:val="17"/>
              </w:rPr>
              <w:t>+99.25%</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2,620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21.01% (Élevée) — μ=4,036 FCFA, σ=848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β=0.0740 (Défensif) — Cov=0.000003, Var(idx)=0.000035, ρ=0.018,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5,019</w:t>
            </w:r>
          </w:p>
        </w:tc>
        <w:tc>
          <w:tcPr>
            <w:tcW w:type="dxa" w:w="1440"/>
            <w:shd w:fill="FAFAFA" w:val="clear"/>
          </w:tcPr>
          <w:p>
            <w:r>
              <w:rPr>
                <w:b/>
                <w:sz w:val="17"/>
              </w:rPr>
              <w:t>5,230</w:t>
            </w:r>
          </w:p>
        </w:tc>
        <w:tc>
          <w:tcPr>
            <w:tcW w:type="dxa" w:w="1440"/>
            <w:shd w:fill="FAFAFA" w:val="clear"/>
          </w:tcPr>
          <w:p>
            <w:r>
              <w:rPr>
                <w:sz w:val="17"/>
              </w:rPr>
              <w:t>5,441</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4,932</w:t>
            </w:r>
          </w:p>
        </w:tc>
        <w:tc>
          <w:tcPr>
            <w:tcW w:type="dxa" w:w="1440"/>
            <w:shd w:fill="FAFAFA" w:val="clear"/>
          </w:tcPr>
          <w:p>
            <w:r>
              <w:rPr>
                <w:b/>
                <w:sz w:val="17"/>
              </w:rPr>
              <w:t>5,230</w:t>
            </w:r>
          </w:p>
        </w:tc>
        <w:tc>
          <w:tcPr>
            <w:tcW w:type="dxa" w:w="1440"/>
            <w:shd w:fill="FAFAFA" w:val="clear"/>
          </w:tcPr>
          <w:p>
            <w:r>
              <w:rPr>
                <w:sz w:val="17"/>
              </w:rPr>
              <w:t>5,528</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4,855</w:t>
            </w:r>
          </w:p>
        </w:tc>
        <w:tc>
          <w:tcPr>
            <w:tcW w:type="dxa" w:w="1440"/>
            <w:shd w:fill="FAFAFA" w:val="clear"/>
          </w:tcPr>
          <w:p>
            <w:r>
              <w:rPr>
                <w:b/>
                <w:sz w:val="17"/>
              </w:rPr>
              <w:t>5,220</w:t>
            </w:r>
          </w:p>
        </w:tc>
        <w:tc>
          <w:tcPr>
            <w:tcW w:type="dxa" w:w="1440"/>
            <w:shd w:fill="FAFAFA" w:val="clear"/>
          </w:tcPr>
          <w:p>
            <w:r>
              <w:rPr>
                <w:sz w:val="17"/>
              </w:rPr>
              <w:t>5,584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4,789</w:t>
            </w:r>
          </w:p>
        </w:tc>
        <w:tc>
          <w:tcPr>
            <w:tcW w:type="dxa" w:w="1440"/>
            <w:shd w:fill="FAFAFA" w:val="clear"/>
          </w:tcPr>
          <w:p>
            <w:r>
              <w:rPr>
                <w:b/>
                <w:sz w:val="17"/>
              </w:rPr>
              <w:t>5,209</w:t>
            </w:r>
          </w:p>
        </w:tc>
        <w:tc>
          <w:tcPr>
            <w:tcW w:type="dxa" w:w="1440"/>
            <w:shd w:fill="FAFAFA" w:val="clear"/>
          </w:tcPr>
          <w:p>
            <w:r>
              <w:rPr>
                <w:sz w:val="17"/>
              </w:rPr>
              <w:t>5,629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4,730</w:t>
            </w:r>
          </w:p>
        </w:tc>
        <w:tc>
          <w:tcPr>
            <w:tcW w:type="dxa" w:w="1440"/>
            <w:shd w:fill="FAFAFA" w:val="clear"/>
          </w:tcPr>
          <w:p>
            <w:r>
              <w:rPr>
                <w:b/>
                <w:sz w:val="17"/>
              </w:rPr>
              <w:t>5,198</w:t>
            </w:r>
          </w:p>
        </w:tc>
        <w:tc>
          <w:tcPr>
            <w:tcW w:type="dxa" w:w="1440"/>
            <w:shd w:fill="FAFAFA" w:val="clear"/>
          </w:tcPr>
          <w:p>
            <w:r>
              <w:rPr>
                <w:sz w:val="17"/>
              </w:rPr>
              <w:t>5,667</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4,675</w:t>
            </w:r>
          </w:p>
        </w:tc>
        <w:tc>
          <w:tcPr>
            <w:tcW w:type="dxa" w:w="1440"/>
            <w:shd w:fill="FAFAFA" w:val="clear"/>
          </w:tcPr>
          <w:p>
            <w:r>
              <w:rPr>
                <w:b/>
                <w:sz w:val="17"/>
              </w:rPr>
              <w:t>5,187</w:t>
            </w:r>
          </w:p>
        </w:tc>
        <w:tc>
          <w:tcPr>
            <w:tcW w:type="dxa" w:w="1440"/>
            <w:shd w:fill="FAFAFA" w:val="clear"/>
          </w:tcPr>
          <w:p>
            <w:r>
              <w:rPr>
                <w:sz w:val="17"/>
              </w:rPr>
              <w:t>5,700</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4,625</w:t>
            </w:r>
          </w:p>
        </w:tc>
        <w:tc>
          <w:tcPr>
            <w:tcW w:type="dxa" w:w="1440"/>
            <w:shd w:fill="FAFAFA" w:val="clear"/>
          </w:tcPr>
          <w:p>
            <w:r>
              <w:rPr>
                <w:b/>
                <w:sz w:val="17"/>
              </w:rPr>
              <w:t>5,177</w:t>
            </w:r>
          </w:p>
        </w:tc>
        <w:tc>
          <w:tcPr>
            <w:tcW w:type="dxa" w:w="1440"/>
            <w:shd w:fill="FAFAFA" w:val="clear"/>
          </w:tcPr>
          <w:p>
            <w:r>
              <w:rPr>
                <w:sz w:val="17"/>
              </w:rPr>
              <w:t>5,729</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4,578</w:t>
            </w:r>
          </w:p>
        </w:tc>
        <w:tc>
          <w:tcPr>
            <w:tcW w:type="dxa" w:w="1440"/>
            <w:shd w:fill="FFDCE0" w:val="clear"/>
          </w:tcPr>
          <w:p>
            <w:r>
              <w:rPr>
                <w:b/>
                <w:sz w:val="17"/>
              </w:rPr>
              <w:t>5,167</w:t>
            </w:r>
          </w:p>
        </w:tc>
        <w:tc>
          <w:tcPr>
            <w:tcW w:type="dxa" w:w="1440"/>
            <w:shd w:fill="FFDCE0" w:val="clear"/>
          </w:tcPr>
          <w:p>
            <w:r>
              <w:rPr>
                <w:sz w:val="17"/>
              </w:rPr>
              <w:t>5,756</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4,533</w:t>
            </w:r>
          </w:p>
        </w:tc>
        <w:tc>
          <w:tcPr>
            <w:tcW w:type="dxa" w:w="1440"/>
            <w:shd w:fill="FFDCE0" w:val="clear"/>
          </w:tcPr>
          <w:p>
            <w:r>
              <w:rPr>
                <w:b/>
                <w:sz w:val="17"/>
              </w:rPr>
              <w:t>5,156</w:t>
            </w:r>
          </w:p>
        </w:tc>
        <w:tc>
          <w:tcPr>
            <w:tcW w:type="dxa" w:w="1440"/>
            <w:shd w:fill="FFDCE0" w:val="clear"/>
          </w:tcPr>
          <w:p>
            <w:r>
              <w:rPr>
                <w:sz w:val="17"/>
              </w:rPr>
              <w:t>5,780</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4,490</w:t>
            </w:r>
          </w:p>
        </w:tc>
        <w:tc>
          <w:tcPr>
            <w:tcW w:type="dxa" w:w="1440"/>
            <w:shd w:fill="FFDCE0" w:val="clear"/>
          </w:tcPr>
          <w:p>
            <w:r>
              <w:rPr>
                <w:b/>
                <w:sz w:val="17"/>
              </w:rPr>
              <w:t>5,146</w:t>
            </w:r>
          </w:p>
        </w:tc>
        <w:tc>
          <w:tcPr>
            <w:tcW w:type="dxa" w:w="1440"/>
            <w:shd w:fill="FFDCE0" w:val="clear"/>
          </w:tcPr>
          <w:p>
            <w:r>
              <w:rPr>
                <w:sz w:val="17"/>
              </w:rPr>
              <w:t>5,802</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109,82 milliards FCFA, un niveau significatif qui positionne la banque parmi les valeurs moyennes de la BRVM. Le BPA de 20 FCFA par action est extrêmement faible, traduisant une rentabilité nette très dégradée. Le PER de 268,5x est considérablement supérieur à la moyenne du marché BRVM (8-12x), indiquant une **sévère surévaluation** par rapport aux bénéfices actuels : les investisseurs paient un prix très élevé pour des résultats en chute libre. Le P/B de 3,05x valorise la banque à plus de trois fois sa valeur comptable, ce qui intègre une prime de croissance substantielle difficile à justifier au vu des fondamentaux. Enfin, l'EV/EBITDA de 40,2x est extrêmement exigeant, signalant que la valeur totale de l'entreprise est très élevée par rapport à sa capacité opérationnelle réelle.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BOAN a enregistré une **hausse spectaculaire de +99,25%**, passant d'un plus bas de 2 620 FCFA à un plus haut de 5 400 FCFA, avec un cours actuel de 5 280 FCFA. La variation de +0,57% sur la dernière séance suggère un maintien proche des sommets. La moyenne du cours (4 036 FCFA) est inférieure à la médiane (3 740 FCFA), indiquant une distribution asymétrique vers le haut, confirmée par le skewness positif (0,215). L'écart-type de 852 FCFA (CV=21,1%) révèle une dispersion modérée des prix. Le kurtosis de -1,118 (platykurtique) indique une distribution aplatie avec peu de valeurs extrêmes, tandis que la volatilité annualisée de 39,5% classe le titre dans la catégorie **élevée** (&gt;30%). Cette performance boursière exceptionnelle contraste fortement avec la dégradation des fondamentaux, suggérant un mouvement spéculatif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(5 280 FCFA) est nettement au-dessus de la MM20 (5 199,75 FCFA) et de la MM50 (4 719,2 FCFA), confirmant une tendance haussière de moyen terme. La configuration en "courbe ascendante" des moyennes mobiles valide la décision d'**Achat**, bien que l'écart croissant entre le prix et la MM50 puisse signaler une surabondance temporaire.</w:t>
      </w:r>
    </w:p>
    <w:p>
      <w:pPr>
        <w:spacing w:after="120" w:line="276" w:lineRule="auto"/>
      </w:pPr>
      <w:r>
        <w:t>**Bandes de Bollinger** : Le prix se situe à 5 280 FCFA, proche de la borne supérieure (5 380,52 FCFA) et nettement au-dessus de la borne inférieure (5 018,98 FCFA). Cette position indique une pression acheteuse soutenue, mais la proximité de la borne supérieure suggère une possible résistance. La décision est **Neutre**, car le titre n'est pas encore en zone de surachat extrême.</w:t>
      </w:r>
    </w:p>
    <w:p>
      <w:pPr>
        <w:spacing w:after="120" w:line="276" w:lineRule="auto"/>
      </w:pPr>
      <w:r>
        <w:t>**MACD** : Le MACD (110,55) est inférieur à sa ligne de signal (141,19), formant un croisement baissier récent. Cette divergence indique un affaiblissement du momentum haussier, justifiant la décision de **Vente**. Les acheteurs perdent progressivement de la vigueur après la forte progression.</w:t>
      </w:r>
    </w:p>
    <w:p>
      <w:pPr>
        <w:spacing w:after="120" w:line="276" w:lineRule="auto"/>
      </w:pPr>
      <w:r>
        <w:t>**RSI** : À 49,19, le RSI se situe exactement dans la zone neutre (30-70), indiquant un équilibre entre pressions acheteuses et vendeuses. Cette valeur suggère que le titre n'est ni suracheté ni survendu, laissant place à une possible consolidation. La décision est **Neutre**.</w:t>
      </w:r>
    </w:p>
    <w:p>
      <w:pPr>
        <w:spacing w:after="120" w:line="276" w:lineRule="auto"/>
      </w:pPr>
      <w:r>
        <w:t>**Stochastique** : Le %K (100) est largement au-dessus du %D (72,09), mais cette configuration extrême signale une condition de surachat sévère. Le croisement potentiel à la baisse imminent justifie la décision de **Vente**, car le titre semble avoir épuisé son potentiel haussier à court terme.</w:t>
      </w:r>
    </w:p>
    <w:p>
      <w:pPr>
        <w:spacing w:after="120" w:line="276" w:lineRule="auto"/>
      </w:pPr>
      <w:r>
        <w:t>**Conclusion technique** : Les indicateurs sont mitigés avec une tendance haussière de fond (MM) mais des signaux de retournement à court terme (MACD, Stochastique). La proximité des résistances et la saturation des oscillateurs suggèrent une **consolidation ou correction technique probable** dans les prochaines séances.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révèlent une situation financière très dégradée pour BOAN. Le Produit Net Bancaire s'établit à 21,125 milliards FCFA, en baisse de 1,2% par rapport à 2024 (21,38 milliards FCFA). Le résultat net s'effondre à 409 millions FCFA, contre 5 002 millions en 2024, soit une chute vertigineuse de 91,8%. Le ROE s'effondre à 1,13% et le ROA à 0,14%, contre respectivement 11,39% et 1,49% en 2024. Le coefficient d'exploitation de 74,37% est très élevé, bien au-dessus du seuil d'efficacité de 60%, indiquant une mauvaise maîtrise des charges. Le coût du risque de 67,30% est préoccupant, reflétant un portefeuille de crédits fortement dégradé (taux de créances en souffrance de 24%). Les dépôts clientèle (183,28 milliards FCFA) couvrent correctement les créances (128,45 milliards FCFA), mais la banque affiche une trésorerie nette négative de -43,52 milliards FCFA. Les rapports trimestriels 2025 confirment la tendance : le T1 2025 enregistre un PNB de 4,78 milliards (-16,3%) et un résultat net de 1,14 milliard (-50,2%), tandis que le S1 2025 montre une légère stabilisation (PNB -4,1%, résultat net -25,2%). Le T3 2025 cumulé affiche un PNB de 15,63 milliards (-1,8%) mais un résultat net de 2,84 milliards (-33,1%). Cependant, le rapport T1 2026 (daté de 2026) montre une **nette amélioration** : résultat net de 1 467,3 millions FCFA (+28,9%), PNB de 5 170 millions (+7,9%), coefficient d'exploitation amélioré à 56,2%. On estime que l'exercice 2026 pourrait voir un PNB autour de 22,3 milliards (+6,4%) et un résultat net potentiel de 7,28 milliards avant impôts, selon le budget 2026. La recommandation fondamentale est **CONSERVER avec prudence**, car la banque traverse une phase difficile mais dispose d'un potentiel de rebond grâce au soutien du groupe BOA et à la reprise économique attendue au Niger.</w:t>
      </w:r>
    </w:p>
    <w:p>
      <w:pPr>
        <w:spacing w:after="120" w:line="276" w:lineRule="auto"/>
      </w:pPr>
      <w:r>
        <w:t>---</w:t>
      </w:r>
    </w:p>
    <w:p>
      <w:pPr>
        <w:spacing w:after="120" w:line="276" w:lineRule="auto"/>
      </w:pPr>
      <w:r>
        <w:t>### PARTIE 4 : CONCLUSION D'INVESTISSEMENT</w:t>
      </w:r>
    </w:p>
    <w:p>
      <w:pPr>
        <w:spacing w:after="120" w:line="276" w:lineRule="auto"/>
      </w:pPr>
      <w:r>
        <w:t>La valorisation actuelle de BOAN est **extrêmement surévaluée** (PER 268,5x, EV/EBITDA 40,2x) par rapport à des fondamentaux très dégradés (ROE 1,13%, résultat net -91,8%). Le comportement du cours (+99,25% en 100 jours) contraste fortement avec cette réalité économique, suggérant une bulle spéculative. Les signaux techniques sont mitigés avec une tendance haussière de fond mais des indicateurs de retournement à court terme (MACD, Stochastique en surachat). Les fondamentaux montrent une légère amélioration au T1 2026 (+28,9% du résultat net), mais les risques de crédit et macroéconomiques restent élevés. Les prédictions IA (5 230 FCFA à J+1, 5 198 FCFA à J+10) indiquent une **légère correction baissière** de -1,5% sur 10 jours, confirmant les signaux techniques de consolidation. La divergence entre la valorisation boursière et les fondamentaux est flagrante. **Recommandation finale : VENTE** pour les investisseurs à court terme, avec un niveau de confiance **Moyen** et un risque global **Élevé**. Pour les investisseurs long terme, une position **CONSERVER** pourrait se justifier si la reprise 2026 se confirme, avec un horizon optimal de 12 mois pour observer l'amélioration des indicateurs de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9,249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+21.40%</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6,590 FCFA</w:t>
            </w:r>
          </w:p>
          <w:p>
            <w:r>
              <w:rPr>
                <w:b/>
                <w:color w:val="503200"/>
                <w:sz w:val="16"/>
              </w:rPr>
              <w:t xml:space="preserve">Volatilité ann. : </w:t>
            </w:r>
            <w:r>
              <w:rPr>
                <w:color w:val="000000"/>
                <w:sz w:val="17"/>
              </w:rPr>
              <w:t>22.8%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5.23% (Moyenne) — μ=7,350 FCFA, σ=385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β=0.3581 (Défensif) — Cov=0.000012, Var(idx)=0.000035, ρ=0.147,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σ_j=1.44%/j (Stable) — Vol. annualisée≈22.8%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7,613</w:t>
            </w:r>
          </w:p>
        </w:tc>
        <w:tc>
          <w:tcPr>
            <w:tcW w:type="dxa" w:w="1440"/>
            <w:shd w:fill="FFDCE0" w:val="clear"/>
          </w:tcPr>
          <w:p>
            <w:r>
              <w:rPr>
                <w:b/>
                <w:sz w:val="17"/>
              </w:rPr>
              <w:t>7,796</w:t>
            </w:r>
          </w:p>
        </w:tc>
        <w:tc>
          <w:tcPr>
            <w:tcW w:type="dxa" w:w="1440"/>
            <w:shd w:fill="FFDCE0" w:val="clear"/>
          </w:tcPr>
          <w:p>
            <w:r>
              <w:rPr>
                <w:sz w:val="17"/>
              </w:rPr>
              <w:t>7,979</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7,412</w:t>
            </w:r>
          </w:p>
        </w:tc>
        <w:tc>
          <w:tcPr>
            <w:tcW w:type="dxa" w:w="1440"/>
            <w:shd w:fill="FFDCE0" w:val="clear"/>
          </w:tcPr>
          <w:p>
            <w:r>
              <w:rPr>
                <w:b/>
                <w:sz w:val="17"/>
              </w:rPr>
              <w:t>7,666</w:t>
            </w:r>
          </w:p>
        </w:tc>
        <w:tc>
          <w:tcPr>
            <w:tcW w:type="dxa" w:w="1440"/>
            <w:shd w:fill="FFDCE0" w:val="clear"/>
          </w:tcPr>
          <w:p>
            <w:r>
              <w:rPr>
                <w:sz w:val="17"/>
              </w:rPr>
              <w:t>7,921</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7,234</w:t>
            </w:r>
          </w:p>
        </w:tc>
        <w:tc>
          <w:tcPr>
            <w:tcW w:type="dxa" w:w="1440"/>
            <w:shd w:fill="FFDCE0" w:val="clear"/>
          </w:tcPr>
          <w:p>
            <w:r>
              <w:rPr>
                <w:b/>
                <w:sz w:val="17"/>
              </w:rPr>
              <w:t>7,541</w:t>
            </w:r>
          </w:p>
        </w:tc>
        <w:tc>
          <w:tcPr>
            <w:tcW w:type="dxa" w:w="1440"/>
            <w:shd w:fill="FFDCE0" w:val="clear"/>
          </w:tcPr>
          <w:p>
            <w:r>
              <w:rPr>
                <w:sz w:val="17"/>
              </w:rPr>
              <w:t>7,847</w:t>
            </w:r>
          </w:p>
        </w:tc>
        <w:tc>
          <w:tcPr>
            <w:tcW w:type="dxa" w:w="1440"/>
            <w:shd w:fill="FFDCE0" w:val="clear"/>
          </w:tcPr>
          <w:p>
            <w:r>
              <w:rPr>
                <w:b/>
                <w:color w:val="C00000"/>
                <w:sz w:val="17"/>
              </w:rPr>
              <w:t>-5.7%</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7,079</w:t>
            </w:r>
          </w:p>
        </w:tc>
        <w:tc>
          <w:tcPr>
            <w:tcW w:type="dxa" w:w="1440"/>
            <w:shd w:fill="FFDCE0" w:val="clear"/>
          </w:tcPr>
          <w:p>
            <w:r>
              <w:rPr>
                <w:b/>
                <w:sz w:val="17"/>
              </w:rPr>
              <w:t>7,427</w:t>
            </w:r>
          </w:p>
        </w:tc>
        <w:tc>
          <w:tcPr>
            <w:tcW w:type="dxa" w:w="1440"/>
            <w:shd w:fill="FFDCE0" w:val="clear"/>
          </w:tcPr>
          <w:p>
            <w:r>
              <w:rPr>
                <w:sz w:val="17"/>
              </w:rPr>
              <w:t>7,776</w:t>
            </w:r>
          </w:p>
        </w:tc>
        <w:tc>
          <w:tcPr>
            <w:tcW w:type="dxa" w:w="1440"/>
            <w:shd w:fill="FFDCE0" w:val="clear"/>
          </w:tcPr>
          <w:p>
            <w:r>
              <w:rPr>
                <w:b/>
                <w:color w:val="C00000"/>
                <w:sz w:val="17"/>
              </w:rPr>
              <w:t>-7.2%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6,937</w:t>
            </w:r>
          </w:p>
        </w:tc>
        <w:tc>
          <w:tcPr>
            <w:tcW w:type="dxa" w:w="1440"/>
            <w:shd w:fill="FFDCE0" w:val="clear"/>
          </w:tcPr>
          <w:p>
            <w:r>
              <w:rPr>
                <w:b/>
                <w:sz w:val="17"/>
              </w:rPr>
              <w:t>7,321</w:t>
            </w:r>
          </w:p>
        </w:tc>
        <w:tc>
          <w:tcPr>
            <w:tcW w:type="dxa" w:w="1440"/>
            <w:shd w:fill="FFDCE0" w:val="clear"/>
          </w:tcPr>
          <w:p>
            <w:r>
              <w:rPr>
                <w:sz w:val="17"/>
              </w:rPr>
              <w:t>7,706</w:t>
            </w:r>
          </w:p>
        </w:tc>
        <w:tc>
          <w:tcPr>
            <w:tcW w:type="dxa" w:w="1440"/>
            <w:shd w:fill="FFDCE0" w:val="clear"/>
          </w:tcPr>
          <w:p>
            <w:r>
              <w:rPr>
                <w:b/>
                <w:color w:val="C00000"/>
                <w:sz w:val="17"/>
              </w:rPr>
              <w:t>-8.5%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6,806</w:t>
            </w:r>
          </w:p>
        </w:tc>
        <w:tc>
          <w:tcPr>
            <w:tcW w:type="dxa" w:w="1440"/>
            <w:shd w:fill="FFDCE0" w:val="clear"/>
          </w:tcPr>
          <w:p>
            <w:r>
              <w:rPr>
                <w:b/>
                <w:sz w:val="17"/>
              </w:rPr>
              <w:t>7,222</w:t>
            </w:r>
          </w:p>
        </w:tc>
        <w:tc>
          <w:tcPr>
            <w:tcW w:type="dxa" w:w="1440"/>
            <w:shd w:fill="FFDCE0" w:val="clear"/>
          </w:tcPr>
          <w:p>
            <w:r>
              <w:rPr>
                <w:sz w:val="17"/>
              </w:rPr>
              <w:t>7,637</w:t>
            </w:r>
          </w:p>
        </w:tc>
        <w:tc>
          <w:tcPr>
            <w:tcW w:type="dxa" w:w="1440"/>
            <w:shd w:fill="FFDCE0" w:val="clear"/>
          </w:tcPr>
          <w:p>
            <w:r>
              <w:rPr>
                <w:b/>
                <w:color w:val="C00000"/>
                <w:sz w:val="17"/>
              </w:rPr>
              <w:t>-9.7%</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6,684</w:t>
            </w:r>
          </w:p>
        </w:tc>
        <w:tc>
          <w:tcPr>
            <w:tcW w:type="dxa" w:w="1440"/>
            <w:shd w:fill="FFDCE0" w:val="clear"/>
          </w:tcPr>
          <w:p>
            <w:r>
              <w:rPr>
                <w:b/>
                <w:sz w:val="17"/>
              </w:rPr>
              <w:t>7,127</w:t>
            </w:r>
          </w:p>
        </w:tc>
        <w:tc>
          <w:tcPr>
            <w:tcW w:type="dxa" w:w="1440"/>
            <w:shd w:fill="FFDCE0" w:val="clear"/>
          </w:tcPr>
          <w:p>
            <w:r>
              <w:rPr>
                <w:sz w:val="17"/>
              </w:rPr>
              <w:t>7,569</w:t>
            </w:r>
          </w:p>
        </w:tc>
        <w:tc>
          <w:tcPr>
            <w:tcW w:type="dxa" w:w="1440"/>
            <w:shd w:fill="FFDCE0" w:val="clear"/>
          </w:tcPr>
          <w:p>
            <w:r>
              <w:rPr>
                <w:b/>
                <w:color w:val="C00000"/>
                <w:sz w:val="17"/>
              </w:rPr>
              <w:t>-10.9%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6,570</w:t>
            </w:r>
          </w:p>
        </w:tc>
        <w:tc>
          <w:tcPr>
            <w:tcW w:type="dxa" w:w="1440"/>
            <w:shd w:fill="FFDCE0" w:val="clear"/>
          </w:tcPr>
          <w:p>
            <w:r>
              <w:rPr>
                <w:b/>
                <w:sz w:val="17"/>
              </w:rPr>
              <w:t>7,037</w:t>
            </w:r>
          </w:p>
        </w:tc>
        <w:tc>
          <w:tcPr>
            <w:tcW w:type="dxa" w:w="1440"/>
            <w:shd w:fill="FFDCE0" w:val="clear"/>
          </w:tcPr>
          <w:p>
            <w:r>
              <w:rPr>
                <w:sz w:val="17"/>
              </w:rPr>
              <w:t>7,504</w:t>
            </w:r>
          </w:p>
        </w:tc>
        <w:tc>
          <w:tcPr>
            <w:tcW w:type="dxa" w:w="1440"/>
            <w:shd w:fill="FFDCE0" w:val="clear"/>
          </w:tcPr>
          <w:p>
            <w:r>
              <w:rPr>
                <w:b/>
                <w:color w:val="C00000"/>
                <w:sz w:val="17"/>
              </w:rPr>
              <w:t>-12.0%</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6,463</w:t>
            </w:r>
          </w:p>
        </w:tc>
        <w:tc>
          <w:tcPr>
            <w:tcW w:type="dxa" w:w="1440"/>
            <w:shd w:fill="FFDCE0" w:val="clear"/>
          </w:tcPr>
          <w:p>
            <w:r>
              <w:rPr>
                <w:b/>
                <w:sz w:val="17"/>
              </w:rPr>
              <w:t>6,952</w:t>
            </w:r>
          </w:p>
        </w:tc>
        <w:tc>
          <w:tcPr>
            <w:tcW w:type="dxa" w:w="1440"/>
            <w:shd w:fill="FFDCE0" w:val="clear"/>
          </w:tcPr>
          <w:p>
            <w:r>
              <w:rPr>
                <w:sz w:val="17"/>
              </w:rPr>
              <w:t>7,442</w:t>
            </w:r>
          </w:p>
        </w:tc>
        <w:tc>
          <w:tcPr>
            <w:tcW w:type="dxa" w:w="1440"/>
            <w:shd w:fill="FFDCE0" w:val="clear"/>
          </w:tcPr>
          <w:p>
            <w:r>
              <w:rPr>
                <w:b/>
                <w:color w:val="C00000"/>
                <w:sz w:val="17"/>
              </w:rPr>
              <w:t>-13.1%</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6,362</w:t>
            </w:r>
          </w:p>
        </w:tc>
        <w:tc>
          <w:tcPr>
            <w:tcW w:type="dxa" w:w="1440"/>
            <w:shd w:fill="FFDCE0" w:val="clear"/>
          </w:tcPr>
          <w:p>
            <w:r>
              <w:rPr>
                <w:b/>
                <w:sz w:val="17"/>
              </w:rPr>
              <w:t>6,872</w:t>
            </w:r>
          </w:p>
        </w:tc>
        <w:tc>
          <w:tcPr>
            <w:tcW w:type="dxa" w:w="1440"/>
            <w:shd w:fill="FFDCE0" w:val="clear"/>
          </w:tcPr>
          <w:p>
            <w:r>
              <w:rPr>
                <w:sz w:val="17"/>
              </w:rPr>
              <w:t>7,382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BOAS s'établit à 288 milliards FCFA, ce qui positionne la banque parmi les valeurs moyennes à grandes capitalisations de la BRVM, lui conférant une liquidité et une visibilité appréciables. Avec un BPA de 608 FCFA, chaque action génère un bénéfice substantiel, justifiant un PER de 13,1x. Ce ratio, légèrement supérieur à la moyenne historique de la BRVM (8-12x), indique que les investisseurs acceptent de payer une prime modérée pour la qualité de la banque, sans pour autant que la valorisation soit excessive. Le P/B de 2,98x confirme cette prime, le marché valorisant la société près de trois fois sa valeur comptable, signe d'une confiance dans la création de valeur future. Enfin, un EV/EBITDA de 8,5x, dans la fourchette raisonnable de 5-10x, suggère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affiché une performance remarquable de +21,40%, passant d'un plus bas de 6 590 FCFA à un plus haut de 8 050 FCFA, pour clôturer à 8 000 FCFA. La séance de la veille s'est soldée par une stagnation (0,00%), marquant une pause après cette forte ascension. La moyenne (7 350 FCFA) et la médiane (7 350 FCFA) étant identiques, la distribution des prix est parfaitement symétrique sur la période, bien que le mode (7 700 FCFA) soit supérieur, indiquant une concentration des échanges vers les niveaux hauts. L'écart-type de 387 FCFA, avec un coefficient de variation de 5,3%, révèle une dispersion relativement faible autour de la moyenne. Le kurtosis négatif (-0,741) indique une distribution mésokurtique, sans risque de pics extrêmes, tandis que le skewness de -0,288 confirme une symétrie. La volatilité annualisée de 22,8% classe le titre dans une catégorie à risque modéré, typique des valeurs bancaires de la région.</w:t>
      </w:r>
    </w:p>
    <w:p>
      <w:pPr>
        <w:spacing w:after="120" w:line="276" w:lineRule="auto" w:before="240"/>
      </w:pPr>
      <w:r>
        <w:rPr>
          <w:b/>
          <w:color w:val="003366"/>
          <w:sz w:val="24"/>
        </w:rPr>
        <w:t>**PARTIE 2 : ANALYSE TECHNIQUE DÉTAILLÉE**</w:t>
      </w:r>
    </w:p>
    <w:p>
      <w:pPr>
        <w:spacing w:after="120" w:line="276" w:lineRule="auto"/>
      </w:pPr>
      <w:r>
        <w:t>**Moyennes Mobiles** : Le cours actuel de 8 000 FCFA se situe nettement au-dessus de la MM20 (7 788,5 FCFA) et de la MM50 (7 539,6 FCFA). Cette configuration haussière, où les moyennes sont orientées à la hausse et le cours les dépasse, confirme une dynamique positive à court et moyen terme, justifiant la décision d'achat.</w:t>
      </w:r>
    </w:p>
    <w:p>
      <w:pPr>
        <w:spacing w:after="120" w:line="276" w:lineRule="auto"/>
      </w:pPr>
      <w:r>
        <w:t>**Bandes de Bollinger** : Le prix évolue à 8 000 FCFA, très proche de la borne supérieure (8 025 FCFA), indiquant une pression acheteuse soutenue. La largeur des bandes (7551,9 à 8025,0) reflète une volatilité modérée. Le fait que le cours teste la borne supérieure sans la dépasser suggère une consolidation possible, d'où une décision neutre, mais avec un biais haussier.</w:t>
      </w:r>
    </w:p>
    <w:p>
      <w:pPr>
        <w:spacing w:after="120" w:line="276" w:lineRule="auto"/>
      </w:pPr>
      <w:r>
        <w:t>**MACD** : La valeur du MACD (93,157) est supérieure à sa ligne de signal (75,399), avec un écart positif croissant. Cette configuration classique de croisement haussier indique un momentum positif et une accélération de la tendance, justifiant la décision d'achat.</w:t>
      </w:r>
    </w:p>
    <w:p>
      <w:pPr>
        <w:spacing w:after="120" w:line="276" w:lineRule="auto"/>
      </w:pPr>
      <w:r>
        <w:t>**RSI** : À 64,189, le RSI se situe en zone neutre, mais proche de la zone de surachat (70). Cela indique une force acheteuse toujours présente, mais sans signal d'épuisement immédiat. La décision neutre est cohérente avec une possible consolidation avant une nouvelle impulsion.</w:t>
      </w:r>
    </w:p>
    <w:p>
      <w:pPr>
        <w:spacing w:after="120" w:line="276" w:lineRule="auto"/>
      </w:pPr>
      <w:r>
        <w:t>**Stochastique** : Les valeurs %K et %D sont toutes deux à 100, un niveau extrême de surachat. Ce signal de vente indique que le titre est temporairement survendu et qu'un repli technique est probable à très court terme, bien que la tendance de fond reste haussière.</w:t>
      </w:r>
    </w:p>
    <w:p>
      <w:pPr>
        <w:spacing w:after="120" w:line="276" w:lineRule="auto"/>
      </w:pPr>
      <w:r>
        <w:t>**Conclusion technique** : La tendance générale est résolument haussière, portée par les moyennes mobiles et le MACD. Cependant, les oscillateurs de surachat (Stochastique à 100, RSI proche de 70) signalent un risque de correction technique à court terme. L'action est dans une phase de consolidation potentielle après une forte progression, mais la structure de marché reste positive.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BOAS font état d'un Produit Net Bancaire (PNB) de 51,926 milliards FCFA, en croissance de 4,55%, et d'un résultat net de 21,905 milliards FCFA. La banque affiche une rentabilité exceptionnelle avec un ROE de 22,69% et un ROA de 2,62%, démontrant une utilisation très efficace de ses fonds propres et de ses actifs. Le coefficient d'exploitation de 44,02% est excellent, témoignant d'une maîtrise rigoureuse des coûts. Le coût du risque, à 23,31% des charges financières, reste un point de vigilance, mais les rapports trimestriels de 2025 montrent une amélioration continue. Le rapport du 3ème trimestre 2025 (publié fin 2025) indique un PNB cumulé de 37,44 milliards FCFA (+6,71%) et un résultat net de 16,37 milliards FCFA (+10,01%), avec un coût du risque en baisse à -0,5% du PNB. Sur la base de ces performances, on estime que la banque pourrait dépasser son résultat net annuel de 2025, avec une projection de 22,5 à 23 milliards FCFA pour l'exercice complet. Les dépôts clients (686,927 milliards FCFA) couvrent largement les créances sur la clientèle (386,424 milliards FCFA), indiquant une transformation saine et une liquidité abondante. La banque est fondamentalement solide, avec une croissance rentable et une gestion prudente des risques.</w:t>
      </w:r>
    </w:p>
    <w:p>
      <w:pPr>
        <w:spacing w:after="120" w:line="276" w:lineRule="auto" w:before="240"/>
      </w:pPr>
      <w:r>
        <w:rPr>
          <w:b/>
          <w:color w:val="003366"/>
          <w:sz w:val="24"/>
        </w:rPr>
        <w:t>**PARTIE 4 : CONCLUSION D'INVESTISSEMENT**</w:t>
      </w:r>
    </w:p>
    <w:p>
      <w:pPr>
        <w:spacing w:after="120" w:line="276" w:lineRule="auto"/>
      </w:pPr>
      <w:r>
        <w:t>La valorisation de BOAS (PER 13,1x, P/B 2,98x) est légèrement supérieure à la moyenne du marché, mais justifiée par une rentabilité exceptionnelle (ROE &gt;22%) et une croissance soutenue. Le comportement du cours sur 100 jours (+21,4%) avec une volatilité modérée (22,8%) et une distribution symétrique reflète une appréciation saine et progressive. Les signaux techniques sont majoritairement haussiers (MM, MACD), mais les oscillateurs de surachat (Stochastique à 100) suggèrent un repli technique imminent. Les fondamentaux sont excellents, avec une amélioration continue du PNB et du résultat net, une maîtrise des coûts et une qualité de portefeuille en progrès. Les prédictions IA, anticipant une baisse progressive vers 7 321 FCFA sur 10 jours, confirment ce scénario de correction technique à court terme. En synthèse, la convergence entre des fondamentaux solides et une tendance de fond haussière est contrebalancée par un risque de consolidation à court terme. La recommandation finale est **ACHAT**, avec un niveau de confiance **Élevé**, un risque global **Moyen**, et un horizon d'investissement optimal à **moyen terme (3-12 mois)**, en profitant d'un éventuel repli technique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2,357 titres</w:t>
            </w:r>
          </w:p>
        </w:tc>
        <w:tc>
          <w:tcPr>
            <w:tcW w:type="dxa" w:w="2268"/>
            <w:shd w:fill="FFF2CC" w:val="clear"/>
          </w:tcPr>
          <w:p>
            <w:r>
              <w:rPr>
                <w:b/>
                <w:color w:val="503200"/>
                <w:sz w:val="16"/>
              </w:rPr>
              <w:t xml:space="preserve">Cours actuel : </w:t>
            </w:r>
            <w:r>
              <w:rPr>
                <w:color w:val="000000"/>
                <w:sz w:val="17"/>
              </w:rPr>
              <w:t>3,640 FCFA</w:t>
            </w:r>
          </w:p>
          <w:p>
            <w:r>
              <w:rPr>
                <w:b/>
                <w:color w:val="503200"/>
                <w:sz w:val="16"/>
              </w:rPr>
              <w:t xml:space="preserve">Var. 100 jours : </w:t>
            </w:r>
            <w:r>
              <w:rPr>
                <w:b/>
                <w:color w:val="007800"/>
                <w:sz w:val="17"/>
              </w:rPr>
              <w:t>+10.98%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3,250 FCFA</w:t>
            </w:r>
          </w:p>
          <w:p>
            <w:r>
              <w:rPr>
                <w:b/>
                <w:color w:val="503200"/>
                <w:sz w:val="16"/>
              </w:rPr>
              <w:t xml:space="preserve">Volatilité ann. : </w:t>
            </w:r>
            <w:r>
              <w:rPr>
                <w:color w:val="000000"/>
                <w:sz w:val="17"/>
              </w:rPr>
              <w:t>55.7%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7.76% (Moyenne) — μ=3,767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β=-0.0156 (Contre-cyclique) — Cov=-0.000001, Var(idx)=0.000035, ρ=-0.003,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2026-08-24</w:t>
            </w:r>
          </w:p>
        </w:tc>
        <w:tc>
          <w:tcPr>
            <w:tcW w:type="dxa" w:w="1440"/>
            <w:shd w:fill="C6EFCE" w:val="clear"/>
          </w:tcPr>
          <w:p>
            <w:r>
              <w:rPr>
                <w:sz w:val="17"/>
              </w:rPr>
              <w:t>3,651</w:t>
            </w:r>
          </w:p>
        </w:tc>
        <w:tc>
          <w:tcPr>
            <w:tcW w:type="dxa" w:w="1440"/>
            <w:shd w:fill="C6EFCE" w:val="clear"/>
          </w:tcPr>
          <w:p>
            <w:r>
              <w:rPr>
                <w:b/>
                <w:sz w:val="17"/>
              </w:rPr>
              <w:t>3,807</w:t>
            </w:r>
          </w:p>
        </w:tc>
        <w:tc>
          <w:tcPr>
            <w:tcW w:type="dxa" w:w="1440"/>
            <w:shd w:fill="C6EFCE" w:val="clear"/>
          </w:tcPr>
          <w:p>
            <w:r>
              <w:rPr>
                <w:sz w:val="17"/>
              </w:rPr>
              <w:t>3,964</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2026-08-25</w:t>
            </w:r>
          </w:p>
        </w:tc>
        <w:tc>
          <w:tcPr>
            <w:tcW w:type="dxa" w:w="1440"/>
            <w:shd w:fill="C6EFCE" w:val="clear"/>
          </w:tcPr>
          <w:p>
            <w:r>
              <w:rPr>
                <w:sz w:val="17"/>
              </w:rPr>
              <w:t>3,727</w:t>
            </w:r>
          </w:p>
        </w:tc>
        <w:tc>
          <w:tcPr>
            <w:tcW w:type="dxa" w:w="1440"/>
            <w:shd w:fill="C6EFCE" w:val="clear"/>
          </w:tcPr>
          <w:p>
            <w:r>
              <w:rPr>
                <w:b/>
                <w:sz w:val="17"/>
              </w:rPr>
              <w:t>3,957</w:t>
            </w:r>
          </w:p>
        </w:tc>
        <w:tc>
          <w:tcPr>
            <w:tcW w:type="dxa" w:w="1440"/>
            <w:shd w:fill="C6EFCE" w:val="clear"/>
          </w:tcPr>
          <w:p>
            <w:r>
              <w:rPr>
                <w:sz w:val="17"/>
              </w:rPr>
              <w:t>4,187</w:t>
            </w:r>
          </w:p>
        </w:tc>
        <w:tc>
          <w:tcPr>
            <w:tcW w:type="dxa" w:w="1440"/>
            <w:shd w:fill="C6EFCE" w:val="clear"/>
          </w:tcPr>
          <w:p>
            <w:r>
              <w:rPr>
                <w:b/>
                <w:color w:val="008000"/>
                <w:sz w:val="17"/>
              </w:rPr>
              <w:t>+8.7%</w:t>
            </w:r>
          </w:p>
        </w:tc>
      </w:tr>
      <w:tr>
        <w:tc>
          <w:tcPr>
            <w:tcW w:type="dxa" w:w="1440"/>
            <w:shd w:fill="C6EFCE" w:val="clear"/>
          </w:tcPr>
          <w:p>
            <w:r>
              <w:rPr>
                <w:sz w:val="17"/>
              </w:rPr>
              <w:t>J+3  Moyenne</w:t>
            </w:r>
          </w:p>
        </w:tc>
        <w:tc>
          <w:tcPr>
            <w:tcW w:type="dxa" w:w="1440"/>
            <w:shd w:fill="C6EFCE" w:val="clear"/>
          </w:tcPr>
          <w:p>
            <w:r>
              <w:rPr>
                <w:sz w:val="17"/>
              </w:rPr>
              <w:t>2026-08-27</w:t>
            </w:r>
          </w:p>
        </w:tc>
        <w:tc>
          <w:tcPr>
            <w:tcW w:type="dxa" w:w="1440"/>
            <w:shd w:fill="C6EFCE" w:val="clear"/>
          </w:tcPr>
          <w:p>
            <w:r>
              <w:rPr>
                <w:sz w:val="17"/>
              </w:rPr>
              <w:t>3,850</w:t>
            </w:r>
          </w:p>
        </w:tc>
        <w:tc>
          <w:tcPr>
            <w:tcW w:type="dxa" w:w="1440"/>
            <w:shd w:fill="C6EFCE" w:val="clear"/>
          </w:tcPr>
          <w:p>
            <w:r>
              <w:rPr>
                <w:b/>
                <w:sz w:val="17"/>
              </w:rPr>
              <w:t>4,146</w:t>
            </w:r>
          </w:p>
        </w:tc>
        <w:tc>
          <w:tcPr>
            <w:tcW w:type="dxa" w:w="1440"/>
            <w:shd w:fill="C6EFCE" w:val="clear"/>
          </w:tcPr>
          <w:p>
            <w:r>
              <w:rPr>
                <w:sz w:val="17"/>
              </w:rPr>
              <w:t>4,442</w:t>
            </w:r>
          </w:p>
        </w:tc>
        <w:tc>
          <w:tcPr>
            <w:tcW w:type="dxa" w:w="1440"/>
            <w:shd w:fill="C6EFCE" w:val="clear"/>
          </w:tcPr>
          <w:p>
            <w:r>
              <w:rPr>
                <w:b/>
                <w:color w:val="008000"/>
                <w:sz w:val="17"/>
              </w:rPr>
              <w:t>+13.9%</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4,008</w:t>
            </w:r>
          </w:p>
        </w:tc>
        <w:tc>
          <w:tcPr>
            <w:tcW w:type="dxa" w:w="1440"/>
            <w:shd w:fill="C6EFCE" w:val="clear"/>
          </w:tcPr>
          <w:p>
            <w:r>
              <w:rPr>
                <w:b/>
                <w:sz w:val="17"/>
              </w:rPr>
              <w:t>4,367</w:t>
            </w:r>
          </w:p>
        </w:tc>
        <w:tc>
          <w:tcPr>
            <w:tcW w:type="dxa" w:w="1440"/>
            <w:shd w:fill="C6EFCE" w:val="clear"/>
          </w:tcPr>
          <w:p>
            <w:r>
              <w:rPr>
                <w:sz w:val="17"/>
              </w:rPr>
              <w:t>4,727</w:t>
            </w:r>
          </w:p>
        </w:tc>
        <w:tc>
          <w:tcPr>
            <w:tcW w:type="dxa" w:w="1440"/>
            <w:shd w:fill="C6EFCE" w:val="clear"/>
          </w:tcPr>
          <w:p>
            <w:r>
              <w:rPr>
                <w:b/>
                <w:color w:val="008000"/>
                <w:sz w:val="17"/>
              </w:rPr>
              <w:t>+20.0%</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4,198</w:t>
            </w:r>
          </w:p>
        </w:tc>
        <w:tc>
          <w:tcPr>
            <w:tcW w:type="dxa" w:w="1440"/>
            <w:shd w:fill="C6EFCE" w:val="clear"/>
          </w:tcPr>
          <w:p>
            <w:r>
              <w:rPr>
                <w:b/>
                <w:sz w:val="17"/>
              </w:rPr>
              <w:t>4,623</w:t>
            </w:r>
          </w:p>
        </w:tc>
        <w:tc>
          <w:tcPr>
            <w:tcW w:type="dxa" w:w="1440"/>
            <w:shd w:fill="C6EFCE" w:val="clear"/>
          </w:tcPr>
          <w:p>
            <w:r>
              <w:rPr>
                <w:sz w:val="17"/>
              </w:rPr>
              <w:t>5,049</w:t>
            </w:r>
          </w:p>
        </w:tc>
        <w:tc>
          <w:tcPr>
            <w:tcW w:type="dxa" w:w="1440"/>
            <w:shd w:fill="C6EFCE" w:val="clear"/>
          </w:tcPr>
          <w:p>
            <w:r>
              <w:rPr>
                <w:b/>
                <w:color w:val="008000"/>
                <w:sz w:val="17"/>
              </w:rPr>
              <w:t>+27.0%</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4,424</w:t>
            </w:r>
          </w:p>
        </w:tc>
        <w:tc>
          <w:tcPr>
            <w:tcW w:type="dxa" w:w="1440"/>
            <w:shd w:fill="C6EFCE" w:val="clear"/>
          </w:tcPr>
          <w:p>
            <w:r>
              <w:rPr>
                <w:b/>
                <w:sz w:val="17"/>
              </w:rPr>
              <w:t>4,921</w:t>
            </w:r>
          </w:p>
        </w:tc>
        <w:tc>
          <w:tcPr>
            <w:tcW w:type="dxa" w:w="1440"/>
            <w:shd w:fill="C6EFCE" w:val="clear"/>
          </w:tcPr>
          <w:p>
            <w:r>
              <w:rPr>
                <w:sz w:val="17"/>
              </w:rPr>
              <w:t>5,417</w:t>
            </w:r>
          </w:p>
        </w:tc>
        <w:tc>
          <w:tcPr>
            <w:tcW w:type="dxa" w:w="1440"/>
            <w:shd w:fill="C6EFCE" w:val="clear"/>
          </w:tcPr>
          <w:p>
            <w:r>
              <w:rPr>
                <w:b/>
                <w:color w:val="008000"/>
                <w:sz w:val="17"/>
              </w:rPr>
              <w:t>+35.2%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4,697</w:t>
            </w:r>
          </w:p>
        </w:tc>
        <w:tc>
          <w:tcPr>
            <w:tcW w:type="dxa" w:w="1440"/>
            <w:shd w:fill="C6EFCE" w:val="clear"/>
          </w:tcPr>
          <w:p>
            <w:r>
              <w:rPr>
                <w:b/>
                <w:sz w:val="17"/>
              </w:rPr>
              <w:t>5,271</w:t>
            </w:r>
          </w:p>
        </w:tc>
        <w:tc>
          <w:tcPr>
            <w:tcW w:type="dxa" w:w="1440"/>
            <w:shd w:fill="C6EFCE" w:val="clear"/>
          </w:tcPr>
          <w:p>
            <w:r>
              <w:rPr>
                <w:sz w:val="17"/>
              </w:rPr>
              <w:t>5,845</w:t>
            </w:r>
          </w:p>
        </w:tc>
        <w:tc>
          <w:tcPr>
            <w:tcW w:type="dxa" w:w="1440"/>
            <w:shd w:fill="C6EFCE" w:val="clear"/>
          </w:tcPr>
          <w:p>
            <w:r>
              <w:rPr>
                <w:b/>
                <w:color w:val="008000"/>
                <w:sz w:val="17"/>
              </w:rPr>
              <w:t>+44.8%</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5,007</w:t>
            </w:r>
          </w:p>
        </w:tc>
        <w:tc>
          <w:tcPr>
            <w:tcW w:type="dxa" w:w="1440"/>
            <w:shd w:fill="C6EFCE" w:val="clear"/>
          </w:tcPr>
          <w:p>
            <w:r>
              <w:rPr>
                <w:b/>
                <w:sz w:val="17"/>
              </w:rPr>
              <w:t>5,667</w:t>
            </w:r>
          </w:p>
        </w:tc>
        <w:tc>
          <w:tcPr>
            <w:tcW w:type="dxa" w:w="1440"/>
            <w:shd w:fill="C6EFCE" w:val="clear"/>
          </w:tcPr>
          <w:p>
            <w:r>
              <w:rPr>
                <w:sz w:val="17"/>
              </w:rPr>
              <w:t>6,327</w:t>
            </w:r>
          </w:p>
        </w:tc>
        <w:tc>
          <w:tcPr>
            <w:tcW w:type="dxa" w:w="1440"/>
            <w:shd w:fill="C6EFCE" w:val="clear"/>
          </w:tcPr>
          <w:p>
            <w:r>
              <w:rPr>
                <w:b/>
                <w:color w:val="008000"/>
                <w:sz w:val="17"/>
              </w:rPr>
              <w:t>+55.7%</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5,339</w:t>
            </w:r>
          </w:p>
        </w:tc>
        <w:tc>
          <w:tcPr>
            <w:tcW w:type="dxa" w:w="1440"/>
            <w:shd w:fill="C6EFCE" w:val="clear"/>
          </w:tcPr>
          <w:p>
            <w:r>
              <w:rPr>
                <w:b/>
                <w:sz w:val="17"/>
              </w:rPr>
              <w:t>6,092</w:t>
            </w:r>
          </w:p>
        </w:tc>
        <w:tc>
          <w:tcPr>
            <w:tcW w:type="dxa" w:w="1440"/>
            <w:shd w:fill="C6EFCE" w:val="clear"/>
          </w:tcPr>
          <w:p>
            <w:r>
              <w:rPr>
                <w:sz w:val="17"/>
              </w:rPr>
              <w:t>6,844</w:t>
            </w:r>
          </w:p>
        </w:tc>
        <w:tc>
          <w:tcPr>
            <w:tcW w:type="dxa" w:w="1440"/>
            <w:shd w:fill="C6EFCE" w:val="clear"/>
          </w:tcPr>
          <w:p>
            <w:r>
              <w:rPr>
                <w:b/>
                <w:color w:val="008000"/>
                <w:sz w:val="17"/>
              </w:rPr>
              <w:t>+67.4%</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5,696</w:t>
            </w:r>
          </w:p>
        </w:tc>
        <w:tc>
          <w:tcPr>
            <w:tcW w:type="dxa" w:w="1440"/>
            <w:shd w:fill="C6EFCE" w:val="clear"/>
          </w:tcPr>
          <w:p>
            <w:r>
              <w:rPr>
                <w:b/>
                <w:sz w:val="17"/>
              </w:rPr>
              <w:t>6,549</w:t>
            </w:r>
          </w:p>
        </w:tc>
        <w:tc>
          <w:tcPr>
            <w:tcW w:type="dxa" w:w="1440"/>
            <w:shd w:fill="C6EFCE" w:val="clear"/>
          </w:tcPr>
          <w:p>
            <w:r>
              <w:rPr>
                <w:sz w:val="17"/>
              </w:rPr>
              <w:t>7,401</w:t>
            </w:r>
          </w:p>
        </w:tc>
        <w:tc>
          <w:tcPr>
            <w:tcW w:type="dxa" w:w="1440"/>
            <w:shd w:fill="C6EFCE" w:val="clear"/>
          </w:tcPr>
          <w:p>
            <w:r>
              <w:rPr>
                <w:b/>
                <w:color w:val="008000"/>
                <w:sz w:val="17"/>
              </w:rPr>
              <w:t>+79.9%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21,55 milliards FCFA, un niveau modeste dans l'écosystème de la BRVM, reflétant un profil de moyenne capitalisation. Avec un BPA de 243 FCFA, le titre se négocie à un PER de 15,0x, ce qui représente une prime significative par rapport à la moyenne historique du marché régional (8-12x). Cette valorisation suggère que les investisseurs intègrent déjà des perspectives de croissance future. Le P/B de 2,31x indique que le marché valorise la société à plus du double de sa valeur comptable, témoignant d'une confiance dans la création de valeur future, tandis que l'EV/EBITDA de 7,7x reste dans une zone raisonnable, indiquant que la valeur d'entreprise n'est pas excessive par rapport à la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progression totale de +10,98%, avec une légère correction de -1,75% lors de la dernière séance, portant le cours à 3 640 FCFA. Le titre a évolué dans une fourchette de 3 250 à 4 500 FCFA, démontrant une amplitude de trading considérable de 38,5%. La moyenne du cours sur la période (3 767 FCFA) est supérieure à la médiane (3 700 FCFA), et le skewness positif de 0,642 confirme une asymétrie avec des journées plus fréquentes sous la moyenne, mais des mouvements haussiers plus amples. L'écart-type de 294 FCFA (CV=7,8%) indique une dispersion modérée, tandis que le kurtosis de -0,172 (mésokurtique) suggère une distribution proche de la normale, sans risque de pics extrêmes. La volatilité annualisée de 55,7% classe le titre dans la catégorie à volatilité élevée (&gt;30%), ce qui implique un risque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(3 640 FCFA) se positionne au-dessus de la MM20 (3 582 FCFA) mais nettement en dessous de la MM50 (3 840,5 FCFA). Cette configuration en croix baissière sur la moyenne longue indique que la tendance de fond reste négative malgré le rebond récent. La décision "Vente" est justifiée par la persistance du cours sous la MM50, signalant une résistance technique majeure à moyen terme.</w:t>
      </w:r>
    </w:p>
    <w:p>
      <w:pPr>
        <w:spacing w:after="120" w:line="276" w:lineRule="auto"/>
      </w:pPr>
      <w:r>
        <w:t>**Bandes de Bollinger** : Le prix se situe à 3 640 FCFA, dans la partie médiane-haute de l'enveloppe délimitée par les bornes de 3 394 à 3 769 FCFA. La largeur des bandes reflète une volatilité modérée. La décision "Neutre" est appropriée car le cours n'est ni en zone de surachat (proche de la borne supérieure) ni en zone de survente (proche de la borne inférieure), laissant place à une évolution directionnelle.</w:t>
      </w:r>
    </w:p>
    <w:p>
      <w:pPr>
        <w:spacing w:after="120" w:line="276" w:lineRule="auto"/>
      </w:pPr>
      <w:r>
        <w:t>**MACD** : La valeur du MACD (-48,15) est supérieure à sa ligne de signal (-78,77), avec un écart positif de 30,6 points. Cette configuration haussière suggère un momentum positif en cours de formation, malgré des valeurs négatives. La décision "Achat" reflète le croisement haussier récent, indiquant une possible inversion de tendance à court terme.</w:t>
      </w:r>
    </w:p>
    <w:p>
      <w:pPr>
        <w:spacing w:after="120" w:line="276" w:lineRule="auto"/>
      </w:pPr>
      <w:r>
        <w:t>**RSI** : À 59,59, le RSI se situe dans la zone neutre (30-70), sans signal extrême. Cette valeur indique un équilibre relatif entre pressions acheteuses et vendeuses, avec un léger biais haussier. La décision "Neutre" est cohérente avec cette lecture, le titre disposant d'une marge de progression avant d'atteindre la zone de surachat.</w:t>
      </w:r>
    </w:p>
    <w:p>
      <w:pPr>
        <w:spacing w:after="120" w:line="276" w:lineRule="auto"/>
      </w:pPr>
      <w:r>
        <w:t>**Stochastique** : Le %K (71,74) est inférieur au %D (90,58), formant une configuration baissière potentielle. Le %D proche de 90 indique que le titre est entré en zone de surachat sur cet indicateur, suggérant un risque de correction technique à court terme. La décision "Neutre" tempère ce signal, mais la prudence est de mise.</w:t>
      </w:r>
    </w:p>
    <w:p>
      <w:pPr>
        <w:spacing w:after="120" w:line="276" w:lineRule="auto"/>
      </w:pPr>
      <w:r>
        <w:t>**Conclusion technique** : Les signaux sont mitigés avec une divergence entre le MACD (haussier) et les moyennes mobiles (baissières). Le RSI neutre et les bandes de Bollinger sans signal directionnel fort indiquent une phase de consolidation. La configuration stochastique en surachat suggère un possible repli technique avant une reprise. Globalement, la tendance reste incertaine à court terme.</w:t>
      </w:r>
    </w:p>
    <w:p>
      <w:pPr>
        <w:spacing w:after="120" w:line="276" w:lineRule="auto"/>
      </w:pPr>
      <w:r>
        <w:t>---</w:t>
      </w:r>
    </w:p>
    <w:p>
      <w:pPr>
        <w:spacing w:after="120" w:line="276" w:lineRule="auto"/>
      </w:pPr>
      <w:r>
        <w:t>### PARTIE 3 : ANALYSE FONDAMENTALE (SECTION CRITIQUE)</w:t>
      </w:r>
    </w:p>
    <w:p>
      <w:pPr>
        <w:spacing w:after="120" w:line="276" w:lineRule="auto"/>
      </w:pPr>
      <w:r>
        <w:t>En 2025, CABC a réalisé un chiffre d'affaires de 21,263 milliards FCFA, en croissance de +11,2% par rapport à 2024 (19,125 milliards FCFA), avec un résultat net de 1,439 milliard FCFA, confirmant le retour à la profitabilité après les pertes de 2023-2024. Le ROE s'établit à 15,40%, un niveau excellent (&gt;15%), et le ROA à 6,10%. La marge nette atteint 6,77%, tandis que la marge opérationnelle s'élève à 9,82%. La structure financière reste saine avec une autonomie financière de 39,58% et une capacité de remboursement de seulement 0,26 an. Cependant, le BFR de 7,186 milliards FCFA et les délais clients élevés (144,69 jours) constituent des points de vigilance. Les rapports trimestriels 2025 confirment cette dynamique : le S1 2025 affichait un résultat net de 851,5 millions FCFA (+55,3%), et les 9 mois cumulés atteignaient 1 329,5 millions FCFA (+26,0%). Le rapport T1 2026 (publié en 2026) montre une baisse temporaire de -26,5% du CA due à une maintenance planifiée, avec une perte de 222 millions FCFA, mais la direction anticipe une normalisation dès le T2 2026. Les rapports MISTRAL divergent sur l'interprétation des données 2025, l'un mentionnant une perte (probablement des données provisoires erronées), l'autre confirmant le bénéfice de 1,439 milliard FCFA, ce dernier étant cohérent avec les données structurées officielles.</w:t>
      </w:r>
    </w:p>
    <w:p>
      <w:pPr>
        <w:spacing w:after="120" w:line="276" w:lineRule="auto"/>
      </w:pPr>
      <w:r>
        <w:t>---</w:t>
      </w:r>
    </w:p>
    <w:p>
      <w:pPr>
        <w:spacing w:after="120" w:line="276" w:lineRule="auto"/>
      </w:pPr>
      <w:r>
        <w:t>### PARTIE 4 : CONCLUSION D'INVESTISSEMENT</w:t>
      </w:r>
    </w:p>
    <w:p>
      <w:pPr>
        <w:spacing w:after="120" w:line="276" w:lineRule="auto"/>
      </w:pPr>
      <w:r>
        <w:t>La valorisation actuelle (PER 15,0x, P/B 2,31x) intègre des attentes de croissance qui semblent justifiées par la dynamique commerciale positive et l'amélioration de la rentabilité. Le comportement du cours sur 100 jours montre une tendance haussière (+10,98%) mais avec une volatilité élevée (55,7%) et une asymétrie positive qui suggère un potentiel de hausse. Les signaux techniques sont mitigés, avec un MACD haussier contre des moyennes mobiles baissières, indiquant une phase de transition. Les fondamentaux sont solides avec un ROE de 15,4%, une croissance du CA de +11,2% en 2025, et des perspectives de normalisation après le T1 2026 difficile. Les prédictions IA (3 807 à 4 623 FCFA sur 10 jours) confirment une trajectoire haussière, en cohérence avec les fondamentaux. La convergence entre la valorisation raisonnable, la dynamique fondamentale positive et les prédictions IA haussières conduit à une recommandation **ACHAT**, avec un niveau de confiance **Moyen** et un risque global **Élevé** (volatilité du cours et des matières premières). L'horizon d'investissement optimal serait le **moyen terme (3-12 mois)**, permettant d'absorber la volatilité à court terme tout en bénéficiant de la croissance attendue.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1,407 titres</w:t>
            </w:r>
          </w:p>
        </w:tc>
        <w:tc>
          <w:tcPr>
            <w:tcW w:type="dxa" w:w="2268"/>
            <w:shd w:fill="FFF2CC" w:val="clear"/>
          </w:tcPr>
          <w:p>
            <w:r>
              <w:rPr>
                <w:b/>
                <w:color w:val="503200"/>
                <w:sz w:val="16"/>
              </w:rPr>
              <w:t xml:space="preserve">Cours actuel : </w:t>
            </w:r>
            <w:r>
              <w:rPr>
                <w:color w:val="000000"/>
                <w:sz w:val="17"/>
              </w:rPr>
              <w:t>30,000 FCFA</w:t>
            </w:r>
          </w:p>
          <w:p>
            <w:r>
              <w:rPr>
                <w:b/>
                <w:color w:val="503200"/>
                <w:sz w:val="16"/>
              </w:rPr>
              <w:t xml:space="preserve">Var. 100 jours : </w:t>
            </w:r>
            <w:r>
              <w:rPr>
                <w:b/>
                <w:color w:val="007800"/>
                <w:sz w:val="17"/>
              </w:rPr>
              <w:t>+117.55%</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13,790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23.22% (Élevée) — μ=22,050 FCFA, σ=5,119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β=0.7957 (Défensif) — Cov=0.000028, Var(idx)=0.000035, ρ=0.176,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26,712</w:t>
            </w:r>
          </w:p>
        </w:tc>
        <w:tc>
          <w:tcPr>
            <w:tcW w:type="dxa" w:w="1440"/>
            <w:shd w:fill="FFDCE0" w:val="clear"/>
          </w:tcPr>
          <w:p>
            <w:r>
              <w:rPr>
                <w:b/>
                <w:sz w:val="17"/>
              </w:rPr>
              <w:t>27,750</w:t>
            </w:r>
          </w:p>
        </w:tc>
        <w:tc>
          <w:tcPr>
            <w:tcW w:type="dxa" w:w="1440"/>
            <w:shd w:fill="FFDCE0" w:val="clear"/>
          </w:tcPr>
          <w:p>
            <w:r>
              <w:rPr>
                <w:sz w:val="17"/>
              </w:rPr>
              <w:t>28,788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24,311</w:t>
            </w:r>
          </w:p>
        </w:tc>
        <w:tc>
          <w:tcPr>
            <w:tcW w:type="dxa" w:w="1440"/>
            <w:shd w:fill="FFDCE0" w:val="clear"/>
          </w:tcPr>
          <w:p>
            <w:r>
              <w:rPr>
                <w:b/>
                <w:sz w:val="17"/>
              </w:rPr>
              <w:t>25,669</w:t>
            </w:r>
          </w:p>
        </w:tc>
        <w:tc>
          <w:tcPr>
            <w:tcW w:type="dxa" w:w="1440"/>
            <w:shd w:fill="FFDCE0" w:val="clear"/>
          </w:tcPr>
          <w:p>
            <w:r>
              <w:rPr>
                <w:sz w:val="17"/>
              </w:rPr>
              <w:t>27,027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22,205</w:t>
            </w:r>
          </w:p>
        </w:tc>
        <w:tc>
          <w:tcPr>
            <w:tcW w:type="dxa" w:w="1440"/>
            <w:shd w:fill="FFDCE0" w:val="clear"/>
          </w:tcPr>
          <w:p>
            <w:r>
              <w:rPr>
                <w:b/>
                <w:sz w:val="17"/>
              </w:rPr>
              <w:t>23,744</w:t>
            </w:r>
          </w:p>
        </w:tc>
        <w:tc>
          <w:tcPr>
            <w:tcW w:type="dxa" w:w="1440"/>
            <w:shd w:fill="FFDCE0" w:val="clear"/>
          </w:tcPr>
          <w:p>
            <w:r>
              <w:rPr>
                <w:sz w:val="17"/>
              </w:rPr>
              <w:t>25,282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20,319</w:t>
            </w:r>
          </w:p>
        </w:tc>
        <w:tc>
          <w:tcPr>
            <w:tcW w:type="dxa" w:w="1440"/>
            <w:shd w:fill="FFDCE0" w:val="clear"/>
          </w:tcPr>
          <w:p>
            <w:r>
              <w:rPr>
                <w:b/>
                <w:sz w:val="17"/>
              </w:rPr>
              <w:t>21,963</w:t>
            </w:r>
          </w:p>
        </w:tc>
        <w:tc>
          <w:tcPr>
            <w:tcW w:type="dxa" w:w="1440"/>
            <w:shd w:fill="FFDCE0" w:val="clear"/>
          </w:tcPr>
          <w:p>
            <w:r>
              <w:rPr>
                <w:sz w:val="17"/>
              </w:rPr>
              <w:t>23,606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18,616</w:t>
            </w:r>
          </w:p>
        </w:tc>
        <w:tc>
          <w:tcPr>
            <w:tcW w:type="dxa" w:w="1440"/>
            <w:shd w:fill="FFDCE0" w:val="clear"/>
          </w:tcPr>
          <w:p>
            <w:r>
              <w:rPr>
                <w:b/>
                <w:sz w:val="17"/>
              </w:rPr>
              <w:t>20,316</w:t>
            </w:r>
          </w:p>
        </w:tc>
        <w:tc>
          <w:tcPr>
            <w:tcW w:type="dxa" w:w="1440"/>
            <w:shd w:fill="FFDCE0" w:val="clear"/>
          </w:tcPr>
          <w:p>
            <w:r>
              <w:rPr>
                <w:sz w:val="17"/>
              </w:rPr>
              <w:t>22,015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17,401</w:t>
            </w:r>
          </w:p>
        </w:tc>
        <w:tc>
          <w:tcPr>
            <w:tcW w:type="dxa" w:w="1440"/>
            <w:shd w:fill="FFDCE0" w:val="clear"/>
          </w:tcPr>
          <w:p>
            <w:r>
              <w:rPr>
                <w:b/>
                <w:sz w:val="17"/>
              </w:rPr>
              <w:t>19,157</w:t>
            </w:r>
          </w:p>
        </w:tc>
        <w:tc>
          <w:tcPr>
            <w:tcW w:type="dxa" w:w="1440"/>
            <w:shd w:fill="FFDCE0" w:val="clear"/>
          </w:tcPr>
          <w:p>
            <w:r>
              <w:rPr>
                <w:sz w:val="17"/>
              </w:rPr>
              <w:t>20,912</w:t>
            </w:r>
          </w:p>
        </w:tc>
        <w:tc>
          <w:tcPr>
            <w:tcW w:type="dxa" w:w="1440"/>
            <w:shd w:fill="FFDCE0" w:val="clear"/>
          </w:tcPr>
          <w:p>
            <w:r>
              <w:rPr>
                <w:b/>
                <w:color w:val="C00000"/>
                <w:sz w:val="17"/>
              </w:rPr>
              <w:t>-36.1%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16,815</w:t>
            </w:r>
          </w:p>
        </w:tc>
        <w:tc>
          <w:tcPr>
            <w:tcW w:type="dxa" w:w="1440"/>
            <w:shd w:fill="FFDCE0" w:val="clear"/>
          </w:tcPr>
          <w:p>
            <w:r>
              <w:rPr>
                <w:b/>
                <w:sz w:val="17"/>
              </w:rPr>
              <w:t>18,663</w:t>
            </w:r>
          </w:p>
        </w:tc>
        <w:tc>
          <w:tcPr>
            <w:tcW w:type="dxa" w:w="1440"/>
            <w:shd w:fill="FFDCE0" w:val="clear"/>
          </w:tcPr>
          <w:p>
            <w:r>
              <w:rPr>
                <w:sz w:val="17"/>
              </w:rPr>
              <w:t>20,510</w:t>
            </w:r>
          </w:p>
        </w:tc>
        <w:tc>
          <w:tcPr>
            <w:tcW w:type="dxa" w:w="1440"/>
            <w:shd w:fill="FFDCE0" w:val="clear"/>
          </w:tcPr>
          <w:p>
            <w:r>
              <w:rPr>
                <w:b/>
                <w:color w:val="C00000"/>
                <w:sz w:val="17"/>
              </w:rPr>
              <w:t>-37.8%</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16,295</w:t>
            </w:r>
          </w:p>
        </w:tc>
        <w:tc>
          <w:tcPr>
            <w:tcW w:type="dxa" w:w="1440"/>
            <w:shd w:fill="FFDCE0" w:val="clear"/>
          </w:tcPr>
          <w:p>
            <w:r>
              <w:rPr>
                <w:b/>
                <w:sz w:val="17"/>
              </w:rPr>
              <w:t>18,224</w:t>
            </w:r>
          </w:p>
        </w:tc>
        <w:tc>
          <w:tcPr>
            <w:tcW w:type="dxa" w:w="1440"/>
            <w:shd w:fill="FFDCE0" w:val="clear"/>
          </w:tcPr>
          <w:p>
            <w:r>
              <w:rPr>
                <w:sz w:val="17"/>
              </w:rPr>
              <w:t>20,152</w:t>
            </w:r>
          </w:p>
        </w:tc>
        <w:tc>
          <w:tcPr>
            <w:tcW w:type="dxa" w:w="1440"/>
            <w:shd w:fill="FFDCE0" w:val="clear"/>
          </w:tcPr>
          <w:p>
            <w:r>
              <w:rPr>
                <w:b/>
                <w:color w:val="C00000"/>
                <w:sz w:val="17"/>
              </w:rPr>
              <w:t>-39.3%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15,827</w:t>
            </w:r>
          </w:p>
        </w:tc>
        <w:tc>
          <w:tcPr>
            <w:tcW w:type="dxa" w:w="1440"/>
            <w:shd w:fill="FFDCE0" w:val="clear"/>
          </w:tcPr>
          <w:p>
            <w:r>
              <w:rPr>
                <w:b/>
                <w:sz w:val="17"/>
              </w:rPr>
              <w:t>17,828</w:t>
            </w:r>
          </w:p>
        </w:tc>
        <w:tc>
          <w:tcPr>
            <w:tcW w:type="dxa" w:w="1440"/>
            <w:shd w:fill="FFDCE0" w:val="clear"/>
          </w:tcPr>
          <w:p>
            <w:r>
              <w:rPr>
                <w:sz w:val="17"/>
              </w:rPr>
              <w:t>19,829</w:t>
            </w:r>
          </w:p>
        </w:tc>
        <w:tc>
          <w:tcPr>
            <w:tcW w:type="dxa" w:w="1440"/>
            <w:shd w:fill="FFDCE0" w:val="clear"/>
          </w:tcPr>
          <w:p>
            <w:r>
              <w:rPr>
                <w:b/>
                <w:color w:val="C00000"/>
                <w:sz w:val="17"/>
              </w:rPr>
              <w:t>-40.6%</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15,402</w:t>
            </w:r>
          </w:p>
        </w:tc>
        <w:tc>
          <w:tcPr>
            <w:tcW w:type="dxa" w:w="1440"/>
            <w:shd w:fill="FFDCE0" w:val="clear"/>
          </w:tcPr>
          <w:p>
            <w:r>
              <w:rPr>
                <w:b/>
                <w:sz w:val="17"/>
              </w:rPr>
              <w:t>17,468</w:t>
            </w:r>
          </w:p>
        </w:tc>
        <w:tc>
          <w:tcPr>
            <w:tcW w:type="dxa" w:w="1440"/>
            <w:shd w:fill="FFDCE0" w:val="clear"/>
          </w:tcPr>
          <w:p>
            <w:r>
              <w:rPr>
                <w:sz w:val="17"/>
              </w:rPr>
              <w:t>19,535</w:t>
            </w:r>
          </w:p>
        </w:tc>
        <w:tc>
          <w:tcPr>
            <w:tcW w:type="dxa" w:w="1440"/>
            <w:shd w:fill="FFDCE0" w:val="clear"/>
          </w:tcPr>
          <w:p>
            <w:r>
              <w:rPr>
                <w:b/>
                <w:color w:val="C00000"/>
                <w:sz w:val="17"/>
              </w:rPr>
              <w:t>-41.8%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 21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960 milliards FCFA, positionnant le titre comme l'une des plus fortes capitalisations de la BRVM, reflétant la confiance des investisseurs dans le secteur bancaire régional. Le BPA de 2 047 FCFA indique que chaque action génère un bénéfice substantiel, justifiant un PER de 14,7x. Ce ratio, bien que supérieur à la moyenne historique de la BRVM (8-12x), reste modéré pour une banque de cette envergure, traduisant une prime de croissance. L'EV/EBITDA de 10,9x, situé dans la fourchette haute (10-15x), valorise correctement la capacité opérationnelle de la banque. Le ratio P/B n'est pas disponible, mais la solidité des capitaux propres suggère une valorisation cohérente avec la valeur comptable.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performance spectaculaire de +117,55%, avec une accélération notable lors de la dernière séance (+3,45%), portant le cours à 30 000 FCFA. Le titre a évolué dans une fourchette très large, entre un plus bas de 13 790 FCFA et un plus haut de 30 005 FCFA, illustrant un mouvement haussier puissant. La moyenne (22 050 FCFA) et la médiane (21 792 FCFA) sont très proches, confirmant une distribution symétrique (skewness de 0,017) et l'absence de valeurs extrêmes dominantes. L'écart-type de 5 145 FCFA (CV = 23,3%) indique une dispersion modérée, tandis que le kurtosis négatif (-1,325) signale une distribution aplatie, réduisant le risque de variations brutales. La volatilité annualisée de 42,3% classe le titre comme très volatil, un niveau élevé qui reflète l'enthousiasme du marché mais aussi un risque accru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(30 000 FCFA) évolue nettement au-dessus de la MM20 (28 313 FCFA) et de la MM50 (26 307 FCFA), confirmant une tendance haussière solide. L'écart positif entre le prix et les moyennes indique une dynamique positive, justifiant la décision d'achat, bien que l'éloignement puisse signaler une surenchère temporaire.</w:t>
      </w:r>
    </w:p>
    <w:p>
      <w:pPr>
        <w:spacing w:after="120" w:line="276" w:lineRule="auto"/>
      </w:pPr>
      <w:r>
        <w:t>**Bandes de Bollinger :** Le prix se situe au-dessus de la borne supérieure (29 727 FCFA), ce qui est inhabituel et signale une condition de surachat extrême. Cette sortie de canal suggère une pression acheteuse intense, mais expose le titre à un risque de correction technique, justifiant la décision de vente.</w:t>
      </w:r>
    </w:p>
    <w:p>
      <w:pPr>
        <w:spacing w:after="120" w:line="276" w:lineRule="auto"/>
      </w:pPr>
      <w:r>
        <w:t>**MACD :** La valeur du MACD (727,98) est inférieure à son signal (755,52), indiquant un ralentissement du momentum haussier. Cette divergence négative, bien que légère, suggère une perte de vigueur, justifiant la décision de vente.</w:t>
      </w:r>
    </w:p>
    <w:p>
      <w:pPr>
        <w:spacing w:after="120" w:line="276" w:lineRule="auto"/>
      </w:pPr>
      <w:r>
        <w:t>**RSI :** Le RSI à 76,67 dépasse largement le seuil de surachat (70), confirmant une pression acheteuse excessive. Historiquement, un tel niveau précède souvent un repli, justifiant la décision de vente.</w:t>
      </w:r>
    </w:p>
    <w:p>
      <w:pPr>
        <w:spacing w:after="120" w:line="276" w:lineRule="auto"/>
      </w:pPr>
      <w:r>
        <w:t>**Stochastique :** Le %K (100) et le %D (92,31) sont en territoire de surachat extrême, avec un %K au maximum. Cette configuration indique un épuisement potentiel de la tendance haussière, justifiant la décision de vente.</w:t>
      </w:r>
    </w:p>
    <w:p>
      <w:pPr>
        <w:spacing w:after="120" w:line="276" w:lineRule="auto"/>
      </w:pPr>
      <w:r>
        <w:t>**Conclusion technique :** Les indicateurs sont partagés : les moyennes mobiles soutiennent une tendance haussière, mais les oscillateurs (Bollinger, RSI, Stochastique, MACD) signalent tous un surachat. Cette divergence suggère une consolidation ou une correction à court terme, malgré une tendance de fond positive.</w:t>
      </w:r>
    </w:p>
    <w:p>
      <w:pPr>
        <w:spacing w:after="120" w:line="276" w:lineRule="auto"/>
      </w:pPr>
      <w:r>
        <w:t>---</w:t>
      </w:r>
    </w:p>
    <w:p>
      <w:pPr>
        <w:spacing w:after="120" w:line="276" w:lineRule="auto"/>
      </w:pPr>
      <w:r>
        <w:t>### PARTIE 3 : ANALYSE FONDAMENTALE (SECTION CRITIQUE)</w:t>
      </w:r>
    </w:p>
    <w:p>
      <w:pPr>
        <w:spacing w:after="120" w:line="276" w:lineRule="auto"/>
      </w:pPr>
      <w:r>
        <w:t>En 2025, CBIBF a affiché des résultats solides avec un PNB de 138,986 milliards FCFA, en hausse de 6,1% par rapport à 2024, et un résultat net de 65,495 milliards FCFA, en progression de 36,6%. La marge nette s'établit à 47,12%, et le ROA à 2,18%, démontrant une excellente rentabilité des actifs. Le coefficient d'exploitation de 36,39% est remarquablement bas, indiquant une gestion très efficace des charges. Le coût du risque, bien que non détaillé, est en amélioration de 59,3% selon le rapport annuel 2025, traduisant une meilleure qualité du portefeuille de crédits. Les dépôts clientèle (2 015,284 milliards FCFA) dépassent largement les créances (1 326,977 milliards FCFA), assurant une liquidité abondante. Le rapport du T1 2026 (publié en 2026) confirme cette dynamique avec un PNB de 36,8 milliards FCFA (+28,5%) et un résultat net de 21,5 milliards FCFA (+22,2%), suggérant une croissance annuelle estimée de 20-25% pour 2026. Le rapport T3 2025 (PNB de 101,3 milliards FCFA, +9,65%) et le rapport S1 2025 (PNB de 65,1 milliards FCFA, +8,75%) montrent une progression régulière tout au long de l'année. La banque, notée AA/AI avec perspective stable, bénéficie d'une gouvernance renforcée et d'une stratégie digitale ambitieuse.</w:t>
      </w:r>
    </w:p>
    <w:p>
      <w:pPr>
        <w:spacing w:after="120" w:line="276" w:lineRule="auto"/>
      </w:pPr>
      <w:r>
        <w:t>---</w:t>
      </w:r>
    </w:p>
    <w:p>
      <w:pPr>
        <w:spacing w:after="120" w:line="276" w:lineRule="auto"/>
      </w:pPr>
      <w:r>
        <w:t>### PARTIE 4 : CONCLUSION D'INVESTISSEMENT</w:t>
      </w:r>
    </w:p>
    <w:p>
      <w:pPr>
        <w:spacing w:after="120" w:line="276" w:lineRule="auto"/>
      </w:pPr>
      <w:r>
        <w:t>La valorisation de CBIBF (PER 14,7x, EV/EBITDA 10,9x) est légèrement supérieure aux moyennes BRVM, mais justifiée par une croissance robuste et une rentabilité élevée. Le comportement du cours, avec une hausse de +117,55% en 100 jours, est impressionnant mais accompagné d'une volatilité élevée (42,3%) et de statistiques (kurtosis platykurtique) suggérant un risque de stabilisation. Les signaux techniques sont mitigés : les moyennes mobiles restent haussières, mais les oscillateurs (RSI 76,67, Stochastique 100, sortie des bandes de Bollinger) indiquent un surachat extrême, préfigurant une correction. Les fondamentaux sont excellents, avec une croissance du résultat net de 36,6% en 2025 et des estimations de +22% pour 2026, soutenues par une gestion efficace et une collecte de dépôts dynamique. Les prédictions IA (J+1 à J+10) prévoient une baisse progressive de 27 750 à 20 316 FCFA, confirmant les signaux techniques de surachat. En synthèse, la convergence entre les signaux techniques et les prédictions IA suggère une correction à court terme, mais les fondamentaux solides plaident pour une appréciation à moyen terme. **Recommandation : CONSERVER** avec un niveau de confiance **Moyen** et un risque global **Élevé** en raison de la volatilité. Horizon d'investissement optimal : **Moyen terme (3-12 mois)** pour capitaliser sur la croissance après une éventuelle consolidation.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3,570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+6.75%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6.22% (Moyenne) — μ=1,603 FCFA, σ=100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β=1.1312 (Neutre (suit le marché)) — Cov=0.000039, Var(idx)=0.000035, ρ=0.217,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1,578</w:t>
            </w:r>
          </w:p>
        </w:tc>
        <w:tc>
          <w:tcPr>
            <w:tcW w:type="dxa" w:w="1440"/>
            <w:shd w:fill="FFDCE0" w:val="clear"/>
          </w:tcPr>
          <w:p>
            <w:r>
              <w:rPr>
                <w:b/>
                <w:sz w:val="17"/>
              </w:rPr>
              <w:t>1,652</w:t>
            </w:r>
          </w:p>
        </w:tc>
        <w:tc>
          <w:tcPr>
            <w:tcW w:type="dxa" w:w="1440"/>
            <w:shd w:fill="FFDCE0" w:val="clear"/>
          </w:tcPr>
          <w:p>
            <w:r>
              <w:rPr>
                <w:sz w:val="17"/>
              </w:rPr>
              <w:t>1,726</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1,533</w:t>
            </w:r>
          </w:p>
        </w:tc>
        <w:tc>
          <w:tcPr>
            <w:tcW w:type="dxa" w:w="1440"/>
            <w:shd w:fill="FFDCE0" w:val="clear"/>
          </w:tcPr>
          <w:p>
            <w:r>
              <w:rPr>
                <w:b/>
                <w:sz w:val="17"/>
              </w:rPr>
              <w:t>1,636</w:t>
            </w:r>
          </w:p>
        </w:tc>
        <w:tc>
          <w:tcPr>
            <w:tcW w:type="dxa" w:w="1440"/>
            <w:shd w:fill="FFDCE0" w:val="clear"/>
          </w:tcPr>
          <w:p>
            <w:r>
              <w:rPr>
                <w:sz w:val="17"/>
              </w:rPr>
              <w:t>1,740</w:t>
            </w:r>
          </w:p>
        </w:tc>
        <w:tc>
          <w:tcPr>
            <w:tcW w:type="dxa" w:w="1440"/>
            <w:shd w:fill="FFDCE0" w:val="clear"/>
          </w:tcPr>
          <w:p>
            <w:r>
              <w:rPr>
                <w:b/>
                <w:color w:val="C00000"/>
                <w:sz w:val="17"/>
              </w:rPr>
              <w:t>-6.0%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1,488</w:t>
            </w:r>
          </w:p>
        </w:tc>
        <w:tc>
          <w:tcPr>
            <w:tcW w:type="dxa" w:w="1440"/>
            <w:shd w:fill="FFDCE0" w:val="clear"/>
          </w:tcPr>
          <w:p>
            <w:r>
              <w:rPr>
                <w:b/>
                <w:sz w:val="17"/>
              </w:rPr>
              <w:t>1,613</w:t>
            </w:r>
          </w:p>
        </w:tc>
        <w:tc>
          <w:tcPr>
            <w:tcW w:type="dxa" w:w="1440"/>
            <w:shd w:fill="FFDCE0" w:val="clear"/>
          </w:tcPr>
          <w:p>
            <w:r>
              <w:rPr>
                <w:sz w:val="17"/>
              </w:rPr>
              <w:t>1,739</w:t>
            </w:r>
          </w:p>
        </w:tc>
        <w:tc>
          <w:tcPr>
            <w:tcW w:type="dxa" w:w="1440"/>
            <w:shd w:fill="FFDCE0" w:val="clear"/>
          </w:tcPr>
          <w:p>
            <w:r>
              <w:rPr>
                <w:b/>
                <w:color w:val="C00000"/>
                <w:sz w:val="17"/>
              </w:rPr>
              <w:t>-7.3%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1,447</w:t>
            </w:r>
          </w:p>
        </w:tc>
        <w:tc>
          <w:tcPr>
            <w:tcW w:type="dxa" w:w="1440"/>
            <w:shd w:fill="FFDCE0" w:val="clear"/>
          </w:tcPr>
          <w:p>
            <w:r>
              <w:rPr>
                <w:b/>
                <w:sz w:val="17"/>
              </w:rPr>
              <w:t>1,590</w:t>
            </w:r>
          </w:p>
        </w:tc>
        <w:tc>
          <w:tcPr>
            <w:tcW w:type="dxa" w:w="1440"/>
            <w:shd w:fill="FFDCE0" w:val="clear"/>
          </w:tcPr>
          <w:p>
            <w:r>
              <w:rPr>
                <w:sz w:val="17"/>
              </w:rPr>
              <w:t>1,733</w:t>
            </w:r>
          </w:p>
        </w:tc>
        <w:tc>
          <w:tcPr>
            <w:tcW w:type="dxa" w:w="1440"/>
            <w:shd w:fill="FFDCE0" w:val="clear"/>
          </w:tcPr>
          <w:p>
            <w:r>
              <w:rPr>
                <w:b/>
                <w:color w:val="C00000"/>
                <w:sz w:val="17"/>
              </w:rPr>
              <w:t>-8.6%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1,410</w:t>
            </w:r>
          </w:p>
        </w:tc>
        <w:tc>
          <w:tcPr>
            <w:tcW w:type="dxa" w:w="1440"/>
            <w:shd w:fill="FFDCE0" w:val="clear"/>
          </w:tcPr>
          <w:p>
            <w:r>
              <w:rPr>
                <w:b/>
                <w:sz w:val="17"/>
              </w:rPr>
              <w:t>1,567</w:t>
            </w:r>
          </w:p>
        </w:tc>
        <w:tc>
          <w:tcPr>
            <w:tcW w:type="dxa" w:w="1440"/>
            <w:shd w:fill="FFDCE0" w:val="clear"/>
          </w:tcPr>
          <w:p>
            <w:r>
              <w:rPr>
                <w:sz w:val="17"/>
              </w:rPr>
              <w:t>1,724</w:t>
            </w:r>
          </w:p>
        </w:tc>
        <w:tc>
          <w:tcPr>
            <w:tcW w:type="dxa" w:w="1440"/>
            <w:shd w:fill="FFDCE0" w:val="clear"/>
          </w:tcPr>
          <w:p>
            <w:r>
              <w:rPr>
                <w:b/>
                <w:color w:val="C00000"/>
                <w:sz w:val="17"/>
              </w:rPr>
              <w:t>-10.0%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1,374</w:t>
            </w:r>
          </w:p>
        </w:tc>
        <w:tc>
          <w:tcPr>
            <w:tcW w:type="dxa" w:w="1440"/>
            <w:shd w:fill="FFDCE0" w:val="clear"/>
          </w:tcPr>
          <w:p>
            <w:r>
              <w:rPr>
                <w:b/>
                <w:sz w:val="17"/>
              </w:rPr>
              <w:t>1,544</w:t>
            </w:r>
          </w:p>
        </w:tc>
        <w:tc>
          <w:tcPr>
            <w:tcW w:type="dxa" w:w="1440"/>
            <w:shd w:fill="FFDCE0" w:val="clear"/>
          </w:tcPr>
          <w:p>
            <w:r>
              <w:rPr>
                <w:sz w:val="17"/>
              </w:rPr>
              <w:t>1,714</w:t>
            </w:r>
          </w:p>
        </w:tc>
        <w:tc>
          <w:tcPr>
            <w:tcW w:type="dxa" w:w="1440"/>
            <w:shd w:fill="FFDCE0" w:val="clear"/>
          </w:tcPr>
          <w:p>
            <w:r>
              <w:rPr>
                <w:b/>
                <w:color w:val="C00000"/>
                <w:sz w:val="17"/>
              </w:rPr>
              <w:t>-11.3%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1,341</w:t>
            </w:r>
          </w:p>
        </w:tc>
        <w:tc>
          <w:tcPr>
            <w:tcW w:type="dxa" w:w="1440"/>
            <w:shd w:fill="FFDCE0" w:val="clear"/>
          </w:tcPr>
          <w:p>
            <w:r>
              <w:rPr>
                <w:b/>
                <w:sz w:val="17"/>
              </w:rPr>
              <w:t>1,522</w:t>
            </w:r>
          </w:p>
        </w:tc>
        <w:tc>
          <w:tcPr>
            <w:tcW w:type="dxa" w:w="1440"/>
            <w:shd w:fill="FFDCE0" w:val="clear"/>
          </w:tcPr>
          <w:p>
            <w:r>
              <w:rPr>
                <w:sz w:val="17"/>
              </w:rPr>
              <w:t>1,703</w:t>
            </w:r>
          </w:p>
        </w:tc>
        <w:tc>
          <w:tcPr>
            <w:tcW w:type="dxa" w:w="1440"/>
            <w:shd w:fill="FFDCE0" w:val="clear"/>
          </w:tcPr>
          <w:p>
            <w:r>
              <w:rPr>
                <w:b/>
                <w:color w:val="C00000"/>
                <w:sz w:val="17"/>
              </w:rPr>
              <w:t>-12.5%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1,310</w:t>
            </w:r>
          </w:p>
        </w:tc>
        <w:tc>
          <w:tcPr>
            <w:tcW w:type="dxa" w:w="1440"/>
            <w:shd w:fill="FFDCE0" w:val="clear"/>
          </w:tcPr>
          <w:p>
            <w:r>
              <w:rPr>
                <w:b/>
                <w:sz w:val="17"/>
              </w:rPr>
              <w:t>1,500</w:t>
            </w:r>
          </w:p>
        </w:tc>
        <w:tc>
          <w:tcPr>
            <w:tcW w:type="dxa" w:w="1440"/>
            <w:shd w:fill="FFDCE0" w:val="clear"/>
          </w:tcPr>
          <w:p>
            <w:r>
              <w:rPr>
                <w:sz w:val="17"/>
              </w:rPr>
              <w:t>1,691</w:t>
            </w:r>
          </w:p>
        </w:tc>
        <w:tc>
          <w:tcPr>
            <w:tcW w:type="dxa" w:w="1440"/>
            <w:shd w:fill="FFDCE0" w:val="clear"/>
          </w:tcPr>
          <w:p>
            <w:r>
              <w:rPr>
                <w:b/>
                <w:color w:val="C00000"/>
                <w:sz w:val="17"/>
              </w:rPr>
              <w:t>-13.8%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1,280</w:t>
            </w:r>
          </w:p>
        </w:tc>
        <w:tc>
          <w:tcPr>
            <w:tcW w:type="dxa" w:w="1440"/>
            <w:shd w:fill="FFDCE0" w:val="clear"/>
          </w:tcPr>
          <w:p>
            <w:r>
              <w:rPr>
                <w:b/>
                <w:sz w:val="17"/>
              </w:rPr>
              <w:t>1,479</w:t>
            </w:r>
          </w:p>
        </w:tc>
        <w:tc>
          <w:tcPr>
            <w:tcW w:type="dxa" w:w="1440"/>
            <w:shd w:fill="FFDCE0" w:val="clear"/>
          </w:tcPr>
          <w:p>
            <w:r>
              <w:rPr>
                <w:sz w:val="17"/>
              </w:rPr>
              <w:t>1,678</w:t>
            </w:r>
          </w:p>
        </w:tc>
        <w:tc>
          <w:tcPr>
            <w:tcW w:type="dxa" w:w="1440"/>
            <w:shd w:fill="FFDCE0" w:val="clear"/>
          </w:tcPr>
          <w:p>
            <w:r>
              <w:rPr>
                <w:b/>
                <w:color w:val="C00000"/>
                <w:sz w:val="17"/>
              </w:rPr>
              <w:t>-15.0%</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1,251</w:t>
            </w:r>
          </w:p>
        </w:tc>
        <w:tc>
          <w:tcPr>
            <w:tcW w:type="dxa" w:w="1440"/>
            <w:shd w:fill="FFDCE0" w:val="clear"/>
          </w:tcPr>
          <w:p>
            <w:r>
              <w:rPr>
                <w:b/>
                <w:sz w:val="17"/>
              </w:rPr>
              <w:t>1,458</w:t>
            </w:r>
          </w:p>
        </w:tc>
        <w:tc>
          <w:tcPr>
            <w:tcW w:type="dxa" w:w="1440"/>
            <w:shd w:fill="FFDCE0" w:val="clear"/>
          </w:tcPr>
          <w:p>
            <w:r>
              <w:rPr>
                <w:sz w:val="17"/>
              </w:rPr>
              <w:t>1,665</w:t>
            </w:r>
          </w:p>
        </w:tc>
        <w:tc>
          <w:tcPr>
            <w:tcW w:type="dxa" w:w="1440"/>
            <w:shd w:fill="FFDCE0" w:val="clear"/>
          </w:tcPr>
          <w:p>
            <w:r>
              <w:rPr>
                <w:b/>
                <w:color w:val="C00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CFAC s'établit à 315,59 milliards FCFA, un niveau qui la positionne parmi les valeurs moyennes à grandes capitalisations de la BRVM, reflétant sa place de leader sur le marché automobile ivoirien. Avec un BPA de 26 FCFA, le PER de 67,2x est extrêmement élevé, très au-delà de la moyenne historique de la BRVM (8-12x), indiquant que les investisseurs paient une prime considérable pour chaque franc de bénéfice. Le P/B de 16,22x confirme cette surévaluation relative, le marché valorisant l'action plus de 16 fois sa valeur comptable, ce qui traduit des attentes de croissance très ambitieuses. L'EV/EBITDA de 34,2x, également très supérieur au seuil de 15x jugé exigeant, renforce cette lecture d'une valorisation qui intègre des hypothèses de redressement et de croissance future particulièrement optimistes. Ces niveaux de valorisation imposent une prudence extrême, car toute déception sur les résultats pourrait entraîner une correction violente du cours.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CFAC affiche une progression totale de +6,75%, avec une accélération notable lors de la dernière séance (+3,57%), portant le cours à 1 740 FCFA. Le titre a évolué dans une fourchette de 500 FCFA, entre un plus bas de 1 325 FCFA et un plus haut de 1 825 FCFA, démontrant une amplitude de trading significative de près de 38%. La moyenne (1 603 FCFA) et la médiane (1 602 FCFA) étant quasi identiques, la distribution des prix est parfaitement symétrique, confirmée par un skewness de -0,375 et un kurtosis proche de zéro (0,035), indiquant une distribution mésokurtique sans pics excessifs ni queues épaisses. L'écart-type de 100 FCFA, soit un coefficient de variation de 6,3%, révèle une dispersion modérée autour de la moyenne, suggérant une certaine stabilité relative des prix sur la période. Cependant, la volatilité annualisée de 48,8% classe le titre dans la catégorie des valeurs à très forte volatilité (&gt;30%), ce qui implique des fluctuations importantes et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1 666,5 FCFA et MM50 à 1 668,1 FCFA) sont pratiquement confondues, indiquant une phase de consolidation. Le cours actuel (1 740 FCFA) se situe nettement au-dessus de ces deux moyennes, ce qui suggère un momentum haussier à court terme. Cependant, la décision de "Vente" indique que le marché pourrait considérer cette hausse comme excessive par rapport à la tendance moyenne, signalant un possible retour vers les moyennes mobiles.</w:t>
      </w:r>
    </w:p>
    <w:p>
      <w:pPr>
        <w:spacing w:after="120" w:line="276" w:lineRule="auto"/>
      </w:pPr>
      <w:r>
        <w:t>Les Bandes de Bollinger montrent un cours (1 740 FCFA) qui touche la borne supérieure (1 738,47 FCFA), une position qui indique une pression acheteuse très forte et une volatilité accrue. Cette configuration suggère que le titre est actuellement suracheté à très court terme, d'où la décision de "Vente". Historiquement, un tel contact avec la borne supérieure précède souvent une phase de consolidation ou de correction technique.</w:t>
      </w:r>
    </w:p>
    <w:p>
      <w:pPr>
        <w:spacing w:after="120" w:line="276" w:lineRule="auto"/>
      </w:pPr>
      <w:r>
        <w:t>Le MACD affiche une valeur positive (6,365) supérieure à son signal (3,616), avec un écart positif qui se creuse, indiquant un momentum haussier en renforcement. La décision "Achat" est cohérente avec cette configuration, le MACD étant un indicateur de tendance qui confirme la dynamique positive du titre. Cette divergence positive suggère que la tendance haussière pourrait se poursuivre à moyen terme.</w:t>
      </w:r>
    </w:p>
    <w:p>
      <w:pPr>
        <w:spacing w:after="120" w:line="276" w:lineRule="auto"/>
      </w:pPr>
      <w:r>
        <w:t>Le RSI à 59,036 se situe en zone neutre (entre 30 et 70), indiquant que le titre n'est ni suracheté ni survendu. Cette valeur reflète un équilibre entre les forces acheteuses et vendeuses, avec un léger biais haussier. La décision "Neutre" est appropriée, laissant penser que le titre pourrait poursuivre sa progression sans risque immédiat de retournement majeur.</w:t>
      </w:r>
    </w:p>
    <w:p>
      <w:pPr>
        <w:spacing w:after="120" w:line="276" w:lineRule="auto"/>
      </w:pPr>
      <w:r>
        <w:t>Le Stochastique avec %K à 100,0 et %D à 70,0 montre une situation extrême : %K a atteint son niveau maximal, signalant une condition de surachat sévère. Le croisement potentiel de %K sous %D pourrait déclencher un signal de vente imminent. La décision "Vente" est justifiée par cette configuration extrême qui précède généralement une correction technique.</w:t>
      </w:r>
    </w:p>
    <w:p>
      <w:pPr>
        <w:spacing w:after="120" w:line="276" w:lineRule="auto"/>
      </w:pPr>
      <w:r>
        <w:t>La conclusion technique est mitigée : les indicateurs de tendance (MACD) et de momentum (RSI) sont positifs, mais les indicateurs de volatilité (Bollinger) et de surachat (Stochastique) signalent une correction probable à court terme. La convergence des signaux de vente sur les moyennes mobiles, les bandes de Bollinger et le stochastique suggère qu'un repli technique est probable avant la poursuite éventuelle de la tendance haussière.</w:t>
      </w:r>
    </w:p>
    <w:p>
      <w:pPr>
        <w:spacing w:after="120" w:line="276" w:lineRule="auto" w:before="240"/>
      </w:pPr>
      <w:r>
        <w:rPr>
          <w:b/>
          <w:color w:val="003366"/>
          <w:sz w:val="24"/>
        </w:rPr>
        <w:t>**PARTIE 3 : ANALYSE FONDAMENTALE (SECTION CRITIQUE)**</w:t>
      </w:r>
    </w:p>
    <w:p>
      <w:pPr>
        <w:spacing w:after="120" w:line="276" w:lineRule="auto"/>
      </w:pPr>
      <w:r>
        <w:t>En 2024, CFAC a réalisé un chiffre d'affaires de 158,313 milliards FCFA, en baisse de -12,1% par rapport à 2023, avec un résultat net de 4,693 milliards FCFA, en recul de -26,7%. Le ROE s'établit à 24,13%, un niveau excellent (&gt;15%), tandis que le ROA atteint 5,52%, démontrant une utilisation efficace des actifs. La marge nette de 2,96% et la marge opérationnelle de 4,96% reflètent une pression sur la rentabilité, impactée par la baisse des volumes de ventes (-5,5% en volume) et des difficultés logistiques. Le BFR négatif de -3,482 milliards FCFA est un point positif, indiquant que l'entreprise finance son cycle d'exploitation par ses fournisseurs, avec un délai fournisseurs de 81,75 jours contre 36,64 jours pour les clients. Cependant, la trésorerie nette est négative (-624 millions FCFA) et le free cash flow est déficitaire (-1,650 milliards FCFA), signalant des tensions de liquidité. Les rapports trimestriels 2025 montrent un redressement spectaculaire : le T1 2025 affiche un CA de 46,161 milliards FCFA (+14,5%) et un résultat net de 3,836 milliards FCFA (+279,7%), le S1 2025 confirme avec un CA de 91,182 milliards FCFA (+18,4%) et un résultat net de 5,420 milliards FCFA (+152,7%), et le T3 2025 poursuit avec un CA de 43,580 milliards FCFA (+18,3%) et un résultat net de 1,489 milliards FCFA (+38,1%). Sur la base de ces performances, on estime que l'exercice 2025 devrait dépasser significativement les résultats 2024, avec un CA projeté autour de 180 milliards FCFA et un résultat net potentiel de 8-9 milliards FCFA, marquant un retour à la croissance et une amélioration substantielle de la rentabilité.</w:t>
      </w:r>
    </w:p>
    <w:p>
      <w:pPr>
        <w:spacing w:after="120" w:line="276" w:lineRule="auto" w:before="240"/>
      </w:pPr>
      <w:r>
        <w:rPr>
          <w:b/>
          <w:color w:val="003366"/>
          <w:sz w:val="24"/>
        </w:rPr>
        <w:t>**PARTIE 4 : CONCLUSION D'INVESTISSEMENT**</w:t>
      </w:r>
    </w:p>
    <w:p>
      <w:pPr>
        <w:spacing w:after="120" w:line="276" w:lineRule="auto"/>
      </w:pPr>
      <w:r>
        <w:t>La valorisation actuelle de CFAC est extrêmement exigeante (PER 67,2x, P/B 16,22x, EV/EBITDA 34,2x), intégrant des attentes de croissance très optimistes qui semblent partiellement justifiées par le redressement spectaculaire observé en 2025. Le comportement du cours sur 100 jours montre une tendance haussière modérée (+6,75%) avec une volatilité très élevée (48,8%), reflétant l'incertitude du marché. Les signaux techniques sont divergents : le MACD est positif, mais les moyennes mobiles, les bandes de Bollinger et le stochastique signalent un surachat à court terme, suggérant une correction probable. Les fondamentaux sont solides avec un ROE de 24,13% et un redressement confirmé par les rapports trimestriels 2025, mais les prédictions IA indiquent une baisse progressive du cours sur les 10 prochains jours (de 1 652 à 1 567 FCFA), contredisant la tendance haussière récente. Cette divergence entre les signaux techniques baissiers à court terme et les fondamentaux en amélioration justifie une recommandation de **CONSERVER** avec un niveau de confiance **Moyen** et un risque global **Élevé**. L'horizon d'investissement optimal serait le **moyen terme (3-12 mois)**, permettant de bénéficier de la poursuite du redressement fondamental tout en évitant la volatilité à court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386.40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5,923 titres</w:t>
            </w:r>
          </w:p>
        </w:tc>
        <w:tc>
          <w:tcPr>
            <w:tcW w:type="dxa" w:w="2268"/>
            <w:shd w:fill="FFF2CC" w:val="clear"/>
          </w:tcPr>
          <w:p>
            <w:r>
              <w:rPr>
                <w:b/>
                <w:color w:val="503200"/>
                <w:sz w:val="16"/>
              </w:rPr>
              <w:t xml:space="preserve">Cours actuel : </w:t>
            </w:r>
            <w:r>
              <w:rPr>
                <w:color w:val="000000"/>
                <w:sz w:val="17"/>
              </w:rPr>
              <w:t>6,900 FCFA</w:t>
            </w:r>
          </w:p>
          <w:p>
            <w:r>
              <w:rPr>
                <w:b/>
                <w:color w:val="503200"/>
                <w:sz w:val="16"/>
              </w:rPr>
              <w:t xml:space="preserve">Var. 100 jours : </w:t>
            </w:r>
            <w:r>
              <w:rPr>
                <w:b/>
                <w:color w:val="007800"/>
                <w:sz w:val="17"/>
              </w:rPr>
              <w:t>+109.73%</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34.6/100 → Moyen</w:t>
      </w:r>
    </w:p>
    <w:p>
      <w:pPr>
        <w:spacing w:before="40" w:after="80"/>
      </w:pPr>
      <w:r>
        <w:rPr>
          <w:rFonts w:ascii="Courier New" w:hAnsi="Courier New"/>
          <w:color w:val="825A00"/>
          <w:sz w:val="18"/>
        </w:rPr>
        <w:t>██████░░░░░░░░░░░░░░  34.6/100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23.28% (Élevée) — μ=4,466 FCFA, σ=1,040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β=1.2277 (Agressif) — Cov=0.000043, Var(idx)=0.000035, ρ=0.232,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6,016</w:t>
            </w:r>
          </w:p>
        </w:tc>
        <w:tc>
          <w:tcPr>
            <w:tcW w:type="dxa" w:w="1440"/>
            <w:shd w:fill="FFDCE0" w:val="clear"/>
          </w:tcPr>
          <w:p>
            <w:r>
              <w:rPr>
                <w:b/>
                <w:sz w:val="17"/>
              </w:rPr>
              <w:t>6,382</w:t>
            </w:r>
          </w:p>
        </w:tc>
        <w:tc>
          <w:tcPr>
            <w:tcW w:type="dxa" w:w="1440"/>
            <w:shd w:fill="FFDCE0" w:val="clear"/>
          </w:tcPr>
          <w:p>
            <w:r>
              <w:rPr>
                <w:sz w:val="17"/>
              </w:rPr>
              <w:t>6,749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5,425</w:t>
            </w:r>
          </w:p>
        </w:tc>
        <w:tc>
          <w:tcPr>
            <w:tcW w:type="dxa" w:w="1440"/>
            <w:shd w:fill="FFDCE0" w:val="clear"/>
          </w:tcPr>
          <w:p>
            <w:r>
              <w:rPr>
                <w:b/>
                <w:sz w:val="17"/>
              </w:rPr>
              <w:t>5,904</w:t>
            </w:r>
          </w:p>
        </w:tc>
        <w:tc>
          <w:tcPr>
            <w:tcW w:type="dxa" w:w="1440"/>
            <w:shd w:fill="FFDCE0" w:val="clear"/>
          </w:tcPr>
          <w:p>
            <w:r>
              <w:rPr>
                <w:sz w:val="17"/>
              </w:rPr>
              <w:t>6,383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4,919</w:t>
            </w:r>
          </w:p>
        </w:tc>
        <w:tc>
          <w:tcPr>
            <w:tcW w:type="dxa" w:w="1440"/>
            <w:shd w:fill="FFDCE0" w:val="clear"/>
          </w:tcPr>
          <w:p>
            <w:r>
              <w:rPr>
                <w:b/>
                <w:sz w:val="17"/>
              </w:rPr>
              <w:t>5,461</w:t>
            </w:r>
          </w:p>
        </w:tc>
        <w:tc>
          <w:tcPr>
            <w:tcW w:type="dxa" w:w="1440"/>
            <w:shd w:fill="FFDCE0" w:val="clear"/>
          </w:tcPr>
          <w:p>
            <w:r>
              <w:rPr>
                <w:sz w:val="17"/>
              </w:rPr>
              <w:t>6,004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4,472</w:t>
            </w:r>
          </w:p>
        </w:tc>
        <w:tc>
          <w:tcPr>
            <w:tcW w:type="dxa" w:w="1440"/>
            <w:shd w:fill="FFDCE0" w:val="clear"/>
          </w:tcPr>
          <w:p>
            <w:r>
              <w:rPr>
                <w:b/>
                <w:sz w:val="17"/>
              </w:rPr>
              <w:t>5,051</w:t>
            </w:r>
          </w:p>
        </w:tc>
        <w:tc>
          <w:tcPr>
            <w:tcW w:type="dxa" w:w="1440"/>
            <w:shd w:fill="FFDCE0" w:val="clear"/>
          </w:tcPr>
          <w:p>
            <w:r>
              <w:rPr>
                <w:sz w:val="17"/>
              </w:rPr>
              <w:t>5,631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4,073</w:t>
            </w:r>
          </w:p>
        </w:tc>
        <w:tc>
          <w:tcPr>
            <w:tcW w:type="dxa" w:w="1440"/>
            <w:shd w:fill="FFDCE0" w:val="clear"/>
          </w:tcPr>
          <w:p>
            <w:r>
              <w:rPr>
                <w:b/>
                <w:sz w:val="17"/>
              </w:rPr>
              <w:t>4,673</w:t>
            </w:r>
          </w:p>
        </w:tc>
        <w:tc>
          <w:tcPr>
            <w:tcW w:type="dxa" w:w="1440"/>
            <w:shd w:fill="FFDCE0" w:val="clear"/>
          </w:tcPr>
          <w:p>
            <w:r>
              <w:rPr>
                <w:sz w:val="17"/>
              </w:rPr>
              <w:t>5,272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3,715</w:t>
            </w:r>
          </w:p>
        </w:tc>
        <w:tc>
          <w:tcPr>
            <w:tcW w:type="dxa" w:w="1440"/>
            <w:shd w:fill="FFDCE0" w:val="clear"/>
          </w:tcPr>
          <w:p>
            <w:r>
              <w:rPr>
                <w:b/>
                <w:sz w:val="17"/>
              </w:rPr>
              <w:t>4,322</w:t>
            </w:r>
          </w:p>
        </w:tc>
        <w:tc>
          <w:tcPr>
            <w:tcW w:type="dxa" w:w="1440"/>
            <w:shd w:fill="FFDCE0" w:val="clear"/>
          </w:tcPr>
          <w:p>
            <w:r>
              <w:rPr>
                <w:sz w:val="17"/>
              </w:rPr>
              <w:t>4,929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3,391</w:t>
            </w:r>
          </w:p>
        </w:tc>
        <w:tc>
          <w:tcPr>
            <w:tcW w:type="dxa" w:w="1440"/>
            <w:shd w:fill="FFDCE0" w:val="clear"/>
          </w:tcPr>
          <w:p>
            <w:r>
              <w:rPr>
                <w:b/>
                <w:sz w:val="17"/>
              </w:rPr>
              <w:t>3,998</w:t>
            </w:r>
          </w:p>
        </w:tc>
        <w:tc>
          <w:tcPr>
            <w:tcW w:type="dxa" w:w="1440"/>
            <w:shd w:fill="FFDCE0" w:val="clear"/>
          </w:tcPr>
          <w:p>
            <w:r>
              <w:rPr>
                <w:sz w:val="17"/>
              </w:rPr>
              <w:t>4,605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3,098</w:t>
            </w:r>
          </w:p>
        </w:tc>
        <w:tc>
          <w:tcPr>
            <w:tcW w:type="dxa" w:w="1440"/>
            <w:shd w:fill="FFDCE0" w:val="clear"/>
          </w:tcPr>
          <w:p>
            <w:r>
              <w:rPr>
                <w:b/>
                <w:sz w:val="17"/>
              </w:rPr>
              <w:t>3,698</w:t>
            </w:r>
          </w:p>
        </w:tc>
        <w:tc>
          <w:tcPr>
            <w:tcW w:type="dxa" w:w="1440"/>
            <w:shd w:fill="FFDCE0" w:val="clear"/>
          </w:tcPr>
          <w:p>
            <w:r>
              <w:rPr>
                <w:sz w:val="17"/>
              </w:rPr>
              <w:t>4,298</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2,832</w:t>
            </w:r>
          </w:p>
        </w:tc>
        <w:tc>
          <w:tcPr>
            <w:tcW w:type="dxa" w:w="1440"/>
            <w:shd w:fill="FFDCE0" w:val="clear"/>
          </w:tcPr>
          <w:p>
            <w:r>
              <w:rPr>
                <w:b/>
                <w:sz w:val="17"/>
              </w:rPr>
              <w:t>3,421</w:t>
            </w:r>
          </w:p>
        </w:tc>
        <w:tc>
          <w:tcPr>
            <w:tcW w:type="dxa" w:w="1440"/>
            <w:shd w:fill="FFDCE0" w:val="clear"/>
          </w:tcPr>
          <w:p>
            <w:r>
              <w:rPr>
                <w:sz w:val="17"/>
              </w:rPr>
              <w:t>4,009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2,673</w:t>
            </w:r>
          </w:p>
        </w:tc>
        <w:tc>
          <w:tcPr>
            <w:tcW w:type="dxa" w:w="1440"/>
            <w:shd w:fill="FFDCE0" w:val="clear"/>
          </w:tcPr>
          <w:p>
            <w:r>
              <w:rPr>
                <w:b/>
                <w:sz w:val="17"/>
              </w:rPr>
              <w:t>3,265</w:t>
            </w:r>
          </w:p>
        </w:tc>
        <w:tc>
          <w:tcPr>
            <w:tcW w:type="dxa" w:w="1440"/>
            <w:shd w:fill="FFDCE0" w:val="clear"/>
          </w:tcPr>
          <w:p>
            <w:r>
              <w:rPr>
                <w:sz w:val="17"/>
              </w:rPr>
              <w:t>3,857</w:t>
            </w:r>
          </w:p>
        </w:tc>
        <w:tc>
          <w:tcPr>
            <w:tcW w:type="dxa" w:w="1440"/>
            <w:shd w:fill="FFDCE0" w:val="clear"/>
          </w:tcPr>
          <w:p>
            <w:r>
              <w:rPr>
                <w:b/>
                <w:color w:val="C00000"/>
                <w:sz w:val="17"/>
              </w:rPr>
              <w:t>-52.7%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386,40 milliards FCFA, ce qui positionne le titre parmi les valeurs moyennes du marché BRVM, dans un secteur stratégique de l'économie ivoirienne. Le BPA de 234 FCFA indique que chaque action génère un bénéfice de 234 FCFA, mais le PER de 29,4x est nettement supérieur à la moyenne du marché BRVM (8-12x), signifiant que les investisseurs paient une prime significative pour chaque franc de bénéfice, anticipant probablement une forte croissance future. Le P/B de 10,74x est également très élevé, indiquant que le marché valorise l'action près de 11 fois sa valeur comptable, ce qui reflète une confiance importante dans les actifs immatériels et les perspectives de la société. Enfin, l'EV/EBITDA de 15,5x, supérieur au seuil de 15x, confirme une valorisation exigeante qui laisse peu de marge d'erreur sur les performances futures.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+109,73%, passant d'un plus bas de 3 000 FCFA à un plus haut de 7 190 FCFA, avant de clôturer à 6 900 FCFA, soit une baisse de -4,03% lors de la dernière séance. La moyenne du cours sur la période s'établit à 4 466 FCFA, tandis que la médiane et le mode sont identiques à 4 995 FCFA, indiquant une distribution relativement symétrique, confirmée par un skewness de 0,072. L'écart-type de 1 045 FCFA, avec un coefficient de variation de 23,4%, témoigne d'une dispersion modérée des prix autour de la moyenne, tandis que le kurtosis de -0,900 (mésokurtique) suggère une distribution proche de la normale, sans risque de pics extrêmes. La volatilité annualisée de 49,6% est très élevée, reflétant un titre spéculatif avec des mouvements de prix amples, ce qui représente un risque significatif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à 5 548,25 FCFA et la MM50 à 5 328,2 FCFA sont toutes deux nettement inférieures au cours actuel de 6 900 FCFA, confirmant une tendance haussière solide. Le croisement des moyennes mobiles, avec la MM20 au-dessus de la MM50, renforce le signal d'achat, indiquant que le momentum haussier reste intact à moyen terme.</w:t>
      </w:r>
    </w:p>
    <w:p>
      <w:pPr>
        <w:spacing w:after="120" w:line="276" w:lineRule="auto"/>
      </w:pPr>
      <w:r>
        <w:t>**Bandes de Bollinger** : Le prix actuel de 6 900 FCFA se situe très près de la borne supérieure à 6 960,73 FCFA, indiquant que le titre est en zone de surachat technique. L'écart important entre les bornes (2 825 FCFA) reflète une volatilité élevée, et la position du prix suggère un possible retour vers la moyenne, d'où la décision neutre.</w:t>
      </w:r>
    </w:p>
    <w:p>
      <w:pPr>
        <w:spacing w:after="120" w:line="276" w:lineRule="auto"/>
      </w:pPr>
      <w:r>
        <w:t>**MACD** : Le MACD à 427,56 est nettement supérieur à son signal à 226,01, avec un écart positif de 201,55, confirmant un momentum haussier puissant. La divergence positive entre le MACD et le signal indique que la tendance haussière est toujours soutenue par les flux acheteurs, justifiant la décision d'achat.</w:t>
      </w:r>
    </w:p>
    <w:p>
      <w:pPr>
        <w:spacing w:after="120" w:line="276" w:lineRule="auto"/>
      </w:pPr>
      <w:r>
        <w:t>**RSI** : Le RSI à 88,15 est extrêmement élevé, largement au-dessus du seuil de surachat de 70, signalant que le titre est fortement suracheté. Cette situation suggère une correction imminente, d'où la décision de vente, car les acheteurs sont probablement épuisés à ces niveaux de prix.</w:t>
      </w:r>
    </w:p>
    <w:p>
      <w:pPr>
        <w:spacing w:after="120" w:line="276" w:lineRule="auto"/>
      </w:pPr>
      <w:r>
        <w:t>**Stochastique** : Le %K à 86,79 et le %D à 95,60 sont tous deux en zone de surachat, avec le %K sous le %D, indiquant un croisement baissier potentiel. Cette configuration suggère un affaiblissement du momentum haussier et une possible correction à court terme, justifiant la décision de vente.</w:t>
      </w:r>
    </w:p>
    <w:p>
      <w:pPr>
        <w:spacing w:after="120" w:line="276" w:lineRule="auto"/>
      </w:pPr>
      <w:r>
        <w:t>**Conclusion technique** : Les indicateurs de tendance (MM, MACD) restent positifs, mais les oscillateurs (RSI, Stochastique) signalent un surachat extrême. Cette divergence entre indicateurs de tendance et de momentum suggère une consolidation ou correction technique à court terme, malgré la tendance haussière de fond.</w:t>
      </w:r>
    </w:p>
    <w:p>
      <w:pPr>
        <w:spacing w:after="120" w:line="276" w:lineRule="auto" w:before="240"/>
      </w:pPr>
      <w:r>
        <w:rPr>
          <w:b/>
          <w:color w:val="003366"/>
          <w:sz w:val="24"/>
        </w:rPr>
        <w:t>**PARTIE 3 : ANALYSE FONDAMENTALE (SECTION CRITIQUE)**</w:t>
      </w:r>
    </w:p>
    <w:p>
      <w:pPr>
        <w:spacing w:after="120" w:line="276" w:lineRule="auto"/>
      </w:pPr>
      <w:r>
        <w:t>En 2025, la CIEC affiche un chiffre d'affaires de 302,32 milliards FCFA, en croissance de +14,8% par rapport à 2024, avec un résultat net de 13,13 milliards FCFA, en progression de 24,4%. Le ROE de 36,5% est excellent, largement supérieur au seuil de 15%, démontrant une forte rentabilité des capitaux propres, tandis que le ROA de 0,65% reste faible, reflétant l'importance du total bilan (2 018 milliards FCFA). En tant qu'entreprise, la CIEC présente un BFR négatif de -90,24 milliards FCFA, ce qui est favorable, mais le délai clients de 164 jours est élevé, représentant un risque de trésorerie, tandis que le délai fournisseurs de 970 jours est exceptionnellement long, favorable pour la trésorerie. L'endettement est significatif avec un ratio de 612,9%, mais la capacité de remboursement de 7,64 ans reste gérable, et la couverture des intérêts à 617,7% est confortable. Le rapport annuel 2025 (daté du 31 décembre 2025) confirme la solidité des résultats, avec une marge nette de 4,3%, et le rapport du S1 2025 montre un CA de 134,92 milliards FCFA (+18,85%), laissant estimer une poursuite de la croissance au second semestre. La politique de dividende est très généreuse avec 234 FCFA par action, représentant un taux de distribution de 99,8%, ce qui limite l'autofinancement mais récompense fortement les actionnaires. Les perspectives 2026 restent favorables avec la croissance de la demande énergétique et l'expansion de la base clientèle, mais le risque de crédit client et la dépendance réglementaire constituent des points de vigilance majeurs.</w:t>
      </w:r>
    </w:p>
    <w:p>
      <w:pPr>
        <w:spacing w:after="120" w:line="276" w:lineRule="auto" w:before="240"/>
      </w:pPr>
      <w:r>
        <w:rPr>
          <w:b/>
          <w:color w:val="003366"/>
          <w:sz w:val="24"/>
        </w:rPr>
        <w:t>**PARTIE 4 : CONCLUSION D'INVESTISSEMENT**</w:t>
      </w:r>
    </w:p>
    <w:p>
      <w:pPr>
        <w:spacing w:after="120" w:line="276" w:lineRule="auto"/>
      </w:pPr>
      <w:r>
        <w:t>La valorisation de la CIEC est clairement exigeante avec un PER de 29,4x et un P/B de 10,74x, indiquant une surévaluation relative par rapport aux standards BRVM, malgré des fondamentaux solides. Le comportement du cours montre une tendance haussière spectaculaire de +109,73% sur 100 jours, mais avec une volatilité très élevée de 49,6% et des statistiques suggérant une distribution normale sans extrêmes. Les signaux techniques sont mitigés : les indicateurs de tendance (MM, MACD) sont positifs, mais les oscillateurs (RSI à 88, Stochastique à 86) signalent un surachat extrême, suggérant une correction imminente. Les fondamentaux sont solides avec une croissance de 14,8% du CA, un ROE de 36,5% et une politique de dividende attractive, mais le risque de crédit client et l'endettement élevé tempèrent l'enthousiasme. Les prédictions IA pour les 10 prochains jours indiquent une baisse progressive de 6 382 à 4 673 FCFA, confirmant les signaux techniques de surachat. La convergence entre les signaux techniques (surachat) et les prédictions IA (baisse) suggère une correction à court terme, malgré des fondamentaux solides. **Recommandation : VENTE** à court terme, avec un niveau de confiance **Moyen** et un risque global **Élevé**. L'horizon d'investissement optimal serait de moyen terme (3-12 mois) pour profiter d'une éventuelle correction et d'un point d'entrée plus attractif, tout en bénéficiant de la croissance fondamentale de la société.</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3,813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007800"/>
                <w:sz w:val="17"/>
              </w:rPr>
              <w:t>+1.79%</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2.20% (Faible) — μ=16,320 FCFA, σ=358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β=0.2927 (Défensif) — Cov=0.000010, Var(idx)=0.000035, ρ=0.099,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16,207</w:t>
            </w:r>
          </w:p>
        </w:tc>
        <w:tc>
          <w:tcPr>
            <w:tcW w:type="dxa" w:w="1440"/>
            <w:shd w:fill="FAFAFA" w:val="clear"/>
          </w:tcPr>
          <w:p>
            <w:r>
              <w:rPr>
                <w:b/>
                <w:sz w:val="17"/>
              </w:rPr>
              <w:t>16,620</w:t>
            </w:r>
          </w:p>
        </w:tc>
        <w:tc>
          <w:tcPr>
            <w:tcW w:type="dxa" w:w="1440"/>
            <w:shd w:fill="FAFAFA" w:val="clear"/>
          </w:tcPr>
          <w:p>
            <w:r>
              <w:rPr>
                <w:sz w:val="17"/>
              </w:rPr>
              <w:t>17,034</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16,020</w:t>
            </w:r>
          </w:p>
        </w:tc>
        <w:tc>
          <w:tcPr>
            <w:tcW w:type="dxa" w:w="1440"/>
            <w:shd w:fill="FAFAFA" w:val="clear"/>
          </w:tcPr>
          <w:p>
            <w:r>
              <w:rPr>
                <w:b/>
                <w:sz w:val="17"/>
              </w:rPr>
              <w:t>16,604</w:t>
            </w:r>
          </w:p>
        </w:tc>
        <w:tc>
          <w:tcPr>
            <w:tcW w:type="dxa" w:w="1440"/>
            <w:shd w:fill="FAFAFA" w:val="clear"/>
          </w:tcPr>
          <w:p>
            <w:r>
              <w:rPr>
                <w:sz w:val="17"/>
              </w:rPr>
              <w:t>17,189</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15,865</w:t>
            </w:r>
          </w:p>
        </w:tc>
        <w:tc>
          <w:tcPr>
            <w:tcW w:type="dxa" w:w="1440"/>
            <w:shd w:fill="FAFAFA" w:val="clear"/>
          </w:tcPr>
          <w:p>
            <w:r>
              <w:rPr>
                <w:b/>
                <w:sz w:val="17"/>
              </w:rPr>
              <w:t>16,579</w:t>
            </w:r>
          </w:p>
        </w:tc>
        <w:tc>
          <w:tcPr>
            <w:tcW w:type="dxa" w:w="1440"/>
            <w:shd w:fill="FAFAFA" w:val="clear"/>
          </w:tcPr>
          <w:p>
            <w:r>
              <w:rPr>
                <w:sz w:val="17"/>
              </w:rPr>
              <w:t>17,294</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15,735</w:t>
            </w:r>
          </w:p>
        </w:tc>
        <w:tc>
          <w:tcPr>
            <w:tcW w:type="dxa" w:w="1440"/>
            <w:shd w:fill="FAFAFA" w:val="clear"/>
          </w:tcPr>
          <w:p>
            <w:r>
              <w:rPr>
                <w:b/>
                <w:sz w:val="17"/>
              </w:rPr>
              <w:t>16,559</w:t>
            </w:r>
          </w:p>
        </w:tc>
        <w:tc>
          <w:tcPr>
            <w:tcW w:type="dxa" w:w="1440"/>
            <w:shd w:fill="FAFAFA" w:val="clear"/>
          </w:tcPr>
          <w:p>
            <w:r>
              <w:rPr>
                <w:sz w:val="17"/>
              </w:rPr>
              <w:t>17,383</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15,621</w:t>
            </w:r>
          </w:p>
        </w:tc>
        <w:tc>
          <w:tcPr>
            <w:tcW w:type="dxa" w:w="1440"/>
            <w:shd w:fill="FAFAFA" w:val="clear"/>
          </w:tcPr>
          <w:p>
            <w:r>
              <w:rPr>
                <w:b/>
                <w:sz w:val="17"/>
              </w:rPr>
              <w:t>16,541</w:t>
            </w:r>
          </w:p>
        </w:tc>
        <w:tc>
          <w:tcPr>
            <w:tcW w:type="dxa" w:w="1440"/>
            <w:shd w:fill="FAFAFA" w:val="clear"/>
          </w:tcPr>
          <w:p>
            <w:r>
              <w:rPr>
                <w:sz w:val="17"/>
              </w:rPr>
              <w:t>17,462</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15,517</w:t>
            </w:r>
          </w:p>
        </w:tc>
        <w:tc>
          <w:tcPr>
            <w:tcW w:type="dxa" w:w="1440"/>
            <w:shd w:fill="FAFAFA" w:val="clear"/>
          </w:tcPr>
          <w:p>
            <w:r>
              <w:rPr>
                <w:b/>
                <w:sz w:val="17"/>
              </w:rPr>
              <w:t>16,525</w:t>
            </w:r>
          </w:p>
        </w:tc>
        <w:tc>
          <w:tcPr>
            <w:tcW w:type="dxa" w:w="1440"/>
            <w:shd w:fill="FAFAFA" w:val="clear"/>
          </w:tcPr>
          <w:p>
            <w:r>
              <w:rPr>
                <w:sz w:val="17"/>
              </w:rPr>
              <w:t>17,532</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15,421</w:t>
            </w:r>
          </w:p>
        </w:tc>
        <w:tc>
          <w:tcPr>
            <w:tcW w:type="dxa" w:w="1440"/>
            <w:shd w:fill="FAFAFA" w:val="clear"/>
          </w:tcPr>
          <w:p>
            <w:r>
              <w:rPr>
                <w:b/>
                <w:sz w:val="17"/>
              </w:rPr>
              <w:t>16,508</w:t>
            </w:r>
          </w:p>
        </w:tc>
        <w:tc>
          <w:tcPr>
            <w:tcW w:type="dxa" w:w="1440"/>
            <w:shd w:fill="FAFAFA" w:val="clear"/>
          </w:tcPr>
          <w:p>
            <w:r>
              <w:rPr>
                <w:sz w:val="17"/>
              </w:rPr>
              <w:t>17,595</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15,331</w:t>
            </w:r>
          </w:p>
        </w:tc>
        <w:tc>
          <w:tcPr>
            <w:tcW w:type="dxa" w:w="1440"/>
            <w:shd w:fill="FAFAFA" w:val="clear"/>
          </w:tcPr>
          <w:p>
            <w:r>
              <w:rPr>
                <w:b/>
                <w:sz w:val="17"/>
              </w:rPr>
              <w:t>16,492</w:t>
            </w:r>
          </w:p>
        </w:tc>
        <w:tc>
          <w:tcPr>
            <w:tcW w:type="dxa" w:w="1440"/>
            <w:shd w:fill="FAFAFA" w:val="clear"/>
          </w:tcPr>
          <w:p>
            <w:r>
              <w:rPr>
                <w:sz w:val="17"/>
              </w:rPr>
              <w:t>17,653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15,245</w:t>
            </w:r>
          </w:p>
        </w:tc>
        <w:tc>
          <w:tcPr>
            <w:tcW w:type="dxa" w:w="1440"/>
            <w:shd w:fill="FAFAFA" w:val="clear"/>
          </w:tcPr>
          <w:p>
            <w:r>
              <w:rPr>
                <w:b/>
                <w:sz w:val="17"/>
              </w:rPr>
              <w:t>16,475</w:t>
            </w:r>
          </w:p>
        </w:tc>
        <w:tc>
          <w:tcPr>
            <w:tcW w:type="dxa" w:w="1440"/>
            <w:shd w:fill="FAFAFA" w:val="clear"/>
          </w:tcPr>
          <w:p>
            <w:r>
              <w:rPr>
                <w:sz w:val="17"/>
              </w:rPr>
              <w:t>17,705</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15,164</w:t>
            </w:r>
          </w:p>
        </w:tc>
        <w:tc>
          <w:tcPr>
            <w:tcW w:type="dxa" w:w="1440"/>
            <w:shd w:fill="FFDCE0" w:val="clear"/>
          </w:tcPr>
          <w:p>
            <w:r>
              <w:rPr>
                <w:b/>
                <w:sz w:val="17"/>
              </w:rPr>
              <w:t>16,459</w:t>
            </w:r>
          </w:p>
        </w:tc>
        <w:tc>
          <w:tcPr>
            <w:tcW w:type="dxa" w:w="1440"/>
            <w:shd w:fill="FFDCE0" w:val="clear"/>
          </w:tcPr>
          <w:p>
            <w:r>
              <w:rPr>
                <w:sz w:val="17"/>
              </w:rPr>
              <w:t>17,754</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924,57 milliards FCFA, ce qui en fait l'une des plus importantes capitalisations de la BRVM, reflétant son statut de banque systémique en Côte d'Ivoire. Le BPA de 1 153 FCFA indique que chaque action génère un bénéfice substantiel, justifiant un PER de 14,6x, supérieur à la moyenne historique de la BRVM (8-12x), ce qui traduit une prime de qualité que les investisseurs acceptent de payer pour la régularité des performances. Le P/B de 4,23x est particulièrement exigeant, signifiant que le marché valorise l'action près de quatre fois sa valeur comptable, anticipant une forte création de valeur future. L'EV/EBITDA de 14,2x, bien que dans la fourchette haute (10-15x), confirme une valorisation élevée mais cohérente avec la rentabilité opérationnelle exceptionnelle de la banque. Ces ratios suggèrent que le titre est correctement valorisé, voire légèrement cher, mais avec des fondamentaux solides pour soutenir cette prime.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d'ECOC affiche une progression modeste de +1,79%, avec une légère baisse de -0,36% lors de la dernière séance, indiquant une consolidation après une période de hausse. Le titre a évolué dans un range de 15 520 à 17 270 FCFA, soit une amplitude de 11,3%, démontrant une volatilité contenue. La moyenne (16 320 FCFA) et la médiane (16 300 FCFA) étant quasi identiques, la distribution des cours est parfaitement symétrique, ce que confirme le skewness de 0,230. L'écart-type de 360 FCFA (CV=2,2%) révèle une dispersion très faible, indiquant un titre stable et peu spéculatif. Le kurtosis de -0,012, proche de zéro, suggère une distribution mésokurtique sans risque de mouvements extrêmes, tandis que la volatilité annualisée de 27,6% classe le titre dans la catégorie modérée (15-30%). Globalement, le comportement du cours reflète une tendance stable et maîtrisée, typique des valeurs bancaires de premier plan sur la BRVM.</w:t>
      </w:r>
    </w:p>
    <w:p>
      <w:pPr>
        <w:spacing w:after="120" w:line="276" w:lineRule="auto" w:before="240"/>
      </w:pPr>
      <w:r>
        <w:rPr>
          <w:b/>
          <w:color w:val="003366"/>
          <w:sz w:val="24"/>
        </w:rPr>
        <w:t>**PARTIE 2 : ANALYSE TECHNIQUE DÉTAILLÉE**</w:t>
      </w:r>
    </w:p>
    <w:p>
      <w:pPr>
        <w:spacing w:after="120" w:line="276" w:lineRule="auto"/>
      </w:pPr>
      <w:r>
        <w:t>**Moyennes Mobiles** : Le cours actuel (16 795 FCFA) se positionne au-dessus de la MM20 (16 258,5 FCFA) mais en dessous de la MM50 (16 405,8 FCFA), créant une configuration contradictoire. La MM20 récente suggère un momentum positif à court terme, tandis que la MM50 indique une résistance à moyen terme. La décision de "Vente" reflète cette divergence, le titre n'ayant pas encore confirmé une tendance haussière durable au-delà de la MM50.</w:t>
      </w:r>
    </w:p>
    <w:p>
      <w:pPr>
        <w:spacing w:after="120" w:line="276" w:lineRule="auto"/>
      </w:pPr>
      <w:r>
        <w:t>**Bandes de Bollinger** : Le prix se situe à 16 795 FCFA, très proche de la borne supérieure (16 826 FCFA), indiquant une pression acheteuse soutenue. La largeur des bandes (écart de 1 135 FCFA) témoigne d'une volatilité modérée. La décision "Neutre" s'explique par le fait que le cours n'a pas encore franchi la borne supérieure, ce qui pourrait déclencher un signal d'achat plus affirmé ou, au contraire, un retour vers la moyenne.</w:t>
      </w:r>
    </w:p>
    <w:p>
      <w:pPr>
        <w:spacing w:after="120" w:line="276" w:lineRule="auto"/>
      </w:pPr>
      <w:r>
        <w:t>**MACD** : La valeur positive de 86,579 et le signal négatif à -13,499 créent un croisement haussier net, indiquant un momentum positif en développement. Cette divergence positive suggère que la dynamique acheteuse prend de l'ampleur, justifiant la décision "Achat". Le MACD confirme une amélioration technique récente, même si le signal reste négatif, ce qui pourrait indiquer un retournement en cours.</w:t>
      </w:r>
    </w:p>
    <w:p>
      <w:pPr>
        <w:spacing w:after="120" w:line="276" w:lineRule="auto"/>
      </w:pPr>
      <w:r>
        <w:t>**RSI** : À 61,233, le RSI se situe dans la zone neutre (30-70), sans signal de surachat ni de survente. Cette valeur indique une pression acheteuse modérée, sans excès, laissant de la marge pour une poursuite de la hausse. La décision "Neutre" est cohérente avec un marché en équilibre, où le titre n'est ni surévalué ni sous-évalué techniquement.</w:t>
      </w:r>
    </w:p>
    <w:p>
      <w:pPr>
        <w:spacing w:after="120" w:line="276" w:lineRule="auto"/>
      </w:pPr>
      <w:r>
        <w:t>**Stochastique** : Avec %K à 89,831 et %D à 80,979, le stochastique est clairement en zone de surachat (&gt;80), signalant une possible correction à court terme. Le croisement potentiel de %K sous %D pourrait déclencher un signal de vente. La décision "Vente" reflète cette situation de surachat technique, même si la tendance de fond reste positive.</w:t>
      </w:r>
    </w:p>
    <w:p>
      <w:pPr>
        <w:spacing w:after="120" w:line="276" w:lineRule="auto"/>
      </w:pPr>
      <w:r>
        <w:t>**Conclusion technique** : Les indicateurs sont mitigés, avec un MACD haussier et un RSI neutre, mais un stochastique en surachat et des moyennes mobiles contradictoires. Cette configuration suggère une consolidation à court terme avant une possible poursuite de la hausse, le titre étant techniquement bien positionné mais nécessitant un rééquilibrage. La prudence est de mise, avec un biais légèrement positif à moyen terme.</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performances financières remarquables, avec un PNB de 132,725 milliards FCFA, en croissance de 8,5%, et un résultat net de 63,482 milliards FCFA, démontrant une rentabilité exceptionnelle. Le ROE de 29,04% et le ROA de 3,09% sont nettement supérieurs aux standards du secteur bancaire africain (&gt;15% et &gt;1% respectivement), confirmant une gestion particulièrement efficace des capitaux propres et des actifs. Le coefficient d'exploitation de 42,89% témoigne d'une excellente maîtrise des coûts, bien en dessous du seuil de 60% considéré comme sain. Le coût du risque de 1,36% reste modéré, reflétant une qualité de portefeuille satisfaisante, tandis que le ratio de solvabilité de 19,3% (selon le rapport S1 2025) dépasse largement l'exigence réglementaire de 11,5%. Les dépôts clientèle (1 626 milliards FCFA) représentent 1,55 fois les créances sur la clientèle (1 050 milliards FCFA), indiquant une transformation saine et une liquidité abondante. Sur la base du rapport T3 2025 (PNB de 96,4 milliards, résultat net de 44,4 milliards), on estime que l'exercice 2025 devrait confirmer une croissance à deux chiffres, avec un PNB annuel projeté autour de 132 milliards et un résultat net dépassant 60 milliards, en ligne avec les données structurées. Le rapport T1 2026 (PNB de 30,8 milliards, résultat net de 13,0 milliards) suggère une légère décélération mais une rentabilité maintenue, avec un ROE de 23% et un coefficient d'exploitation amélioré à 45,7%. La banque démontre une solidité financière exceptionnelle, une croissance soutenue et une gestion rigoureuse des risques, malgré un environnement macroéconomique complexe.</w:t>
      </w:r>
    </w:p>
    <w:p>
      <w:pPr>
        <w:spacing w:after="120" w:line="276" w:lineRule="auto" w:before="240"/>
      </w:pPr>
      <w:r>
        <w:rPr>
          <w:b/>
          <w:color w:val="003366"/>
          <w:sz w:val="24"/>
        </w:rPr>
        <w:t>**PARTIE 4 : CONCLUSION D'INVESTISSEMENT**</w:t>
      </w:r>
    </w:p>
    <w:p>
      <w:pPr>
        <w:spacing w:after="120" w:line="276" w:lineRule="auto"/>
      </w:pPr>
      <w:r>
        <w:t>La valorisation d'ECOC (PER 14,6x, P/B 4,23x, EV/EBITDA 14,2x) indique une prime de qualité justifiée par des fondamentaux exceptionnels, mais limitant le potentiel de revalorisation. Le comportement du cours, avec une volatilité modérée (27,6%) et une distribution symétrique (kurtosis proche de zéro, skewness faible), reflète une stabilité rassurante pour les investisseurs. Les signaux techniques sont mitigés, avec un MACD haussier et un RSI neutre, mais un stochastique en surachat et des moyennes mobiles contradictoires, suggérant une consolidation à court terme. Les fondamentaux sont indiscutablement solides, avec un ROE de 29%, un coefficient d'exploitation de 42,9% et une croissance soutenue du PNB, confirmés par les rapports trimestriels 2025 et T1 2026. Les prédictions IA (16 620 à 16 541 FCFA sur 10 jours) indiquent une légère baisse, cohérente avec le surachat technique. En synthèse, la convergence entre fondamentaux excellents et valorisation élevée, couplée à des signaux techniques mitigés, conduit à une recommandation **CONSERVER**, avec un niveau de confiance **Moyen** et un risque global **Moyen**. L'horizon d'investissement optimal est le **moyen terme (3-12 mois)**, en attendant une meilleure entrée sur le titre après une éventuelle correction technique, tout en bénéficiant du dividende attractif de 888 FCFA par action proposé pour 2025.</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1,428,410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+106.25%</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38.51% (Élevée) — μ=44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β=2.6483 (Très agressif) — Cov=0.000092, Var(idx)=0.000035, ρ=0.383,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1,428,410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σ_j=4.08%/j (Modérée) — Vol. annualisée≈64.8%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56</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45</w:t>
            </w:r>
          </w:p>
        </w:tc>
        <w:tc>
          <w:tcPr>
            <w:tcW w:type="dxa" w:w="1440"/>
            <w:shd w:fill="FFDCE0" w:val="clear"/>
          </w:tcPr>
          <w:p>
            <w:r>
              <w:rPr>
                <w:b/>
                <w:sz w:val="17"/>
              </w:rPr>
              <w:t>52</w:t>
            </w:r>
          </w:p>
        </w:tc>
        <w:tc>
          <w:tcPr>
            <w:tcW w:type="dxa" w:w="1440"/>
            <w:shd w:fill="FFDCE0" w:val="clear"/>
          </w:tcPr>
          <w:p>
            <w:r>
              <w:rPr>
                <w:sz w:val="17"/>
              </w:rPr>
              <w:t>60</w:t>
            </w:r>
          </w:p>
        </w:tc>
        <w:tc>
          <w:tcPr>
            <w:tcW w:type="dxa" w:w="1440"/>
            <w:shd w:fill="FFDCE0" w:val="clear"/>
          </w:tcPr>
          <w:p>
            <w:r>
              <w:rPr>
                <w:b/>
                <w:color w:val="C00000"/>
                <w:sz w:val="17"/>
              </w:rPr>
              <w:t>-20.8%</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36</w:t>
            </w:r>
          </w:p>
        </w:tc>
        <w:tc>
          <w:tcPr>
            <w:tcW w:type="dxa" w:w="1440"/>
            <w:shd w:fill="FFDCE0" w:val="clear"/>
          </w:tcPr>
          <w:p>
            <w:r>
              <w:rPr>
                <w:b/>
                <w:sz w:val="17"/>
              </w:rPr>
              <w:t>45</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24</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22</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1 193,55 milliards FCFA, ce qui en fait l'une des plus importantes valeurs de la BRVM, reflétant le statut de leader panafricain du groupe Ecobank. Avec un BPA de 19 FCFA, le titre se négocie à un PER de 3,5x, très inférieur à la moyenne du marché BRVM (8-12x), signalant une sous-évaluation potentielle significative. Le P/B de 0,75x indique que le marché valorise le titre en dessous de sa valeur comptable, offrant une marge de sécurité appréciable pour les investisseurs. L'EV/EBITDA de 5,0x confirme cette attractivité, la valeur d'entreprise restant modérée par rapport à la capacité opérationnelle. Ces ratios suggèrent que le marché n'intègre pas pleinement la solidité financière et les perspectives de croissance du groupe.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+106,25%, passant d'un plus bas de 26 FCFA à un plus haut de 78 FCFA, avant de se stabiliser à 66 FCFA. La variation à J-1 est nulle, marquant une pause après cette forte ascension. La moyenne du cours sur la période (44 FCFA) est nettement inférieure à la médiane (34 FCFA), avec un mode à 30 FCFA, indiquant que le titre a passé une grande partie de la période à des niveaux bas avant la récente envolée. L'écart-type de 17 FCFA (CV=38,7%) révèle une dispersion élevée des prix, témoignant d'une forte volatilité. Le kurtosis négatif (-1,304) suggère une distribution aplatie sans pics extrêmes, tandis que le skewness positif (0,687) indique une asymétrie avec des journées majoritairement sous la moyenne. La volatilité annualisée de 64,8% classe le titre comme très risqué, bien au-delà du seuil de 30%.</w:t>
      </w:r>
    </w:p>
    <w:p>
      <w:pPr>
        <w:spacing w:after="120" w:line="276" w:lineRule="auto" w:before="240"/>
      </w:pPr>
      <w:r>
        <w:rPr>
          <w:b/>
          <w:color w:val="003366"/>
          <w:sz w:val="24"/>
        </w:rPr>
        <w:t>**PARTIE 2 : ANALYSE TECHNIQUE DÉTAILLÉE**</w:t>
      </w:r>
    </w:p>
    <w:p>
      <w:pPr>
        <w:spacing w:after="120" w:line="276" w:lineRule="auto"/>
      </w:pPr>
      <w:r>
        <w:t>**Moyennes Mobiles** : La MM20 à 67,25 FCFA et la MM50 à 57,06 FCFA sont toutes deux proches du cours actuel de 66 FCFA. Le cours se situe légèrement sous la MM20 mais nettement au-dessus de la MM50, indiquant une tendance haussière à moyen terme. La configuration des moyennes mobiles, avec la MM20 au-dessus de la MM50, confirme la dynamique positive et justifie la décision d'achat.</w:t>
      </w:r>
    </w:p>
    <w:p>
      <w:pPr>
        <w:spacing w:after="120" w:line="276" w:lineRule="auto"/>
      </w:pPr>
      <w:r>
        <w:t>**Bandes de Bollinger** : Le cours à 66 FCFA se positionne entre la borne supérieure (72,713 FCFA) et la borne inférieure (61,787 FCFA), proche du milieu de l'intervalle. Cette position neutre suggère une volatilité modérée sans excès haussier ou baissier. La largeur des bandes reflète la volatilité élevée du titre, mais le cours reste dans une zone d'équilibre.</w:t>
      </w:r>
    </w:p>
    <w:p>
      <w:pPr>
        <w:spacing w:after="120" w:line="276" w:lineRule="auto"/>
      </w:pPr>
      <w:r>
        <w:t>**MACD** : La valeur du MACD (1,963) est inférieure à son signal (2,921), indiquant un momentum baissier à court terme malgré la tendance haussière de fond. Cette divergence négative suggère un essoufflement de la dynamique haussière, justifiant la décision de vente. Les investisseurs devraient surveiller un éventuel croisement haussier du MACD au-dessus du signal.</w:t>
      </w:r>
    </w:p>
    <w:p>
      <w:pPr>
        <w:spacing w:after="120" w:line="276" w:lineRule="auto"/>
      </w:pPr>
      <w:r>
        <w:t>**RSI** : Le RSI à 50,0 se situe exactement à la zone neutre, indiquant un équilibre entre les forces acheteuses et vendeuses. Cette valeur ne montre ni surachat ni survente, laissant place à une évolution dans les deux sens. La neutralité du RSI suggère une phase de consolidation après la forte hausse.</w:t>
      </w:r>
    </w:p>
    <w:p>
      <w:pPr>
        <w:spacing w:after="120" w:line="276" w:lineRule="auto"/>
      </w:pPr>
      <w:r>
        <w:t>**Stochastique** : Le %K à 40,0 est inférieur au %D à 53,333, indiquant une dynamique baissière à court terme. Cette configuration, sans croisement majeur, suggère une faiblesse relative du momentum. La zone neutre dans laquelle se trouvent ces indicateurs ne fournit pas de signal directionnel fort.</w:t>
      </w:r>
    </w:p>
    <w:p>
      <w:pPr>
        <w:spacing w:after="120" w:line="276" w:lineRule="auto"/>
      </w:pPr>
      <w:r>
        <w:t>**Conclusion technique** : La tendance de fond reste haussière, portée par les moyennes mobiles, mais les indicateurs de momentum (MACD, Stochastique) montrent des signes d'essoufflement à court terme. Le RSI neutre et les bandes de Bollinger équilibrées suggèrent une phase de consolidation. La prudence est recommandée à court terme, avec un potentiel de reprise si le cours maintient le support de la MM50.</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banque solide avec un PNB de 1 424,261 milliards FCFA et un résultat net de 345,523 milliards FCFA, démontrant une excellente rentabilité. Le ROE de 21,62% dépasse largement le seuil d'excellence de 15%, tandis que le ROA de 1,80% confirme l'efficacité de l'utilisation des actifs. Le coefficient d'exploitation de 27,35% est exceptionnel, bien en dessous du seuil de 60% considéré comme efficace, témoignant d'une gestion rigoureuse des charges. Le coût du risque de 18,97% reste élevé, signalant un risque de crédit significatif, mais la croissance du PNB de 12,45% démontre une dynamique commerciale soutenue. Les dépôts clientèle (14 120,139 milliards FCFA) couvrent largement les créances clientèle (6 570,385 milliards FCFA), indiquant une transformation saine. Les rapports semestriels 2026 (datés du 30 juin 2026) confirment cette trajectoire avec un PNB en hausse de 15% à 721,318 milliards FCFA et un résultat net de 166,682 milliards FCFA. Le rapport du 3e trimestre 2025 montre un PNB de 1 029,2 milliards FCFA (+15%) et un résultat net de 267,0 milliards FCFA (+30%), suggérant une accélération. Sur la base de ces données, on estime que l'exercice 2026 devrait dépasser les performances de 2025, avec un PNB potentiel dépassant 1 500 milliards FCFA et un résultat net supérieur à 380 milliards FCFA. Le rapport annuel 2024 (daté du 31 décembre 2024) indiquait déjà un PNB de 1 268 milliards FCFA et un résultat net de 299,7 milliards FCFA, confirmant une progression constante depuis 2021.</w:t>
      </w:r>
    </w:p>
    <w:p>
      <w:pPr>
        <w:spacing w:after="120" w:line="276" w:lineRule="auto" w:before="240"/>
      </w:pPr>
      <w:r>
        <w:rPr>
          <w:b/>
          <w:color w:val="003366"/>
          <w:sz w:val="24"/>
        </w:rPr>
        <w:t>**PARTIE 4 : CONCLUSION D'INVESTISSEMENT**</w:t>
      </w:r>
    </w:p>
    <w:p>
      <w:pPr>
        <w:spacing w:after="120" w:line="276" w:lineRule="auto"/>
      </w:pPr>
      <w:r>
        <w:t>La valorisation d'ETIT est extrêmement attractive avec un PER de 3,5x, un P/B de 0,75x et un EV/EBITDA de 5,0x, indiquant une nette sous-évaluation par rapport aux fondamentaux. Le comportement du cours montre une tendance haussière spectaculaire (+106,25% sur 100 jours), mais avec une volatilité très élevée (64,8%) et une distribution statistique asymétrique qui suggère une prudence. Les signaux techniques sont mitigés : les moyennes mobiles restent haussières, mais le MACD et le Stochastique montrent un essoufflement à court terme, avec un RSI neutre. Les fondamentaux sont excellents avec un ROE de 21,62%, un coefficient d'exploitation de 27,35% et une croissance soutenue du PNB, confirmée par les rapports récents de 2026. Les prédictions IA prévoient une correction significative du cours vers 45 FCFA sur 10 jours, contredisant la tendance haussière récente mais s'alignant avec les signaux techniques d'essoufflement. La convergence entre la sous-évaluation fondamentale et les perspectives de croissance justifie une recommandation d'**ACHAT** avec un niveau de confiance **Moyen** et un risque global **Élevé** en raison de la volatilité. L'horizon d'investissement optimal serait le **moyen terme (3-12 mois)** pour bénéficier de la convergence entre la valeur intrinsèque et le cours, en acceptant une volatilité à court terme.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30.75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3,922 titres</w:t>
            </w:r>
          </w:p>
        </w:tc>
        <w:tc>
          <w:tcPr>
            <w:tcW w:type="dxa" w:w="2268"/>
            <w:shd w:fill="FFF2CC" w:val="clear"/>
          </w:tcPr>
          <w:p>
            <w:r>
              <w:rPr>
                <w:b/>
                <w:color w:val="503200"/>
                <w:sz w:val="16"/>
              </w:rPr>
              <w:t xml:space="preserve">Cours actuel : </w:t>
            </w:r>
            <w:r>
              <w:rPr>
                <w:color w:val="000000"/>
                <w:sz w:val="17"/>
              </w:rPr>
              <w:t>2,180 FCFA</w:t>
            </w:r>
          </w:p>
          <w:p>
            <w:r>
              <w:rPr>
                <w:b/>
                <w:color w:val="503200"/>
                <w:sz w:val="16"/>
              </w:rPr>
              <w:t xml:space="preserve">Var. 100 jours : </w:t>
            </w:r>
            <w:r>
              <w:rPr>
                <w:b/>
                <w:color w:val="B40000"/>
                <w:sz w:val="17"/>
              </w:rPr>
              <w:t>-9.54%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μ=2,160 FCFA, σ=141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β=0.9258 (Neutre (suit le marché)) — Cov=0.000032, Var(idx)=0.000035, ρ=0.240,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2,123</w:t>
            </w:r>
          </w:p>
        </w:tc>
        <w:tc>
          <w:tcPr>
            <w:tcW w:type="dxa" w:w="1440"/>
            <w:shd w:fill="FAFAFA" w:val="clear"/>
          </w:tcPr>
          <w:p>
            <w:r>
              <w:rPr>
                <w:b/>
                <w:sz w:val="17"/>
              </w:rPr>
              <w:t>2,191</w:t>
            </w:r>
          </w:p>
        </w:tc>
        <w:tc>
          <w:tcPr>
            <w:tcW w:type="dxa" w:w="1440"/>
            <w:shd w:fill="FAFAFA" w:val="clear"/>
          </w:tcPr>
          <w:p>
            <w:r>
              <w:rPr>
                <w:sz w:val="17"/>
              </w:rPr>
              <w:t>2,259</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2,104</w:t>
            </w:r>
          </w:p>
        </w:tc>
        <w:tc>
          <w:tcPr>
            <w:tcW w:type="dxa" w:w="1440"/>
            <w:shd w:fill="FAFAFA" w:val="clear"/>
          </w:tcPr>
          <w:p>
            <w:r>
              <w:rPr>
                <w:b/>
                <w:sz w:val="17"/>
              </w:rPr>
              <w:t>2,200</w:t>
            </w:r>
          </w:p>
        </w:tc>
        <w:tc>
          <w:tcPr>
            <w:tcW w:type="dxa" w:w="1440"/>
            <w:shd w:fill="FAFAFA" w:val="clear"/>
          </w:tcPr>
          <w:p>
            <w:r>
              <w:rPr>
                <w:sz w:val="17"/>
              </w:rPr>
              <w:t>2,296</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2,091</w:t>
            </w:r>
          </w:p>
        </w:tc>
        <w:tc>
          <w:tcPr>
            <w:tcW w:type="dxa" w:w="1440"/>
            <w:shd w:fill="FAFAFA" w:val="clear"/>
          </w:tcPr>
          <w:p>
            <w:r>
              <w:rPr>
                <w:b/>
                <w:sz w:val="17"/>
              </w:rPr>
              <w:t>2,209</w:t>
            </w:r>
          </w:p>
        </w:tc>
        <w:tc>
          <w:tcPr>
            <w:tcW w:type="dxa" w:w="1440"/>
            <w:shd w:fill="FAFAFA" w:val="clear"/>
          </w:tcPr>
          <w:p>
            <w:r>
              <w:rPr>
                <w:sz w:val="17"/>
              </w:rPr>
              <w:t>2,328</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2,082</w:t>
            </w:r>
          </w:p>
        </w:tc>
        <w:tc>
          <w:tcPr>
            <w:tcW w:type="dxa" w:w="1440"/>
            <w:shd w:fill="FAFAFA" w:val="clear"/>
          </w:tcPr>
          <w:p>
            <w:r>
              <w:rPr>
                <w:b/>
                <w:sz w:val="17"/>
              </w:rPr>
              <w:t>2,219</w:t>
            </w:r>
          </w:p>
        </w:tc>
        <w:tc>
          <w:tcPr>
            <w:tcW w:type="dxa" w:w="1440"/>
            <w:shd w:fill="FAFAFA" w:val="clear"/>
          </w:tcPr>
          <w:p>
            <w:r>
              <w:rPr>
                <w:sz w:val="17"/>
              </w:rPr>
              <w:t>2,356</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2026-08-31</w:t>
            </w:r>
          </w:p>
        </w:tc>
        <w:tc>
          <w:tcPr>
            <w:tcW w:type="dxa" w:w="1440"/>
            <w:shd w:fill="C6EFCE" w:val="clear"/>
          </w:tcPr>
          <w:p>
            <w:r>
              <w:rPr>
                <w:sz w:val="17"/>
              </w:rPr>
              <w:t>2,075</w:t>
            </w:r>
          </w:p>
        </w:tc>
        <w:tc>
          <w:tcPr>
            <w:tcW w:type="dxa" w:w="1440"/>
            <w:shd w:fill="C6EFCE" w:val="clear"/>
          </w:tcPr>
          <w:p>
            <w:r>
              <w:rPr>
                <w:b/>
                <w:sz w:val="17"/>
              </w:rPr>
              <w:t>2,228</w:t>
            </w:r>
          </w:p>
        </w:tc>
        <w:tc>
          <w:tcPr>
            <w:tcW w:type="dxa" w:w="1440"/>
            <w:shd w:fill="C6EFCE" w:val="clear"/>
          </w:tcPr>
          <w:p>
            <w:r>
              <w:rPr>
                <w:sz w:val="17"/>
              </w:rPr>
              <w:t>2,382</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2026-09-01</w:t>
            </w:r>
          </w:p>
        </w:tc>
        <w:tc>
          <w:tcPr>
            <w:tcW w:type="dxa" w:w="1440"/>
            <w:shd w:fill="C6EFCE" w:val="clear"/>
          </w:tcPr>
          <w:p>
            <w:r>
              <w:rPr>
                <w:sz w:val="17"/>
              </w:rPr>
              <w:t>2,069</w:t>
            </w:r>
          </w:p>
        </w:tc>
        <w:tc>
          <w:tcPr>
            <w:tcW w:type="dxa" w:w="1440"/>
            <w:shd w:fill="C6EFCE" w:val="clear"/>
          </w:tcPr>
          <w:p>
            <w:r>
              <w:rPr>
                <w:b/>
                <w:sz w:val="17"/>
              </w:rPr>
              <w:t>2,238</w:t>
            </w:r>
          </w:p>
        </w:tc>
        <w:tc>
          <w:tcPr>
            <w:tcW w:type="dxa" w:w="1440"/>
            <w:shd w:fill="C6EFCE" w:val="clear"/>
          </w:tcPr>
          <w:p>
            <w:r>
              <w:rPr>
                <w:sz w:val="17"/>
              </w:rPr>
              <w:t>2,407</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2026-09-02</w:t>
            </w:r>
          </w:p>
        </w:tc>
        <w:tc>
          <w:tcPr>
            <w:tcW w:type="dxa" w:w="1440"/>
            <w:shd w:fill="C6EFCE" w:val="clear"/>
          </w:tcPr>
          <w:p>
            <w:r>
              <w:rPr>
                <w:sz w:val="17"/>
              </w:rPr>
              <w:t>2,064</w:t>
            </w:r>
          </w:p>
        </w:tc>
        <w:tc>
          <w:tcPr>
            <w:tcW w:type="dxa" w:w="1440"/>
            <w:shd w:fill="C6EFCE" w:val="clear"/>
          </w:tcPr>
          <w:p>
            <w:r>
              <w:rPr>
                <w:b/>
                <w:sz w:val="17"/>
              </w:rPr>
              <w:t>2,248</w:t>
            </w:r>
          </w:p>
        </w:tc>
        <w:tc>
          <w:tcPr>
            <w:tcW w:type="dxa" w:w="1440"/>
            <w:shd w:fill="C6EFCE" w:val="clear"/>
          </w:tcPr>
          <w:p>
            <w:r>
              <w:rPr>
                <w:sz w:val="17"/>
              </w:rPr>
              <w:t>2,431</w:t>
            </w:r>
          </w:p>
        </w:tc>
        <w:tc>
          <w:tcPr>
            <w:tcW w:type="dxa" w:w="1440"/>
            <w:shd w:fill="C6EFCE" w:val="clear"/>
          </w:tcPr>
          <w:p>
            <w:r>
              <w:rPr>
                <w:b/>
                <w:color w:val="008000"/>
                <w:sz w:val="17"/>
              </w:rPr>
              <w:t>+3.1%</w:t>
            </w:r>
          </w:p>
        </w:tc>
      </w:tr>
      <w:tr>
        <w:tc>
          <w:tcPr>
            <w:tcW w:type="dxa" w:w="1440"/>
            <w:shd w:fill="C6EFCE" w:val="clear"/>
          </w:tcPr>
          <w:p>
            <w:r>
              <w:rPr>
                <w:sz w:val="17"/>
              </w:rPr>
              <w:t>J+8  Moyenne</w:t>
            </w:r>
          </w:p>
        </w:tc>
        <w:tc>
          <w:tcPr>
            <w:tcW w:type="dxa" w:w="1440"/>
            <w:shd w:fill="C6EFCE" w:val="clear"/>
          </w:tcPr>
          <w:p>
            <w:r>
              <w:rPr>
                <w:sz w:val="17"/>
              </w:rPr>
              <w:t>2026-09-03</w:t>
            </w:r>
          </w:p>
        </w:tc>
        <w:tc>
          <w:tcPr>
            <w:tcW w:type="dxa" w:w="1440"/>
            <w:shd w:fill="C6EFCE" w:val="clear"/>
          </w:tcPr>
          <w:p>
            <w:r>
              <w:rPr>
                <w:sz w:val="17"/>
              </w:rPr>
              <w:t>2,060</w:t>
            </w:r>
          </w:p>
        </w:tc>
        <w:tc>
          <w:tcPr>
            <w:tcW w:type="dxa" w:w="1440"/>
            <w:shd w:fill="C6EFCE" w:val="clear"/>
          </w:tcPr>
          <w:p>
            <w:r>
              <w:rPr>
                <w:b/>
                <w:sz w:val="17"/>
              </w:rPr>
              <w:t>2,257</w:t>
            </w:r>
          </w:p>
        </w:tc>
        <w:tc>
          <w:tcPr>
            <w:tcW w:type="dxa" w:w="1440"/>
            <w:shd w:fill="C6EFCE" w:val="clear"/>
          </w:tcPr>
          <w:p>
            <w:r>
              <w:rPr>
                <w:sz w:val="17"/>
              </w:rPr>
              <w:t>2,454</w:t>
            </w:r>
          </w:p>
        </w:tc>
        <w:tc>
          <w:tcPr>
            <w:tcW w:type="dxa" w:w="1440"/>
            <w:shd w:fill="C6EFCE" w:val="clear"/>
          </w:tcPr>
          <w:p>
            <w:r>
              <w:rPr>
                <w:b/>
                <w:color w:val="008000"/>
                <w:sz w:val="17"/>
              </w:rPr>
              <w:t>+3.5%</w:t>
            </w:r>
          </w:p>
        </w:tc>
      </w:tr>
      <w:tr>
        <w:tc>
          <w:tcPr>
            <w:tcW w:type="dxa" w:w="1440"/>
            <w:shd w:fill="C6EFCE" w:val="clear"/>
          </w:tcPr>
          <w:p>
            <w:r>
              <w:rPr>
                <w:sz w:val="17"/>
              </w:rPr>
              <w:t>J+9  Moyenne</w:t>
            </w:r>
          </w:p>
        </w:tc>
        <w:tc>
          <w:tcPr>
            <w:tcW w:type="dxa" w:w="1440"/>
            <w:shd w:fill="C6EFCE" w:val="clear"/>
          </w:tcPr>
          <w:p>
            <w:r>
              <w:rPr>
                <w:sz w:val="17"/>
              </w:rPr>
              <w:t>2026-09-04</w:t>
            </w:r>
          </w:p>
        </w:tc>
        <w:tc>
          <w:tcPr>
            <w:tcW w:type="dxa" w:w="1440"/>
            <w:shd w:fill="C6EFCE" w:val="clear"/>
          </w:tcPr>
          <w:p>
            <w:r>
              <w:rPr>
                <w:sz w:val="17"/>
              </w:rPr>
              <w:t>2,057</w:t>
            </w:r>
          </w:p>
        </w:tc>
        <w:tc>
          <w:tcPr>
            <w:tcW w:type="dxa" w:w="1440"/>
            <w:shd w:fill="C6EFCE" w:val="clear"/>
          </w:tcPr>
          <w:p>
            <w:r>
              <w:rPr>
                <w:b/>
                <w:sz w:val="17"/>
              </w:rPr>
              <w:t>2,267</w:t>
            </w:r>
          </w:p>
        </w:tc>
        <w:tc>
          <w:tcPr>
            <w:tcW w:type="dxa" w:w="1440"/>
            <w:shd w:fill="C6EFCE" w:val="clear"/>
          </w:tcPr>
          <w:p>
            <w:r>
              <w:rPr>
                <w:sz w:val="17"/>
              </w:rPr>
              <w:t>2,477</w:t>
            </w:r>
          </w:p>
        </w:tc>
        <w:tc>
          <w:tcPr>
            <w:tcW w:type="dxa" w:w="1440"/>
            <w:shd w:fill="C6EFCE" w:val="clear"/>
          </w:tcPr>
          <w:p>
            <w:r>
              <w:rPr>
                <w:b/>
                <w:color w:val="008000"/>
                <w:sz w:val="17"/>
              </w:rPr>
              <w:t>+4.0%</w:t>
            </w:r>
          </w:p>
        </w:tc>
      </w:tr>
      <w:tr>
        <w:tc>
          <w:tcPr>
            <w:tcW w:type="dxa" w:w="1440"/>
            <w:shd w:fill="C6EFCE" w:val="clear"/>
          </w:tcPr>
          <w:p>
            <w:r>
              <w:rPr>
                <w:sz w:val="17"/>
              </w:rPr>
              <w:t>J+10  Moyenne</w:t>
            </w:r>
          </w:p>
        </w:tc>
        <w:tc>
          <w:tcPr>
            <w:tcW w:type="dxa" w:w="1440"/>
            <w:shd w:fill="C6EFCE" w:val="clear"/>
          </w:tcPr>
          <w:p>
            <w:r>
              <w:rPr>
                <w:sz w:val="17"/>
              </w:rPr>
              <w:t>2026-09-07</w:t>
            </w:r>
          </w:p>
        </w:tc>
        <w:tc>
          <w:tcPr>
            <w:tcW w:type="dxa" w:w="1440"/>
            <w:shd w:fill="C6EFCE" w:val="clear"/>
          </w:tcPr>
          <w:p>
            <w:r>
              <w:rPr>
                <w:sz w:val="17"/>
              </w:rPr>
              <w:t>2,054</w:t>
            </w:r>
          </w:p>
        </w:tc>
        <w:tc>
          <w:tcPr>
            <w:tcW w:type="dxa" w:w="1440"/>
            <w:shd w:fill="C6EFCE" w:val="clear"/>
          </w:tcPr>
          <w:p>
            <w:r>
              <w:rPr>
                <w:b/>
                <w:sz w:val="17"/>
              </w:rPr>
              <w:t>2,276</w:t>
            </w:r>
          </w:p>
        </w:tc>
        <w:tc>
          <w:tcPr>
            <w:tcW w:type="dxa" w:w="1440"/>
            <w:shd w:fill="C6EFCE" w:val="clear"/>
          </w:tcPr>
          <w:p>
            <w:r>
              <w:rPr>
                <w:sz w:val="17"/>
              </w:rPr>
              <w:t>2,499</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30,75 milliards FCFA, un niveau modeste dans l'écosystème de la BRVM, reflétant un profil de moyenne capitalisation. Le BPA de 33 FCFA par action est faible, ce qui explique un PER de 66,0x, extrêmement élevé par rapport à la moyenne historique de la BRVM (8-12x). Les investisseurs paient donc un prix très cher pour chaque franc de bénéfice généré, ce qui traduit une prime de risque significative ou des anticipations de croissance future. Le P/B de 1,96x indique que le marché valorise la société à près de deux fois sa valeur comptable, une décote relative par rapport à d'autres valeurs, mais le ratio EV/EBITDA de 38,4x, très supérieur au seuil exigeant de 15x, confirme une valorisation globale onéreuse au regard de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FTSC a enregistré une variation totale de -9,54%, avec une dernière séance stable (+0,00%). Le cours a évolué dans une fourchette de 1 910 FCFA (plus bas) à 2 430 FCFA (plus haut), soit une amplitude de 520 FCFA, indiquant des fluctuations notables. La moyenne du cours sur la période est de 2 160 FCFA, légèrement inférieure à la médiane de 2 192 FCFA, suggérant une distribution quasi symétrique, confirmée par un skewness de -0,149. L'écart-type de 141 FCFA (CV=6,5%) montre une dispersion modérée, mais la volatilité annualisée de 36,1% est élevée (&gt;30%), signalant un risque de marché important. Le kurtosis de -1,188 (platykurtique) indique une faible concentration des extrêmes, réduisant le risque de mouvements brutaux. La tendance générale sur la période est baissière, le titre ayant perdu près de 10% de sa valeur, malgré une stabilisation récente autour de 2 180 FCFA.</w:t>
      </w:r>
    </w:p>
    <w:p>
      <w:pPr>
        <w:spacing w:after="120" w:line="276" w:lineRule="auto"/>
      </w:pPr>
      <w:r>
        <w:t>---</w:t>
      </w:r>
    </w:p>
    <w:p>
      <w:pPr>
        <w:spacing w:after="120" w:line="276" w:lineRule="auto"/>
      </w:pPr>
      <w:r>
        <w:t>### PARTIE 2 : ANALYSE TECHNIQUE DÉTAILLÉE</w:t>
      </w:r>
    </w:p>
    <w:p>
      <w:pPr>
        <w:spacing w:after="120" w:line="276" w:lineRule="auto"/>
      </w:pPr>
      <w:r>
        <w:t>**Moyennes Mobiles :** Les MM20 (2 065 FCFA) et MM50 (2 046,4 FCFA) sont toutes deux inférieures au cours actuel de 2 180 FCFA, indiquant une dynamique haussière à court et moyen terme. Le croisement positif des moyennes mobiles et la position du prix au-dessus de celles-ci génèrent un signal d'achat, suggérant que la tendance récente pourrait se poursuivre.</w:t>
      </w:r>
    </w:p>
    <w:p>
      <w:pPr>
        <w:spacing w:after="120" w:line="276" w:lineRule="auto"/>
      </w:pPr>
      <w:r>
        <w:t>**Bandes de Bollinger :** Le cours se situe à 2 180 FCFA, entre la borne inférieure (1 848,4 FCFA) et la borne supérieure (2 281,6 FCFA), proche de la partie haute de l'enveloppe. Cette position indique une volatilité modérée, sans excès, et la décision est neutre. Une cassure au-dessus de la borne supérieure pourrait signaler une accélération haussière, tandis qu'un retour vers la moyenne serait plus probable.</w:t>
      </w:r>
    </w:p>
    <w:p>
      <w:pPr>
        <w:spacing w:after="120" w:line="276" w:lineRule="auto"/>
      </w:pPr>
      <w:r>
        <w:t>**MACD :** La valeur du MACD (41,667) est supérieure à son signal (26,604), avec un écart positif de 15 points. Cette configuration montre un momentum haussier en phase d'accélération, confirmant la dynamique positive observée sur les moyennes mobiles. La décision est à l'achat, soutenue par la divergence positive.</w:t>
      </w:r>
    </w:p>
    <w:p>
      <w:pPr>
        <w:spacing w:after="120" w:line="276" w:lineRule="auto"/>
      </w:pPr>
      <w:r>
        <w:t>**RSI :** Le RSI s'établit à 72,34, au-dessus du seuil de surachat de 70. Cette valeur indique que le titre est techniquement suracheté à court terme, ce qui pourrait précéder un repli ou une consolidation. La décision est à la vente, signalant une prudence nécessaire pour les acheteurs potentiels.</w:t>
      </w:r>
    </w:p>
    <w:p>
      <w:pPr>
        <w:spacing w:after="120" w:line="276" w:lineRule="auto"/>
      </w:pPr>
      <w:r>
        <w:t>**Stochastique :** Le %K (96,429) et le %D (92,857) sont tous deux à des niveaux extrêmement élevés, bien au-dessus de 80, confirmant une condition de surachat sévère. Le croisement potentiel de ces lignes pourrait déclencher un signal de vente à court terme, renforçant la prudence technique.</w:t>
      </w:r>
    </w:p>
    <w:p>
      <w:pPr>
        <w:spacing w:after="120" w:line="276" w:lineRule="auto"/>
      </w:pPr>
      <w:r>
        <w:t>**Conclusion technique :** Les indicateurs de tendance (MM, MACD) sont positifs, mais les oscillateurs (RSI, Stochastique) signalent un surachat prononcé. Cette divergence suggère un risque de correction technique à court terme, malgré une tendance de fond haussière. La prudence est donc de mise, avec une possible consolidation avant une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FTSC montrent un chiffre d'affaires de 32,109 milliards FCFA, en hausse de 4,6% par rapport à 2024 (30,695 milliards FCFA), mais le résultat net chute à 465,98 millions FCFA, contre 18,595 milliards FCFA en 2024, en raison de l'absence de produits exceptionnels liés à la cession de filiales. La marge nette est de 1,45%, et le ROE s'établit à 2,97%, très en deçà du seuil de 15% jugé excellent, tandis que le ROA est de 1,19%. En tant qu'entreprise industrielle, les délais clients (213,7 jours) et de stockage (214,7 jours) sont élevés, immobilisant le capital, mais le BFR de 11,529 milliards FCFA est positif, indiquant un besoin de financement. Les rapports trimestriels 2025 montrent une amélioration progressive : au T1, le CA est de 5,745 milliards FCFA (+7%), mais le résultat d'exploitation est déficitaire (-78 millions FCFA) ; au S1, le CA atteint 13,406 milliards FCFA (+11%), avec un résultat net de 105 millions FCFA ; au T3, le CA cumulé est de 18,371 milliards FCFA (-1%), avec un résultat courant avant impôt de -216 millions FCFA. Pour 2026, le rapport T1 2026 (publié en 2026) indique un CA de 8,901 milliards FCFA (+55%), un résultat d'exploitation positif de 75 millions FCFA, mais un résultat net encore déficitaire de -154 millions FCFA. On estime que l'exercice 2026 pourrait voir une amélioration de la rentabilité opérationnelle, portée par la demande de cacao, mais la trésorerie nette reste fortement négative (-11,528 milliards FCFA), et la capacité de remboursement est de 11,49 ans, un risque majeur.</w:t>
      </w:r>
    </w:p>
    <w:p>
      <w:pPr>
        <w:spacing w:after="120" w:line="276" w:lineRule="auto"/>
      </w:pPr>
      <w:r>
        <w:t>---</w:t>
      </w:r>
    </w:p>
    <w:p>
      <w:pPr>
        <w:spacing w:after="120" w:line="276" w:lineRule="auto"/>
      </w:pPr>
      <w:r>
        <w:t>### PARTIE 4 : CONCLUSION D'INVESTISSEMENT</w:t>
      </w:r>
    </w:p>
    <w:p>
      <w:pPr>
        <w:spacing w:after="120" w:line="276" w:lineRule="auto"/>
      </w:pPr>
      <w:r>
        <w:t>La valorisation de FTSC est clairement surévaluée, avec un PER de 66x et un EV/EBITDA de 38,4x, bien au-dessus des normes BRVM, malgré un P/B de 1,96x. Le comportement du cours sur 100 jours est baissier (-9,54%), avec une volatilité élevée (36,1%), mais les statistiques (kurtosis platykurtique, skewness symétrique) suggèrent une stabilité relative des extrêmes. Les signaux techniques sont mitigés : les moyennes mobiles et le MACD sont positifs, mais le RSI et le stochastique indiquent un surachat, préfigurant une correction. Fondamentalement, la société montre une amélioration opérationnelle (CA en hausse, résultat d'exploitation positif au T1 2026), mais le résultat net reste déficitaire, et la trésorerie est sous pression. Les prédictions IA (2 191 à 2 228 FCFA sur 10 jours) confirment une légère hausse, mais ne contredisent pas le risque de correction technique. En synthèse, la convergence entre la surévaluation, les signaux techniques de surachat et les fondamentaux fragiles conduit à une recommandation de **CONSERVER**, avec un niveau de confiance **Moyen** et un risque global **Élevé**. L'horizon d'investissement optimal est à **moyen terme (3-12 mois)**, en attendant une amélioration durable de la rentabilité et une réduction de l'endettement.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3,337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+6.36%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5.06% (Moyenne) — μ=4,047 FCFA, σ=205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β=0.0394 (Défensif) — Cov=0.000001, Var(idx)=0.000035, ρ=0.010,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3,832</w:t>
            </w:r>
          </w:p>
        </w:tc>
        <w:tc>
          <w:tcPr>
            <w:tcW w:type="dxa" w:w="1440"/>
            <w:shd w:fill="FAFAFA" w:val="clear"/>
          </w:tcPr>
          <w:p>
            <w:r>
              <w:rPr>
                <w:b/>
                <w:sz w:val="17"/>
              </w:rPr>
              <w:t>4,027</w:t>
            </w:r>
          </w:p>
        </w:tc>
        <w:tc>
          <w:tcPr>
            <w:tcW w:type="dxa" w:w="1440"/>
            <w:shd w:fill="FAFAFA" w:val="clear"/>
          </w:tcPr>
          <w:p>
            <w:r>
              <w:rPr>
                <w:sz w:val="17"/>
              </w:rPr>
              <w:t>4,223</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3,738</w:t>
            </w:r>
          </w:p>
        </w:tc>
        <w:tc>
          <w:tcPr>
            <w:tcW w:type="dxa" w:w="1440"/>
            <w:shd w:fill="FAFAFA" w:val="clear"/>
          </w:tcPr>
          <w:p>
            <w:r>
              <w:rPr>
                <w:b/>
                <w:sz w:val="17"/>
              </w:rPr>
              <w:t>4,013</w:t>
            </w:r>
          </w:p>
        </w:tc>
        <w:tc>
          <w:tcPr>
            <w:tcW w:type="dxa" w:w="1440"/>
            <w:shd w:fill="FAFAFA" w:val="clear"/>
          </w:tcPr>
          <w:p>
            <w:r>
              <w:rPr>
                <w:sz w:val="17"/>
              </w:rPr>
              <w:t>4,289</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3,663</w:t>
            </w:r>
          </w:p>
        </w:tc>
        <w:tc>
          <w:tcPr>
            <w:tcW w:type="dxa" w:w="1440"/>
            <w:shd w:fill="FFDCE0" w:val="clear"/>
          </w:tcPr>
          <w:p>
            <w:r>
              <w:rPr>
                <w:b/>
                <w:sz w:val="17"/>
              </w:rPr>
              <w:t>3,999</w:t>
            </w:r>
          </w:p>
        </w:tc>
        <w:tc>
          <w:tcPr>
            <w:tcW w:type="dxa" w:w="1440"/>
            <w:shd w:fill="FFDCE0" w:val="clear"/>
          </w:tcPr>
          <w:p>
            <w:r>
              <w:rPr>
                <w:sz w:val="17"/>
              </w:rPr>
              <w:t>4,334</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3,598</w:t>
            </w:r>
          </w:p>
        </w:tc>
        <w:tc>
          <w:tcPr>
            <w:tcW w:type="dxa" w:w="1440"/>
            <w:shd w:fill="FFDCE0" w:val="clear"/>
          </w:tcPr>
          <w:p>
            <w:r>
              <w:rPr>
                <w:b/>
                <w:sz w:val="17"/>
              </w:rPr>
              <w:t>3,984</w:t>
            </w:r>
          </w:p>
        </w:tc>
        <w:tc>
          <w:tcPr>
            <w:tcW w:type="dxa" w:w="1440"/>
            <w:shd w:fill="FFDCE0" w:val="clear"/>
          </w:tcPr>
          <w:p>
            <w:r>
              <w:rPr>
                <w:sz w:val="17"/>
              </w:rPr>
              <w:t>4,371</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3,542</w:t>
            </w:r>
          </w:p>
        </w:tc>
        <w:tc>
          <w:tcPr>
            <w:tcW w:type="dxa" w:w="1440"/>
            <w:shd w:fill="FFDCE0" w:val="clear"/>
          </w:tcPr>
          <w:p>
            <w:r>
              <w:rPr>
                <w:b/>
                <w:sz w:val="17"/>
              </w:rPr>
              <w:t>3,972</w:t>
            </w:r>
          </w:p>
        </w:tc>
        <w:tc>
          <w:tcPr>
            <w:tcW w:type="dxa" w:w="1440"/>
            <w:shd w:fill="FFDCE0" w:val="clear"/>
          </w:tcPr>
          <w:p>
            <w:r>
              <w:rPr>
                <w:sz w:val="17"/>
              </w:rPr>
              <w:t>4,403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3,491</w:t>
            </w:r>
          </w:p>
        </w:tc>
        <w:tc>
          <w:tcPr>
            <w:tcW w:type="dxa" w:w="1440"/>
            <w:shd w:fill="FFDCE0" w:val="clear"/>
          </w:tcPr>
          <w:p>
            <w:r>
              <w:rPr>
                <w:b/>
                <w:sz w:val="17"/>
              </w:rPr>
              <w:t>3,962</w:t>
            </w:r>
          </w:p>
        </w:tc>
        <w:tc>
          <w:tcPr>
            <w:tcW w:type="dxa" w:w="1440"/>
            <w:shd w:fill="FFDCE0" w:val="clear"/>
          </w:tcPr>
          <w:p>
            <w:r>
              <w:rPr>
                <w:sz w:val="17"/>
              </w:rPr>
              <w:t>4,432</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3,446</w:t>
            </w:r>
          </w:p>
        </w:tc>
        <w:tc>
          <w:tcPr>
            <w:tcW w:type="dxa" w:w="1440"/>
            <w:shd w:fill="FFDCE0" w:val="clear"/>
          </w:tcPr>
          <w:p>
            <w:r>
              <w:rPr>
                <w:b/>
                <w:sz w:val="17"/>
              </w:rPr>
              <w:t>3,953</w:t>
            </w:r>
          </w:p>
        </w:tc>
        <w:tc>
          <w:tcPr>
            <w:tcW w:type="dxa" w:w="1440"/>
            <w:shd w:fill="FFDCE0" w:val="clear"/>
          </w:tcPr>
          <w:p>
            <w:r>
              <w:rPr>
                <w:sz w:val="17"/>
              </w:rPr>
              <w:t>4,460</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3,405</w:t>
            </w:r>
          </w:p>
        </w:tc>
        <w:tc>
          <w:tcPr>
            <w:tcW w:type="dxa" w:w="1440"/>
            <w:shd w:fill="FFDCE0" w:val="clear"/>
          </w:tcPr>
          <w:p>
            <w:r>
              <w:rPr>
                <w:b/>
                <w:sz w:val="17"/>
              </w:rPr>
              <w:t>3,947</w:t>
            </w:r>
          </w:p>
        </w:tc>
        <w:tc>
          <w:tcPr>
            <w:tcW w:type="dxa" w:w="1440"/>
            <w:shd w:fill="FFDCE0" w:val="clear"/>
          </w:tcPr>
          <w:p>
            <w:r>
              <w:rPr>
                <w:sz w:val="17"/>
              </w:rPr>
              <w:t>4,488</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3,370</w:t>
            </w:r>
          </w:p>
        </w:tc>
        <w:tc>
          <w:tcPr>
            <w:tcW w:type="dxa" w:w="1440"/>
            <w:shd w:fill="FFDCE0" w:val="clear"/>
          </w:tcPr>
          <w:p>
            <w:r>
              <w:rPr>
                <w:b/>
                <w:sz w:val="17"/>
              </w:rPr>
              <w:t>3,943</w:t>
            </w:r>
          </w:p>
        </w:tc>
        <w:tc>
          <w:tcPr>
            <w:tcW w:type="dxa" w:w="1440"/>
            <w:shd w:fill="FFDCE0" w:val="clear"/>
          </w:tcPr>
          <w:p>
            <w:r>
              <w:rPr>
                <w:sz w:val="17"/>
              </w:rPr>
              <w:t>4,517</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3,339</w:t>
            </w:r>
          </w:p>
        </w:tc>
        <w:tc>
          <w:tcPr>
            <w:tcW w:type="dxa" w:w="1440"/>
            <w:shd w:fill="FFDCE0" w:val="clear"/>
          </w:tcPr>
          <w:p>
            <w:r>
              <w:rPr>
                <w:b/>
                <w:sz w:val="17"/>
              </w:rPr>
              <w:t>3,944</w:t>
            </w:r>
          </w:p>
        </w:tc>
        <w:tc>
          <w:tcPr>
            <w:tcW w:type="dxa" w:w="1440"/>
            <w:shd w:fill="FFDCE0" w:val="clear"/>
          </w:tcPr>
          <w:p>
            <w:r>
              <w:rPr>
                <w:sz w:val="17"/>
              </w:rPr>
              <w:t>4,548</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22 août 2026**</w:t>
        <w:br/>
        <w:t>**Cours de référence : 4 095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81,90 milliards FCFA, un niveau significatif qui la place parmi les valeurs moyennes de la BRVM. Avec un BPA de 231 FCFA, le titre se négocie à un PER de 17,7x, nettement supérieur à la moyenne historique de la place (~8-12x), indiquant que les investisseurs paient une prime substantielle pour la croissance future anticipée. Le P/B de 3,73x confirme cette prime, le marché valorisant le titre à près de 4 fois sa valeur comptable, ce qui reflète une forte confiance dans la création de valeur future. Enfin, l'EV/EBITDA de 10,4x, bien que dans la fourchette haute (10-15x), reste cohérent avec une entreprise disposant d'une capacité opérationnelle solide et d'une trésorerie abondante de près de 8 milliards FCFA. Ces ratios suggèrent une valorisation exigeante qui devra être justifiée par une exécution stratégique sans faille.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affiche une progression de +6,36%, avec une légère consolidation de -0,12% lors de la dernière séance. Le titre a évolué dans un range de 735 FCFA, entre un plus bas de 3 825 FCFA et un plus haut de 4 560 FCFA. La moyenne du cours (4 047 FCFA) est supérieure à la médiane (3 980 FCFA), et le skewness positif de 0,658 indique une distribution asymétrique avec des journées plus fréquentes sous la moyenne, mais des mouvements haussiers ponctuels plus amples. Le kurtosis de -0,959 (mésokurtique) suggère une absence de risques extrêmes, tandis que l'écart-type de 206 FCFA (CV=5,1%) témoigne d'une dispersion modérée. La volatilité annualisée de 36,3% classe le titre dans la catégorie "élevée" (&gt;30%), ce qui implique des fluctuations importantes et un risque de marché substantiel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(4 095 FCFA) se situe en dessous de la MM20 (4 246 FCFA) et de la MM50 (4 211,6 FCFA). Cette configuration baissière à court terme est néanmoins tempérée par la proximité des deux moyennes, suggérant une possible zone de retournement. La décision "Achat" indique que le titre pourrait rebondir vers ses moyennes, mais la prudence reste de mise tant que le cours ne repasse pas au-dessus de la MM50.</w:t>
      </w:r>
    </w:p>
    <w:p>
      <w:pPr>
        <w:spacing w:after="120" w:line="276" w:lineRule="auto"/>
      </w:pPr>
      <w:r>
        <w:t>**Bandes de Bollinger** : Le prix évolue dans la moitié inférieure du canal, proche de la borne inférieure (3 954,6 FCFA) et loin de la borne supérieure (4 537,4 FCFA). Cette position suggère une pression vendeuse, mais la largeur des bandes indique une volatilité encore élevée. La décision "Neutre" est cohérente avec une situation où le titre n'est ni suracheté ni survendu, mais en phase de test de support.</w:t>
      </w:r>
    </w:p>
    <w:p>
      <w:pPr>
        <w:spacing w:after="120" w:line="276" w:lineRule="auto"/>
      </w:pPr>
      <w:r>
        <w:t>**MACD** : La valeur négative du MACD (-37,84) et son signal (-12,37) confirment une dynamique baissière. La divergence négative entre la ligne MACD et sa ligne de signal indique un momentum vendeur persistant. La décision "Vente" est justifiée par cette configuration, même si l'écart entre les deux lignes suggère un possible ralentissement de la tendance baissière.</w:t>
      </w:r>
    </w:p>
    <w:p>
      <w:pPr>
        <w:spacing w:after="120" w:line="276" w:lineRule="auto"/>
      </w:pPr>
      <w:r>
        <w:t>**RSI** : À 29,23, le RSI est en zone de survente (&lt;30), signalant que le titre est techniquement survendu. Cette situation précède souvent un rebond technique, ce qui justifie la décision "Achat". Les vendeurs semblent épuisés à ces niveaux, et un mouvement de correction haussière est probable à court terme.</w:t>
      </w:r>
    </w:p>
    <w:p>
      <w:pPr>
        <w:spacing w:after="120" w:line="276" w:lineRule="auto"/>
      </w:pPr>
      <w:r>
        <w:t>**Stochastique** : Le %K (16,96) et le %D (22,32) sont tous deux en zone de survente (&lt;20), avec un %K sous le %D, indiquant une dynamique baissière persistante. Cependant, la proximité de ces niveaux extrêmes suggère un potentiel de retournement imminent. La décision "Achat" reflète cette anticipation d'un croisement haussier.</w:t>
      </w:r>
    </w:p>
    <w:p>
      <w:pPr>
        <w:spacing w:after="120" w:line="276" w:lineRule="auto"/>
      </w:pPr>
      <w:r>
        <w:t>**Conclusion technique** : Les indicateurs sont mitigés, avec un MACD vendeur contrastant avec un RSI et un Stochastique en survente suggérant un rebond imminent. Le titre évolue dans une zone de support critique (3 950-4 000 FCFA), et la convergence des signaux de survente pourrait déclencher un mouvement haussier technique à court terme, bien que la tendance de fond reste baissière.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LNBB révèlent un chiffre d'affaires de 98,598 milliards FCFA, en baisse de -3,85% par rapport à 2024, et un résultat net de 4,622 milliards FCFA, en recul de -36%. La marge nette s'établit à 4,69%, le ROE à 21,05% (excellent, &gt;15%) et le ROA à 14,17%. La structure financière est très saine avec une autonomie financière de 67,32%, une trésorerie nette positive de 7,979 milliards FCFA et un BFR faible de 217 millions FCFA. Les délais clients (4,82 jours) et fournisseurs (20,41 jours) sont très courts, indiquant une excellente gestion du cycle d'exploitation. **Les rapports trimestriels 2026** montrent une reprise : le T1 2026 affiche un CA en hausse de +6% à 25,521 milliards FCFA, mais un résultat net en chute de -46% à 848 millions FCFA, pénalisé par le mix produit (pari sportif à faible marge). Le S1 2026 confirme la reprise du CA (+4% à 49,937 milliards FCFA) avec un résultat net en progression de +60%, grâce à la maîtrise des charges et aux revenus de partenariats. **On estime que** l'exercice 2026 devrait voir un CA en légère croissance (+4-6%) et un résultat net en nette amélioration, porté par la diversification et le digital, mais la pression sur les marges reste un défi majeur.</w:t>
      </w:r>
    </w:p>
    <w:p>
      <w:pPr>
        <w:spacing w:after="120" w:line="276" w:lineRule="auto"/>
      </w:pPr>
      <w:r>
        <w:t>---</w:t>
      </w:r>
    </w:p>
    <w:p>
      <w:pPr>
        <w:spacing w:after="120" w:line="276" w:lineRule="auto"/>
      </w:pPr>
      <w:r>
        <w:t>### PARTIE 4 : CONCLUSION D'INVESTISSEMENT</w:t>
      </w:r>
    </w:p>
    <w:p>
      <w:pPr>
        <w:spacing w:after="120" w:line="276" w:lineRule="auto"/>
      </w:pPr>
      <w:r>
        <w:t>La valorisation de LNBB (PER 17,7x, P/B 3,73x) est exigeante et reflète une prime de croissance qui devra être justifiée par une amélioration durable des fondamentaux. Le comportement du cours sur 100 jours (+6,36%) montre une résilience, mais la volatilité élevée (36,3%) et l'asymétrie positive (skewness 0,658) indiquent un risque non négligeable. Les signaux techniques sont mitigés : le MACD vendeur contraste avec un RSI et un Stochastique en survente, suggérant un rebond technique imminent. Les fondamentaux restent solides (ROE &gt;21%, trésorerie abondante), et les rapports S1 2026 confirment une reprise de la rentabilité (+60% du résultat net). Les prédictions IA (4 027 à 3 972 FCFA sur 10 jours) anticipent une légère baisse, en ligne avec la tendance technique court terme, mais ne remettent pas en cause le potentiel de redressement. **Recommandation finale : CONSERVER**, avec un niveau de confiance **Moyen** et un risque global **Élevé**. L'horizon d'investissement optimal est le **moyen terme (3-12 mois)**, en attendant la confirmation de l'amélioration des marges et la stabilisation du produit brut des jeux. Un renforcement serait envisageable sous les 3 900 FCFA, ou après publication de résultats annuels 2026 confirmant la tendance positive.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+67.83%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29.6/100 → Moyen</w:t>
      </w:r>
    </w:p>
    <w:p>
      <w:pPr>
        <w:spacing w:before="40" w:after="80"/>
      </w:pPr>
      <w:r>
        <w:rPr>
          <w:rFonts w:ascii="Courier New" w:hAnsi="Courier New"/>
          <w:color w:val="825A00"/>
          <w:sz w:val="18"/>
        </w:rPr>
        <w:t>█████░░░░░░░░░░░░░░░  29.6/100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16.90% (Élevée) — μ=1,977 FCFA, σ=334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β=0.0421 (Défensif) — Cov=0.000001, Var(idx)=0.000035, ρ=0.008,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2,085</w:t>
            </w:r>
          </w:p>
        </w:tc>
        <w:tc>
          <w:tcPr>
            <w:tcW w:type="dxa" w:w="1440"/>
            <w:shd w:fill="FFDCE0" w:val="clear"/>
          </w:tcPr>
          <w:p>
            <w:r>
              <w:rPr>
                <w:b/>
                <w:sz w:val="17"/>
              </w:rPr>
              <w:t>2,220</w:t>
            </w:r>
          </w:p>
        </w:tc>
        <w:tc>
          <w:tcPr>
            <w:tcW w:type="dxa" w:w="1440"/>
            <w:shd w:fill="FFDCE0" w:val="clear"/>
          </w:tcPr>
          <w:p>
            <w:r>
              <w:rPr>
                <w:sz w:val="17"/>
              </w:rPr>
              <w:t>2,355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1,877</w:t>
            </w:r>
          </w:p>
        </w:tc>
        <w:tc>
          <w:tcPr>
            <w:tcW w:type="dxa" w:w="1440"/>
            <w:shd w:fill="FFDCE0" w:val="clear"/>
          </w:tcPr>
          <w:p>
            <w:r>
              <w:rPr>
                <w:b/>
                <w:sz w:val="17"/>
              </w:rPr>
              <w:t>2,054</w:t>
            </w:r>
          </w:p>
        </w:tc>
        <w:tc>
          <w:tcPr>
            <w:tcW w:type="dxa" w:w="1440"/>
            <w:shd w:fill="FFDCE0" w:val="clear"/>
          </w:tcPr>
          <w:p>
            <w:r>
              <w:rPr>
                <w:sz w:val="17"/>
              </w:rPr>
              <w:t>2,230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1,700</w:t>
            </w:r>
          </w:p>
        </w:tc>
        <w:tc>
          <w:tcPr>
            <w:tcW w:type="dxa" w:w="1440"/>
            <w:shd w:fill="FFDCE0" w:val="clear"/>
          </w:tcPr>
          <w:p>
            <w:r>
              <w:rPr>
                <w:b/>
                <w:sz w:val="17"/>
              </w:rPr>
              <w:t>1,899</w:t>
            </w:r>
          </w:p>
        </w:tc>
        <w:tc>
          <w:tcPr>
            <w:tcW w:type="dxa" w:w="1440"/>
            <w:shd w:fill="FFDCE0" w:val="clear"/>
          </w:tcPr>
          <w:p>
            <w:r>
              <w:rPr>
                <w:sz w:val="17"/>
              </w:rPr>
              <w:t>2,099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1,560</w:t>
            </w:r>
          </w:p>
        </w:tc>
        <w:tc>
          <w:tcPr>
            <w:tcW w:type="dxa" w:w="1440"/>
            <w:shd w:fill="FFDCE0" w:val="clear"/>
          </w:tcPr>
          <w:p>
            <w:r>
              <w:rPr>
                <w:b/>
                <w:sz w:val="17"/>
              </w:rPr>
              <w:t>1,776</w:t>
            </w:r>
          </w:p>
        </w:tc>
        <w:tc>
          <w:tcPr>
            <w:tcW w:type="dxa" w:w="1440"/>
            <w:shd w:fill="FFDCE0" w:val="clear"/>
          </w:tcPr>
          <w:p>
            <w:r>
              <w:rPr>
                <w:sz w:val="17"/>
              </w:rPr>
              <w:t>1,991</w:t>
            </w:r>
          </w:p>
        </w:tc>
        <w:tc>
          <w:tcPr>
            <w:tcW w:type="dxa" w:w="1440"/>
            <w:shd w:fill="FFDCE0" w:val="clear"/>
          </w:tcPr>
          <w:p>
            <w:r>
              <w:rPr>
                <w:b/>
                <w:color w:val="C00000"/>
                <w:sz w:val="17"/>
              </w:rPr>
              <w:t>-26.0%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1,459</w:t>
            </w:r>
          </w:p>
        </w:tc>
        <w:tc>
          <w:tcPr>
            <w:tcW w:type="dxa" w:w="1440"/>
            <w:shd w:fill="FFDCE0" w:val="clear"/>
          </w:tcPr>
          <w:p>
            <w:r>
              <w:rPr>
                <w:b/>
                <w:sz w:val="17"/>
              </w:rPr>
              <w:t>1,688</w:t>
            </w:r>
          </w:p>
        </w:tc>
        <w:tc>
          <w:tcPr>
            <w:tcW w:type="dxa" w:w="1440"/>
            <w:shd w:fill="FFDCE0" w:val="clear"/>
          </w:tcPr>
          <w:p>
            <w:r>
              <w:rPr>
                <w:sz w:val="17"/>
              </w:rPr>
              <w:t>1,917</w:t>
            </w:r>
          </w:p>
        </w:tc>
        <w:tc>
          <w:tcPr>
            <w:tcW w:type="dxa" w:w="1440"/>
            <w:shd w:fill="FFDCE0" w:val="clear"/>
          </w:tcPr>
          <w:p>
            <w:r>
              <w:rPr>
                <w:b/>
                <w:color w:val="C00000"/>
                <w:sz w:val="17"/>
              </w:rPr>
              <w:t>-29.7%</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1,375</w:t>
            </w:r>
          </w:p>
        </w:tc>
        <w:tc>
          <w:tcPr>
            <w:tcW w:type="dxa" w:w="1440"/>
            <w:shd w:fill="FFDCE0" w:val="clear"/>
          </w:tcPr>
          <w:p>
            <w:r>
              <w:rPr>
                <w:b/>
                <w:sz w:val="17"/>
              </w:rPr>
              <w:t>1,615</w:t>
            </w:r>
          </w:p>
        </w:tc>
        <w:tc>
          <w:tcPr>
            <w:tcW w:type="dxa" w:w="1440"/>
            <w:shd w:fill="FFDCE0" w:val="clear"/>
          </w:tcPr>
          <w:p>
            <w:r>
              <w:rPr>
                <w:sz w:val="17"/>
              </w:rPr>
              <w:t>1,855</w:t>
            </w:r>
          </w:p>
        </w:tc>
        <w:tc>
          <w:tcPr>
            <w:tcW w:type="dxa" w:w="1440"/>
            <w:shd w:fill="FFDCE0" w:val="clear"/>
          </w:tcPr>
          <w:p>
            <w:r>
              <w:rPr>
                <w:b/>
                <w:color w:val="C00000"/>
                <w:sz w:val="17"/>
              </w:rPr>
              <w:t>-32.7%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1,303</w:t>
            </w:r>
          </w:p>
        </w:tc>
        <w:tc>
          <w:tcPr>
            <w:tcW w:type="dxa" w:w="1440"/>
            <w:shd w:fill="FFDCE0" w:val="clear"/>
          </w:tcPr>
          <w:p>
            <w:r>
              <w:rPr>
                <w:b/>
                <w:sz w:val="17"/>
              </w:rPr>
              <w:t>1,552</w:t>
            </w:r>
          </w:p>
        </w:tc>
        <w:tc>
          <w:tcPr>
            <w:tcW w:type="dxa" w:w="1440"/>
            <w:shd w:fill="FFDCE0" w:val="clear"/>
          </w:tcPr>
          <w:p>
            <w:r>
              <w:rPr>
                <w:sz w:val="17"/>
              </w:rPr>
              <w:t>1,801</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1,240</w:t>
            </w:r>
          </w:p>
        </w:tc>
        <w:tc>
          <w:tcPr>
            <w:tcW w:type="dxa" w:w="1440"/>
            <w:shd w:fill="FFDCE0" w:val="clear"/>
          </w:tcPr>
          <w:p>
            <w:r>
              <w:rPr>
                <w:b/>
                <w:sz w:val="17"/>
              </w:rPr>
              <w:t>1,497</w:t>
            </w:r>
          </w:p>
        </w:tc>
        <w:tc>
          <w:tcPr>
            <w:tcW w:type="dxa" w:w="1440"/>
            <w:shd w:fill="FFDCE0" w:val="clear"/>
          </w:tcPr>
          <w:p>
            <w:r>
              <w:rPr>
                <w:sz w:val="17"/>
              </w:rPr>
              <w:t>1,753</w:t>
            </w:r>
          </w:p>
        </w:tc>
        <w:tc>
          <w:tcPr>
            <w:tcW w:type="dxa" w:w="1440"/>
            <w:shd w:fill="FFDCE0" w:val="clear"/>
          </w:tcPr>
          <w:p>
            <w:r>
              <w:rPr>
                <w:b/>
                <w:color w:val="C00000"/>
                <w:sz w:val="17"/>
              </w:rPr>
              <w:t>-37.6%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1,184</w:t>
            </w:r>
          </w:p>
        </w:tc>
        <w:tc>
          <w:tcPr>
            <w:tcW w:type="dxa" w:w="1440"/>
            <w:shd w:fill="FFDCE0" w:val="clear"/>
          </w:tcPr>
          <w:p>
            <w:r>
              <w:rPr>
                <w:b/>
                <w:sz w:val="17"/>
              </w:rPr>
              <w:t>1,447</w:t>
            </w:r>
          </w:p>
        </w:tc>
        <w:tc>
          <w:tcPr>
            <w:tcW w:type="dxa" w:w="1440"/>
            <w:shd w:fill="FFDCE0" w:val="clear"/>
          </w:tcPr>
          <w:p>
            <w:r>
              <w:rPr>
                <w:sz w:val="17"/>
              </w:rPr>
              <w:t>1,710</w:t>
            </w:r>
          </w:p>
        </w:tc>
        <w:tc>
          <w:tcPr>
            <w:tcW w:type="dxa" w:w="1440"/>
            <w:shd w:fill="FFDCE0" w:val="clear"/>
          </w:tcPr>
          <w:p>
            <w:r>
              <w:rPr>
                <w:b/>
                <w:color w:val="C00000"/>
                <w:sz w:val="17"/>
              </w:rPr>
              <w:t>-39.7%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1,133</w:t>
            </w:r>
          </w:p>
        </w:tc>
        <w:tc>
          <w:tcPr>
            <w:tcW w:type="dxa" w:w="1440"/>
            <w:shd w:fill="FFDCE0" w:val="clear"/>
          </w:tcPr>
          <w:p>
            <w:r>
              <w:rPr>
                <w:b/>
                <w:sz w:val="17"/>
              </w:rPr>
              <w:t>1,402</w:t>
            </w:r>
          </w:p>
        </w:tc>
        <w:tc>
          <w:tcPr>
            <w:tcW w:type="dxa" w:w="1440"/>
            <w:shd w:fill="FFDCE0" w:val="clear"/>
          </w:tcPr>
          <w:p>
            <w:r>
              <w:rPr>
                <w:sz w:val="17"/>
              </w:rPr>
              <w:t>1,671</w:t>
            </w:r>
          </w:p>
        </w:tc>
        <w:tc>
          <w:tcPr>
            <w:tcW w:type="dxa" w:w="1440"/>
            <w:shd w:fill="FFDCE0" w:val="clear"/>
          </w:tcPr>
          <w:p>
            <w:r>
              <w:rPr>
                <w:b/>
                <w:color w:val="C00000"/>
                <w:sz w:val="17"/>
              </w:rPr>
              <w:t>-41.6%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30,64 milliards FCFA, un niveau qui la positionne comme une valeur de taille moyenne sur la BRVM. Avec un BPA de 160 FCFA, chaque action génère un bénéfice confortable, mais le PER de 15,0x se situe nettement au-dessus de la moyenne historique de la BRVM (8-12x), indiquant que les investisseurs paient une prime substantielle pour la croissance anticipée. Le P/B de 5,32x confirme cette lecture, le marché valorisant le titre plus de cinq fois sa valeur comptable, ce qui reflète une forte prime sur les actifs. Enfin, l'EV/EBITDA de 22,4x est particulièrement exigeant, signalant que la valeur d'entreprise est très élevée par rapport à la capacité opérationnelle de génération de cash,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+67,83%, avec une dernière séance en hausse de +2,13% à 2 400 FCFA, son plus haut niveau sur la période. Le cours a évolué dans une fourchette large de 1 365 à 2 400 FCFA, démontrant une forte dynamique haussière. La moyenne (1 977 FCFA) est inférieure à la médiane (2 012 FCFA), indiquant une distribution légèrement asymétrique avec des journées de forte hausse tirant la moyenne vers le haut. L'écart-type de 336 FCFA (CV=17,0%) révèle une dispersion modérée, tandis que le kurtosis de -0,837 (mésokurtique) suggère l'absence de risques extrêmes, et le skewness négatif (-0,704) indique une asymétrie avec plus de journées au-dessus de la moyenne. La volatilité annualisée de 50,9% classe le titre comme très volatil, un niveau élevé qui implique un risque significatif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(2 400 FCFA) se positionne nettement au-dessus des MM20 (2 254 FCFA) et MM50 (2 251,4 FCFA), qui sont quasi identiques. Cette configuration haussière, avec le prix au-dessus des deux moyennes, confirme une tendance positive soutenue, justifiant la décision d'achat.</w:t>
      </w:r>
    </w:p>
    <w:p>
      <w:pPr>
        <w:spacing w:after="120" w:line="276" w:lineRule="auto"/>
      </w:pPr>
      <w:r>
        <w:t>**Bandes de Bollinger** : Le prix à 2 400 FCFA se situe au-dessus de la borne supérieure (2 381,55 FCFA), indiquant une condition de surachat technique. Cette sortie de bande suggère une volatilité accrue et un possible retour vers la moyenne, justifiant la décision de vente à court terme.</w:t>
      </w:r>
    </w:p>
    <w:p>
      <w:pPr>
        <w:spacing w:after="120" w:line="276" w:lineRule="auto"/>
      </w:pPr>
      <w:r>
        <w:t>**MACD** : La valeur positive de 18,078 avec un signal à 7,155 montre un momentum haussier solide, la ligne MACD étant nettement au-dessus de sa ligne de signal. Cette divergence positive confirme la dynamique ascendante, justifiant la décision d'achat.</w:t>
      </w:r>
    </w:p>
    <w:p>
      <w:pPr>
        <w:spacing w:after="120" w:line="276" w:lineRule="auto"/>
      </w:pPr>
      <w:r>
        <w:t>**RSI** : À 59,52, le RSI se situe en zone neutre, ni suracheté ni survendu. Cette valeur indique une pression acheteuse modérée sans extrême, laissant de la marge pour une poursuite de la hausse tout en signalant une prudence relative.</w:t>
      </w:r>
    </w:p>
    <w:p>
      <w:pPr>
        <w:spacing w:after="120" w:line="276" w:lineRule="auto"/>
      </w:pPr>
      <w:r>
        <w:t>**Stochastique** : Avec %K à 100,0 et %D à 81,08, l'oscillateur est en zone de surachat extrême. Le %K au maximum absolu suggère un épuisement potentiel du mouvement haussier, justifiant la décision de vente.</w:t>
      </w:r>
    </w:p>
    <w:p>
      <w:pPr>
        <w:spacing w:after="120" w:line="276" w:lineRule="auto"/>
      </w:pPr>
      <w:r>
        <w:t>**Conclusion technique** : Les indicateurs sont partagés entre signaux d'achat (MM, MACD) et de vente (Bollinger, Stochastique), avec un RSI neutre. Cette divergence indique une tendance haussière sous-jacente mais un risque de correction à court terme, le titre étant suracheté à très court terme.</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structurées solides : un chiffre d'affaires de 5,139 milliards FCFA, un résultat net de 2,037 milliards FCFA (marge nette de 39,6%), et des ratios de rentabilité excellents avec un ROE de 35,4% et un ROA de 27,3%. La structure financière est saine avec une autonomie financière de 77% et une trésorerie nette de 4,196 milliards FCFA. Cependant, le taux de croissance du CA est négatif à -23,8%, signalant une contraction de l'activité. Les rapports trimestriels 2025 confirment cette tendance : le T1 2025 a enregistré un CA catastrophique de 48,5 millions FCFA (-154%) et une perte de -189,9 millions, tandis que le T3 2025 a vu un CA de 3,406 milliards (-35%) mais un bénéfice exceptionnel de 1,596 milliards grâce à une reprise de provision. Le rapport 2025 (publié en 2026) indique un résultat net de 2,04 milliards (+169%) et un CA de 6,74 milliards (+29%), avec un dividende de 100% du résultat. Le rapport T1 2026 montre une amélioration avec un CA de 115,1 millions (+137%) mais une perte persistante de -168,9 millions. La société reste structurellement déficitaire sur son activité courante, dépendante des éléments exceptionnels et des marchés publics.</w:t>
      </w:r>
    </w:p>
    <w:p>
      <w:pPr>
        <w:spacing w:after="120" w:line="276" w:lineRule="auto" w:before="240"/>
      </w:pPr>
      <w:r>
        <w:rPr>
          <w:b/>
          <w:color w:val="003366"/>
          <w:sz w:val="24"/>
        </w:rPr>
        <w:t>**PARTIE 4 : CONCLUSION D'INVESTISSEMENT**</w:t>
      </w:r>
    </w:p>
    <w:p>
      <w:pPr>
        <w:spacing w:after="120" w:line="276" w:lineRule="auto"/>
      </w:pPr>
      <w:r>
        <w:t>La valorisation actuelle de NEIC est exigeante avec un PER de 15,0x et un P/B de 5,32x, nettement supérieurs aux moyennes BRVM, indiquant une surévaluation relative malgré des fondamentaux solides. Le comportement du cours montre une tendance haussière spectaculaire (+67,8% en 100 jours) mais avec une volatilité très élevée (50,9%) et des statistiques suggérant un risque de retournement. Les signaux techniques sont mitigés, avec une convergence haussière (MM, MACD) mais des conditions de surachat (Bollinger, Stochastique) qui appellent à la prudence. Les fondamentaux 2025 sont excellents sur le papier (ROE 35,4%, résultat net 2,04 milliards) mais masquent une activité commerciale en déclin et une dépendance aux éléments exceptionnels. Les prédictions IA (2 220 à 1 688 FCFA sur 10 jours) confirment un scénario de correction, en contradiction avec la tendance récente. Sur cette base, je recommande **CONSERVER** avec un niveau de confiance **Moyen** et un risque global **Élevé**. L'horizon optimal est le **moyen terme (3-12 mois)**, en attendant une clarification de la dynamique commerciale et une stabilisation du cours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566.42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1,985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+61.89%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19.49% (Élevée) — μ=18,615 FCFA, σ=3,627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β=1.2703 (Agressif) — Cov=0.000044, Var(idx)=0.000035, ρ=0.316,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2026-08-24</w:t>
            </w:r>
          </w:p>
        </w:tc>
        <w:tc>
          <w:tcPr>
            <w:tcW w:type="dxa" w:w="1440"/>
            <w:shd w:fill="C6EFCE" w:val="clear"/>
          </w:tcPr>
          <w:p>
            <w:r>
              <w:rPr>
                <w:sz w:val="17"/>
              </w:rPr>
              <w:t>22,582</w:t>
            </w:r>
          </w:p>
        </w:tc>
        <w:tc>
          <w:tcPr>
            <w:tcW w:type="dxa" w:w="1440"/>
            <w:shd w:fill="C6EFCE" w:val="clear"/>
          </w:tcPr>
          <w:p>
            <w:r>
              <w:rPr>
                <w:b/>
                <w:sz w:val="17"/>
              </w:rPr>
              <w:t>23,472</w:t>
            </w:r>
          </w:p>
        </w:tc>
        <w:tc>
          <w:tcPr>
            <w:tcW w:type="dxa" w:w="1440"/>
            <w:shd w:fill="C6EFCE" w:val="clear"/>
          </w:tcPr>
          <w:p>
            <w:r>
              <w:rPr>
                <w:sz w:val="17"/>
              </w:rPr>
              <w:t>24,362</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2026-08-25</w:t>
            </w:r>
          </w:p>
        </w:tc>
        <w:tc>
          <w:tcPr>
            <w:tcW w:type="dxa" w:w="1440"/>
            <w:shd w:fill="C6EFCE" w:val="clear"/>
          </w:tcPr>
          <w:p>
            <w:r>
              <w:rPr>
                <w:sz w:val="17"/>
              </w:rPr>
              <w:t>22,612</w:t>
            </w:r>
          </w:p>
        </w:tc>
        <w:tc>
          <w:tcPr>
            <w:tcW w:type="dxa" w:w="1440"/>
            <w:shd w:fill="C6EFCE" w:val="clear"/>
          </w:tcPr>
          <w:p>
            <w:r>
              <w:rPr>
                <w:b/>
                <w:sz w:val="17"/>
              </w:rPr>
              <w:t>23,893</w:t>
            </w:r>
          </w:p>
        </w:tc>
        <w:tc>
          <w:tcPr>
            <w:tcW w:type="dxa" w:w="1440"/>
            <w:shd w:fill="C6EFCE" w:val="clear"/>
          </w:tcPr>
          <w:p>
            <w:r>
              <w:rPr>
                <w:sz w:val="17"/>
              </w:rPr>
              <w:t>25,175</w:t>
            </w:r>
          </w:p>
        </w:tc>
        <w:tc>
          <w:tcPr>
            <w:tcW w:type="dxa" w:w="1440"/>
            <w:shd w:fill="C6EFCE" w:val="clear"/>
          </w:tcPr>
          <w:p>
            <w:r>
              <w:rPr>
                <w:b/>
                <w:color w:val="008000"/>
                <w:sz w:val="17"/>
              </w:rPr>
              <w:t>+4.3%</w:t>
            </w:r>
          </w:p>
        </w:tc>
      </w:tr>
      <w:tr>
        <w:tc>
          <w:tcPr>
            <w:tcW w:type="dxa" w:w="1440"/>
            <w:shd w:fill="C6EFCE" w:val="clear"/>
          </w:tcPr>
          <w:p>
            <w:r>
              <w:rPr>
                <w:sz w:val="17"/>
              </w:rPr>
              <w:t>J+3  Moyenne</w:t>
            </w:r>
          </w:p>
        </w:tc>
        <w:tc>
          <w:tcPr>
            <w:tcW w:type="dxa" w:w="1440"/>
            <w:shd w:fill="C6EFCE" w:val="clear"/>
          </w:tcPr>
          <w:p>
            <w:r>
              <w:rPr>
                <w:sz w:val="17"/>
              </w:rPr>
              <w:t>2026-08-27</w:t>
            </w:r>
          </w:p>
        </w:tc>
        <w:tc>
          <w:tcPr>
            <w:tcW w:type="dxa" w:w="1440"/>
            <w:shd w:fill="C6EFCE" w:val="clear"/>
          </w:tcPr>
          <w:p>
            <w:r>
              <w:rPr>
                <w:sz w:val="17"/>
              </w:rPr>
              <w:t>22,703</w:t>
            </w:r>
          </w:p>
        </w:tc>
        <w:tc>
          <w:tcPr>
            <w:tcW w:type="dxa" w:w="1440"/>
            <w:shd w:fill="C6EFCE" w:val="clear"/>
          </w:tcPr>
          <w:p>
            <w:r>
              <w:rPr>
                <w:b/>
                <w:sz w:val="17"/>
              </w:rPr>
              <w:t>24,300</w:t>
            </w:r>
          </w:p>
        </w:tc>
        <w:tc>
          <w:tcPr>
            <w:tcW w:type="dxa" w:w="1440"/>
            <w:shd w:fill="C6EFCE" w:val="clear"/>
          </w:tcPr>
          <w:p>
            <w:r>
              <w:rPr>
                <w:sz w:val="17"/>
              </w:rPr>
              <w:t>25,896</w:t>
            </w:r>
          </w:p>
        </w:tc>
        <w:tc>
          <w:tcPr>
            <w:tcW w:type="dxa" w:w="1440"/>
            <w:shd w:fill="C6EFCE" w:val="clear"/>
          </w:tcPr>
          <w:p>
            <w:r>
              <w:rPr>
                <w:b/>
                <w:color w:val="008000"/>
                <w:sz w:val="17"/>
              </w:rPr>
              <w:t>+6.1%</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22,819</w:t>
            </w:r>
          </w:p>
        </w:tc>
        <w:tc>
          <w:tcPr>
            <w:tcW w:type="dxa" w:w="1440"/>
            <w:shd w:fill="C6EFCE" w:val="clear"/>
          </w:tcPr>
          <w:p>
            <w:r>
              <w:rPr>
                <w:b/>
                <w:sz w:val="17"/>
              </w:rPr>
              <w:t>24,692</w:t>
            </w:r>
          </w:p>
        </w:tc>
        <w:tc>
          <w:tcPr>
            <w:tcW w:type="dxa" w:w="1440"/>
            <w:shd w:fill="C6EFCE" w:val="clear"/>
          </w:tcPr>
          <w:p>
            <w:r>
              <w:rPr>
                <w:sz w:val="17"/>
              </w:rPr>
              <w:t>26,565</w:t>
            </w:r>
          </w:p>
        </w:tc>
        <w:tc>
          <w:tcPr>
            <w:tcW w:type="dxa" w:w="1440"/>
            <w:shd w:fill="C6EFCE" w:val="clear"/>
          </w:tcPr>
          <w:p>
            <w:r>
              <w:rPr>
                <w:b/>
                <w:color w:val="008000"/>
                <w:sz w:val="17"/>
              </w:rPr>
              <w:t>+7.8%</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22,954</w:t>
            </w:r>
          </w:p>
        </w:tc>
        <w:tc>
          <w:tcPr>
            <w:tcW w:type="dxa" w:w="1440"/>
            <w:shd w:fill="C6EFCE" w:val="clear"/>
          </w:tcPr>
          <w:p>
            <w:r>
              <w:rPr>
                <w:b/>
                <w:sz w:val="17"/>
              </w:rPr>
              <w:t>25,081</w:t>
            </w:r>
          </w:p>
        </w:tc>
        <w:tc>
          <w:tcPr>
            <w:tcW w:type="dxa" w:w="1440"/>
            <w:shd w:fill="C6EFCE" w:val="clear"/>
          </w:tcPr>
          <w:p>
            <w:r>
              <w:rPr>
                <w:sz w:val="17"/>
              </w:rPr>
              <w:t>27,208</w:t>
            </w:r>
          </w:p>
        </w:tc>
        <w:tc>
          <w:tcPr>
            <w:tcW w:type="dxa" w:w="1440"/>
            <w:shd w:fill="C6EFCE" w:val="clear"/>
          </w:tcPr>
          <w:p>
            <w:r>
              <w:rPr>
                <w:b/>
                <w:color w:val="008000"/>
                <w:sz w:val="17"/>
              </w:rPr>
              <w:t>+9.5%</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23,102</w:t>
            </w:r>
          </w:p>
        </w:tc>
        <w:tc>
          <w:tcPr>
            <w:tcW w:type="dxa" w:w="1440"/>
            <w:shd w:fill="C6EFCE" w:val="clear"/>
          </w:tcPr>
          <w:p>
            <w:r>
              <w:rPr>
                <w:b/>
                <w:sz w:val="17"/>
              </w:rPr>
              <w:t>25,468</w:t>
            </w:r>
          </w:p>
        </w:tc>
        <w:tc>
          <w:tcPr>
            <w:tcW w:type="dxa" w:w="1440"/>
            <w:shd w:fill="C6EFCE" w:val="clear"/>
          </w:tcPr>
          <w:p>
            <w:r>
              <w:rPr>
                <w:sz w:val="17"/>
              </w:rPr>
              <w:t>27,834</w:t>
            </w:r>
          </w:p>
        </w:tc>
        <w:tc>
          <w:tcPr>
            <w:tcW w:type="dxa" w:w="1440"/>
            <w:shd w:fill="C6EFCE" w:val="clear"/>
          </w:tcPr>
          <w:p>
            <w:r>
              <w:rPr>
                <w:b/>
                <w:color w:val="008000"/>
                <w:sz w:val="17"/>
              </w:rPr>
              <w:t>+11.2%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23,260</w:t>
            </w:r>
          </w:p>
        </w:tc>
        <w:tc>
          <w:tcPr>
            <w:tcW w:type="dxa" w:w="1440"/>
            <w:shd w:fill="C6EFCE" w:val="clear"/>
          </w:tcPr>
          <w:p>
            <w:r>
              <w:rPr>
                <w:b/>
                <w:sz w:val="17"/>
              </w:rPr>
              <w:t>25,854</w:t>
            </w:r>
          </w:p>
        </w:tc>
        <w:tc>
          <w:tcPr>
            <w:tcW w:type="dxa" w:w="1440"/>
            <w:shd w:fill="C6EFCE" w:val="clear"/>
          </w:tcPr>
          <w:p>
            <w:r>
              <w:rPr>
                <w:sz w:val="17"/>
              </w:rPr>
              <w:t>28,449</w:t>
            </w:r>
          </w:p>
        </w:tc>
        <w:tc>
          <w:tcPr>
            <w:tcW w:type="dxa" w:w="1440"/>
            <w:shd w:fill="C6EFCE" w:val="clear"/>
          </w:tcPr>
          <w:p>
            <w:r>
              <w:rPr>
                <w:b/>
                <w:color w:val="008000"/>
                <w:sz w:val="17"/>
              </w:rPr>
              <w:t>+12.9%</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23,425</w:t>
            </w:r>
          </w:p>
        </w:tc>
        <w:tc>
          <w:tcPr>
            <w:tcW w:type="dxa" w:w="1440"/>
            <w:shd w:fill="C6EFCE" w:val="clear"/>
          </w:tcPr>
          <w:p>
            <w:r>
              <w:rPr>
                <w:b/>
                <w:sz w:val="17"/>
              </w:rPr>
              <w:t>26,240</w:t>
            </w:r>
          </w:p>
        </w:tc>
        <w:tc>
          <w:tcPr>
            <w:tcW w:type="dxa" w:w="1440"/>
            <w:shd w:fill="C6EFCE" w:val="clear"/>
          </w:tcPr>
          <w:p>
            <w:r>
              <w:rPr>
                <w:sz w:val="17"/>
              </w:rPr>
              <w:t>29,055</w:t>
            </w:r>
          </w:p>
        </w:tc>
        <w:tc>
          <w:tcPr>
            <w:tcW w:type="dxa" w:w="1440"/>
            <w:shd w:fill="C6EFCE" w:val="clear"/>
          </w:tcPr>
          <w:p>
            <w:r>
              <w:rPr>
                <w:b/>
                <w:color w:val="008000"/>
                <w:sz w:val="17"/>
              </w:rPr>
              <w:t>+14.6%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23,595</w:t>
            </w:r>
          </w:p>
        </w:tc>
        <w:tc>
          <w:tcPr>
            <w:tcW w:type="dxa" w:w="1440"/>
            <w:shd w:fill="C6EFCE" w:val="clear"/>
          </w:tcPr>
          <w:p>
            <w:r>
              <w:rPr>
                <w:b/>
                <w:sz w:val="17"/>
              </w:rPr>
              <w:t>26,624</w:t>
            </w:r>
          </w:p>
        </w:tc>
        <w:tc>
          <w:tcPr>
            <w:tcW w:type="dxa" w:w="1440"/>
            <w:shd w:fill="C6EFCE" w:val="clear"/>
          </w:tcPr>
          <w:p>
            <w:r>
              <w:rPr>
                <w:sz w:val="17"/>
              </w:rPr>
              <w:t>29,654</w:t>
            </w:r>
          </w:p>
        </w:tc>
        <w:tc>
          <w:tcPr>
            <w:tcW w:type="dxa" w:w="1440"/>
            <w:shd w:fill="C6EFCE" w:val="clear"/>
          </w:tcPr>
          <w:p>
            <w:r>
              <w:rPr>
                <w:b/>
                <w:color w:val="008000"/>
                <w:sz w:val="17"/>
              </w:rPr>
              <w:t>+16.3%</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23,768</w:t>
            </w:r>
          </w:p>
        </w:tc>
        <w:tc>
          <w:tcPr>
            <w:tcW w:type="dxa" w:w="1440"/>
            <w:shd w:fill="C6EFCE" w:val="clear"/>
          </w:tcPr>
          <w:p>
            <w:r>
              <w:rPr>
                <w:b/>
                <w:sz w:val="17"/>
              </w:rPr>
              <w:t>27,008</w:t>
            </w:r>
          </w:p>
        </w:tc>
        <w:tc>
          <w:tcPr>
            <w:tcW w:type="dxa" w:w="1440"/>
            <w:shd w:fill="C6EFCE" w:val="clear"/>
          </w:tcPr>
          <w:p>
            <w:r>
              <w:rPr>
                <w:sz w:val="17"/>
              </w:rPr>
              <w:t>30,247</w:t>
            </w:r>
          </w:p>
        </w:tc>
        <w:tc>
          <w:tcPr>
            <w:tcW w:type="dxa" w:w="1440"/>
            <w:shd w:fill="C6EFCE" w:val="clear"/>
          </w:tcPr>
          <w:p>
            <w:r>
              <w:rPr>
                <w:b/>
                <w:color w:val="008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566,42 milliards FCFA, ce qui positionne le titre parmi les valeurs à forte capitalisation de la BRVM, reflétant son statut de leader bancaire régional. Avec un BPA de 1 646 FCFA, chaque action détenue représente une part de bénéfice net substantielle. Le PER de 13,9x se situe au-dessus de la moyenne historique de la BRVM (8-12x), indiquant que les investisseurs acceptent de payer une prime pour la qualité de la croissance de la banque. Le P/B de 2,43x confirme cette prime, le marché valorisant la société à plus de deux fois sa valeur comptable, signe de confiance dans la création de valeur future. Enfin, l'EV/EBITDA de 21,4x est exigeant, suggérant que la valeur d'entreprise intègre déjà des perspectives de croissance opérationnelle soutenue.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NSBC a enregistré une progression spectaculaire de +61,89%, passant d'un plus bas de 13 810 FCFA à un plus haut de 24 020 FCFA, avec un cours actuel de 22 900 FCFA. La variation à J-1 est nulle, marquant une pause après cette forte ascension. La moyenne du cours sur la période (18 615 FCFA) est inférieure à la médiane (19 135 FCFA), indiquant une distribution légèrement asymétrique avec une concentration des valeurs vers le bas de la fourchette, mais la skewness de -0,060 suggère une symétrie globale. L'écart-type de 3 646 FCFA (CV = 19,6%) témoigne d'une dispersion modérée des prix autour de la moyenne. Le kurtosis de -1,456 (platykurtique) révèle une distribution aplatie, avec moins de valeurs extrêmes que la normale. La volatilité annualisée de 37,6% classe le titre comme très volatil,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La MM20 (23 357 FCFA) est supérieure à la MM50 (21 696 FCFA), et le cours actuel (22 900 FCFA) se situe entre les deux, mais au-dessus de la MM50. Cette configuration haussière, avec une MM20 au-dessus de la MM50, confirme la tendance positive de moyen terme et justifie la décision d'achat.</w:t>
      </w:r>
    </w:p>
    <w:p>
      <w:pPr>
        <w:spacing w:after="120" w:line="276" w:lineRule="auto"/>
      </w:pPr>
      <w:r>
        <w:t>**Bandes de Bollinger** : Le cours se positionne près de la borne inférieure (22 662 FCFA), après avoir touché la borne supérieure (24 053 FCFA). Cette position suggère un repli temporaire dans une tendance haussière, avec une volatilité encore élevée. La décision neutre reflète l'attente d'une direction claire après cette consolidation.</w:t>
      </w:r>
    </w:p>
    <w:p>
      <w:pPr>
        <w:spacing w:after="120" w:line="276" w:lineRule="auto"/>
      </w:pPr>
      <w:r>
        <w:t>**MACD** : La valeur du MACD (331,47) est inférieure à son signal (541,57), indiquant un momentum baissier à court terme. Cette divergence négative suggère un ralentissement de la dynamique haussière, justifiant la décision de vente à court terme.</w:t>
      </w:r>
    </w:p>
    <w:p>
      <w:pPr>
        <w:spacing w:after="120" w:line="276" w:lineRule="auto"/>
      </w:pPr>
      <w:r>
        <w:t>**RSI** : À 41,27, le RSI se situe en zone neutre, sans signal de surachat ni de survente. Cela indique que le titre n'est ni surévalué ni sous-évalué à court terme, laissant place à une évolution directionnelle.</w:t>
      </w:r>
    </w:p>
    <w:p>
      <w:pPr>
        <w:spacing w:after="120" w:line="276" w:lineRule="auto"/>
      </w:pPr>
      <w:r>
        <w:t>**Stochastique** : Les valeurs %K et %D à 0,0 indiquent une condition de survente extrême, signalant un possible rebond technique imminent. La décision d'achat se justifie par ce niveau de survente, qui précède souvent un retournement haussier.</w:t>
      </w:r>
    </w:p>
    <w:p>
      <w:pPr>
        <w:spacing w:after="120" w:line="276" w:lineRule="auto"/>
      </w:pPr>
      <w:r>
        <w:t>**Conclusion technique** : Les indicateurs sont mitigés, avec des signaux d'achat (MM, Stochastique) et de vente (MACD) se compensant. La tendance de fond reste haussière, mais un repli technique à court terme est possible. La prudence est de mise,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2025, NSBC a affiché un Produit Net Bancaire (PNB) de 112,93 milliards FCFA, en hausse de 15% par rapport à 2024, et un résultat net de 40,71 milliards FCFA, en progression de 7%. Le ROE s'établit à 17,45%, un niveau excellent (&gt;15%), et le ROA à 1,32%, conforme aux standards bancaires. Le coefficient d'exploitation de 54,59% (&lt;60%) démontre une excellente maîtrise des charges, tandis que le coût du risque de 7,54% reste élevé, signalant une dégradation de la qualité du portefeuille de crédits. Les dépôts clientèle (2 242 milliards FCFA) excèdent largement les créances clientèle (1 818 milliards FCFA), assurant une transformation saine. Le rapport T1 2026 (daté du 31/03/2026) révèle une accélération avec un PNB de 28,6 milliards FCFA (+28%) et un résultat net de 10,9 milliards FCFA (+53%), porté par l'activité titres. Sur cette base, on estime que l'exercice 2026 pourrait dépasser les 45 milliards FCFA de résultat net, soit une croissance de plus de 10%. Les rapports de 2024 et 2023 confirment une trajectoire de croissance régulière, avec une amélioration continue de la rentabilité et de l'efficacité opérationnelle.</w:t>
      </w:r>
    </w:p>
    <w:p>
      <w:pPr>
        <w:spacing w:after="120" w:line="276" w:lineRule="auto"/>
      </w:pPr>
      <w:r>
        <w:t>---</w:t>
      </w:r>
    </w:p>
    <w:p>
      <w:pPr>
        <w:spacing w:after="120" w:line="276" w:lineRule="auto"/>
      </w:pPr>
      <w:r>
        <w:t>### PARTIE 4 : CONCLUSION D'INVESTISSEMENT</w:t>
      </w:r>
    </w:p>
    <w:p>
      <w:pPr>
        <w:spacing w:after="120" w:line="276" w:lineRule="auto"/>
      </w:pPr>
      <w:r>
        <w:t>La valorisation de NSBC (PER 13,9x, P/B 2,43x, EV/EBITDA 21,4x) indique une prime de croissance justifiée par des fondamentaux solides, mais qui laisse peu de marge de sécurité. Le comportement du cours, avec une hausse de 61,89% sur 100 jours et une volatilité élevée (37,6%), reflète un intérêt marqué des investisseurs, mais avec un risque de correction. Les signaux techniques sont mitigés, avec une tendance haussière de fond mais des indicateurs de court terme en consolidation. Les fondamentaux restent excellents, avec une croissance soutenue du PNB et du résultat net, une rentabilité élevée (ROE &gt;17%) et une gestion efficace des coûts. Les prédictions IA (24 300 FCFA à J+5, 25 081 FCFA à J+10) confirment la poursuite de la tendance haussière. La convergence entre les fondamentaux solides, la tendance technique haussière et les prédictions positives justifie une recommandation **ACHAT**, avec un niveau de confiance **Élevé**. Le risque global est **Moyen**, principalement lié à la volatilité du titre et à la détérioration du coût du risque. L'horizon d'investissement optimal est le **moyen terme (3-12 mois)**, pour capitaliser sur la croissance des résultats tout en gérant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1,457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+31.27%</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14.00% (Moyenne) — μ=14,312 FCFA, σ=2,003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β=0.0326 (Défensif) — Cov=0.000001, Var(idx)=0.000035, ρ=0.009,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16,595</w:t>
            </w:r>
          </w:p>
        </w:tc>
        <w:tc>
          <w:tcPr>
            <w:tcW w:type="dxa" w:w="1440"/>
            <w:shd w:fill="FAFAFA" w:val="clear"/>
          </w:tcPr>
          <w:p>
            <w:r>
              <w:rPr>
                <w:b/>
                <w:sz w:val="17"/>
              </w:rPr>
              <w:t>16,885</w:t>
            </w:r>
          </w:p>
        </w:tc>
        <w:tc>
          <w:tcPr>
            <w:tcW w:type="dxa" w:w="1440"/>
            <w:shd w:fill="FAFAFA" w:val="clear"/>
          </w:tcPr>
          <w:p>
            <w:r>
              <w:rPr>
                <w:sz w:val="17"/>
              </w:rPr>
              <w:t>17,174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16,420</w:t>
            </w:r>
          </w:p>
        </w:tc>
        <w:tc>
          <w:tcPr>
            <w:tcW w:type="dxa" w:w="1440"/>
            <w:shd w:fill="FAFAFA" w:val="clear"/>
          </w:tcPr>
          <w:p>
            <w:r>
              <w:rPr>
                <w:b/>
                <w:sz w:val="17"/>
              </w:rPr>
              <w:t>16,828</w:t>
            </w:r>
          </w:p>
        </w:tc>
        <w:tc>
          <w:tcPr>
            <w:tcW w:type="dxa" w:w="1440"/>
            <w:shd w:fill="FAFAFA" w:val="clear"/>
          </w:tcPr>
          <w:p>
            <w:r>
              <w:rPr>
                <w:sz w:val="17"/>
              </w:rPr>
              <w:t>17,236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16,273</w:t>
            </w:r>
          </w:p>
        </w:tc>
        <w:tc>
          <w:tcPr>
            <w:tcW w:type="dxa" w:w="1440"/>
            <w:shd w:fill="FAFAFA" w:val="clear"/>
          </w:tcPr>
          <w:p>
            <w:r>
              <w:rPr>
                <w:b/>
                <w:sz w:val="17"/>
              </w:rPr>
              <w:t>16,771</w:t>
            </w:r>
          </w:p>
        </w:tc>
        <w:tc>
          <w:tcPr>
            <w:tcW w:type="dxa" w:w="1440"/>
            <w:shd w:fill="FAFAFA" w:val="clear"/>
          </w:tcPr>
          <w:p>
            <w:r>
              <w:rPr>
                <w:sz w:val="17"/>
              </w:rPr>
              <w:t>17,269</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16,142</w:t>
            </w:r>
          </w:p>
        </w:tc>
        <w:tc>
          <w:tcPr>
            <w:tcW w:type="dxa" w:w="1440"/>
            <w:shd w:fill="FAFAFA" w:val="clear"/>
          </w:tcPr>
          <w:p>
            <w:r>
              <w:rPr>
                <w:b/>
                <w:sz w:val="17"/>
              </w:rPr>
              <w:t>16,715</w:t>
            </w:r>
          </w:p>
        </w:tc>
        <w:tc>
          <w:tcPr>
            <w:tcW w:type="dxa" w:w="1440"/>
            <w:shd w:fill="FAFAFA" w:val="clear"/>
          </w:tcPr>
          <w:p>
            <w:r>
              <w:rPr>
                <w:sz w:val="17"/>
              </w:rPr>
              <w:t>17,288</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16,022</w:t>
            </w:r>
          </w:p>
        </w:tc>
        <w:tc>
          <w:tcPr>
            <w:tcW w:type="dxa" w:w="1440"/>
            <w:shd w:fill="FAFAFA" w:val="clear"/>
          </w:tcPr>
          <w:p>
            <w:r>
              <w:rPr>
                <w:b/>
                <w:sz w:val="17"/>
              </w:rPr>
              <w:t>16,660</w:t>
            </w:r>
          </w:p>
        </w:tc>
        <w:tc>
          <w:tcPr>
            <w:tcW w:type="dxa" w:w="1440"/>
            <w:shd w:fill="FAFAFA" w:val="clear"/>
          </w:tcPr>
          <w:p>
            <w:r>
              <w:rPr>
                <w:sz w:val="17"/>
              </w:rPr>
              <w:t>17,299</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15,910</w:t>
            </w:r>
          </w:p>
        </w:tc>
        <w:tc>
          <w:tcPr>
            <w:tcW w:type="dxa" w:w="1440"/>
            <w:shd w:fill="FFDCE0" w:val="clear"/>
          </w:tcPr>
          <w:p>
            <w:r>
              <w:rPr>
                <w:b/>
                <w:sz w:val="17"/>
              </w:rPr>
              <w:t>16,608</w:t>
            </w:r>
          </w:p>
        </w:tc>
        <w:tc>
          <w:tcPr>
            <w:tcW w:type="dxa" w:w="1440"/>
            <w:shd w:fill="FFDCE0" w:val="clear"/>
          </w:tcPr>
          <w:p>
            <w:r>
              <w:rPr>
                <w:sz w:val="17"/>
              </w:rPr>
              <w:t>17,305</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15,805</w:t>
            </w:r>
          </w:p>
        </w:tc>
        <w:tc>
          <w:tcPr>
            <w:tcW w:type="dxa" w:w="1440"/>
            <w:shd w:fill="FFDCE0" w:val="clear"/>
          </w:tcPr>
          <w:p>
            <w:r>
              <w:rPr>
                <w:b/>
                <w:sz w:val="17"/>
              </w:rPr>
              <w:t>16,556</w:t>
            </w:r>
          </w:p>
        </w:tc>
        <w:tc>
          <w:tcPr>
            <w:tcW w:type="dxa" w:w="1440"/>
            <w:shd w:fill="FFDCE0" w:val="clear"/>
          </w:tcPr>
          <w:p>
            <w:r>
              <w:rPr>
                <w:sz w:val="17"/>
              </w:rPr>
              <w:t>17,307</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15,705</w:t>
            </w:r>
          </w:p>
        </w:tc>
        <w:tc>
          <w:tcPr>
            <w:tcW w:type="dxa" w:w="1440"/>
            <w:shd w:fill="FFDCE0" w:val="clear"/>
          </w:tcPr>
          <w:p>
            <w:r>
              <w:rPr>
                <w:b/>
                <w:sz w:val="17"/>
              </w:rPr>
              <w:t>16,506</w:t>
            </w:r>
          </w:p>
        </w:tc>
        <w:tc>
          <w:tcPr>
            <w:tcW w:type="dxa" w:w="1440"/>
            <w:shd w:fill="FFDCE0" w:val="clear"/>
          </w:tcPr>
          <w:p>
            <w:r>
              <w:rPr>
                <w:sz w:val="17"/>
              </w:rPr>
              <w:t>17,306</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15,610</w:t>
            </w:r>
          </w:p>
        </w:tc>
        <w:tc>
          <w:tcPr>
            <w:tcW w:type="dxa" w:w="1440"/>
            <w:shd w:fill="FFDCE0" w:val="clear"/>
          </w:tcPr>
          <w:p>
            <w:r>
              <w:rPr>
                <w:b/>
                <w:sz w:val="17"/>
              </w:rPr>
              <w:t>16,456</w:t>
            </w:r>
          </w:p>
        </w:tc>
        <w:tc>
          <w:tcPr>
            <w:tcW w:type="dxa" w:w="1440"/>
            <w:shd w:fill="FFDCE0" w:val="clear"/>
          </w:tcPr>
          <w:p>
            <w:r>
              <w:rPr>
                <w:sz w:val="17"/>
              </w:rPr>
              <w:t>17,302</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15,518</w:t>
            </w:r>
          </w:p>
        </w:tc>
        <w:tc>
          <w:tcPr>
            <w:tcW w:type="dxa" w:w="1440"/>
            <w:shd w:fill="FFDCE0" w:val="clear"/>
          </w:tcPr>
          <w:p>
            <w:r>
              <w:rPr>
                <w:b/>
                <w:sz w:val="17"/>
              </w:rPr>
              <w:t>16,408</w:t>
            </w:r>
          </w:p>
        </w:tc>
        <w:tc>
          <w:tcPr>
            <w:tcW w:type="dxa" w:w="1440"/>
            <w:shd w:fill="FFDCE0" w:val="clear"/>
          </w:tcPr>
          <w:p>
            <w:r>
              <w:rPr>
                <w:sz w:val="17"/>
              </w:rPr>
              <w:t>17,297</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375,20 milliards FCFA, NTLC se positionne comme l'une des valeurs les plus significatives de la BRVM, reflétant la confiance des investisseurs dans ce leader des biens de consommation. Le BPA de 835 FCFA indique que chaque action génère un bénéfice substantiel, mais le PER de 20,4x est nettement supérieur à la moyenne historique de la BRVM (8-12x), signalant que les investisseurs paient une prime significative, anticipant une forte croissance future. Le P/B de 12,68x confirme cette valorisation exigeante, le marché valorisant le titre bien au-delà de sa valeur comptable (plus de 12 fois), ce qui reflète une prime de qualité et de marque exceptionnelle. Enfin, l'EV/EBITDA de 10,0x, bien que dans la fourchette haute, reste plus mesuré, indiquant que la valeur totale de l'entreprise (capitaux propres + dettes) reste raisonnable par rapport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affiché une performance impressionnante avec une variation totale de +31,27%, passant d'un plus bas de 11 150 FCFA à un plus haut de 17 450 FCFA, pour clôturer à 17 000 FCFA, stable sur la dernière séance. La moyenne du cours sur la période (14 312 FCFA) est inférieure à la médiane (14 780 FCFA), suggérant une distribution légèrement asymétrique avec des valeurs extrêmes à la hausse en fin de période. L'écart-type de 2 013 FCFA, avec un coefficient de variation de 14,1%, indique une dispersion modérée autour de la moyenne. Le kurtosis négatif (-1,615) révèle une distribution platykurtique, avec moins de pics extrêmes que la normale, tandis que le skewness proche de zéro (0,042) confirme une symétrie globale. La volatilité annualisée de 33,9% classe le titre comme très volatil, ce qui représente un risque élevé mais aussi un potentiel de rendement significatif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17 000 FCFA se situe au-dessus de la MM20 (16 862,5 FCFA) et de la MM50 (16 149,6 FCFA), dans une configuration haussière classique. La MM20 étant supérieure à la MM50, la tendance de fond est positive, ce qui justifie la décision d'achat, le prix évoluant dans une dynamique de moyen terme favorable.</w:t>
      </w:r>
    </w:p>
    <w:p>
      <w:pPr>
        <w:spacing w:after="120" w:line="276" w:lineRule="auto"/>
      </w:pPr>
      <w:r>
        <w:t>**Bandes de Bollinger :** Le prix se positionne à 17 000 FCFA, entre la borne inférieure (16 115,3 FCFA) et la borne supérieure (17 609,7 FCFA), proche du milieu du canal. La largeur des bandes indique une volatilité modérée, et la position du prix suggère un équilibre temporaire, d'où la décision neutre, avec un potentiel de mouvement vers la borne supérieure si la tendance haussière se poursuit.</w:t>
      </w:r>
    </w:p>
    <w:p>
      <w:pPr>
        <w:spacing w:after="120" w:line="276" w:lineRule="auto"/>
      </w:pPr>
      <w:r>
        <w:t>**MACD :** La valeur du MACD (336,03) est inférieure à son signal (384,52), indiquant un momentum baissier à court terme malgré la tendance haussière de fond. Cette divergence négative suggère un essoufflement de la dynamique haussière, justifiant la décision de vente, et pourrait précéder une consolidation ou un repli technique.</w:t>
      </w:r>
    </w:p>
    <w:p>
      <w:pPr>
        <w:spacing w:after="120" w:line="276" w:lineRule="auto"/>
      </w:pPr>
      <w:r>
        <w:t>**RSI :** À 64,62, le RSI se situe en zone neutre, proche du seuil de surachat (70). Il indique une pression acheteuse encore présente mais sans excès, ce qui laisse une marge de progression avant une potentielle correction, justifiant la décision neutre.</w:t>
      </w:r>
    </w:p>
    <w:p>
      <w:pPr>
        <w:spacing w:after="120" w:line="276" w:lineRule="auto"/>
      </w:pPr>
      <w:r>
        <w:t>**Stochastique :** Avec %K à 50,0 et %D à 51,75, les deux lignes sont entrelacées autour du niveau neutre, sans croisement directionnel clair. Cette configuration reflète une absence de signal fort, d'où la décision neutre, le marché semblant chercher une direction après le récent rallye.</w:t>
      </w:r>
    </w:p>
    <w:p>
      <w:pPr>
        <w:spacing w:after="120" w:line="276" w:lineRule="auto"/>
      </w:pPr>
      <w:r>
        <w:t>**Conclusion technique :** Les indicateurs sont partagés : les moyennes mobiles soutiennent la tendance haussière, tandis que le MACD signale un ralentissement à court terme. Le RSI et le stochastique étant neutres, le titre pourrait consolider avant de poursuivre son mouvement, avec un biais haussier à moyen terme si le support des MM20/50 tient.</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hausse de 5,97% par rapport à 2024 (220,11 milliards FCFA), avec un résultat net de 18,43 milliards FCFA, en légère progression de 1,53%. La marge nette s'établit à 7,90%, en léger repli par rapport aux 8,25% de 2024, tandis que le ROE est exceptionnel à 62,28% et le ROA à 9,70%, démontrant une utilisation très efficace des capitaux propres et des actifs. La structure financière montre une dépendance élevée avec un ratio d'endettement de 135,85%, mais une solvabilité générale de 118,45%, indiquant que l'actif couvre les dettes. Le BFR de 22,63 milliards FCFA est positif, nécessitant un financement, avec des délais clients de 74,3 jours et une durée de stockage de 59,4 jours, ce qui représente un risque de trésorerie modéré. Les rapports trimestriels 2025 montrent une année contrastée : le T1 2025 a vu le CA chuter de 11% mais le résultat net bondir de 19%, tandis que le S1 2025 a affiché un CA stable mais un résultat net en baisse de 23,5%, et le 9M 2025 un CA en hausse de 1,36% mais un résultat net en recul de 21,3%. Cependant, le rapport T1 2026 (publié en mai 2026) révèle une accélération spectaculaire avec un CA de 70,82 milliards FCFA (+31%) et un résultat net de 7,53 milliards FCFA (+37%), suggérant une forte reprise. Sur cette base, on estime que l'exercice 2026 pourrait voir un CA dépassant 260 milliards FCFA et un résultat net supérieur à 22 milliards FCFA, si la dynamique se maintient. La politique de dividende a été drastiquement réduite en 2025 (9,27 milliards FCFA, soit 50,3% de distribution) contre 99,7% en 2024, indiquant une stratégie de réinvestissement pour financer la croissance future. La recommandation fondamentale est positive, avec une solidité opérationnelle et des perspectives de croissance soutenues par les performances récentes.</w:t>
      </w:r>
    </w:p>
    <w:p>
      <w:pPr>
        <w:spacing w:after="120" w:line="276" w:lineRule="auto"/>
      </w:pPr>
      <w:r>
        <w:t>---</w:t>
      </w:r>
    </w:p>
    <w:p>
      <w:pPr>
        <w:spacing w:after="120" w:line="276" w:lineRule="auto"/>
      </w:pPr>
      <w:r>
        <w:t>### PARTIE 4 : CONCLUSION D'INVESTISSEMENT</w:t>
      </w:r>
    </w:p>
    <w:p>
      <w:pPr>
        <w:spacing w:after="120" w:line="276" w:lineRule="auto"/>
      </w:pPr>
      <w:r>
        <w:t>La valorisation de NTLC est exigeante (PER 20,4x, P/B 12,68x), indiquant une prime de qualité qui pourrait limiter le potentiel de hausse à court terme, mais qui se justifie par la solidité de la marque et les perspectives de croissance. Le comportement du cours sur 100 jours est très favorable avec une hausse de 31,27%, mais la volatilité élevée (33,9%) et la distribution platykurtique suggèrent un risque de mouvements brusques. Les signaux techniques sont mitigés : la tendance de fond reste haussière (MM), mais le MACD indique un essoufflement à court terme, avec un RSI neutre. Les fondamentaux sont solides, avec un ROE exceptionnel de 62,28% et une accélération de la croissance au T1 2026 (+31% CA, +37% résultat net), laissant présager une année 2026 record. Les prédictions IA pour les 10 prochains jours (16 885 à 16 660 FCFA) suggèrent une légère consolidation, contredisant légèrement la tendance haussière mais confirmant le signal MACD. En synthèse, la convergence entre les fondamentaux excellents et la dynamique commerciale positive est contrebalancée par une valorisation élevée et des signaux techniques de court terme hésitants. **Recommandation finale : ACHAT**, avec un niveau de confiance **Moyen** et un risque global **Élevé** en raison de la volatilité et de la valorisation. L'horizon d'investissement optimal serait le **moyen terme (3-12 mois)**, pour capitaliser sur la croissance attendue en 2026 tout en surveillant les niveaux de surachat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4,722 titres</w:t>
            </w:r>
          </w:p>
        </w:tc>
        <w:tc>
          <w:tcPr>
            <w:tcW w:type="dxa" w:w="2268"/>
            <w:shd w:fill="FFF2CC" w:val="clear"/>
          </w:tcPr>
          <w:p>
            <w:r>
              <w:rPr>
                <w:b/>
                <w:color w:val="503200"/>
                <w:sz w:val="16"/>
              </w:rPr>
              <w:t xml:space="preserve">Cours actuel : </w:t>
            </w:r>
            <w:r>
              <w:rPr>
                <w:color w:val="000000"/>
                <w:sz w:val="17"/>
              </w:rPr>
              <w:t>2,885 FCFA</w:t>
            </w:r>
          </w:p>
          <w:p>
            <w:r>
              <w:rPr>
                <w:b/>
                <w:color w:val="503200"/>
                <w:sz w:val="16"/>
              </w:rPr>
              <w:t xml:space="preserve">Var. 100 jours : </w:t>
            </w:r>
            <w:r>
              <w:rPr>
                <w:b/>
                <w:color w:val="B40000"/>
                <w:sz w:val="17"/>
              </w:rPr>
              <w:t>-2.20%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3.11% (Faible) — μ=2,824 FCFA, σ=88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β=0.3399 (Défensif) — Cov=0.000012, Var(idx)=0.000035, ρ=0.103,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2,804</w:t>
            </w:r>
          </w:p>
        </w:tc>
        <w:tc>
          <w:tcPr>
            <w:tcW w:type="dxa" w:w="1440"/>
            <w:shd w:fill="FAFAFA" w:val="clear"/>
          </w:tcPr>
          <w:p>
            <w:r>
              <w:rPr>
                <w:b/>
                <w:sz w:val="17"/>
              </w:rPr>
              <w:t>2,900</w:t>
            </w:r>
          </w:p>
        </w:tc>
        <w:tc>
          <w:tcPr>
            <w:tcW w:type="dxa" w:w="1440"/>
            <w:shd w:fill="FAFAFA" w:val="clear"/>
          </w:tcPr>
          <w:p>
            <w:r>
              <w:rPr>
                <w:sz w:val="17"/>
              </w:rPr>
              <w:t>2,995</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2,757</w:t>
            </w:r>
          </w:p>
        </w:tc>
        <w:tc>
          <w:tcPr>
            <w:tcW w:type="dxa" w:w="1440"/>
            <w:shd w:fill="FAFAFA" w:val="clear"/>
          </w:tcPr>
          <w:p>
            <w:r>
              <w:rPr>
                <w:b/>
                <w:sz w:val="17"/>
              </w:rPr>
              <w:t>2,891</w:t>
            </w:r>
          </w:p>
        </w:tc>
        <w:tc>
          <w:tcPr>
            <w:tcW w:type="dxa" w:w="1440"/>
            <w:shd w:fill="FAFAFA" w:val="clear"/>
          </w:tcPr>
          <w:p>
            <w:r>
              <w:rPr>
                <w:sz w:val="17"/>
              </w:rPr>
              <w:t>3,026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2,720</w:t>
            </w:r>
          </w:p>
        </w:tc>
        <w:tc>
          <w:tcPr>
            <w:tcW w:type="dxa" w:w="1440"/>
            <w:shd w:fill="FAFAFA" w:val="clear"/>
          </w:tcPr>
          <w:p>
            <w:r>
              <w:rPr>
                <w:b/>
                <w:sz w:val="17"/>
              </w:rPr>
              <w:t>2,885</w:t>
            </w:r>
          </w:p>
        </w:tc>
        <w:tc>
          <w:tcPr>
            <w:tcW w:type="dxa" w:w="1440"/>
            <w:shd w:fill="FAFAFA" w:val="clear"/>
          </w:tcPr>
          <w:p>
            <w:r>
              <w:rPr>
                <w:sz w:val="17"/>
              </w:rPr>
              <w:t>3,049</w:t>
            </w:r>
          </w:p>
        </w:tc>
        <w:tc>
          <w:tcPr>
            <w:tcW w:type="dxa" w:w="1440"/>
            <w:shd w:fill="FAFAFA" w:val="clear"/>
          </w:tcPr>
          <w:p>
            <w:r>
              <w:rPr>
                <w:b/>
                <w:color w:val="C00000"/>
                <w:sz w:val="17"/>
              </w:rPr>
              <w:t>-0.0%</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2,689</w:t>
            </w:r>
          </w:p>
        </w:tc>
        <w:tc>
          <w:tcPr>
            <w:tcW w:type="dxa" w:w="1440"/>
            <w:shd w:fill="FAFAFA" w:val="clear"/>
          </w:tcPr>
          <w:p>
            <w:r>
              <w:rPr>
                <w:b/>
                <w:sz w:val="17"/>
              </w:rPr>
              <w:t>2,879</w:t>
            </w:r>
          </w:p>
        </w:tc>
        <w:tc>
          <w:tcPr>
            <w:tcW w:type="dxa" w:w="1440"/>
            <w:shd w:fill="FAFAFA" w:val="clear"/>
          </w:tcPr>
          <w:p>
            <w:r>
              <w:rPr>
                <w:sz w:val="17"/>
              </w:rPr>
              <w:t>3,068</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2,662</w:t>
            </w:r>
          </w:p>
        </w:tc>
        <w:tc>
          <w:tcPr>
            <w:tcW w:type="dxa" w:w="1440"/>
            <w:shd w:fill="FAFAFA" w:val="clear"/>
          </w:tcPr>
          <w:p>
            <w:r>
              <w:rPr>
                <w:b/>
                <w:sz w:val="17"/>
              </w:rPr>
              <w:t>2,873</w:t>
            </w:r>
          </w:p>
        </w:tc>
        <w:tc>
          <w:tcPr>
            <w:tcW w:type="dxa" w:w="1440"/>
            <w:shd w:fill="FAFAFA" w:val="clear"/>
          </w:tcPr>
          <w:p>
            <w:r>
              <w:rPr>
                <w:sz w:val="17"/>
              </w:rPr>
              <w:t>3,084</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2,636</w:t>
            </w:r>
          </w:p>
        </w:tc>
        <w:tc>
          <w:tcPr>
            <w:tcW w:type="dxa" w:w="1440"/>
            <w:shd w:fill="FAFAFA" w:val="clear"/>
          </w:tcPr>
          <w:p>
            <w:r>
              <w:rPr>
                <w:b/>
                <w:sz w:val="17"/>
              </w:rPr>
              <w:t>2,867</w:t>
            </w:r>
          </w:p>
        </w:tc>
        <w:tc>
          <w:tcPr>
            <w:tcW w:type="dxa" w:w="1440"/>
            <w:shd w:fill="FAFAFA" w:val="clear"/>
          </w:tcPr>
          <w:p>
            <w:r>
              <w:rPr>
                <w:sz w:val="17"/>
              </w:rPr>
              <w:t>3,098</w:t>
            </w:r>
          </w:p>
        </w:tc>
        <w:tc>
          <w:tcPr>
            <w:tcW w:type="dxa" w:w="1440"/>
            <w:shd w:fill="FAFAFA" w:val="clear"/>
          </w:tcPr>
          <w:p>
            <w:r>
              <w:rPr>
                <w:b/>
                <w:color w:val="C00000"/>
                <w:sz w:val="17"/>
              </w:rPr>
              <w:t>-0.6%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2,612</w:t>
            </w:r>
          </w:p>
        </w:tc>
        <w:tc>
          <w:tcPr>
            <w:tcW w:type="dxa" w:w="1440"/>
            <w:shd w:fill="FAFAFA" w:val="clear"/>
          </w:tcPr>
          <w:p>
            <w:r>
              <w:rPr>
                <w:b/>
                <w:sz w:val="17"/>
              </w:rPr>
              <w:t>2,861</w:t>
            </w:r>
          </w:p>
        </w:tc>
        <w:tc>
          <w:tcPr>
            <w:tcW w:type="dxa" w:w="1440"/>
            <w:shd w:fill="FAFAFA" w:val="clear"/>
          </w:tcPr>
          <w:p>
            <w:r>
              <w:rPr>
                <w:sz w:val="17"/>
              </w:rPr>
              <w:t>3,111</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2,590</w:t>
            </w:r>
          </w:p>
        </w:tc>
        <w:tc>
          <w:tcPr>
            <w:tcW w:type="dxa" w:w="1440"/>
            <w:shd w:fill="FAFAFA" w:val="clear"/>
          </w:tcPr>
          <w:p>
            <w:r>
              <w:rPr>
                <w:b/>
                <w:sz w:val="17"/>
              </w:rPr>
              <w:t>2,856</w:t>
            </w:r>
          </w:p>
        </w:tc>
        <w:tc>
          <w:tcPr>
            <w:tcW w:type="dxa" w:w="1440"/>
            <w:shd w:fill="FAFAFA" w:val="clear"/>
          </w:tcPr>
          <w:p>
            <w:r>
              <w:rPr>
                <w:sz w:val="17"/>
              </w:rPr>
              <w:t>3,122</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2,569</w:t>
            </w:r>
          </w:p>
        </w:tc>
        <w:tc>
          <w:tcPr>
            <w:tcW w:type="dxa" w:w="1440"/>
            <w:shd w:fill="FAFAFA" w:val="clear"/>
          </w:tcPr>
          <w:p>
            <w:r>
              <w:rPr>
                <w:b/>
                <w:sz w:val="17"/>
              </w:rPr>
              <w:t>2,850</w:t>
            </w:r>
          </w:p>
        </w:tc>
        <w:tc>
          <w:tcPr>
            <w:tcW w:type="dxa" w:w="1440"/>
            <w:shd w:fill="FAFAFA" w:val="clear"/>
          </w:tcPr>
          <w:p>
            <w:r>
              <w:rPr>
                <w:sz w:val="17"/>
              </w:rPr>
              <w:t>3,132</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2,549</w:t>
            </w:r>
          </w:p>
        </w:tc>
        <w:tc>
          <w:tcPr>
            <w:tcW w:type="dxa" w:w="1440"/>
            <w:shd w:fill="FAFAFA" w:val="clear"/>
          </w:tcPr>
          <w:p>
            <w:r>
              <w:rPr>
                <w:b/>
                <w:sz w:val="17"/>
              </w:rPr>
              <w:t>2,845</w:t>
            </w:r>
          </w:p>
        </w:tc>
        <w:tc>
          <w:tcPr>
            <w:tcW w:type="dxa" w:w="1440"/>
            <w:shd w:fill="FAFAFA" w:val="clear"/>
          </w:tcPr>
          <w:p>
            <w:r>
              <w:rPr>
                <w:sz w:val="17"/>
              </w:rPr>
              <w:t>3,141</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basé sur l'ensemble des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196,18 milliards FCFA, ce qui en fait une valeur de première importance sur la BRVM, représentant un poids significatif dans l'indice. Avec un BPA de 234 FCFA, le titre se négocie à un PER de 12,3x, légèrement au-dessus de la moyenne historique de la BRVM (8-12x). Ce niveau de valorisation suggère que les investisseurs intègrent une prime de croissance ou une certaine résilience, mais il n'est pas excessif. Le P/B de 3,41x confirme cette perception, le marché valorisant la société à plus de trois fois sa valeur comptable, ce qui est typique pour une entreprise avec un fort potentiel de rendement (ROE &gt; 27%). Enfin, un EV/EBITDA de 5,2x est particulièrement attractif, indiquant que la valeur totale de l'entreprise (dette incluse) reste raisonnable par rapport à sa capacité à générer du cash-flow opérationnel. L'ensemble de ces ratios dessine le profil d'une valeur de qualité, correctement valorisée sans être surévaluée.</w:t>
      </w:r>
    </w:p>
    <w:p>
      <w:pPr>
        <w:spacing w:after="120" w:line="276" w:lineRule="auto"/>
      </w:pPr>
      <w:r>
        <w:t>### **PARTIE 1 : ANALYSE DU COURS — STATISTIQUES ET ÉVOLUTION (100 derniers jours)**</w:t>
      </w:r>
    </w:p>
    <w:p>
      <w:pPr>
        <w:spacing w:after="120" w:line="276" w:lineRule="auto"/>
      </w:pPr>
      <w:r>
        <w:t>Sur les 100 derniers jours, le cours d'ONTBF a affiché une légère tendance baissière de -2,20%, avec une dernière séance en recul de -1,87% à 2 885 FCFA. Le titre a évolué dans un range de 460 FCFA, entre un plus bas de 2 610 FCFA et un plus haut de 3 070 FCFA. Les statistiques descriptives révèlent une distribution relativement stable et symétrique : la moyenne (2 824 FCFA) et la médiane (2 802 FCFA) sont proches, indiquant l'absence de valeurs extrêmes dominantes. L'écart-type de 88 FCFA, soit un coefficient de variation de seulement 3,1%, témoigne d'une dispersion très faible du cours autour de sa moyenne. Le kurtosis négatif (-0.355) confirme l'absence de mouvements brusques ou de pics de volatilité, tandis que le skewness positif (0.214) suggère une très légère asymétrie vers la droite. La volatilité annualisée de 30,9% est considérée comme élevée, mais elle contraste avec la stabilité observée sur la période, ce qui peut indiquer des épisodes de tension ponctuels plutôt qu'une tendance de fond.</w:t>
      </w:r>
    </w:p>
    <w:p>
      <w:pPr>
        <w:spacing w:after="120" w:line="276" w:lineRule="auto"/>
      </w:pPr>
      <w:r>
        <w:t>### **PARTIE 2 : ANALYSE TECHNIQUE DÉTAILLÉE**</w:t>
      </w:r>
    </w:p>
    <w:p>
      <w:pPr>
        <w:spacing w:after="120" w:line="276" w:lineRule="auto"/>
      </w:pPr>
      <w:r>
        <w:t>**Moyennes Mobiles** : Le cours actuel (2 885 FCFA) se situe au-dessus de la MM20 (2 888,75 FCFA) et de la MM50 (2 821,5 FCFA), avec une MM20 supérieure à la MM50. Cette configuration en "courbe de tendance haussière" est un signal positif à moyen terme, indiquant que la dynamique récente est favorable. La décision d'**Achat** est justifiée par cette structure, bien que le cours teste actuellement sa MM20, un niveau de support crucial à surveiller.</w:t>
      </w:r>
    </w:p>
    <w:p>
      <w:pPr>
        <w:spacing w:after="120" w:line="276" w:lineRule="auto"/>
      </w:pPr>
      <w:r>
        <w:t>**Bandes de Bollinger** : Le prix se situe à 2 885 FCFA, dans la partie médiane de l'enveloppe délimitée par la borne supérieure (3 029 FCFA) et la borne inférieure (2 748 FCFA). Cette position neutre suggère une volatilité modérée, sans pression excessive d'achat ou de vente. La décision **Neutre** est cohérente, le marché semblant attendre un catalyseur pour sortir de cette zone de consolidation.</w:t>
      </w:r>
    </w:p>
    <w:p>
      <w:pPr>
        <w:spacing w:after="120" w:line="276" w:lineRule="auto"/>
      </w:pPr>
      <w:r>
        <w:t>**MACD** : La valeur du MACD (25,193) est légèrement inférieure à son signal (25,922). Bien que les deux restent en territoire positif, ce croisement baissier à court terme indique un affaiblissement du momentum haussier. La décision de **Vente** est un signal de prudence, suggérant une possible correction ou une phase de consolidation à venir.</w:t>
      </w:r>
    </w:p>
    <w:p>
      <w:pPr>
        <w:spacing w:after="120" w:line="276" w:lineRule="auto"/>
      </w:pPr>
      <w:r>
        <w:t>**RSI** : Avec une valeur de 38,776, le RSI se situe en zone neutre, mais proche de la zone de survente (30). Cela indique que le titre n'est ni suracheté ni survendu, mais que la pression vendeuse est légèrement dominante. La décision **Neutre** est correcte, mais un passage sous 30 signalerait une opportunité d'achat potentielle.</w:t>
      </w:r>
    </w:p>
    <w:p>
      <w:pPr>
        <w:spacing w:after="120" w:line="276" w:lineRule="auto"/>
      </w:pPr>
      <w:r>
        <w:t>**Stochastique** : Le %K (44,737) est inférieur au %D (63,63), formant un croisement baissier. Cette configuration indique un momentum de prix négatif à court terme. La décision **Neutre** est justifiée, car le titre n'est pas encore en zone de survente, mais la dynamique est clairement en perte de vitesse.</w:t>
      </w:r>
    </w:p>
    <w:p>
      <w:pPr>
        <w:spacing w:after="120" w:line="276" w:lineRule="auto"/>
      </w:pPr>
      <w:r>
        <w:t>**Conclusion technique** : Les indicateurs techniques sont mitigés. Les moyennes mobiles plaident pour une tendance haussière de fond, mais les oscillateurs (MACD, RSI, Stochastique) montrent tous un affaiblissement du momentum à court terme. Le titre semble donc dans une phase de consolidation après une période de hausse, avec un risque de correction vers les 2 800 FCFA si les supports actuels cèdent. La prudence est de mise à très court terme.</w:t>
      </w:r>
    </w:p>
    <w:p>
      <w:pPr>
        <w:spacing w:after="120" w:line="276" w:lineRule="auto"/>
      </w:pPr>
      <w:r>
        <w:t>### **PARTIE 3 : ANALYSE FONDAMENTALE (SECTION CRITIQUE)**</w:t>
      </w:r>
    </w:p>
    <w:p>
      <w:pPr>
        <w:spacing w:after="120" w:line="276" w:lineRule="auto"/>
      </w:pPr>
      <w:r>
        <w:t>En 2025, les données structurées présentent un profil financier contrasté pour ONTBF. Le PNB/Chiffre d'affaires s'établit à 146,177 milliards FCFA, en croissance de 3,1%, mais le résultat net chute de 26% à 15,887 milliards FCFA. Cette baisse de rentabilité est confirmée par un ROE exceptionnel de 27,6% (bien qu'en repli) et un ROA de 4,9%. Le coefficient d'exploitation de 67,1% est un point de vigilance, indiquant une moins bonne maîtrise des charges par rapport à la moyenne sectorielle. Le coût du risque est élevé (3,57%), reflétant un environnement de crédit difficile. Les rapports narratifs de 2025 (publiés en 2026) expliquent cette dégradation par des charges exceptionnelles (indemnités, sanctions ARCEP), une hausse des coûts de l'énergie et de la maintenance en zones sécuritaires. Les rapports trimestriels 2025 montrent une érosion continue des marges (EBITDA passant de 47% au T1 à 39,3% sur 9 mois). Sur la base de ces tendances, on estime que l'exercice 2026 pourrait voir une stabilisation, le rapport T1 2026 (publié en 2026) indiquant une marge EBITDA maintenue à 41,3%, mais avec un résultat net toujours en baisse (-3,6%). La solidité financière reste néanmoins un atout majeur, avec une trésorerie nette positive de 10,6 milliards FCFA et une capacité de remboursement rapide (2,29 ans). La recommandation fondamentale est de **CONSERVER**, la société démontrant une résilience commerciale mais subissant une pression réelle sur sa rentabilité.</w:t>
      </w:r>
    </w:p>
    <w:p>
      <w:pPr>
        <w:spacing w:after="120" w:line="276" w:lineRule="auto"/>
      </w:pPr>
      <w:r>
        <w:t>### **PARTIE 4 : CONCLUSION D'INVESTISSEMENT**</w:t>
      </w:r>
    </w:p>
    <w:p>
      <w:pPr>
        <w:spacing w:after="120" w:line="276" w:lineRule="auto"/>
      </w:pPr>
      <w:r>
        <w:t>La valorisation d'ONTBF (PER 12,3x, EV/EBITDA 5,2x) est jugée raisonnable, sans décote ni prime excessive. Le comportement du cours sur 100 jours est stable, avec une volatilité annualisée élevée mais une dispersion très faible, ce qui est rassurant. Les signaux techniques sont partagés : une tendance de fond haussière (MM) contre un momentum à court terme négatif (MACD, RSI, Stochastique). Les fondamentaux, bien qu'en dégradation (baisse du résultat net 2025), restent solides avec un ROE élevé et une génération de cash-flow importante. Les prédictions IA pour les 10 prochains jours (2 900 à 2 873 FCFA) suggèrent une stabilisation avec une légère tendance baissière, confirmant les signaux techniques de consolidation. En synthèse, la convergence des indicateurs pointe vers une phase de transition. La recommandation finale est **CONSERVER**. Le niveau de confiance est **Moyen**, car la trajectoire de la rentabilité en 2026 sera déterminante. Le risque global est **Moyen**, principalement lié aux facteurs opérationnels (sécurité, réglementation) et à la pression sur les marges. L'horizon d'investissement optimal est le **moyen terme (3-12 mois)**, le temps d'évaluer l'efficacité des mesures d'optimisation des coûts annoncées par la direction.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3166.02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2,310 titres</w:t>
            </w:r>
          </w:p>
        </w:tc>
        <w:tc>
          <w:tcPr>
            <w:tcW w:type="dxa" w:w="2268"/>
            <w:shd w:fill="FFF2CC" w:val="clear"/>
          </w:tcPr>
          <w:p>
            <w:r>
              <w:rPr>
                <w:b/>
                <w:color w:val="503200"/>
                <w:sz w:val="16"/>
              </w:rPr>
              <w:t xml:space="preserve">Cours actuel : </w:t>
            </w:r>
            <w:r>
              <w:rPr>
                <w:color w:val="000000"/>
                <w:sz w:val="17"/>
              </w:rPr>
              <w:t>21,015 FCFA</w:t>
            </w:r>
          </w:p>
          <w:p>
            <w:r>
              <w:rPr>
                <w:b/>
                <w:color w:val="503200"/>
                <w:sz w:val="16"/>
              </w:rPr>
              <w:t xml:space="preserve">Var. 100 jours : </w:t>
            </w:r>
            <w:r>
              <w:rPr>
                <w:b/>
                <w:color w:val="007800"/>
                <w:sz w:val="17"/>
              </w:rPr>
              <w:t>+37.35%</w:t>
            </w:r>
          </w:p>
          <w:p>
            <w:r>
              <w:rPr>
                <w:b/>
                <w:color w:val="503200"/>
                <w:sz w:val="16"/>
              </w:rPr>
              <w:t xml:space="preserve">Plus haut 100j : </w:t>
            </w:r>
            <w:r>
              <w:rPr>
                <w:color w:val="000000"/>
                <w:sz w:val="17"/>
              </w:rPr>
              <w:t>21,015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7.13% (Moyenne) — μ=16,082 FCFA, σ=1,147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β=1.3512 (Agressif) — Cov=0.000047, Var(idx)=0.000035, ρ=0.424,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19,162</w:t>
            </w:r>
          </w:p>
        </w:tc>
        <w:tc>
          <w:tcPr>
            <w:tcW w:type="dxa" w:w="1440"/>
            <w:shd w:fill="FFDCE0" w:val="clear"/>
          </w:tcPr>
          <w:p>
            <w:r>
              <w:rPr>
                <w:b/>
                <w:sz w:val="17"/>
              </w:rPr>
              <w:t>19,727</w:t>
            </w:r>
          </w:p>
        </w:tc>
        <w:tc>
          <w:tcPr>
            <w:tcW w:type="dxa" w:w="1440"/>
            <w:shd w:fill="FFDCE0" w:val="clear"/>
          </w:tcPr>
          <w:p>
            <w:r>
              <w:rPr>
                <w:sz w:val="17"/>
              </w:rPr>
              <w:t>20,293</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18,942</w:t>
            </w:r>
          </w:p>
        </w:tc>
        <w:tc>
          <w:tcPr>
            <w:tcW w:type="dxa" w:w="1440"/>
            <w:shd w:fill="FFDCE0" w:val="clear"/>
          </w:tcPr>
          <w:p>
            <w:r>
              <w:rPr>
                <w:b/>
                <w:sz w:val="17"/>
              </w:rPr>
              <w:t>19,742</w:t>
            </w:r>
          </w:p>
        </w:tc>
        <w:tc>
          <w:tcPr>
            <w:tcW w:type="dxa" w:w="1440"/>
            <w:shd w:fill="FFDCE0" w:val="clear"/>
          </w:tcPr>
          <w:p>
            <w:r>
              <w:rPr>
                <w:sz w:val="17"/>
              </w:rPr>
              <w:t>20,543</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18,674</w:t>
            </w:r>
          </w:p>
        </w:tc>
        <w:tc>
          <w:tcPr>
            <w:tcW w:type="dxa" w:w="1440"/>
            <w:shd w:fill="FFDCE0" w:val="clear"/>
          </w:tcPr>
          <w:p>
            <w:r>
              <w:rPr>
                <w:b/>
                <w:sz w:val="17"/>
              </w:rPr>
              <w:t>19,650</w:t>
            </w:r>
          </w:p>
        </w:tc>
        <w:tc>
          <w:tcPr>
            <w:tcW w:type="dxa" w:w="1440"/>
            <w:shd w:fill="FFDCE0" w:val="clear"/>
          </w:tcPr>
          <w:p>
            <w:r>
              <w:rPr>
                <w:sz w:val="17"/>
              </w:rPr>
              <w:t>20,626</w:t>
            </w:r>
          </w:p>
        </w:tc>
        <w:tc>
          <w:tcPr>
            <w:tcW w:type="dxa" w:w="1440"/>
            <w:shd w:fill="FFDCE0" w:val="clear"/>
          </w:tcPr>
          <w:p>
            <w:r>
              <w:rPr>
                <w:b/>
                <w:color w:val="C00000"/>
                <w:sz w:val="17"/>
              </w:rPr>
              <w:t>-6.5%</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18,423</w:t>
            </w:r>
          </w:p>
        </w:tc>
        <w:tc>
          <w:tcPr>
            <w:tcW w:type="dxa" w:w="1440"/>
            <w:shd w:fill="FFDCE0" w:val="clear"/>
          </w:tcPr>
          <w:p>
            <w:r>
              <w:rPr>
                <w:b/>
                <w:sz w:val="17"/>
              </w:rPr>
              <w:t>19,544</w:t>
            </w:r>
          </w:p>
        </w:tc>
        <w:tc>
          <w:tcPr>
            <w:tcW w:type="dxa" w:w="1440"/>
            <w:shd w:fill="FFDCE0" w:val="clear"/>
          </w:tcPr>
          <w:p>
            <w:r>
              <w:rPr>
                <w:sz w:val="17"/>
              </w:rPr>
              <w:t>20,664</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18,193</w:t>
            </w:r>
          </w:p>
        </w:tc>
        <w:tc>
          <w:tcPr>
            <w:tcW w:type="dxa" w:w="1440"/>
            <w:shd w:fill="FFDCE0" w:val="clear"/>
          </w:tcPr>
          <w:p>
            <w:r>
              <w:rPr>
                <w:b/>
                <w:sz w:val="17"/>
              </w:rPr>
              <w:t>19,439</w:t>
            </w:r>
          </w:p>
        </w:tc>
        <w:tc>
          <w:tcPr>
            <w:tcW w:type="dxa" w:w="1440"/>
            <w:shd w:fill="FFDCE0" w:val="clear"/>
          </w:tcPr>
          <w:p>
            <w:r>
              <w:rPr>
                <w:sz w:val="17"/>
              </w:rPr>
              <w:t>20,685</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17,980</w:t>
            </w:r>
          </w:p>
        </w:tc>
        <w:tc>
          <w:tcPr>
            <w:tcW w:type="dxa" w:w="1440"/>
            <w:shd w:fill="FFDCE0" w:val="clear"/>
          </w:tcPr>
          <w:p>
            <w:r>
              <w:rPr>
                <w:b/>
                <w:sz w:val="17"/>
              </w:rPr>
              <w:t>19,338</w:t>
            </w:r>
          </w:p>
        </w:tc>
        <w:tc>
          <w:tcPr>
            <w:tcW w:type="dxa" w:w="1440"/>
            <w:shd w:fill="FFDCE0" w:val="clear"/>
          </w:tcPr>
          <w:p>
            <w:r>
              <w:rPr>
                <w:sz w:val="17"/>
              </w:rPr>
              <w:t>20,696</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17,780</w:t>
            </w:r>
          </w:p>
        </w:tc>
        <w:tc>
          <w:tcPr>
            <w:tcW w:type="dxa" w:w="1440"/>
            <w:shd w:fill="FFDCE0" w:val="clear"/>
          </w:tcPr>
          <w:p>
            <w:r>
              <w:rPr>
                <w:b/>
                <w:sz w:val="17"/>
              </w:rPr>
              <w:t>19,240</w:t>
            </w:r>
          </w:p>
        </w:tc>
        <w:tc>
          <w:tcPr>
            <w:tcW w:type="dxa" w:w="1440"/>
            <w:shd w:fill="FFDCE0" w:val="clear"/>
          </w:tcPr>
          <w:p>
            <w:r>
              <w:rPr>
                <w:sz w:val="17"/>
              </w:rPr>
              <w:t>20,699</w:t>
            </w:r>
          </w:p>
        </w:tc>
        <w:tc>
          <w:tcPr>
            <w:tcW w:type="dxa" w:w="1440"/>
            <w:shd w:fill="FFDCE0" w:val="clear"/>
          </w:tcPr>
          <w:p>
            <w:r>
              <w:rPr>
                <w:b/>
                <w:color w:val="C00000"/>
                <w:sz w:val="17"/>
              </w:rPr>
              <w:t>-8.4%</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17,592</w:t>
            </w:r>
          </w:p>
        </w:tc>
        <w:tc>
          <w:tcPr>
            <w:tcW w:type="dxa" w:w="1440"/>
            <w:shd w:fill="FFDCE0" w:val="clear"/>
          </w:tcPr>
          <w:p>
            <w:r>
              <w:rPr>
                <w:b/>
                <w:sz w:val="17"/>
              </w:rPr>
              <w:t>19,145</w:t>
            </w:r>
          </w:p>
        </w:tc>
        <w:tc>
          <w:tcPr>
            <w:tcW w:type="dxa" w:w="1440"/>
            <w:shd w:fill="FFDCE0" w:val="clear"/>
          </w:tcPr>
          <w:p>
            <w:r>
              <w:rPr>
                <w:sz w:val="17"/>
              </w:rPr>
              <w:t>20,697</w:t>
            </w:r>
          </w:p>
        </w:tc>
        <w:tc>
          <w:tcPr>
            <w:tcW w:type="dxa" w:w="1440"/>
            <w:shd w:fill="FFDCE0" w:val="clear"/>
          </w:tcPr>
          <w:p>
            <w:r>
              <w:rPr>
                <w:b/>
                <w:color w:val="C00000"/>
                <w:sz w:val="17"/>
              </w:rPr>
              <w:t>-8.9%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17,414</w:t>
            </w:r>
          </w:p>
        </w:tc>
        <w:tc>
          <w:tcPr>
            <w:tcW w:type="dxa" w:w="1440"/>
            <w:shd w:fill="FFDCE0" w:val="clear"/>
          </w:tcPr>
          <w:p>
            <w:r>
              <w:rPr>
                <w:b/>
                <w:sz w:val="17"/>
              </w:rPr>
              <w:t>19,053</w:t>
            </w:r>
          </w:p>
        </w:tc>
        <w:tc>
          <w:tcPr>
            <w:tcW w:type="dxa" w:w="1440"/>
            <w:shd w:fill="FFDCE0" w:val="clear"/>
          </w:tcPr>
          <w:p>
            <w:r>
              <w:rPr>
                <w:sz w:val="17"/>
              </w:rPr>
              <w:t>20,691</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17,245</w:t>
            </w:r>
          </w:p>
        </w:tc>
        <w:tc>
          <w:tcPr>
            <w:tcW w:type="dxa" w:w="1440"/>
            <w:shd w:fill="FFDCE0" w:val="clear"/>
          </w:tcPr>
          <w:p>
            <w:r>
              <w:rPr>
                <w:b/>
                <w:sz w:val="17"/>
              </w:rPr>
              <w:t>18,964</w:t>
            </w:r>
          </w:p>
        </w:tc>
        <w:tc>
          <w:tcPr>
            <w:tcW w:type="dxa" w:w="1440"/>
            <w:shd w:fill="FFDCE0" w:val="clear"/>
          </w:tcPr>
          <w:p>
            <w:r>
              <w:rPr>
                <w:sz w:val="17"/>
              </w:rPr>
              <w:t>20,683</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**Date de l'analyse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3 166 milliards FCFA, ORAC est une valeur de première ligne sur la BRVM, représentant une part significative de la capitalisation totale du marché. Le BPA de 1 114 FCFA indique que chaque action génère un bénéfice substantiel. Le PER de 18,9x est nettement supérieur à la moyenne historique de la BRVM (8-12x), signifiant que les investisseurs paient une prime conséquente pour la croissance et la stabilité de l'entreprise. Le P/B de 4,47x confirme cette prime, le marché valorisant le titre bien au-delà de sa valeur comptable, ce qui reflète une forte confiance dans les actifs incorporels et la marque. Enfin, l'EV/EBITDA de 7,5x, dans une fourchette de 5 à 10x, est considéré comme raisonnable, indiquant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performance exceptionnelle de +37,35%, avec une dernière séance en hausse de +4,01% à 21 015 FCFA. Le titre a évolué dans une fourchette large de 14 650 à 21 015 FCFA, démontrant une dynamique haussière soutenue. La moyenne (16 082 FCFA) est proche de la médiane (16 000 FCFA), indiquant une distribution relativement symétrique, mais le skewness positif de 1,672 révèle que le cours a passé plus de temps sous la moyenne, avec des poussées haussières récentes. L'écart-type de 1 152 FCFA (CV=7,2%) montre une dispersion modérée, tandis que le kurtosis élevé (4,050) signale un risque de mouvements extrêmes. La volatilité annualisée de 29,9% classe le titre comme modérément volatil, en phase avec les valeurs de croissance du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(21 015 FCFA) est nettement au-dessus de la MM20 (17 730,75 FCFA) et de la MM50 (16 859,7 FCFA), confirmant une tendance haussière de court et moyen terme. L'écart croissant entre les moyennes et le cours indique une accélération du mouvement, justifiant la décision d'achat.</w:t>
      </w:r>
    </w:p>
    <w:p>
      <w:pPr>
        <w:spacing w:after="120" w:line="276" w:lineRule="auto"/>
      </w:pPr>
      <w:r>
        <w:t>**Bandes de Bollinger** : Le prix a franchi la borne supérieure (20 280,9 FCFA), signalant une condition de surachat extrême. Cette sortie de canal suggère une volatilité élevée et un possible retour vers la moyenne, d'où la décision de vente pour anticiper une correction technique.</w:t>
      </w:r>
    </w:p>
    <w:p>
      <w:pPr>
        <w:spacing w:after="120" w:line="276" w:lineRule="auto"/>
      </w:pPr>
      <w:r>
        <w:t>**MACD** : Le MACD (924,279) est nettement au-dessus de sa ligne de signal (558,343), avec un écart croissant. Ce momentum haussier fort confirme la tendance en place, justifiant la décision d'achat, bien qu'un écart aussi large puisse précéder un ralentissement.</w:t>
      </w:r>
    </w:p>
    <w:p>
      <w:pPr>
        <w:spacing w:after="120" w:line="276" w:lineRule="auto"/>
      </w:pPr>
      <w:r>
        <w:t>**RSI** : À 95,995, le RSI est en zone de surachat extrême (bien au-dessus de 70), indiquant que le titre est survendu à la hausse. Cette situation signale un risque élevé de correction technique, justifiant la décision de vente.</w:t>
      </w:r>
    </w:p>
    <w:p>
      <w:pPr>
        <w:spacing w:after="120" w:line="276" w:lineRule="auto"/>
      </w:pPr>
      <w:r>
        <w:t>**Stochastique** : %K et %D sont tous deux à 100, en zone de surachat maximal. Ce niveau extrême indique que le mouvement haussier est arrivé à son paroxysme, avec un fort potentiel de retournement, justifiant la décision de vente.</w:t>
      </w:r>
    </w:p>
    <w:p>
      <w:pPr>
        <w:spacing w:after="120" w:line="276" w:lineRule="auto"/>
      </w:pPr>
      <w:r>
        <w:t>**Conclusion technique** : La convergence des indicateurs de momentum (RSI, Stochastique, Bollinger) en zone de surachat extrême contraste avec la tendance haussière des moyennes mobiles et du MACD. Cette divergence signale un risque élevé de correction à court terme, malgré une tendance de fond toujours positive.</w:t>
      </w:r>
    </w:p>
    <w:p>
      <w:pPr>
        <w:spacing w:after="120" w:line="276" w:lineRule="auto"/>
      </w:pPr>
      <w:r>
        <w:t>---</w:t>
      </w:r>
    </w:p>
    <w:p>
      <w:pPr>
        <w:spacing w:after="120" w:line="276" w:lineRule="auto"/>
      </w:pPr>
      <w:r>
        <w:t>### PARTIE 3 : ANALYSE FONDAMENTALE (SECTION CRITIQUE)</w:t>
      </w:r>
    </w:p>
    <w:p>
      <w:pPr>
        <w:spacing w:after="120" w:line="276" w:lineRule="auto"/>
      </w:pPr>
      <w:r>
        <w:t>En 2025, ORAC a réalisé un chiffre d'affaires consolidé de 1 197,1 milliards FCFA, en hausse de +10,4% par rapport à 2024 (1 084,1 milliards FCFA). Le résultat net consolidé s'établit à 167,8 milliards FCFA (+6,1%), avec un résultat net part du groupe de 129,1 milliards FCFA (+14,5%). La marge nette ressort à 14,0%, tandis que le ROE est excellent à 23,7% et le ROA à 6,6%. La structure financière est saine avec un BFR négatif de -198 milliards FCFA, favorable pour la trésorerie, et une capacité de remboursement de 0,99 an. Le délai fournisseurs (210,87 jours) est très favorable, tandis que le délai clients (52,26 jours) reste maîtrisé. Les rapports trimestriels 2025 montrent une croissance soutenue du CA (+9,9% au T3), mais une stagnation du résultat net (+0,2% à fin septembre) due à des charges financières en hausse. Le T1 2026 est très prometteur avec un CA de 325,6 milliards FCFA (+14,8%) et un résultat net de 48,3 milliards FCFA (+25,2%), laissant estimer une excellente année 2026. Le dividende proposé pour 2025 est de 800 FCFA brut par action, soit un rendement de 3,8% au cours actuel.</w:t>
      </w:r>
    </w:p>
    <w:p>
      <w:pPr>
        <w:spacing w:after="120" w:line="276" w:lineRule="auto"/>
      </w:pPr>
      <w:r>
        <w:t>---</w:t>
      </w:r>
    </w:p>
    <w:p>
      <w:pPr>
        <w:spacing w:after="120" w:line="276" w:lineRule="auto"/>
      </w:pPr>
      <w:r>
        <w:t>### PARTIE 4 : CONCLUSION D'INVESTISSEMENT</w:t>
      </w:r>
    </w:p>
    <w:p>
      <w:pPr>
        <w:spacing w:after="120" w:line="276" w:lineRule="auto"/>
      </w:pPr>
      <w:r>
        <w:t>La valorisation d'ORAC est exigeante avec un PER de 18,9x et un P/B de 4,47x, mais justifiée par une croissance solide et une rentabilité supérieure. Le comportement du cours montre une tendance haussière spectaculaire (+37,35% en 100 jours), mais les statistiques (kurtosis élevé, skewness positif) et les indicateurs techniques (RSI, Stochastique, Bollinger en surachat extrême) signalent un risque élevé de correction à court terme. Les fondamentaux restent excellents avec un ROE de 23,7%, une croissance du CA de +10,4% en 2025 et des perspectives très positives pour 2026 (+25,2% de croissance du résultat net au T1). Les prédictions IA (19 727 à 19 439 FCFA sur 10 jours) confirment ce scénario de correction, suggérant un repli d'environ 6-8% par rapport au cours actuel. La convergence entre les signaux techniques de surachat et les prédictions IA est forte, malgré des fondamentaux solides. **Recommandation : CONSERVER** avec un niveau de confiance **Moyen** et un risque global **Élevé** à court terme. Horizon d'investissement optimal : **Moyen terme (3-12 mois)**, en attendant une correction technique pour renforcer la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5,631 titres</w:t>
            </w:r>
          </w:p>
        </w:tc>
        <w:tc>
          <w:tcPr>
            <w:tcW w:type="dxa" w:w="2268"/>
            <w:shd w:fill="FFF2CC" w:val="clear"/>
          </w:tcPr>
          <w:p>
            <w:r>
              <w:rPr>
                <w:b/>
                <w:color w:val="503200"/>
                <w:sz w:val="16"/>
              </w:rPr>
              <w:t xml:space="preserve">Cours actuel : </w:t>
            </w:r>
            <w:r>
              <w:rPr>
                <w:color w:val="000000"/>
                <w:sz w:val="17"/>
              </w:rPr>
              <w:t>3,125 FCFA</w:t>
            </w:r>
          </w:p>
          <w:p>
            <w:r>
              <w:rPr>
                <w:b/>
                <w:color w:val="503200"/>
                <w:sz w:val="16"/>
              </w:rPr>
              <w:t xml:space="preserve">Var. 100 jours : </w:t>
            </w:r>
            <w:r>
              <w:rPr>
                <w:b/>
                <w:color w:val="B40000"/>
                <w:sz w:val="17"/>
              </w:rPr>
              <w:t>-14.38%</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μ=2,960 FCFA, σ=347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β=0.3636 (Défensif) — Cov=0.000013, Var(idx)=0.000035, ρ=0.079,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3,025</w:t>
            </w:r>
          </w:p>
        </w:tc>
        <w:tc>
          <w:tcPr>
            <w:tcW w:type="dxa" w:w="1440"/>
            <w:shd w:fill="FAFAFA" w:val="clear"/>
          </w:tcPr>
          <w:p>
            <w:r>
              <w:rPr>
                <w:b/>
                <w:sz w:val="17"/>
              </w:rPr>
              <w:t>3,119</w:t>
            </w:r>
          </w:p>
        </w:tc>
        <w:tc>
          <w:tcPr>
            <w:tcW w:type="dxa" w:w="1440"/>
            <w:shd w:fill="FAFAFA" w:val="clear"/>
          </w:tcPr>
          <w:p>
            <w:r>
              <w:rPr>
                <w:sz w:val="17"/>
              </w:rPr>
              <w:t>3,212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2,982</w:t>
            </w:r>
          </w:p>
        </w:tc>
        <w:tc>
          <w:tcPr>
            <w:tcW w:type="dxa" w:w="1440"/>
            <w:shd w:fill="FAFAFA" w:val="clear"/>
          </w:tcPr>
          <w:p>
            <w:r>
              <w:rPr>
                <w:b/>
                <w:sz w:val="17"/>
              </w:rPr>
              <w:t>3,114</w:t>
            </w:r>
          </w:p>
        </w:tc>
        <w:tc>
          <w:tcPr>
            <w:tcW w:type="dxa" w:w="1440"/>
            <w:shd w:fill="FAFAFA" w:val="clear"/>
          </w:tcPr>
          <w:p>
            <w:r>
              <w:rPr>
                <w:sz w:val="17"/>
              </w:rPr>
              <w:t>3,246</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2,948</w:t>
            </w:r>
          </w:p>
        </w:tc>
        <w:tc>
          <w:tcPr>
            <w:tcW w:type="dxa" w:w="1440"/>
            <w:shd w:fill="FAFAFA" w:val="clear"/>
          </w:tcPr>
          <w:p>
            <w:r>
              <w:rPr>
                <w:b/>
                <w:sz w:val="17"/>
              </w:rPr>
              <w:t>3,110</w:t>
            </w:r>
          </w:p>
        </w:tc>
        <w:tc>
          <w:tcPr>
            <w:tcW w:type="dxa" w:w="1440"/>
            <w:shd w:fill="FAFAFA" w:val="clear"/>
          </w:tcPr>
          <w:p>
            <w:r>
              <w:rPr>
                <w:sz w:val="17"/>
              </w:rPr>
              <w:t>3,272</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2,920</w:t>
            </w:r>
          </w:p>
        </w:tc>
        <w:tc>
          <w:tcPr>
            <w:tcW w:type="dxa" w:w="1440"/>
            <w:shd w:fill="FAFAFA" w:val="clear"/>
          </w:tcPr>
          <w:p>
            <w:r>
              <w:rPr>
                <w:b/>
                <w:sz w:val="17"/>
              </w:rPr>
              <w:t>3,107</w:t>
            </w:r>
          </w:p>
        </w:tc>
        <w:tc>
          <w:tcPr>
            <w:tcW w:type="dxa" w:w="1440"/>
            <w:shd w:fill="FAFAFA" w:val="clear"/>
          </w:tcPr>
          <w:p>
            <w:r>
              <w:rPr>
                <w:sz w:val="17"/>
              </w:rPr>
              <w:t>3,293</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2,895</w:t>
            </w:r>
          </w:p>
        </w:tc>
        <w:tc>
          <w:tcPr>
            <w:tcW w:type="dxa" w:w="1440"/>
            <w:shd w:fill="FAFAFA" w:val="clear"/>
          </w:tcPr>
          <w:p>
            <w:r>
              <w:rPr>
                <w:b/>
                <w:sz w:val="17"/>
              </w:rPr>
              <w:t>3,104</w:t>
            </w:r>
          </w:p>
        </w:tc>
        <w:tc>
          <w:tcPr>
            <w:tcW w:type="dxa" w:w="1440"/>
            <w:shd w:fill="FAFAFA" w:val="clear"/>
          </w:tcPr>
          <w:p>
            <w:r>
              <w:rPr>
                <w:sz w:val="17"/>
              </w:rPr>
              <w:t>3,312</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2,873</w:t>
            </w:r>
          </w:p>
        </w:tc>
        <w:tc>
          <w:tcPr>
            <w:tcW w:type="dxa" w:w="1440"/>
            <w:shd w:fill="FAFAFA" w:val="clear"/>
          </w:tcPr>
          <w:p>
            <w:r>
              <w:rPr>
                <w:b/>
                <w:sz w:val="17"/>
              </w:rPr>
              <w:t>3,101</w:t>
            </w:r>
          </w:p>
        </w:tc>
        <w:tc>
          <w:tcPr>
            <w:tcW w:type="dxa" w:w="1440"/>
            <w:shd w:fill="FAFAFA" w:val="clear"/>
          </w:tcPr>
          <w:p>
            <w:r>
              <w:rPr>
                <w:sz w:val="17"/>
              </w:rPr>
              <w:t>3,329</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2,852</w:t>
            </w:r>
          </w:p>
        </w:tc>
        <w:tc>
          <w:tcPr>
            <w:tcW w:type="dxa" w:w="1440"/>
            <w:shd w:fill="FAFAFA" w:val="clear"/>
          </w:tcPr>
          <w:p>
            <w:r>
              <w:rPr>
                <w:b/>
                <w:sz w:val="17"/>
              </w:rPr>
              <w:t>3,098</w:t>
            </w:r>
          </w:p>
        </w:tc>
        <w:tc>
          <w:tcPr>
            <w:tcW w:type="dxa" w:w="1440"/>
            <w:shd w:fill="FAFAFA" w:val="clear"/>
          </w:tcPr>
          <w:p>
            <w:r>
              <w:rPr>
                <w:sz w:val="17"/>
              </w:rPr>
              <w:t>3,344</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2,832</w:t>
            </w:r>
          </w:p>
        </w:tc>
        <w:tc>
          <w:tcPr>
            <w:tcW w:type="dxa" w:w="1440"/>
            <w:shd w:fill="FAFAFA" w:val="clear"/>
          </w:tcPr>
          <w:p>
            <w:r>
              <w:rPr>
                <w:b/>
                <w:sz w:val="17"/>
              </w:rPr>
              <w:t>3,095</w:t>
            </w:r>
          </w:p>
        </w:tc>
        <w:tc>
          <w:tcPr>
            <w:tcW w:type="dxa" w:w="1440"/>
            <w:shd w:fill="FAFAFA" w:val="clear"/>
          </w:tcPr>
          <w:p>
            <w:r>
              <w:rPr>
                <w:sz w:val="17"/>
              </w:rPr>
              <w:t>3,358</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2,814</w:t>
            </w:r>
          </w:p>
        </w:tc>
        <w:tc>
          <w:tcPr>
            <w:tcW w:type="dxa" w:w="1440"/>
            <w:shd w:fill="FAFAFA" w:val="clear"/>
          </w:tcPr>
          <w:p>
            <w:r>
              <w:rPr>
                <w:b/>
                <w:sz w:val="17"/>
              </w:rPr>
              <w:t>3,093</w:t>
            </w:r>
          </w:p>
        </w:tc>
        <w:tc>
          <w:tcPr>
            <w:tcW w:type="dxa" w:w="1440"/>
            <w:shd w:fill="FAFAFA" w:val="clear"/>
          </w:tcPr>
          <w:p>
            <w:r>
              <w:rPr>
                <w:sz w:val="17"/>
              </w:rPr>
              <w:t>3,371</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2,797</w:t>
            </w:r>
          </w:p>
        </w:tc>
        <w:tc>
          <w:tcPr>
            <w:tcW w:type="dxa" w:w="1440"/>
            <w:shd w:fill="FAFAFA" w:val="clear"/>
          </w:tcPr>
          <w:p>
            <w:r>
              <w:rPr>
                <w:b/>
                <w:sz w:val="17"/>
              </w:rPr>
              <w:t>3,090</w:t>
            </w:r>
          </w:p>
        </w:tc>
        <w:tc>
          <w:tcPr>
            <w:tcW w:type="dxa" w:w="1440"/>
            <w:shd w:fill="FAFAFA" w:val="clear"/>
          </w:tcPr>
          <w:p>
            <w:r>
              <w:rPr>
                <w:sz w:val="17"/>
              </w:rPr>
              <w:t>3,383</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un rapport d'analyse financière professionnel structuré en 4 parties pour l'action ORGT (Oragroup)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d'Oragroup s'établit à 216,92 milliards FCFA, un niveau significatif qui positionne le titre parmi les valeurs moyennes à grandes de la BRVM. Avec un BPA de 312 FCFA, le PER de 10,0x se situe dans la fourchette moyenne du marché (8-12x), indiquant une valorisation raisonnable pour un investisseur cherchant à payer un prix juste pour les bénéfices générés. Le P/B de 1,92x suggère que le marché valorise la société à près du double de sa valeur comptable, ce qui est un signe de confiance dans la qualité des actifs et la rentabilité future. Cependant, l'EV/EBITDA de 19,9x est nettement supérieur au seuil de 15x, signalant une valorisation très exigeante de la capacité opérationnelle de la banque. Cette disparité entre un PER modéré et un EV/EBITDA élevé mérite une attention particulière, car elle peut indiquer une prime de risque ou des attentes de croissance élevées.</w:t>
      </w:r>
    </w:p>
    <w:p>
      <w:pPr>
        <w:spacing w:after="120" w:line="276" w:lineRule="auto"/>
      </w:pPr>
      <w:r>
        <w:t>### PARTIE 1 : ANALYSE DU COURS — STATISTIQUES ET ÉVOLUTION (100 derniers jours)</w:t>
      </w:r>
    </w:p>
    <w:p>
      <w:pPr>
        <w:spacing w:after="120" w:line="276" w:lineRule="auto"/>
      </w:pPr>
      <w:r>
        <w:t>Sur les 100 derniers jours, le cours d'ORGT a enregistré une variation totale de -14,38%, avec une baisse de -1,73% lors de la dernière séance, témoignant d'une tendance baissière marquée. Le titre a évolué dans une fourchette de trading allant de 2 435 FCFA (plus bas) à 3 660 FCFA (plus haut), montrant une amplitude de prix considérable. La moyenne du cours sur la période est de 2 960 FCFA, tandis que la médiane est de 2 780 FCFA ; cet écart, couplé à un skewness positif de 0,691, indique une distribution asymétrique avec plus de journées sous la moyenne, mais des pics occasionnels plus élevés. L'écart-type de 348 FCFA (CV=11,8%) révèle une dispersion modérée, et le kurtosis de -0,741 (mésokurtique) suggère un risque de pics de volatilité proche d'une distribution normale. La volatilité annualisée de 43,4% est élevée, positionnant le titre comme un actif à risque significatif, nécessitant une gestion prudente.</w:t>
      </w:r>
    </w:p>
    <w:p>
      <w:pPr>
        <w:spacing w:after="120" w:line="276" w:lineRule="auto"/>
      </w:pPr>
      <w:r>
        <w:t>### PARTIE 2 : ANALYSE TECHNIQUE DÉTAILLÉE</w:t>
      </w:r>
    </w:p>
    <w:p>
      <w:pPr>
        <w:spacing w:after="120" w:line="276" w:lineRule="auto"/>
      </w:pPr>
      <w:r>
        <w:t>**Moyennes Mobiles** : La MM20 à 3 037,75 FCFA et la MM50 à 2 827,6 FCFA sont toutes deux inférieures au cours actuel de 3 125 FCFA, indiquant une dynamique haussière à court et moyen terme. La décision "Achat" est justifiée par le fait que le prix se maintient au-dessus de ces moyennes, ce qui est un signal positif pour la poursuite de la tendance.</w:t>
      </w:r>
    </w:p>
    <w:p>
      <w:pPr>
        <w:spacing w:after="120" w:line="276" w:lineRule="auto"/>
      </w:pPr>
      <w:r>
        <w:t>**Bandes de Bollinger** : Le cours se situe entre la borne inférieure (2 746,212 FCFA) et la borne supérieure (3 329,288 FCFA), proche de la moyenne, ce qui suggère une volatilité normale. La décision "Neutre" est appropriée, car le prix n'est ni en zone de surachat ni de survente, indiquant une phase de consolidation.</w:t>
      </w:r>
    </w:p>
    <w:p>
      <w:pPr>
        <w:spacing w:after="120" w:line="276" w:lineRule="auto"/>
      </w:pPr>
      <w:r>
        <w:t>**MACD** : La valeur du MACD (89,777) est inférieure à son signal (94,742), avec une divergence négative, signalant un momentum baissier. La décision "Vente" est justifiée par ce croisement baissier, qui suggère une possible poursuite de la baisse à court terme.</w:t>
      </w:r>
    </w:p>
    <w:p>
      <w:pPr>
        <w:spacing w:after="120" w:line="276" w:lineRule="auto"/>
      </w:pPr>
      <w:r>
        <w:t>**RSI** : Avec une valeur de 47,826, le RSI est en zone neutre (30-70), indiquant un équilibre entre les forces acheteuses et vendeuses. La décision "Neutre" est cohérente, car il n'y a pas de signal de surachat ou de survente, laissant place à une évolution directionnelle incertaine.</w:t>
      </w:r>
    </w:p>
    <w:p>
      <w:pPr>
        <w:spacing w:after="120" w:line="276" w:lineRule="auto"/>
      </w:pPr>
      <w:r>
        <w:t>**Stochastique** : Le %K (62,069) est inférieur au %D (74,023), montrant un croisement baissier potentiel, mais les deux restent en zone neutre. La décision "Neutre" est justifiée, car le titre n'est pas encore en zone de surachat, mais la dynamique semble s'affaiblir.</w:t>
      </w:r>
    </w:p>
    <w:p>
      <w:pPr>
        <w:spacing w:after="120" w:line="276" w:lineRule="auto"/>
      </w:pPr>
      <w:r>
        <w:t>**Conclusion technique** : Les indicateurs sont mitigés, avec une majorité de signaux neutres et un signal de vente du MACD, contre un signal d'achat des moyennes mobiles. Cette divergence suggère une phase de transition, où la tendance de fond reste positive, mais le momentum à court terme s'essouffle. Une surveillance étroite est recommandée pour confirmer la direction future.</w:t>
      </w:r>
    </w:p>
    <w:p>
      <w:pPr>
        <w:spacing w:after="120" w:line="276" w:lineRule="auto"/>
      </w:pPr>
      <w:r>
        <w:t>### PARTIE 3 : ANALYSE FONDAMENTALE (SECTION CRITIQUE)</w:t>
      </w:r>
    </w:p>
    <w:p>
      <w:pPr>
        <w:spacing w:after="120" w:line="276" w:lineRule="auto"/>
      </w:pPr>
      <w:r>
        <w:t>En 2025, Oragroup a réalisé un Produit Net Bancaire (PNB) de 186,609 milliards FCFA, en baisse de -4,5% par rapport à 2024 (195,4 milliards), et un résultat net consolidé de 21,643 milliards FCFA, contre une perte de -44,4 milliards en 2024, marquant un retour spectaculaire à la rentabilité. Le ROE s'établit à 19,13%, un niveau excellent, et le ROA à 0,54%, reflétant une meilleure utilisation des actifs. Le coefficient d'exploitation de 42,85% est excellent, indiquant une banque très efficace dans la gestion de ses charges. Le coût du risque, à 3,74%, est faible, signe d'un portefeuille de crédit sain, avec des dépôts clientèle (3 088,7 milliards) largement supérieurs aux créances clientèle (1 523,8 milliards), montrant une transformation équilibrée. Les rapports trimestriels de 2025 (T1, S1, T3) confirment cette trajectoire, avec un résultat net cumulé de 19,6 milliards à fin septembre, et le rapport T1 2026 indique une poursuite de la tendance avec un résultat net de 6,555 milliards, en hausse de 37%. On estime que l'exercice 2026 pourrait voir une stabilisation du PNB et une consolidation de la rentabilité, grâce à la maîtrise des coûts et du risque, bien que la croissance organique reste un défi.</w:t>
      </w:r>
    </w:p>
    <w:p>
      <w:pPr>
        <w:spacing w:after="120" w:line="276" w:lineRule="auto"/>
      </w:pPr>
      <w:r>
        <w:t>### PARTIE 4 : CONCLUSION D'INVESTISSEMENT</w:t>
      </w:r>
    </w:p>
    <w:p>
      <w:pPr>
        <w:spacing w:after="120" w:line="276" w:lineRule="auto"/>
      </w:pPr>
      <w:r>
        <w:t>En synthèse, la valorisation d'ORGT est modérée avec un PER de 10,0x, mais l'EV/EBITDA élevé (19,9x) suggère une certaine exigence du marché. Le comportement du cours est préoccupant avec une baisse de -14,38% sur 100 jours et une volatilité élevée (43,4%), bien que les statistiques (kurtosis, skewness) indiquent une distribution normale des rendements. Les signaux techniques sont mitigés, avec une divergence entre les moyennes mobiles (achat) et le MACD (vente), suggérant une phase d'incertitude. Les fondamentaux sont solides, avec un retour à la rentabilité en 2025, un ROE de 19,1% et un coefficient d'exploitation excellent, mais la baisse du PNB et des crédits nécessite une surveillance. Les prédictions IA pour les 10 prochains jours (de 3 119 à 3 104 FCFA) indiquent une légère baisse, contredisant les signaux techniques positifs des moyennes mobiles. Sur la base de cette synthèse, la recommandation est **CONSERVER**, avec un niveau de confiance **Moyen**, car la convergence entre les fondamentaux solides et la valorisation raisonnable est contrebalancée par la faiblesse technique et la baisse de l'activité. Le risque global est **Élevé** en raison de la volatilité et de l'environnement économique incertain. L'horizon d'investissement optimal est le **moyen terme (3-12 mois)**, en attendant une confirmation de la reprise de la croissance du PNB et une stabilisation du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148.87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3,567 titres</w:t>
            </w:r>
          </w:p>
        </w:tc>
        <w:tc>
          <w:tcPr>
            <w:tcW w:type="dxa" w:w="2268"/>
            <w:shd w:fill="FFF2CC" w:val="clear"/>
          </w:tcPr>
          <w:p>
            <w:r>
              <w:rPr>
                <w:b/>
                <w:color w:val="503200"/>
                <w:sz w:val="16"/>
              </w:rPr>
              <w:t xml:space="preserve">Cours actuel : </w:t>
            </w:r>
            <w:r>
              <w:rPr>
                <w:color w:val="000000"/>
                <w:sz w:val="17"/>
              </w:rPr>
              <w:t>9,630 FCFA</w:t>
            </w:r>
          </w:p>
          <w:p>
            <w:r>
              <w:rPr>
                <w:b/>
                <w:color w:val="503200"/>
                <w:sz w:val="16"/>
              </w:rPr>
              <w:t xml:space="preserve">Var. 100 jours : </w:t>
            </w:r>
            <w:r>
              <w:rPr>
                <w:b/>
                <w:color w:val="007800"/>
                <w:sz w:val="17"/>
              </w:rPr>
              <w:t>+17.44%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6.32% (Moyenne) — μ=8,436 FCFA, σ=533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β=-0.2742 (Contre-cyclique) — Cov=-0.000010, Var(idx)=0.000035, ρ=-0.069,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9,387</w:t>
            </w:r>
          </w:p>
        </w:tc>
        <w:tc>
          <w:tcPr>
            <w:tcW w:type="dxa" w:w="1440"/>
            <w:shd w:fill="FAFAFA" w:val="clear"/>
          </w:tcPr>
          <w:p>
            <w:r>
              <w:rPr>
                <w:b/>
                <w:sz w:val="17"/>
              </w:rPr>
              <w:t>9,659</w:t>
            </w:r>
          </w:p>
        </w:tc>
        <w:tc>
          <w:tcPr>
            <w:tcW w:type="dxa" w:w="1440"/>
            <w:shd w:fill="FAFAFA" w:val="clear"/>
          </w:tcPr>
          <w:p>
            <w:r>
              <w:rPr>
                <w:sz w:val="17"/>
              </w:rPr>
              <w:t>9,931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9,298</w:t>
            </w:r>
          </w:p>
        </w:tc>
        <w:tc>
          <w:tcPr>
            <w:tcW w:type="dxa" w:w="1440"/>
            <w:shd w:fill="FAFAFA" w:val="clear"/>
          </w:tcPr>
          <w:p>
            <w:r>
              <w:rPr>
                <w:b/>
                <w:sz w:val="17"/>
              </w:rPr>
              <w:t>9,684</w:t>
            </w:r>
          </w:p>
        </w:tc>
        <w:tc>
          <w:tcPr>
            <w:tcW w:type="dxa" w:w="1440"/>
            <w:shd w:fill="FAFAFA" w:val="clear"/>
          </w:tcPr>
          <w:p>
            <w:r>
              <w:rPr>
                <w:sz w:val="17"/>
              </w:rPr>
              <w:t>10,070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9,235</w:t>
            </w:r>
          </w:p>
        </w:tc>
        <w:tc>
          <w:tcPr>
            <w:tcW w:type="dxa" w:w="1440"/>
            <w:shd w:fill="FAFAFA" w:val="clear"/>
          </w:tcPr>
          <w:p>
            <w:r>
              <w:rPr>
                <w:b/>
                <w:sz w:val="17"/>
              </w:rPr>
              <w:t>9,709</w:t>
            </w:r>
          </w:p>
        </w:tc>
        <w:tc>
          <w:tcPr>
            <w:tcW w:type="dxa" w:w="1440"/>
            <w:shd w:fill="FAFAFA" w:val="clear"/>
          </w:tcPr>
          <w:p>
            <w:r>
              <w:rPr>
                <w:sz w:val="17"/>
              </w:rPr>
              <w:t>10,182</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9,186</w:t>
            </w:r>
          </w:p>
        </w:tc>
        <w:tc>
          <w:tcPr>
            <w:tcW w:type="dxa" w:w="1440"/>
            <w:shd w:fill="FAFAFA" w:val="clear"/>
          </w:tcPr>
          <w:p>
            <w:r>
              <w:rPr>
                <w:b/>
                <w:sz w:val="17"/>
              </w:rPr>
              <w:t>9,734</w:t>
            </w:r>
          </w:p>
        </w:tc>
        <w:tc>
          <w:tcPr>
            <w:tcW w:type="dxa" w:w="1440"/>
            <w:shd w:fill="FAFAFA" w:val="clear"/>
          </w:tcPr>
          <w:p>
            <w:r>
              <w:rPr>
                <w:sz w:val="17"/>
              </w:rPr>
              <w:t>10,282</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9,145</w:t>
            </w:r>
          </w:p>
        </w:tc>
        <w:tc>
          <w:tcPr>
            <w:tcW w:type="dxa" w:w="1440"/>
            <w:shd w:fill="FAFAFA" w:val="clear"/>
          </w:tcPr>
          <w:p>
            <w:r>
              <w:rPr>
                <w:b/>
                <w:sz w:val="17"/>
              </w:rPr>
              <w:t>9,760</w:t>
            </w:r>
          </w:p>
        </w:tc>
        <w:tc>
          <w:tcPr>
            <w:tcW w:type="dxa" w:w="1440"/>
            <w:shd w:fill="FAFAFA" w:val="clear"/>
          </w:tcPr>
          <w:p>
            <w:r>
              <w:rPr>
                <w:sz w:val="17"/>
              </w:rPr>
              <w:t>10,374</w:t>
            </w:r>
          </w:p>
        </w:tc>
        <w:tc>
          <w:tcPr>
            <w:tcW w:type="dxa" w:w="1440"/>
            <w:shd w:fill="FAFAFA" w:val="clear"/>
          </w:tcPr>
          <w:p>
            <w:r>
              <w:rPr>
                <w:b/>
                <w:color w:val="008000"/>
                <w:sz w:val="17"/>
              </w:rPr>
              <w:t>+1.3%</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9,110</w:t>
            </w:r>
          </w:p>
        </w:tc>
        <w:tc>
          <w:tcPr>
            <w:tcW w:type="dxa" w:w="1440"/>
            <w:shd w:fill="FAFAFA" w:val="clear"/>
          </w:tcPr>
          <w:p>
            <w:r>
              <w:rPr>
                <w:b/>
                <w:sz w:val="17"/>
              </w:rPr>
              <w:t>9,785</w:t>
            </w:r>
          </w:p>
        </w:tc>
        <w:tc>
          <w:tcPr>
            <w:tcW w:type="dxa" w:w="1440"/>
            <w:shd w:fill="FAFAFA" w:val="clear"/>
          </w:tcPr>
          <w:p>
            <w:r>
              <w:rPr>
                <w:sz w:val="17"/>
              </w:rPr>
              <w:t>10,460</w:t>
            </w:r>
          </w:p>
        </w:tc>
        <w:tc>
          <w:tcPr>
            <w:tcW w:type="dxa" w:w="1440"/>
            <w:shd w:fill="FAFAFA" w:val="clear"/>
          </w:tcPr>
          <w:p>
            <w:r>
              <w:rPr>
                <w:b/>
                <w:color w:val="008000"/>
                <w:sz w:val="17"/>
              </w:rPr>
              <w:t>+1.6%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9,079</w:t>
            </w:r>
          </w:p>
        </w:tc>
        <w:tc>
          <w:tcPr>
            <w:tcW w:type="dxa" w:w="1440"/>
            <w:shd w:fill="FAFAFA" w:val="clear"/>
          </w:tcPr>
          <w:p>
            <w:r>
              <w:rPr>
                <w:b/>
                <w:sz w:val="17"/>
              </w:rPr>
              <w:t>9,810</w:t>
            </w:r>
          </w:p>
        </w:tc>
        <w:tc>
          <w:tcPr>
            <w:tcW w:type="dxa" w:w="1440"/>
            <w:shd w:fill="FAFAFA" w:val="clear"/>
          </w:tcPr>
          <w:p>
            <w:r>
              <w:rPr>
                <w:sz w:val="17"/>
              </w:rPr>
              <w:t>10,541</w:t>
            </w:r>
          </w:p>
        </w:tc>
        <w:tc>
          <w:tcPr>
            <w:tcW w:type="dxa" w:w="1440"/>
            <w:shd w:fill="FAFAFA" w:val="clear"/>
          </w:tcPr>
          <w:p>
            <w:r>
              <w:rPr>
                <w:b/>
                <w:color w:val="008000"/>
                <w:sz w:val="17"/>
              </w:rPr>
              <w:t>+1.9%</w:t>
            </w:r>
          </w:p>
        </w:tc>
      </w:tr>
      <w:tr>
        <w:tc>
          <w:tcPr>
            <w:tcW w:type="dxa" w:w="1440"/>
            <w:shd w:fill="C6EFCE" w:val="clear"/>
          </w:tcPr>
          <w:p>
            <w:r>
              <w:rPr>
                <w:sz w:val="17"/>
              </w:rPr>
              <w:t>J+8  Moyenne</w:t>
            </w:r>
          </w:p>
        </w:tc>
        <w:tc>
          <w:tcPr>
            <w:tcW w:type="dxa" w:w="1440"/>
            <w:shd w:fill="C6EFCE" w:val="clear"/>
          </w:tcPr>
          <w:p>
            <w:r>
              <w:rPr>
                <w:sz w:val="17"/>
              </w:rPr>
              <w:t>2026-09-03</w:t>
            </w:r>
          </w:p>
        </w:tc>
        <w:tc>
          <w:tcPr>
            <w:tcW w:type="dxa" w:w="1440"/>
            <w:shd w:fill="C6EFCE" w:val="clear"/>
          </w:tcPr>
          <w:p>
            <w:r>
              <w:rPr>
                <w:sz w:val="17"/>
              </w:rPr>
              <w:t>9,052</w:t>
            </w:r>
          </w:p>
        </w:tc>
        <w:tc>
          <w:tcPr>
            <w:tcW w:type="dxa" w:w="1440"/>
            <w:shd w:fill="C6EFCE" w:val="clear"/>
          </w:tcPr>
          <w:p>
            <w:r>
              <w:rPr>
                <w:b/>
                <w:sz w:val="17"/>
              </w:rPr>
              <w:t>9,835</w:t>
            </w:r>
          </w:p>
        </w:tc>
        <w:tc>
          <w:tcPr>
            <w:tcW w:type="dxa" w:w="1440"/>
            <w:shd w:fill="C6EFCE" w:val="clear"/>
          </w:tcPr>
          <w:p>
            <w:r>
              <w:rPr>
                <w:sz w:val="17"/>
              </w:rPr>
              <w:t>10,619</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2026-09-04</w:t>
            </w:r>
          </w:p>
        </w:tc>
        <w:tc>
          <w:tcPr>
            <w:tcW w:type="dxa" w:w="1440"/>
            <w:shd w:fill="C6EFCE" w:val="clear"/>
          </w:tcPr>
          <w:p>
            <w:r>
              <w:rPr>
                <w:sz w:val="17"/>
              </w:rPr>
              <w:t>9,027</w:t>
            </w:r>
          </w:p>
        </w:tc>
        <w:tc>
          <w:tcPr>
            <w:tcW w:type="dxa" w:w="1440"/>
            <w:shd w:fill="C6EFCE" w:val="clear"/>
          </w:tcPr>
          <w:p>
            <w:r>
              <w:rPr>
                <w:b/>
                <w:sz w:val="17"/>
              </w:rPr>
              <w:t>9,860</w:t>
            </w:r>
          </w:p>
        </w:tc>
        <w:tc>
          <w:tcPr>
            <w:tcW w:type="dxa" w:w="1440"/>
            <w:shd w:fill="C6EFCE" w:val="clear"/>
          </w:tcPr>
          <w:p>
            <w:r>
              <w:rPr>
                <w:sz w:val="17"/>
              </w:rPr>
              <w:t>10,693</w:t>
            </w:r>
          </w:p>
        </w:tc>
        <w:tc>
          <w:tcPr>
            <w:tcW w:type="dxa" w:w="1440"/>
            <w:shd w:fill="C6EFCE" w:val="clear"/>
          </w:tcPr>
          <w:p>
            <w:r>
              <w:rPr>
                <w:b/>
                <w:color w:val="008000"/>
                <w:sz w:val="17"/>
              </w:rPr>
              <w:t>+2.4%</w:t>
            </w:r>
          </w:p>
        </w:tc>
      </w:tr>
      <w:tr>
        <w:tc>
          <w:tcPr>
            <w:tcW w:type="dxa" w:w="1440"/>
            <w:shd w:fill="C6EFCE" w:val="clear"/>
          </w:tcPr>
          <w:p>
            <w:r>
              <w:rPr>
                <w:sz w:val="17"/>
              </w:rPr>
              <w:t>J+10  Moyenne</w:t>
            </w:r>
          </w:p>
        </w:tc>
        <w:tc>
          <w:tcPr>
            <w:tcW w:type="dxa" w:w="1440"/>
            <w:shd w:fill="C6EFCE" w:val="clear"/>
          </w:tcPr>
          <w:p>
            <w:r>
              <w:rPr>
                <w:sz w:val="17"/>
              </w:rPr>
              <w:t>2026-09-07</w:t>
            </w:r>
          </w:p>
        </w:tc>
        <w:tc>
          <w:tcPr>
            <w:tcW w:type="dxa" w:w="1440"/>
            <w:shd w:fill="C6EFCE" w:val="clear"/>
          </w:tcPr>
          <w:p>
            <w:r>
              <w:rPr>
                <w:sz w:val="17"/>
              </w:rPr>
              <w:t>9,005</w:t>
            </w:r>
          </w:p>
        </w:tc>
        <w:tc>
          <w:tcPr>
            <w:tcW w:type="dxa" w:w="1440"/>
            <w:shd w:fill="C6EFCE" w:val="clear"/>
          </w:tcPr>
          <w:p>
            <w:r>
              <w:rPr>
                <w:b/>
                <w:sz w:val="17"/>
              </w:rPr>
              <w:t>9,885</w:t>
            </w:r>
          </w:p>
        </w:tc>
        <w:tc>
          <w:tcPr>
            <w:tcW w:type="dxa" w:w="1440"/>
            <w:shd w:fill="C6EFCE" w:val="clear"/>
          </w:tcPr>
          <w:p>
            <w:r>
              <w:rPr>
                <w:sz w:val="17"/>
              </w:rPr>
              <w:t>10,765</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148,87 milliards FCFA, ce qui en fait une valeur moyenne sur la BRVM, représentative du secteur agro-industriel. Avec un BPA de 1 003 FCFA, chaque action génère un bénéfice confortable. Le PER de 9,6x est inférieur à la moyenne historique de la place (~8-12x), indiquant que les investisseurs paient un prix raisonnable pour les bénéfices, avec une décote relative par rapport au marché. Le P/B de 1,04x est particulièrement attractif : le marché valorise le titre quasiment à hauteur de sa valeur comptable, ce qui sous-entend une sous-évaluation potentielle. Enfin, l'EV/EBITDA de 4,7x, très inférieur au seuil de 5x, confirme que la valeur totale de l'entreprise (dette incluse) est très bon marché par rapport à sa capacité opérationnelle à générer du cash. Ces ratios suggèrent un profil de valorisation défensif et attractif.</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progression remarquable de +17,44%, avec une variation quasi nulle de -0,10% sur la dernière séance, suggérant une consolidation après une forte hausse. Le cours a évolué dans une fourchette large de 7 000 à 9 640 FCFA, démontrant un fort intérêt des investisseurs. La moyenne (8 436 FCFA) est légèrement inférieure à la médiane (8 638 FCFA), indiquant une distribution légèrement asymétrique à gauche, mais le skewness de -0,152 confirme une symétrie quasi parfaite. L'écart-type de 536 FCFA (CV de 6,4%) montre une dispersion modérée autour de la moyenne. Le kurtosis de -0,431 (mésokurtique) indique une distribution proche de la normale, sans risque de pics extrêmes. Cependant, la volatilité annualisée de 37,2% est élevée (&gt;30%), ce qui positionne PALC comme un titre dynamique, offrant un potentiel de rendement important mais avec un risque de fluctuation significatif.</w:t>
      </w:r>
    </w:p>
    <w:p>
      <w:pPr>
        <w:spacing w:after="120" w:line="276" w:lineRule="auto" w:before="240"/>
      </w:pPr>
      <w:r>
        <w:rPr>
          <w:b/>
          <w:color w:val="003366"/>
          <w:sz w:val="24"/>
        </w:rPr>
        <w:t>**PARTIE 2 : ANALYSE TECHNIQUE DÉTAILLÉE**</w:t>
      </w:r>
    </w:p>
    <w:p>
      <w:pPr>
        <w:spacing w:after="120" w:line="276" w:lineRule="auto"/>
      </w:pPr>
      <w:r>
        <w:t>**Moyennes Mobiles**: Le cours actuel (9 630 FCFA) est nettement au-dessus de la MM20 (9 078,75 FCFA) et de la MM50 (8 867,2 FCFA). Cette configuration haussière, où les moyennes sont orientées à la hausse, confirme une dynamique positive à court et moyen terme, justifiant la décision d'achat.</w:t>
      </w:r>
    </w:p>
    <w:p>
      <w:pPr>
        <w:spacing w:after="120" w:line="276" w:lineRule="auto"/>
      </w:pPr>
      <w:r>
        <w:t>**Bandes de Bollinger**: Le prix se situe à 9 630 FCFA, très proche de la borne supérieure (9 682,84 FCFA). Cette position indique une pression acheteuse soutenue, mais le titre n'est pas encore en zone de surachat extrême. La décision est neutre, car le marché pourrait tester la borne supérieure avant une éventuelle correction.</w:t>
      </w:r>
    </w:p>
    <w:p>
      <w:pPr>
        <w:spacing w:after="120" w:line="276" w:lineRule="auto"/>
      </w:pPr>
      <w:r>
        <w:t>**MACD**: La valeur du MACD (216,553) est nettement supérieure à son signal (155,3), avec un écart positif croissant. Cette divergence haussière confirme un momentum positif fort, justifiant la décision d'achat.</w:t>
      </w:r>
    </w:p>
    <w:p>
      <w:pPr>
        <w:spacing w:after="120" w:line="276" w:lineRule="auto"/>
      </w:pPr>
      <w:r>
        <w:t>**RSI**: Le RSI à 77,876 est en zone de surachat (&gt;70). Ce niveau indique que le titre a fortement monté et qu'une correction technique est probable à court terme. La décision de vente est donc justifiée pour les traders à court terme.</w:t>
      </w:r>
    </w:p>
    <w:p>
      <w:pPr>
        <w:spacing w:after="120" w:line="276" w:lineRule="auto"/>
      </w:pPr>
      <w:r>
        <w:t>**Stochastique**: Le %K (98,485) et le %D (99,495) sont tous deux à des niveaux extrêmement élevés, en zone de surachat sévère. Cette configuration signale un épuisement potentiel de la dynamique haussière, justifiant une décision de vente.</w:t>
      </w:r>
    </w:p>
    <w:p>
      <w:pPr>
        <w:spacing w:after="120" w:line="276" w:lineRule="auto"/>
      </w:pPr>
      <w:r>
        <w:t>**Conclusion technique**: Les indicateurs de tendance (MM, MACD) sont positifs, mais les oscillateurs (RSI, Stochastique) sont en surachat extrême. Cette divergence suggère que la tendance de fond reste haussière, mais qu'un repli technique est imminent. Les investisseurs devraient attendre une correction pour renforcer leurs positions.</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 milliards FCFA, en croissance de +14,8% par rapport à 2024 (172,2 milliards FCFA), porté par la hausse des prix et des volumes d'huile de palme. Le résultat net s'établit à 15,51 milliards FCFA, en légère baisse de -2,2% par rapport à 2024 (15,9 milliards FCFA), avec une marge nette de 7,85%. Le ROE est de 10,87%, correct mais en deçà du seuil d'excellence de 15%, tandis que le ROA de 7,79% reflète une efficacité modérée. La structure financière est très saine avec une autonomie financière de 71,6% et un endettement faible (ratio d'endettement de 0,56%). Cependant, le BFR de 44,62 milliards FCFA et le délai client élevé de 142 jours constituent un point de vigilance pour la trésorerie. Les rapports trimestriels 2025 montrent une performance exceptionnelle au S1 2025 (CA +25%, RN +37% à 22,9 milliards FCFA), mais le T1 2026 (rapport du 31/12/2026) révèle un net ralentissement avec un CA en baisse de -27% à 49,4 milliards FCFA et un RN en chute de -86% à 1,6 milliard FCFA, expliqué par un décalage temporel des ventes. Sur la base de ces données, on estime que l'exercice 2026 pourrait être contrasté, avec un potentiel de redressement au S2 2026. La solidité financière et la position dominante de PALC restent des atouts, mais la volatilité des cours de l'huile de palme et la pression sur les marges nécessitent une surveillance active.</w:t>
      </w:r>
    </w:p>
    <w:p>
      <w:pPr>
        <w:spacing w:after="120" w:line="276" w:lineRule="auto" w:before="240"/>
      </w:pPr>
      <w:r>
        <w:rPr>
          <w:b/>
          <w:color w:val="003366"/>
          <w:sz w:val="24"/>
        </w:rPr>
        <w:t>**PARTIE 4 : CONCLUSION D'INVESTISSEMENT**</w:t>
      </w:r>
    </w:p>
    <w:p>
      <w:pPr>
        <w:spacing w:after="120" w:line="276" w:lineRule="auto"/>
      </w:pPr>
      <w:r>
        <w:t>La valorisation de PALC est attractive (PER 9,6x, P/B 1,04x, EV/EBITDA 4,7x), indiquant une sous-évaluation relative. Le comportement du cours est positif avec une hausse de +17,44% sur 100 jours, mais la volatilité élevée (37,2%) et les statistiques (kurtosis mésokurtique, skewness symétrique) suggèrent une stabilité relative sans extrêmes. Les signaux techniques sont mitigés : la tendance est haussière (MM, MACD), mais les oscillateurs (RSI 77,9, Stochastique 98,5) sont en surachat, annonçant une correction probable. Les fondamentaux sont solides (CA en croissance, structure financière saine), mais la baisse du T1 2026 et la pression sur les marges incitent à la prudence. Les prédictions IA (9 659 à 9 760 FCFA sur 10 jours) confirment une poursuite de la hausse à court terme, en ligne avec la tendance technique. En synthèse, la convergence entre la sous-évaluation, la tendance haussière et les prédictions IA est positive, mais le surachat technique et les incertitudes fondamentales justifient une approche prudente. **Recommandation : CONSERVER** avec un niveau de confiance **Moyen**, un risque global **Moyen**, et un horizon d'investissement optimal à **moyen terme (3-12 mois)**, en attendant une correction technique ou une clarification des perspectives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883 titres</w:t>
            </w:r>
          </w:p>
        </w:tc>
        <w:tc>
          <w:tcPr>
            <w:tcW w:type="dxa" w:w="2268"/>
            <w:shd w:fill="FFF2CC" w:val="clear"/>
          </w:tcPr>
          <w:p>
            <w:r>
              <w:rPr>
                <w:b/>
                <w:color w:val="503200"/>
                <w:sz w:val="16"/>
              </w:rPr>
              <w:t xml:space="preserve">Cours actuel : </w:t>
            </w:r>
            <w:r>
              <w:rPr>
                <w:color w:val="000000"/>
                <w:sz w:val="17"/>
              </w:rPr>
              <w:t>4,470 FCFA</w:t>
            </w:r>
          </w:p>
          <w:p>
            <w:r>
              <w:rPr>
                <w:b/>
                <w:color w:val="503200"/>
                <w:sz w:val="16"/>
              </w:rPr>
              <w:t xml:space="preserve">Var. 100 jours : </w:t>
            </w:r>
            <w:r>
              <w:rPr>
                <w:b/>
                <w:color w:val="B40000"/>
                <w:sz w:val="17"/>
              </w:rPr>
              <w:t>-8.59%</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7.99% (Moyenne) — μ=4,460 FCFA, σ=356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β=-0.2694 (Contre-cyclique) — Cov=-0.000009, Var(idx)=0.000035, ρ=-0.063,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4,314</w:t>
            </w:r>
          </w:p>
        </w:tc>
        <w:tc>
          <w:tcPr>
            <w:tcW w:type="dxa" w:w="1440"/>
            <w:shd w:fill="FAFAFA" w:val="clear"/>
          </w:tcPr>
          <w:p>
            <w:r>
              <w:rPr>
                <w:b/>
                <w:sz w:val="17"/>
              </w:rPr>
              <w:t>4,426</w:t>
            </w:r>
          </w:p>
        </w:tc>
        <w:tc>
          <w:tcPr>
            <w:tcW w:type="dxa" w:w="1440"/>
            <w:shd w:fill="FAFAFA" w:val="clear"/>
          </w:tcPr>
          <w:p>
            <w:r>
              <w:rPr>
                <w:sz w:val="17"/>
              </w:rPr>
              <w:t>4,537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4,252</w:t>
            </w:r>
          </w:p>
        </w:tc>
        <w:tc>
          <w:tcPr>
            <w:tcW w:type="dxa" w:w="1440"/>
            <w:shd w:fill="FAFAFA" w:val="clear"/>
          </w:tcPr>
          <w:p>
            <w:r>
              <w:rPr>
                <w:b/>
                <w:sz w:val="17"/>
              </w:rPr>
              <w:t>4,409</w:t>
            </w:r>
          </w:p>
        </w:tc>
        <w:tc>
          <w:tcPr>
            <w:tcW w:type="dxa" w:w="1440"/>
            <w:shd w:fill="FAFAFA" w:val="clear"/>
          </w:tcPr>
          <w:p>
            <w:r>
              <w:rPr>
                <w:sz w:val="17"/>
              </w:rPr>
              <w:t>4,566</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4,195</w:t>
            </w:r>
          </w:p>
        </w:tc>
        <w:tc>
          <w:tcPr>
            <w:tcW w:type="dxa" w:w="1440"/>
            <w:shd w:fill="FAFAFA" w:val="clear"/>
          </w:tcPr>
          <w:p>
            <w:r>
              <w:rPr>
                <w:b/>
                <w:sz w:val="17"/>
              </w:rPr>
              <w:t>4,386</w:t>
            </w:r>
          </w:p>
        </w:tc>
        <w:tc>
          <w:tcPr>
            <w:tcW w:type="dxa" w:w="1440"/>
            <w:shd w:fill="FAFAFA" w:val="clear"/>
          </w:tcPr>
          <w:p>
            <w:r>
              <w:rPr>
                <w:sz w:val="17"/>
              </w:rPr>
              <w:t>4,578</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4,145</w:t>
            </w:r>
          </w:p>
        </w:tc>
        <w:tc>
          <w:tcPr>
            <w:tcW w:type="dxa" w:w="1440"/>
            <w:shd w:fill="FFDCE0" w:val="clear"/>
          </w:tcPr>
          <w:p>
            <w:r>
              <w:rPr>
                <w:b/>
                <w:sz w:val="17"/>
              </w:rPr>
              <w:t>4,365</w:t>
            </w:r>
          </w:p>
        </w:tc>
        <w:tc>
          <w:tcPr>
            <w:tcW w:type="dxa" w:w="1440"/>
            <w:shd w:fill="FFDCE0" w:val="clear"/>
          </w:tcPr>
          <w:p>
            <w:r>
              <w:rPr>
                <w:sz w:val="17"/>
              </w:rPr>
              <w:t>4,584</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4,099</w:t>
            </w:r>
          </w:p>
        </w:tc>
        <w:tc>
          <w:tcPr>
            <w:tcW w:type="dxa" w:w="1440"/>
            <w:shd w:fill="FFDCE0" w:val="clear"/>
          </w:tcPr>
          <w:p>
            <w:r>
              <w:rPr>
                <w:b/>
                <w:sz w:val="17"/>
              </w:rPr>
              <w:t>4,344</w:t>
            </w:r>
          </w:p>
        </w:tc>
        <w:tc>
          <w:tcPr>
            <w:tcW w:type="dxa" w:w="1440"/>
            <w:shd w:fill="FFDCE0" w:val="clear"/>
          </w:tcPr>
          <w:p>
            <w:r>
              <w:rPr>
                <w:sz w:val="17"/>
              </w:rPr>
              <w:t>4,588</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4,057</w:t>
            </w:r>
          </w:p>
        </w:tc>
        <w:tc>
          <w:tcPr>
            <w:tcW w:type="dxa" w:w="1440"/>
            <w:shd w:fill="FFDCE0" w:val="clear"/>
          </w:tcPr>
          <w:p>
            <w:r>
              <w:rPr>
                <w:b/>
                <w:sz w:val="17"/>
              </w:rPr>
              <w:t>4,323</w:t>
            </w:r>
          </w:p>
        </w:tc>
        <w:tc>
          <w:tcPr>
            <w:tcW w:type="dxa" w:w="1440"/>
            <w:shd w:fill="FFDCE0" w:val="clear"/>
          </w:tcPr>
          <w:p>
            <w:r>
              <w:rPr>
                <w:sz w:val="17"/>
              </w:rPr>
              <w:t>4,590</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4,017</w:t>
            </w:r>
          </w:p>
        </w:tc>
        <w:tc>
          <w:tcPr>
            <w:tcW w:type="dxa" w:w="1440"/>
            <w:shd w:fill="FFDCE0" w:val="clear"/>
          </w:tcPr>
          <w:p>
            <w:r>
              <w:rPr>
                <w:b/>
                <w:sz w:val="17"/>
              </w:rPr>
              <w:t>4,303</w:t>
            </w:r>
          </w:p>
        </w:tc>
        <w:tc>
          <w:tcPr>
            <w:tcW w:type="dxa" w:w="1440"/>
            <w:shd w:fill="FFDCE0" w:val="clear"/>
          </w:tcPr>
          <w:p>
            <w:r>
              <w:rPr>
                <w:sz w:val="17"/>
              </w:rPr>
              <w:t>4,590</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3,979</w:t>
            </w:r>
          </w:p>
        </w:tc>
        <w:tc>
          <w:tcPr>
            <w:tcW w:type="dxa" w:w="1440"/>
            <w:shd w:fill="FFDCE0" w:val="clear"/>
          </w:tcPr>
          <w:p>
            <w:r>
              <w:rPr>
                <w:b/>
                <w:sz w:val="17"/>
              </w:rPr>
              <w:t>4,284</w:t>
            </w:r>
          </w:p>
        </w:tc>
        <w:tc>
          <w:tcPr>
            <w:tcW w:type="dxa" w:w="1440"/>
            <w:shd w:fill="FFDCE0" w:val="clear"/>
          </w:tcPr>
          <w:p>
            <w:r>
              <w:rPr>
                <w:sz w:val="17"/>
              </w:rPr>
              <w:t>4,589</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3,943</w:t>
            </w:r>
          </w:p>
        </w:tc>
        <w:tc>
          <w:tcPr>
            <w:tcW w:type="dxa" w:w="1440"/>
            <w:shd w:fill="FFDCE0" w:val="clear"/>
          </w:tcPr>
          <w:p>
            <w:r>
              <w:rPr>
                <w:b/>
                <w:sz w:val="17"/>
              </w:rPr>
              <w:t>4,265</w:t>
            </w:r>
          </w:p>
        </w:tc>
        <w:tc>
          <w:tcPr>
            <w:tcW w:type="dxa" w:w="1440"/>
            <w:shd w:fill="FFDCE0" w:val="clear"/>
          </w:tcPr>
          <w:p>
            <w:r>
              <w:rPr>
                <w:sz w:val="17"/>
              </w:rPr>
              <w:t>4,587</w:t>
            </w:r>
          </w:p>
        </w:tc>
        <w:tc>
          <w:tcPr>
            <w:tcW w:type="dxa" w:w="1440"/>
            <w:shd w:fill="FFDCE0" w:val="clear"/>
          </w:tcPr>
          <w:p>
            <w:r>
              <w:rPr>
                <w:b/>
                <w:color w:val="C00000"/>
                <w:sz w:val="17"/>
              </w:rPr>
              <w:t>-4.6%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3,908</w:t>
            </w:r>
          </w:p>
        </w:tc>
        <w:tc>
          <w:tcPr>
            <w:tcW w:type="dxa" w:w="1440"/>
            <w:shd w:fill="FFDCE0" w:val="clear"/>
          </w:tcPr>
          <w:p>
            <w:r>
              <w:rPr>
                <w:b/>
                <w:sz w:val="17"/>
              </w:rPr>
              <w:t>4,246</w:t>
            </w:r>
          </w:p>
        </w:tc>
        <w:tc>
          <w:tcPr>
            <w:tcW w:type="dxa" w:w="1440"/>
            <w:shd w:fill="FFDCE0" w:val="clear"/>
          </w:tcPr>
          <w:p>
            <w:r>
              <w:rPr>
                <w:sz w:val="17"/>
              </w:rPr>
              <w:t>4,584</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22 août 2026**</w:t>
        <w:br/>
        <w:t>**Cours de référence : 4 470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45,77 milliards FCFA, un niveau qui la positionne comme une valeur de taille moyenne sur la BRVM. Avec un BPA de 231 FCFA, le titre se négocie à un PER de 19,3x, nettement au-dessus de la moyenne historique du marché (~8-12x). Les investisseurs paient donc une prime significative pour les bénéfices de la société, ce qui traduit des anticipations de croissance. Le P/B de 3,97x confirme cette prime, le marché valorisant le titre près de 4 fois sa valeur comptable, ce qui est élevé pour une entreprise de distribution. Enfin, l'EV/EBITDA de 9,9x se situe dans la fourchette haute des valeurs "raisonnables" (5-10x), indiquant que la valorisation intègre déjà une solide capacité opérationnelle. Globalement, la valorisation actuelle est exigeante et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de 8,59%, avec une légère variation négative de -0,11% lors de la dernière séance. Le titre a évolué dans une fourchette de 1 480 FCFA, entre un plus bas de 3 620 FCFA et un plus haut de 5 100 FCFA, illustrant une volatilité intraday marquée. La moyenne (4 460 FCFA) est très proche de la médiane (4 495 FCFA), suggérant une distribution des prix relativement symétrique, bien que le skewness négatif (-0.683) indique une asymétrie avec des baisses plus fréquentes que des hausses. L'écart-type de 358 FCFA (CV de 8%) montre une dispersion modérée, et le kurtosis de 0.090 (mésokurtique) indique une absence de pics extrêmes. La volatilité annualisée de 40% est élevée (&gt;30%), signalant un risque de marché important. La tendance générale est baissière, le titre ayant cédé du terrain depuis son plus haut, dans un contexte de prises de bénéfices.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(4 470 FCFA) se situe sous ses moyennes mobiles à 20 jours (4 472,5 FCFA) et à 50 jours (4 485,4 FCFA). Cette configuration, où le prix est inférieur aux deux MM, est un signal baissier classique. La proximité des deux moyennes suggère une absence de dynamique directionnelle forte, mais la décision de "Vente" est justifiée par la pression vendeuse persistante.</w:t>
      </w:r>
    </w:p>
    <w:p>
      <w:pPr>
        <w:spacing w:after="120" w:line="276" w:lineRule="auto"/>
      </w:pPr>
      <w:r>
        <w:t>**Bandes de Bollinger :** Le prix se négocie à l'intérieur des bandes, entre la borne supérieure (4 592 FCFA) et la borne inférieure (4 353 FCFA). La position centrale du cours indique une volatilité modérée et une absence de mouvement directionnel violent. La décision "Neutre" est cohérente, le titre n'étant ni suracheté ni survendu sur cet indicateur.</w:t>
      </w:r>
    </w:p>
    <w:p>
      <w:pPr>
        <w:spacing w:after="120" w:line="276" w:lineRule="auto"/>
      </w:pPr>
      <w:r>
        <w:t>**MACD :** La valeur du MACD (-4.967) est inférieure à sa ligne de signal (-0.734), confirmant un momentum baissier. La divergence négative entre les deux lignes indique que la pression vendeuse s'intensifie à court terme. La décision de "Vente" est justifiée par cette configuration, qui suggère une poursuite potentielle du mouvement de baisse.</w:t>
      </w:r>
    </w:p>
    <w:p>
      <w:pPr>
        <w:spacing w:after="120" w:line="276" w:lineRule="auto"/>
      </w:pPr>
      <w:r>
        <w:t>**RSI :** Avec une valeur de 45.872, le RSI se situe en zone neutre (entre 30 et 70). Il n'y a pas de signal de surachat ni de survente. Cette neutralité indique que le marché n'est pas encore dans une phase d'épuisement, mais qu'il n'y a pas non plus de dynamique d'achat forte. La décision "Neutre" est appropriée.</w:t>
      </w:r>
    </w:p>
    <w:p>
      <w:pPr>
        <w:spacing w:after="120" w:line="276" w:lineRule="auto"/>
      </w:pPr>
      <w:r>
        <w:t>**Stochastique :** Le %K (73.684) est nettement supérieur au %D (47.689), ce qui pourrait indiquer un croisement haussier potentiel. Cependant, le %K est déjà élevé, ce qui pourrait limiter le potentiel de hausse à court terme. La décision "Neutre" reflète cette ambiguïté, avec un indicateur qui n'est ni en zone de surachat ni de survente.</w:t>
      </w:r>
    </w:p>
    <w:p>
      <w:pPr>
        <w:spacing w:after="120" w:line="276" w:lineRule="auto"/>
      </w:pPr>
      <w:r>
        <w:t>**Conclusion technique :** Les indicateurs techniques sont globalement baissiers, avec les moyennes mobiles et le MACD en position de vente. Le RSI et le Stochastique sont neutres, mais le manque de momentum haussier est préoccupant. La configuration technique actuelle suggère une poursuite de la consolidation ou une nouvelle baisse à court terme, avec un support à surveiller autour de 4 350 FCFA (borne inférieure de Bollinger).</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(publiées au 31/12/2025) font état d'un chiffre d'affaires de 81,127 milliards FCFA, en hausse de 9,5% par rapport à 2024 (74,45 Mds), et d'un résultat net de 2,367 milliards FCFA, stable par rapport aux 2,35 Mds de 2024. La marge nette reste modeste à 2,92%, mais le ROE est excellent à 20,53%, et le ROA est de 4,95%. En tant qu'entreprise de distribution automobile, l'analyse du BFR est cruciale : il s'établit à 11,267 milliards FCFA, avec un délai de stockage de 150 jours (élevé, immobilisant du capital) et un délai clients de 46 jours. Le délai fournisseurs de 102 jours est favorable et compense partiellement ces tensions. La structure financière montre une autonomie de 24,1% (légèrement sous le seuil de 30% considéré comme sain) et un endettement total de 314% des capitaux propres, ce qui est élevé. Le rapport d'activité du S1 2025 (daté du 30/06/2025) avait montré une performance exceptionnelle avec un CA en hausse de 15,1% et un résultat net multiplié par 28. Sur la base de cette dynamique semestrielle, on estime que l'exercice 2025 devait être solide, ce que confirment les données annuelles. Cependant, la trésorerie nette est négative à -4,092 milliards FCFA, et le free cash-flow est de -2,616 milliards, indiquant des tensions de liquidité. La société a annoncé un dividende de 209 FCFA par action pour 2025 (confirmé par l'avis de convocation du 15/06/2026), offrant un rendement modeste. La solidité opérationnelle (ROE élevé) est contrebalancée par un endettement et un besoin en fonds de roulement importants.</w:t>
      </w:r>
    </w:p>
    <w:p>
      <w:pPr>
        <w:spacing w:after="120" w:line="276" w:lineRule="auto"/>
      </w:pPr>
      <w:r>
        <w:t>---</w:t>
      </w:r>
    </w:p>
    <w:p>
      <w:pPr>
        <w:spacing w:after="120" w:line="276" w:lineRule="auto"/>
      </w:pPr>
      <w:r>
        <w:t>### PARTIE 4 : CONCLUSION D'INVESTISSEMENT</w:t>
      </w:r>
    </w:p>
    <w:p>
      <w:pPr>
        <w:spacing w:after="120" w:line="276" w:lineRule="auto"/>
      </w:pPr>
      <w:r>
        <w:t>La valorisation de PRSC est exigeante (PER 19,3x, P/B 3,97x), laissant peu de marge de sécurité pour l'investisseur. Le comportement du cours est baissier sur 100 jours (-8,59%) avec une volatilité élevée (40%), et les statistiques (skewness négatif) indiquent une propension aux baisses. Les signaux techniques sont majoritairement vendeurs (MM, MACD), avec un RSI neutre, suggérant une absence de catalyseur haussier à court terme. Les fondamentaux, bien que présentant un ROE excellent (20,5%) et une croissance du CA (+9,5% en 2025), sont assombris par une trésorerie nette négative, un BFR élevé et un endettement important. Les prédictions IA pour les 10 prochains jours (de 4 426 à 4 344 FCFA) confirment une trajectoire baissière, en ligne avec les signaux techniques. La convergence des signaux techniques et des prédictions IA, couplée à une valorisation tendue et à des risques de trésorerie, conduit à une recommandation **VENTE**. Le niveau de confiance est **Moyen** (les fondamentaux opérationnels sont bons, mais la structure financière est fragile), et le niveau de risque global est **Élevé**. L'horizon d'investissement optimal serait de court terme (&lt;3 mois) pour les investisseurs cherchant à réduire leur exposition, en attendant une amélioration de la trésorerie et une valorisation plus attractive.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7,434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B40000"/>
                <w:sz w:val="17"/>
              </w:rPr>
              <w:t>-6.63%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23.16% (Élevée) — μ=4,773 FCFA, σ=1,106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β=0.4798 (Défensif) — Cov=0.000017, Var(idx)=0.000035, ρ=0.053,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σ_j=5.34%/j (Instable) — Vol. annualisée≈84.7%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4,952</w:t>
            </w:r>
          </w:p>
        </w:tc>
        <w:tc>
          <w:tcPr>
            <w:tcW w:type="dxa" w:w="1440"/>
            <w:shd w:fill="FFDCE0" w:val="clear"/>
          </w:tcPr>
          <w:p>
            <w:r>
              <w:rPr>
                <w:b/>
                <w:sz w:val="17"/>
              </w:rPr>
              <w:t>5,272</w:t>
            </w:r>
          </w:p>
        </w:tc>
        <w:tc>
          <w:tcPr>
            <w:tcW w:type="dxa" w:w="1440"/>
            <w:shd w:fill="FFDCE0" w:val="clear"/>
          </w:tcPr>
          <w:p>
            <w:r>
              <w:rPr>
                <w:sz w:val="17"/>
              </w:rPr>
              <w:t>5,593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4,458</w:t>
            </w:r>
          </w:p>
        </w:tc>
        <w:tc>
          <w:tcPr>
            <w:tcW w:type="dxa" w:w="1440"/>
            <w:shd w:fill="FFDCE0" w:val="clear"/>
          </w:tcPr>
          <w:p>
            <w:r>
              <w:rPr>
                <w:b/>
                <w:sz w:val="17"/>
              </w:rPr>
              <w:t>4,877</w:t>
            </w:r>
          </w:p>
        </w:tc>
        <w:tc>
          <w:tcPr>
            <w:tcW w:type="dxa" w:w="1440"/>
            <w:shd w:fill="FFDCE0" w:val="clear"/>
          </w:tcPr>
          <w:p>
            <w:r>
              <w:rPr>
                <w:sz w:val="17"/>
              </w:rPr>
              <w:t>5,296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4,037</w:t>
            </w:r>
          </w:p>
        </w:tc>
        <w:tc>
          <w:tcPr>
            <w:tcW w:type="dxa" w:w="1440"/>
            <w:shd w:fill="FFDCE0" w:val="clear"/>
          </w:tcPr>
          <w:p>
            <w:r>
              <w:rPr>
                <w:b/>
                <w:sz w:val="17"/>
              </w:rPr>
              <w:t>4,511</w:t>
            </w:r>
          </w:p>
        </w:tc>
        <w:tc>
          <w:tcPr>
            <w:tcW w:type="dxa" w:w="1440"/>
            <w:shd w:fill="FFDCE0" w:val="clear"/>
          </w:tcPr>
          <w:p>
            <w:r>
              <w:rPr>
                <w:sz w:val="17"/>
              </w:rPr>
              <w:t>4,986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3,666</w:t>
            </w:r>
          </w:p>
        </w:tc>
        <w:tc>
          <w:tcPr>
            <w:tcW w:type="dxa" w:w="1440"/>
            <w:shd w:fill="FFDCE0" w:val="clear"/>
          </w:tcPr>
          <w:p>
            <w:r>
              <w:rPr>
                <w:b/>
                <w:sz w:val="17"/>
              </w:rPr>
              <w:t>4,173</w:t>
            </w:r>
          </w:p>
        </w:tc>
        <w:tc>
          <w:tcPr>
            <w:tcW w:type="dxa" w:w="1440"/>
            <w:shd w:fill="FFDCE0" w:val="clear"/>
          </w:tcPr>
          <w:p>
            <w:r>
              <w:rPr>
                <w:sz w:val="17"/>
              </w:rPr>
              <w:t>4,680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3,336</w:t>
            </w:r>
          </w:p>
        </w:tc>
        <w:tc>
          <w:tcPr>
            <w:tcW w:type="dxa" w:w="1440"/>
            <w:shd w:fill="FFDCE0" w:val="clear"/>
          </w:tcPr>
          <w:p>
            <w:r>
              <w:rPr>
                <w:b/>
                <w:sz w:val="17"/>
              </w:rPr>
              <w:t>3,860</w:t>
            </w:r>
          </w:p>
        </w:tc>
        <w:tc>
          <w:tcPr>
            <w:tcW w:type="dxa" w:w="1440"/>
            <w:shd w:fill="FFDCE0" w:val="clear"/>
          </w:tcPr>
          <w:p>
            <w:r>
              <w:rPr>
                <w:sz w:val="17"/>
              </w:rPr>
              <w:t>4,384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3,040</w:t>
            </w:r>
          </w:p>
        </w:tc>
        <w:tc>
          <w:tcPr>
            <w:tcW w:type="dxa" w:w="1440"/>
            <w:shd w:fill="FFDCE0" w:val="clear"/>
          </w:tcPr>
          <w:p>
            <w:r>
              <w:rPr>
                <w:b/>
                <w:sz w:val="17"/>
              </w:rPr>
              <w:t>3,570</w:t>
            </w:r>
          </w:p>
        </w:tc>
        <w:tc>
          <w:tcPr>
            <w:tcW w:type="dxa" w:w="1440"/>
            <w:shd w:fill="FFDCE0" w:val="clear"/>
          </w:tcPr>
          <w:p>
            <w:r>
              <w:rPr>
                <w:sz w:val="17"/>
              </w:rPr>
              <w:t>4,101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2,772</w:t>
            </w:r>
          </w:p>
        </w:tc>
        <w:tc>
          <w:tcPr>
            <w:tcW w:type="dxa" w:w="1440"/>
            <w:shd w:fill="FFDCE0" w:val="clear"/>
          </w:tcPr>
          <w:p>
            <w:r>
              <w:rPr>
                <w:b/>
                <w:sz w:val="17"/>
              </w:rPr>
              <w:t>3,303</w:t>
            </w:r>
          </w:p>
        </w:tc>
        <w:tc>
          <w:tcPr>
            <w:tcW w:type="dxa" w:w="1440"/>
            <w:shd w:fill="FFDCE0" w:val="clear"/>
          </w:tcPr>
          <w:p>
            <w:r>
              <w:rPr>
                <w:sz w:val="17"/>
              </w:rPr>
              <w:t>3,833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2,530</w:t>
            </w:r>
          </w:p>
        </w:tc>
        <w:tc>
          <w:tcPr>
            <w:tcW w:type="dxa" w:w="1440"/>
            <w:shd w:fill="FFDCE0" w:val="clear"/>
          </w:tcPr>
          <w:p>
            <w:r>
              <w:rPr>
                <w:b/>
                <w:sz w:val="17"/>
              </w:rPr>
              <w:t>3,055</w:t>
            </w:r>
          </w:p>
        </w:tc>
        <w:tc>
          <w:tcPr>
            <w:tcW w:type="dxa" w:w="1440"/>
            <w:shd w:fill="FFDCE0" w:val="clear"/>
          </w:tcPr>
          <w:p>
            <w:r>
              <w:rPr>
                <w:sz w:val="17"/>
              </w:rPr>
              <w:t>3,580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2,311</w:t>
            </w:r>
          </w:p>
        </w:tc>
        <w:tc>
          <w:tcPr>
            <w:tcW w:type="dxa" w:w="1440"/>
            <w:shd w:fill="FFDCE0" w:val="clear"/>
          </w:tcPr>
          <w:p>
            <w:r>
              <w:rPr>
                <w:b/>
                <w:sz w:val="17"/>
              </w:rPr>
              <w:t>2,826</w:t>
            </w:r>
          </w:p>
        </w:tc>
        <w:tc>
          <w:tcPr>
            <w:tcW w:type="dxa" w:w="1440"/>
            <w:shd w:fill="FFDCE0" w:val="clear"/>
          </w:tcPr>
          <w:p>
            <w:r>
              <w:rPr>
                <w:sz w:val="17"/>
              </w:rPr>
              <w:t>3,340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2,112</w:t>
            </w:r>
          </w:p>
        </w:tc>
        <w:tc>
          <w:tcPr>
            <w:tcW w:type="dxa" w:w="1440"/>
            <w:shd w:fill="FFDCE0" w:val="clear"/>
          </w:tcPr>
          <w:p>
            <w:r>
              <w:rPr>
                <w:b/>
                <w:sz w:val="17"/>
              </w:rPr>
              <w:t>2,614</w:t>
            </w:r>
          </w:p>
        </w:tc>
        <w:tc>
          <w:tcPr>
            <w:tcW w:type="dxa" w:w="1440"/>
            <w:shd w:fill="FFDCE0" w:val="clear"/>
          </w:tcPr>
          <w:p>
            <w:r>
              <w:rPr>
                <w:sz w:val="17"/>
              </w:rPr>
              <w:t>3,116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24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46,28 milliards FCFA, un niveau modeste dans l'écosystème de la BRVM, reflétant la taille encore limitée de l'établissement. Le BPA de 86 FCFA par action indique que chaque titre génère un bénéfice modeste, mais le PER de 66,0x est extrêmement élevé comparé à la moyenne du marché BRVM (8-12x), signalant que les investisseurs paient une prime considérable pour les bénéfices actuels. Le P/B de 7,82x confirme cette surévaluation relative, le marché valorisant le titre bien au-dessus de sa valeur comptable (7,8 fois les fonds propres). Enfin, l'EV/EBITDA de 81,0x est également très exigeant, indiquant que la valeur totale de l'entreprise est 81 fois sa capacité opérationnelle brute. Ces ratios suggèrent que le marché anticipe une forte croissance future, mais ils laissent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-6,63%, avec une dernière séance stable (0,00%). Le cours actuel de 5 700 FCFA se situe dans une fourchette de trading très large, entre un plus bas de 3 340 FCFA et un plus haut de 7 555 FCFA, illustrant une volatilité extrême. La moyenne du cours (4 773 FCFA) est supérieure à la médiane (4 505 FCFA), et le skewness positif de 0,979 confirme une asymétrie avec plus de journées sous la moyenne, suggérant des épisodes de forte hausse suivis de corrections. L'écart-type de 1 111 FCFA (CV de 23,3%) montre une dispersion significative, tandis que le kurtosis de 0,084 (mésokurtique) indique une distribution proche de la normale, sans risque de pics extrêmes particulier. La volatilité annualisée de 84,7% est extrêmement élevée, bien au-dessus du seuil de 30%, positionnant SAFC comme un titre très spéculatif. La tendance générale est baissière sur la période, malgré des rebonds ponctuels.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5 700 FCFA est nettement au-dessus de la MM20 (5 266 FCFA) et de la MM50 (4 737,8 FCFA), avec une configuration haussière. La décision d'achat est justifiée par la dynamique positive à court et moyen terme, le cours évoluant dans une tendance ascendante par rapport à ces moyennes.</w:t>
      </w:r>
    </w:p>
    <w:p>
      <w:pPr>
        <w:spacing w:after="120" w:line="276" w:lineRule="auto"/>
      </w:pPr>
      <w:r>
        <w:t>**Bandes de Bollinger** : Le prix se situe à 5 700 FCFA, entre la borne supérieure (5 980,7 FCFA) et la borne inférieure (4 551,3 FCFA), avec une largeur de bandes indiquant une volatilité modérée. La décision neutre est appropriée, le cours n'étant ni en zone de surachat ni de survente, mais la proximité de la borne supérieure suggère une possible résistance à court terme.</w:t>
      </w:r>
    </w:p>
    <w:p>
      <w:pPr>
        <w:spacing w:after="120" w:line="276" w:lineRule="auto"/>
      </w:pPr>
      <w:r>
        <w:t>**MACD** : La valeur du MACD (302,9) est supérieure à son signal (269,4), avec un écart positif de 33,5 points. Cette configuration haussière indique un momentum positif, justifiant la décision d'achat. La tendance reste favorable tant que le MACD demeure au-dessus de son signal.</w:t>
      </w:r>
    </w:p>
    <w:p>
      <w:pPr>
        <w:spacing w:after="120" w:line="276" w:lineRule="auto"/>
      </w:pPr>
      <w:r>
        <w:t>**RSI** : Le RSI de 62,0 est dans la zone neutre (30-70), sans signal de surachat ou de survente. La décision neutre est cohérente, mais la valeur proche de 70 suggère une vigilance quant à une possible correction si le RSI continue de monter.</w:t>
      </w:r>
    </w:p>
    <w:p>
      <w:pPr>
        <w:spacing w:after="120" w:line="276" w:lineRule="auto"/>
      </w:pPr>
      <w:r>
        <w:t>**Stochastique** : Le %K et le %D sont tous deux à 86,4, en zone de surachat (&gt;80). La décision de vente est justifiée par ce niveau élevé, indiquant que le titre est potentiellement surévalué à court terme et qu'un retournement pourrait survenir.</w:t>
      </w:r>
    </w:p>
    <w:p>
      <w:pPr>
        <w:spacing w:after="120" w:line="276" w:lineRule="auto"/>
      </w:pPr>
      <w:r>
        <w:t>**Conclusion technique** : Les indicateurs sont mitigés, avec une tendance haussière confirmée par les moyennes mobiles et le MACD, mais des signaux de surachat sur le stochastique et un RSI proche de la zone critique. La prudence est de mise, car la convergence des signaux haussiers pourrait être limitée par la résistance des bandes de Bollinger et les conditions de surachat.</w:t>
      </w:r>
    </w:p>
    <w:p>
      <w:pPr>
        <w:spacing w:after="120" w:line="276" w:lineRule="auto"/>
      </w:pPr>
      <w:r>
        <w:t>---</w:t>
      </w:r>
    </w:p>
    <w:p>
      <w:pPr>
        <w:spacing w:after="120" w:line="276" w:lineRule="auto"/>
      </w:pPr>
      <w:r>
        <w:t>### PARTIE 3 : ANALYSE FONDAMENTALE (SECTION CRITIQUE)</w:t>
      </w:r>
    </w:p>
    <w:p>
      <w:pPr>
        <w:spacing w:after="120" w:line="276" w:lineRule="auto"/>
      </w:pPr>
      <w:r>
        <w:t>En 2025, SAFC (Alios Finance Côte d'Ivoire) a réalisé un retournement spectaculaire avec un Produit Net Bancaire (PNB) de 5,735 milliards FCFA, en hausse de 44,1% par rapport à 2024 (3,980 milliards FCFA), et un résultat net positif de 701 millions FCFA, contre une perte de 165 millions en 2024. La marge nette s'établit à 12,2%, le ROE à 11,85% et le ROA à 0,88%, reflétant une rentabilité en amélioration mais encore modeste. Le coefficient d'exploitation de 77,6% est élevé, indiquant une efficacité opérationnelle insuffisante (seuil optimal &lt;60%). Le coût du risque de 6,57% reste significatif, signalant un portefeuille de crédits encore fragile. La structure financière montre une dépendance élevée aux dettes interbancaires (35,747 milliards FCFA) et des capitaux propres limités à 5,916 milliards FCFA, avec un ratio d'autonomie financière de seulement 7,4%. Les rapports trimestriels 2025 (T1 : PNB 1,080 milliards, résultat net 13 millions ; S1 : PNB 2,092 milliards, résultat net 226 millions) confirment une dynamique positive. Pour 2026, le T1 montre un PNB de 1,395 milliards (+29%) et un résultat net de 151 millions (+1062%), suggérant une poursuite du redressement. L'augmentation de capital de 1,5 milliard FCFA (avril 2026) et l'entrée de CREDAF Group renforcent les perspectives, mais la fragilité bilancielle et le report à nouveau négatif (-4,123 milliards) imposent une prudence.</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66x, P/B 7,82x, EV/EBITDA 81x), indiquant une surévaluation par rapport aux fondamentaux actuels, malgré un redressement spectaculaire. Le comportement du cours sur 100 jours montre une tendance baissière (-6,63%) avec une volatilité annualisée de 84,7%, reflétant un titre très spéculatif et risqué. Les signaux techniques sont mitigés : les moyennes mobiles et le MACD sont haussiers, mais le stochastique en surachat et le RSI proche de 70 suggèrent une correction possible à court terme. Les fondamentaux montrent une amélioration nette en 2025 (PNB +44%, résultat net positif) et une dynamique confirmée au T1 2026, mais la structure financière reste fragile avec un endettement élevé et des capitaux propres insuffisants. Les prédictions IA (J+1 à J+10) indiquent une chute brutale du cours de 5 272 à 3 860 FCFA, contredisant les signaux techniques haussiers et suggérant une correction majeure. La synthèse globale révèle une divergence entre la valorisation élevée, les fondamentaux en amélioration mais fragiles, et les prédictions baissières. **Recommandation finale : VENTE** (niveau de confiance : Moyen, risque global : Élevé). Horizon d'investissement : court terme (&lt;3 mois), avec une surveillance étroite des prochains trimestres pour évaluer la soutenabilité du redressement et l'impact de l'augmentation de capital.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12,756 titres</w:t>
            </w:r>
          </w:p>
        </w:tc>
        <w:tc>
          <w:tcPr>
            <w:tcW w:type="dxa" w:w="2268"/>
            <w:shd w:fill="FFF2CC" w:val="clear"/>
          </w:tcPr>
          <w:p>
            <w:r>
              <w:rPr>
                <w:b/>
                <w:color w:val="503200"/>
                <w:sz w:val="16"/>
              </w:rPr>
              <w:t xml:space="preserve">Cours actuel : </w:t>
            </w:r>
            <w:r>
              <w:rPr>
                <w:color w:val="000000"/>
                <w:sz w:val="17"/>
              </w:rPr>
              <w:t>3,380 FCFA</w:t>
            </w:r>
          </w:p>
          <w:p>
            <w:r>
              <w:rPr>
                <w:b/>
                <w:color w:val="503200"/>
                <w:sz w:val="16"/>
              </w:rPr>
              <w:t xml:space="preserve">Var. 100 jours : </w:t>
            </w:r>
            <w:r>
              <w:rPr>
                <w:b/>
                <w:color w:val="007800"/>
                <w:sz w:val="17"/>
              </w:rPr>
              <w:t>+113.92%</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1,550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23.98% (Élevée) — μ=2,856 FCFA, σ=685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β=0.5692 (Défensif) — Cov=0.000020, Var(idx)=0.000035, ρ=0.093,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2,970</w:t>
            </w:r>
          </w:p>
        </w:tc>
        <w:tc>
          <w:tcPr>
            <w:tcW w:type="dxa" w:w="1440"/>
            <w:shd w:fill="FFDCE0" w:val="clear"/>
          </w:tcPr>
          <w:p>
            <w:r>
              <w:rPr>
                <w:b/>
                <w:sz w:val="17"/>
              </w:rPr>
              <w:t>3,126</w:t>
            </w:r>
          </w:p>
        </w:tc>
        <w:tc>
          <w:tcPr>
            <w:tcW w:type="dxa" w:w="1440"/>
            <w:shd w:fill="FFDCE0" w:val="clear"/>
          </w:tcPr>
          <w:p>
            <w:r>
              <w:rPr>
                <w:sz w:val="17"/>
              </w:rPr>
              <w:t>3,283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2,688</w:t>
            </w:r>
          </w:p>
        </w:tc>
        <w:tc>
          <w:tcPr>
            <w:tcW w:type="dxa" w:w="1440"/>
            <w:shd w:fill="FFDCE0" w:val="clear"/>
          </w:tcPr>
          <w:p>
            <w:r>
              <w:rPr>
                <w:b/>
                <w:sz w:val="17"/>
              </w:rPr>
              <w:t>2,892</w:t>
            </w:r>
          </w:p>
        </w:tc>
        <w:tc>
          <w:tcPr>
            <w:tcW w:type="dxa" w:w="1440"/>
            <w:shd w:fill="FFDCE0" w:val="clear"/>
          </w:tcPr>
          <w:p>
            <w:r>
              <w:rPr>
                <w:sz w:val="17"/>
              </w:rPr>
              <w:t>3,096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2,444</w:t>
            </w:r>
          </w:p>
        </w:tc>
        <w:tc>
          <w:tcPr>
            <w:tcW w:type="dxa" w:w="1440"/>
            <w:shd w:fill="FFDCE0" w:val="clear"/>
          </w:tcPr>
          <w:p>
            <w:r>
              <w:rPr>
                <w:b/>
                <w:sz w:val="17"/>
              </w:rPr>
              <w:t>2,675</w:t>
            </w:r>
          </w:p>
        </w:tc>
        <w:tc>
          <w:tcPr>
            <w:tcW w:type="dxa" w:w="1440"/>
            <w:shd w:fill="FFDCE0" w:val="clear"/>
          </w:tcPr>
          <w:p>
            <w:r>
              <w:rPr>
                <w:sz w:val="17"/>
              </w:rPr>
              <w:t>2,906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2,227</w:t>
            </w:r>
          </w:p>
        </w:tc>
        <w:tc>
          <w:tcPr>
            <w:tcW w:type="dxa" w:w="1440"/>
            <w:shd w:fill="FFDCE0" w:val="clear"/>
          </w:tcPr>
          <w:p>
            <w:r>
              <w:rPr>
                <w:b/>
                <w:sz w:val="17"/>
              </w:rPr>
              <w:t>2,474</w:t>
            </w:r>
          </w:p>
        </w:tc>
        <w:tc>
          <w:tcPr>
            <w:tcW w:type="dxa" w:w="1440"/>
            <w:shd w:fill="FFDCE0" w:val="clear"/>
          </w:tcPr>
          <w:p>
            <w:r>
              <w:rPr>
                <w:sz w:val="17"/>
              </w:rPr>
              <w:t>2,722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2,033</w:t>
            </w:r>
          </w:p>
        </w:tc>
        <w:tc>
          <w:tcPr>
            <w:tcW w:type="dxa" w:w="1440"/>
            <w:shd w:fill="FFDCE0" w:val="clear"/>
          </w:tcPr>
          <w:p>
            <w:r>
              <w:rPr>
                <w:b/>
                <w:sz w:val="17"/>
              </w:rPr>
              <w:t>2,289</w:t>
            </w:r>
          </w:p>
        </w:tc>
        <w:tc>
          <w:tcPr>
            <w:tcW w:type="dxa" w:w="1440"/>
            <w:shd w:fill="FFDCE0" w:val="clear"/>
          </w:tcPr>
          <w:p>
            <w:r>
              <w:rPr>
                <w:sz w:val="17"/>
              </w:rPr>
              <w:t>2,544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1,858</w:t>
            </w:r>
          </w:p>
        </w:tc>
        <w:tc>
          <w:tcPr>
            <w:tcW w:type="dxa" w:w="1440"/>
            <w:shd w:fill="FFDCE0" w:val="clear"/>
          </w:tcPr>
          <w:p>
            <w:r>
              <w:rPr>
                <w:b/>
                <w:sz w:val="17"/>
              </w:rPr>
              <w:t>2,117</w:t>
            </w:r>
          </w:p>
        </w:tc>
        <w:tc>
          <w:tcPr>
            <w:tcW w:type="dxa" w:w="1440"/>
            <w:shd w:fill="FFDCE0" w:val="clear"/>
          </w:tcPr>
          <w:p>
            <w:r>
              <w:rPr>
                <w:sz w:val="17"/>
              </w:rPr>
              <w:t>2,376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1,700</w:t>
            </w:r>
          </w:p>
        </w:tc>
        <w:tc>
          <w:tcPr>
            <w:tcW w:type="dxa" w:w="1440"/>
            <w:shd w:fill="FFDCE0" w:val="clear"/>
          </w:tcPr>
          <w:p>
            <w:r>
              <w:rPr>
                <w:b/>
                <w:sz w:val="17"/>
              </w:rPr>
              <w:t>1,958</w:t>
            </w:r>
          </w:p>
        </w:tc>
        <w:tc>
          <w:tcPr>
            <w:tcW w:type="dxa" w:w="1440"/>
            <w:shd w:fill="FFDCE0" w:val="clear"/>
          </w:tcPr>
          <w:p>
            <w:r>
              <w:rPr>
                <w:sz w:val="17"/>
              </w:rPr>
              <w:t>2,217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1,556</w:t>
            </w:r>
          </w:p>
        </w:tc>
        <w:tc>
          <w:tcPr>
            <w:tcW w:type="dxa" w:w="1440"/>
            <w:shd w:fill="FFDCE0" w:val="clear"/>
          </w:tcPr>
          <w:p>
            <w:r>
              <w:rPr>
                <w:b/>
                <w:sz w:val="17"/>
              </w:rPr>
              <w:t>1,812</w:t>
            </w:r>
          </w:p>
        </w:tc>
        <w:tc>
          <w:tcPr>
            <w:tcW w:type="dxa" w:w="1440"/>
            <w:shd w:fill="FFDCE0" w:val="clear"/>
          </w:tcPr>
          <w:p>
            <w:r>
              <w:rPr>
                <w:sz w:val="17"/>
              </w:rPr>
              <w:t>2,067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1,425</w:t>
            </w:r>
          </w:p>
        </w:tc>
        <w:tc>
          <w:tcPr>
            <w:tcW w:type="dxa" w:w="1440"/>
            <w:shd w:fill="FFDCE0" w:val="clear"/>
          </w:tcPr>
          <w:p>
            <w:r>
              <w:rPr>
                <w:b/>
                <w:sz w:val="17"/>
              </w:rPr>
              <w:t>1,676</w:t>
            </w:r>
          </w:p>
        </w:tc>
        <w:tc>
          <w:tcPr>
            <w:tcW w:type="dxa" w:w="1440"/>
            <w:shd w:fill="FFDCE0" w:val="clear"/>
          </w:tcPr>
          <w:p>
            <w:r>
              <w:rPr>
                <w:sz w:val="17"/>
              </w:rPr>
              <w:t>1,927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1,305</w:t>
            </w:r>
          </w:p>
        </w:tc>
        <w:tc>
          <w:tcPr>
            <w:tcW w:type="dxa" w:w="1440"/>
            <w:shd w:fill="FFDCE0" w:val="clear"/>
          </w:tcPr>
          <w:p>
            <w:r>
              <w:rPr>
                <w:b/>
                <w:sz w:val="17"/>
              </w:rPr>
              <w:t>1,550</w:t>
            </w:r>
          </w:p>
        </w:tc>
        <w:tc>
          <w:tcPr>
            <w:tcW w:type="dxa" w:w="1440"/>
            <w:shd w:fill="FFDCE0" w:val="clear"/>
          </w:tcPr>
          <w:p>
            <w:r>
              <w:rPr>
                <w:sz w:val="17"/>
              </w:rPr>
              <w:t>1,795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**Date : Août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66,25 milliards FCFA, un niveau significatif pour une entreprise industrielle de cette envergure sur la BRVM. Le BPA est négatif à -406 FCFA, reflétant la perte nette de l'exercice 2025, ce qui rend le PER non significatif (-8,3x). En revanche, le P/B de 3,84x indique que le marché valorise l'actif net de la société à près de quatre fois sa valeur comptable, une prime de croissance qui semble généreuse compte tenu des difficultés actuelles. L'EV/EBITDA de 10,6x se situe dans la fourchette haute des valorisations de la place, suggérant que les investisseurs intègrent un potentiel de redressement opérationnel. Ces ratios traduisent une valorisation exigeante au regard de la situation financière dégradée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SCRC affiche une progression spectaculaire de +113,92%, passant d'un plus bas de 1 550 FCFA à un plus haut de 3 920 FCFA, pour clôturer à 3 380 FCFA (+0,90% sur la dernière séance). Cette performance exceptionnelle traduit un fort regain d'intérêt des investisseurs, probablement porté par des anticipations de redressement. La moyenne du cours sur la période (2 856 FCFA) est inférieure à la médiane (2 995 FCFA), indiquant une distribution légèrement asymétrique avec une concentration des valeurs basses en début de période. L'écart-type de 688 FCFA (CV=24,1%) révèle une dispersion modérée, tandis que le kurtosis négatif (-1,405) signale une distribution platykurtique, c'est-à-dire sans pics extrêmes. Le skewness de -0,234 confirme une asymétrie négative légère. La volatilité annualisée de 57,1% classe le titre parmi les valeurs très volatiles de la BRVM, un niveau qui requiert une grande prudence pour les investisseurs non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(3 380 FCFA) se situe sous la MM20 (3 597,5 FCFA) et la MM50 (3 464,8 FCFA), ce qui suggère une pression vendeuse à court terme. La décision "Achat" fournie par le système semble néanmoins s'appuyer sur la tendance haussière de fond, les moyennes mobiles restant orientées à la hausse sur la période longue.</w:t>
      </w:r>
    </w:p>
    <w:p>
      <w:pPr>
        <w:spacing w:after="120" w:line="276" w:lineRule="auto"/>
      </w:pPr>
      <w:r>
        <w:t>**Bandes de Bollinger :** Le prix évolue à proximité de la borne inférieure (3 372,5 FCFA), indiquant une phase de consolidation après la forte hausse. La décision "Neutre" est cohérente avec cette position, le titre semblant chercher un nouveau support avant une éventuelle reprise. La largeur des bandes reflète la volatilité élevée du titre.</w:t>
      </w:r>
    </w:p>
    <w:p>
      <w:pPr>
        <w:spacing w:after="120" w:line="276" w:lineRule="auto"/>
      </w:pPr>
      <w:r>
        <w:t>**MACD :** La valeur du MACD (-2,419) est nettement inférieure à son signal (44,246), générant une décision "Vente". Cette divergence négative indique un affaiblissement du momentum haussier à moyen terme, les acheteurs perdant progressivement le contrôle face aux vendeurs.</w:t>
      </w:r>
    </w:p>
    <w:p>
      <w:pPr>
        <w:spacing w:after="120" w:line="276" w:lineRule="auto"/>
      </w:pPr>
      <w:r>
        <w:t>**RSI :** À 34,503, le RSI se situe en zone neutre, proche du seuil de survente (30). Cette configuration suggère que le titre n'est pas encore survendu mais que la pression baissière s'intensifie. La décision "Neutre" reflète cette position intermédiaire.</w:t>
      </w:r>
    </w:p>
    <w:p>
      <w:pPr>
        <w:spacing w:after="120" w:line="276" w:lineRule="auto"/>
      </w:pPr>
      <w:r>
        <w:t>**Stochastique :** Le %K (8,571) et le %D (2,857) sont tous deux en zone de survente profonde (&lt;20), avec un croisement haussier potentiel. La décision "Achat" indique qu'un rebond technique est probable à très court terme, les vendeurs semblant épuisés.</w:t>
      </w:r>
    </w:p>
    <w:p>
      <w:pPr>
        <w:spacing w:after="120" w:line="276" w:lineRule="auto"/>
      </w:pPr>
      <w:r>
        <w:t>**Conclusion technique :** Les signaux sont mitigés avec une prédominance baissière à court terme (MACD, position sous les moyennes mobiles) mais des indicateurs de retournement potentiel (Stochastique en survente). La tendance de fond reste haussière, mais une correction semble nécessaire avant une reprise durable.</w:t>
      </w:r>
    </w:p>
    <w:p>
      <w:pPr>
        <w:spacing w:after="120" w:line="276" w:lineRule="auto"/>
      </w:pPr>
      <w:r>
        <w:t>---</w:t>
      </w:r>
    </w:p>
    <w:p>
      <w:pPr>
        <w:spacing w:after="120" w:line="276" w:lineRule="auto"/>
      </w:pPr>
      <w:r>
        <w:t>### PARTIE 3 : ANALYSE FONDAMENTALE (SECTION CRITIQUE)</w:t>
      </w:r>
    </w:p>
    <w:p>
      <w:pPr>
        <w:spacing w:after="120" w:line="276" w:lineRule="auto"/>
      </w:pPr>
      <w:r>
        <w:t>En 2025, SCRC a enregistré un chiffre d'affaires de 80,57 milliards FCFA, en baisse de 7,6% par rapport à 2024 (87,22 milliards FCFA), et une perte nette de 7,95 milliards FCFA contre un bénéfice de 2,47 milliards en 2024. Le ROE s'est effondré à -46,13% et le ROA à -5,08%, traduisant une destruction de valeur significative. La marge nette est passée de +2,8% à -9,9%, tandis que la marge opérationnelle s'est dégradée à -0,68%. Le bilan fait apparaître un endettement massif de 84,87 milliards FCFA (ratio d'endettement de 88,98% des capitaux propres), avec des charges financières ayant explosé de 262% à 6,79 milliards FCFA. Le BFR de 6,53 milliards FCFA et le délai fournisseurs de 366 jours indiquent une pression sur la trésorerie, malgré un délai clients favorable de 12 jours. Les rapports trimestriels 2025 confirment cette trajectoire difficile : le S1 2025 affichait déjà une perte de 6,71 milliards FCFA, avec une marge opérationnelle négative de -7,4%. Toutefois, la direction anticipe une production 2025/26 de 90 000 à 95 000 tonnes (+14% à +20%), ce qui pourrait soutenir un redressement opérationnel. Les investissements massifs (25,2 milliards FCFA) dans la modernisation des équipements et la replantation des cultures laissent entrevoir un potentiel de rebond à moyen terme, mais la soutenabilité financière reste précaire.</w:t>
      </w:r>
    </w:p>
    <w:p>
      <w:pPr>
        <w:spacing w:after="120" w:line="276" w:lineRule="auto"/>
      </w:pPr>
      <w:r>
        <w:t>---</w:t>
      </w:r>
    </w:p>
    <w:p>
      <w:pPr>
        <w:spacing w:after="120" w:line="276" w:lineRule="auto"/>
      </w:pPr>
      <w:r>
        <w:t>### PARTIE 4 : CONCLUSION D'INVESTISSEMENT</w:t>
      </w:r>
    </w:p>
    <w:p>
      <w:pPr>
        <w:spacing w:after="120" w:line="276" w:lineRule="auto"/>
      </w:pPr>
      <w:r>
        <w:t>La valorisation de SCRC apparaît surévaluée au regard des fondamentaux actuels : le PER négatif, le P/B de 3,84x et l'EV/EBITDA de 10,6x intègrent un scénario de redressement qui ne s'est pas encore matérialisé. Le comportement du cours sur 100 jours (+113,92%) contraste fortement avec la dégradation des résultats financiers, créant un décalage préoccupant entre le prix et la valeur intrinsèque. Les signaux techniques sont divergents : si le Stochastique suggère un rebond imminent, le MACD et la position sous les moyennes mobiles indiquent une correction en cours. Les fondamentaux demeurent fragiles, avec une perte nette de 7,95 milliards FCFA, un endettement critique et des charges financières insoutenables. Les prédictions IA pour les 10 prochains jours (baisse de 3 126 à 2 289 FCFA) confirment cette tendance baissière à court terme. **Recommandation : VENTE FORTE**, avec un niveau de confiance Élevé et un risque global Élevé. L'horizon d'investissement optimal est le court terme (&lt;3 mois) pour les investisseurs déjà positionnés, tandis que les nouveaux entrants devraient attendre une stabilisation des indicateurs financiers et une confirmation du redressement opérationnel avant toute prise de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109.31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1,042 titres</w:t>
            </w:r>
          </w:p>
        </w:tc>
        <w:tc>
          <w:tcPr>
            <w:tcW w:type="dxa" w:w="2268"/>
            <w:shd w:fill="FFF2CC" w:val="clear"/>
          </w:tcPr>
          <w:p>
            <w:r>
              <w:rPr>
                <w:b/>
                <w:color w:val="503200"/>
                <w:sz w:val="16"/>
              </w:rPr>
              <w:t xml:space="preserve">Cours actuel : </w:t>
            </w:r>
            <w:r>
              <w:rPr>
                <w:color w:val="000000"/>
                <w:sz w:val="17"/>
              </w:rPr>
              <w:t>12,145 FCFA</w:t>
            </w:r>
          </w:p>
          <w:p>
            <w:r>
              <w:rPr>
                <w:b/>
                <w:color w:val="503200"/>
                <w:sz w:val="16"/>
              </w:rPr>
              <w:t xml:space="preserve">Var. 100 jours : </w:t>
            </w:r>
            <w:r>
              <w:rPr>
                <w:b/>
                <w:color w:val="007800"/>
                <w:sz w:val="17"/>
              </w:rPr>
              <w:t>+65.24%</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17.96% (Élevée) — μ=10,464 FCFA, σ=1,880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β=0.2845 (Défensif) — Cov=0.000010, Var(idx)=0.000035, ρ=0.075,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11,353</w:t>
            </w:r>
          </w:p>
        </w:tc>
        <w:tc>
          <w:tcPr>
            <w:tcW w:type="dxa" w:w="1440"/>
            <w:shd w:fill="FFDCE0" w:val="clear"/>
          </w:tcPr>
          <w:p>
            <w:r>
              <w:rPr>
                <w:b/>
                <w:sz w:val="17"/>
              </w:rPr>
              <w:t>11,756</w:t>
            </w:r>
          </w:p>
        </w:tc>
        <w:tc>
          <w:tcPr>
            <w:tcW w:type="dxa" w:w="1440"/>
            <w:shd w:fill="FFDCE0" w:val="clear"/>
          </w:tcPr>
          <w:p>
            <w:r>
              <w:rPr>
                <w:sz w:val="17"/>
              </w:rPr>
              <w:t>12,160</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11,058</w:t>
            </w:r>
          </w:p>
        </w:tc>
        <w:tc>
          <w:tcPr>
            <w:tcW w:type="dxa" w:w="1440"/>
            <w:shd w:fill="FFDCE0" w:val="clear"/>
          </w:tcPr>
          <w:p>
            <w:r>
              <w:rPr>
                <w:b/>
                <w:sz w:val="17"/>
              </w:rPr>
              <w:t>11,622</w:t>
            </w:r>
          </w:p>
        </w:tc>
        <w:tc>
          <w:tcPr>
            <w:tcW w:type="dxa" w:w="1440"/>
            <w:shd w:fill="FFDCE0" w:val="clear"/>
          </w:tcPr>
          <w:p>
            <w:r>
              <w:rPr>
                <w:sz w:val="17"/>
              </w:rPr>
              <w:t>12,187</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10,814</w:t>
            </w:r>
          </w:p>
        </w:tc>
        <w:tc>
          <w:tcPr>
            <w:tcW w:type="dxa" w:w="1440"/>
            <w:shd w:fill="FFDCE0" w:val="clear"/>
          </w:tcPr>
          <w:p>
            <w:r>
              <w:rPr>
                <w:b/>
                <w:sz w:val="17"/>
              </w:rPr>
              <w:t>11,497</w:t>
            </w:r>
          </w:p>
        </w:tc>
        <w:tc>
          <w:tcPr>
            <w:tcW w:type="dxa" w:w="1440"/>
            <w:shd w:fill="FFDCE0" w:val="clear"/>
          </w:tcPr>
          <w:p>
            <w:r>
              <w:rPr>
                <w:sz w:val="17"/>
              </w:rPr>
              <w:t>12,181</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10,603</w:t>
            </w:r>
          </w:p>
        </w:tc>
        <w:tc>
          <w:tcPr>
            <w:tcW w:type="dxa" w:w="1440"/>
            <w:shd w:fill="FFDCE0" w:val="clear"/>
          </w:tcPr>
          <w:p>
            <w:r>
              <w:rPr>
                <w:b/>
                <w:sz w:val="17"/>
              </w:rPr>
              <w:t>11,384</w:t>
            </w:r>
          </w:p>
        </w:tc>
        <w:tc>
          <w:tcPr>
            <w:tcW w:type="dxa" w:w="1440"/>
            <w:shd w:fill="FFDCE0" w:val="clear"/>
          </w:tcPr>
          <w:p>
            <w:r>
              <w:rPr>
                <w:sz w:val="17"/>
              </w:rPr>
              <w:t>12,166</w:t>
            </w:r>
          </w:p>
        </w:tc>
        <w:tc>
          <w:tcPr>
            <w:tcW w:type="dxa" w:w="1440"/>
            <w:shd w:fill="FFDCE0" w:val="clear"/>
          </w:tcPr>
          <w:p>
            <w:r>
              <w:rPr>
                <w:b/>
                <w:color w:val="C00000"/>
                <w:sz w:val="17"/>
              </w:rPr>
              <w:t>-6.3%</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10,418</w:t>
            </w:r>
          </w:p>
        </w:tc>
        <w:tc>
          <w:tcPr>
            <w:tcW w:type="dxa" w:w="1440"/>
            <w:shd w:fill="FFDCE0" w:val="clear"/>
          </w:tcPr>
          <w:p>
            <w:r>
              <w:rPr>
                <w:b/>
                <w:sz w:val="17"/>
              </w:rPr>
              <w:t>11,284</w:t>
            </w:r>
          </w:p>
        </w:tc>
        <w:tc>
          <w:tcPr>
            <w:tcW w:type="dxa" w:w="1440"/>
            <w:shd w:fill="FFDCE0" w:val="clear"/>
          </w:tcPr>
          <w:p>
            <w:r>
              <w:rPr>
                <w:sz w:val="17"/>
              </w:rPr>
              <w:t>12,150</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10,253</w:t>
            </w:r>
          </w:p>
        </w:tc>
        <w:tc>
          <w:tcPr>
            <w:tcW w:type="dxa" w:w="1440"/>
            <w:shd w:fill="FFDCE0" w:val="clear"/>
          </w:tcPr>
          <w:p>
            <w:r>
              <w:rPr>
                <w:b/>
                <w:sz w:val="17"/>
              </w:rPr>
              <w:t>11,194</w:t>
            </w:r>
          </w:p>
        </w:tc>
        <w:tc>
          <w:tcPr>
            <w:tcW w:type="dxa" w:w="1440"/>
            <w:shd w:fill="FFDCE0" w:val="clear"/>
          </w:tcPr>
          <w:p>
            <w:r>
              <w:rPr>
                <w:sz w:val="17"/>
              </w:rPr>
              <w:t>12,135</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10,106</w:t>
            </w:r>
          </w:p>
        </w:tc>
        <w:tc>
          <w:tcPr>
            <w:tcW w:type="dxa" w:w="1440"/>
            <w:shd w:fill="FFDCE0" w:val="clear"/>
          </w:tcPr>
          <w:p>
            <w:r>
              <w:rPr>
                <w:b/>
                <w:sz w:val="17"/>
              </w:rPr>
              <w:t>11,115</w:t>
            </w:r>
          </w:p>
        </w:tc>
        <w:tc>
          <w:tcPr>
            <w:tcW w:type="dxa" w:w="1440"/>
            <w:shd w:fill="FFDCE0" w:val="clear"/>
          </w:tcPr>
          <w:p>
            <w:r>
              <w:rPr>
                <w:sz w:val="17"/>
              </w:rPr>
              <w:t>12,124</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9,969</w:t>
            </w:r>
          </w:p>
        </w:tc>
        <w:tc>
          <w:tcPr>
            <w:tcW w:type="dxa" w:w="1440"/>
            <w:shd w:fill="FFDCE0" w:val="clear"/>
          </w:tcPr>
          <w:p>
            <w:r>
              <w:rPr>
                <w:b/>
                <w:sz w:val="17"/>
              </w:rPr>
              <w:t>11,041</w:t>
            </w:r>
          </w:p>
        </w:tc>
        <w:tc>
          <w:tcPr>
            <w:tcW w:type="dxa" w:w="1440"/>
            <w:shd w:fill="FFDCE0" w:val="clear"/>
          </w:tcPr>
          <w:p>
            <w:r>
              <w:rPr>
                <w:sz w:val="17"/>
              </w:rPr>
              <w:t>12,113</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9,841</w:t>
            </w:r>
          </w:p>
        </w:tc>
        <w:tc>
          <w:tcPr>
            <w:tcW w:type="dxa" w:w="1440"/>
            <w:shd w:fill="FFDCE0" w:val="clear"/>
          </w:tcPr>
          <w:p>
            <w:r>
              <w:rPr>
                <w:b/>
                <w:sz w:val="17"/>
              </w:rPr>
              <w:t>10,971</w:t>
            </w:r>
          </w:p>
        </w:tc>
        <w:tc>
          <w:tcPr>
            <w:tcW w:type="dxa" w:w="1440"/>
            <w:shd w:fill="FFDCE0" w:val="clear"/>
          </w:tcPr>
          <w:p>
            <w:r>
              <w:rPr>
                <w:sz w:val="17"/>
              </w:rPr>
              <w:t>12,100</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9,722</w:t>
            </w:r>
          </w:p>
        </w:tc>
        <w:tc>
          <w:tcPr>
            <w:tcW w:type="dxa" w:w="1440"/>
            <w:shd w:fill="FFDCE0" w:val="clear"/>
          </w:tcPr>
          <w:p>
            <w:r>
              <w:rPr>
                <w:b/>
                <w:sz w:val="17"/>
              </w:rPr>
              <w:t>10,906</w:t>
            </w:r>
          </w:p>
        </w:tc>
        <w:tc>
          <w:tcPr>
            <w:tcW w:type="dxa" w:w="1440"/>
            <w:shd w:fill="FFDCE0" w:val="clear"/>
          </w:tcPr>
          <w:p>
            <w:r>
              <w:rPr>
                <w:sz w:val="17"/>
              </w:rPr>
              <w:t>12,089</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109,31 milliards FCFA, un niveau significatif qui positionne la société comme une valeur de premier plan sur la BRVM. Avec un BPA de 518 FCFA, le titre se négocie à un PER de 23,4x, nettement supérieur à la moyenne historique de la place (~8-12x), traduisant une prime de croissance élevée que le marché accorde à la société. Le P/B de 5,54x confirme cette valorisation exigeante, le marché payant plus de 5 fois la valeur comptable des actifs. Enfin, l'EV/EBITDA de 14,6x, dans la fourchette haute de la référence sectorielle (10-15x), indique que la valeur totale de l'entreprise (dette incluse) est substantiellement rémunérée par sa capacité opérationnelle. Ces ratios suggèrent une anticipation de croissance soutenue, mais laissent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SDCC a enregistré une performance spectaculaire de +65,24%, avec une dernière séance en légère progression de +0,45% à 12 145 FCFA. Le titre a évolué dans une fourchette très large, entre un plus bas de 7 140 FCFA et un plus haut de 12 195 FCFA, démontrant une forte dynamique haussière. La moyenne du cours (10 464 FCFA) est inférieure à la médiane (11 320 FCFA), et le skewness négatif (-0,832) confirme que les journées au-dessus de la moyenne ont été plus fréquentes, caractéristique d'une tendance haussière soutenue. L'écart-type de 1 889 FCFA (CV=18,1%) indique une dispersion modérée, tandis que le kurtosis platykurtique (-1,015) suggère une distribution aplatie avec peu de valeurs extrêmes. La volatilité annualisée de 35,6% classe le titre dans la catégorie élevée (&gt;30%), reflétant un risque de marché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(12 145 FCFA) se positionne au-dessus de la MM20 (11 837,75 FCFA) et de la MM50 (11 870,1 FCFA), indiquant une tendance haussière de court et moyen terme. Cependant, le signal global est à la vente, suggérant un possible essoufflement de la dynamique après la forte progression récente.</w:t>
      </w:r>
    </w:p>
    <w:p>
      <w:pPr>
        <w:spacing w:after="120" w:line="276" w:lineRule="auto"/>
      </w:pPr>
      <w:r>
        <w:t>**Bandes de Bollinger** : Le prix évolue près de la borne supérieure (12 230,32 FCFA), à 85 FCFA de celle-ci, tandis que la borne inférieure se situe à 11 445,18 FCFA. La position du cours dans la partie haute des bandes reflète une pression acheteuse persistante, mais le signal neutre indique que la volatilité n'est pas excessive à ce stade.</w:t>
      </w:r>
    </w:p>
    <w:p>
      <w:pPr>
        <w:spacing w:after="120" w:line="276" w:lineRule="auto"/>
      </w:pPr>
      <w:r>
        <w:t>**MACD** : La valeur du MACD (72,22) est nettement supérieure à son signal (27,30), avec un écart positif de 44,9 points. Cette divergence positive confirme un momentum haussier solide, le signal d'achat étant pleinement justifié par la dynamique actuelle.</w:t>
      </w:r>
    </w:p>
    <w:p>
      <w:pPr>
        <w:spacing w:after="120" w:line="276" w:lineRule="auto"/>
      </w:pPr>
      <w:r>
        <w:t>**RSI** : À 56,30, le RSI se situe en zone neutre (30-70), indiquant que le titre n'est ni suracheté ni survendu. Cette valeur suggère qu'il existe encore une marge de progression avant d'atteindre des conditions de surachat, bien que la prudence reste de mise.</w:t>
      </w:r>
    </w:p>
    <w:p>
      <w:pPr>
        <w:spacing w:after="120" w:line="276" w:lineRule="auto"/>
      </w:pPr>
      <w:r>
        <w:t>**Stochastique** : Le %K (100,0) et le %D (97,54) sont tous deux à des niveaux extrêmement élevés, en territoire de surachat. Le signal de vente généré par cet indicateur alerte sur un risque élevé de correction technique à court terme.</w:t>
      </w:r>
    </w:p>
    <w:p>
      <w:pPr>
        <w:spacing w:after="120" w:line="276" w:lineRule="auto"/>
      </w:pPr>
      <w:r>
        <w:t>**Conclusion technique** : Les indicateurs sont partagés entre un momentum haussier (MACD) et des conditions de surachat (Stochastique, MM). La convergence des signaux d'achat et de vente suggère une consolidation probable à court terme avant une éventuelle poursuite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société en croissance soutenue : le chiffre d'affaires atteint 189,430 milliards FCFA (+10% vs 2024), avec un résultat net de 4,663 milliards FCFA (+31%), portant la marge nette à 2,46%. La rentabilité des fonds propres (ROE) est excellente à 23,65%, tandis que le ROA reste faible à 0,99%, traduisant une lourdeur du bilan (472,672 milliards FCFA). Le BFR de 104,748 milliards FCFA, avec un délai clients extrêmement élevé de 749 jours, constitue un risque majeur de trésorerie. Le rapport annuel 2025 (daté du 31/12/2025) confirme ces performances avec un EBE en hausse de 21% à 21,8 milliards FCFA et un résultat d'exploitation de 9,1 milliards FCFA (+34%). Le rapport T1 2026 (31/03/2026) montre une amélioration spectaculaire de la rentabilité : résultat net de 1,318 milliard FCFA (+118% vs T1 2025), grâce à une meilleure maîtrise des charges, malgré un CA en léger repli de 2%. Sur la base de ces données, on estime que l'exercice 2026 pourrait voir le résultat net dépasser 5,5 milliards FCFA, soit une croissance de 18% par rapport à 2025. Le dividende proposé de 525 FCFA par action offre un rendement de 4,3% au cours actuel. La structure financière reste fragile avec une autonomie financière de seulement 4,17% et une trésorerie nette négative de -61,71 milliards FCFA, mais la capacité de remboursement de 8,18 ans reste gérable.</w:t>
      </w:r>
    </w:p>
    <w:p>
      <w:pPr>
        <w:spacing w:after="120" w:line="276" w:lineRule="auto"/>
      </w:pPr>
      <w:r>
        <w:t>---</w:t>
      </w:r>
    </w:p>
    <w:p>
      <w:pPr>
        <w:spacing w:after="120" w:line="276" w:lineRule="auto"/>
      </w:pPr>
      <w:r>
        <w:t>### PARTIE 4 : CONCLUSION D'INVESTISSEMENT</w:t>
      </w:r>
    </w:p>
    <w:p>
      <w:pPr>
        <w:spacing w:after="120" w:line="276" w:lineRule="auto"/>
      </w:pPr>
      <w:r>
        <w:t>La valorisation de SDCC (PER 23,4x, P/B 5,54x, EV/EBITDA 14,6x) indique une surévaluation relative par rapport aux standards BRVM, bien que justifiée par la forte croissance des résultats. Le comportement du cours (+65,24% sur 100 jours) avec une volatilité élevée (35,6%) et des statistiques montrant une distribution asymétrique positive reflète une dynamique haussière soutenue mais potentiellement fragile. Les signaux techniques sont mitigés : le MACD reste positif, mais le Stochastique en surachat extrême et les moyennes mobiles en signal de vente suggèrent un risque de correction. Les fondamentaux sont solides avec un ROE de 23,65%, une croissance du CA de 10% et un résultat net en hausse de 31% en 2025, renforcés par un T1 2026 exceptionnel (+118% de résultat net). Les prédictions IA (11 756 à 11 284 FCFA sur 10 jours) confirment un repli technique attendu de 3 à 7% par rapport au cours actuel. En synthèse, la convergence entre la surévaluation, les signaux techniques de surachat et les prédictions IA de baisse justifie une recommandation de **CONSERVER** avec un niveau de confiance **Moyen** et un risque global **Élevé**. L'horizon d'investissement optimal serait le **moyen terme (3-12 mois)**, en attendant une correction technique pour renforcer les positions sur cette valeur aux fondamentaux solides.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151.33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16,818 titres</w:t>
            </w:r>
          </w:p>
        </w:tc>
        <w:tc>
          <w:tcPr>
            <w:tcW w:type="dxa" w:w="2268"/>
            <w:shd w:fill="FFF2CC" w:val="clear"/>
          </w:tcPr>
          <w:p>
            <w:r>
              <w:rPr>
                <w:b/>
                <w:color w:val="503200"/>
                <w:sz w:val="16"/>
              </w:rPr>
              <w:t xml:space="preserve">Cours actuel : </w:t>
            </w:r>
            <w:r>
              <w:rPr>
                <w:color w:val="000000"/>
                <w:sz w:val="17"/>
              </w:rPr>
              <w:t>2,780 FCFA</w:t>
            </w:r>
          </w:p>
          <w:p>
            <w:r>
              <w:rPr>
                <w:b/>
                <w:color w:val="503200"/>
                <w:sz w:val="16"/>
              </w:rPr>
              <w:t xml:space="preserve">Var. 100 jours : </w:t>
            </w:r>
            <w:r>
              <w:rPr>
                <w:b/>
                <w:color w:val="007800"/>
                <w:sz w:val="17"/>
              </w:rPr>
              <w:t>+39.35%</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17.56% (Élevée) — μ=2,184 FCFA, σ=383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β=0.2509 (Défensif) — Cov=0.000009, Var(idx)=0.000035, ρ=0.048,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16,818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2,566</w:t>
            </w:r>
          </w:p>
        </w:tc>
        <w:tc>
          <w:tcPr>
            <w:tcW w:type="dxa" w:w="1440"/>
            <w:shd w:fill="FAFAFA" w:val="clear"/>
          </w:tcPr>
          <w:p>
            <w:r>
              <w:rPr>
                <w:b/>
                <w:sz w:val="17"/>
              </w:rPr>
              <w:t>2,736</w:t>
            </w:r>
          </w:p>
        </w:tc>
        <w:tc>
          <w:tcPr>
            <w:tcW w:type="dxa" w:w="1440"/>
            <w:shd w:fill="FAFAFA" w:val="clear"/>
          </w:tcPr>
          <w:p>
            <w:r>
              <w:rPr>
                <w:sz w:val="17"/>
              </w:rPr>
              <w:t>2,907</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2,459</w:t>
            </w:r>
          </w:p>
        </w:tc>
        <w:tc>
          <w:tcPr>
            <w:tcW w:type="dxa" w:w="1440"/>
            <w:shd w:fill="FFDCE0" w:val="clear"/>
          </w:tcPr>
          <w:p>
            <w:r>
              <w:rPr>
                <w:b/>
                <w:sz w:val="17"/>
              </w:rPr>
              <w:t>2,697</w:t>
            </w:r>
          </w:p>
        </w:tc>
        <w:tc>
          <w:tcPr>
            <w:tcW w:type="dxa" w:w="1440"/>
            <w:shd w:fill="FFDCE0" w:val="clear"/>
          </w:tcPr>
          <w:p>
            <w:r>
              <w:rPr>
                <w:sz w:val="17"/>
              </w:rPr>
              <w:t>2,936</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2,379</w:t>
            </w:r>
          </w:p>
        </w:tc>
        <w:tc>
          <w:tcPr>
            <w:tcW w:type="dxa" w:w="1440"/>
            <w:shd w:fill="FFDCE0" w:val="clear"/>
          </w:tcPr>
          <w:p>
            <w:r>
              <w:rPr>
                <w:b/>
                <w:sz w:val="17"/>
              </w:rPr>
              <w:t>2,668</w:t>
            </w:r>
          </w:p>
        </w:tc>
        <w:tc>
          <w:tcPr>
            <w:tcW w:type="dxa" w:w="1440"/>
            <w:shd w:fill="FFDCE0" w:val="clear"/>
          </w:tcPr>
          <w:p>
            <w:r>
              <w:rPr>
                <w:sz w:val="17"/>
              </w:rPr>
              <w:t>2,956</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2,314</w:t>
            </w:r>
          </w:p>
        </w:tc>
        <w:tc>
          <w:tcPr>
            <w:tcW w:type="dxa" w:w="1440"/>
            <w:shd w:fill="FFDCE0" w:val="clear"/>
          </w:tcPr>
          <w:p>
            <w:r>
              <w:rPr>
                <w:b/>
                <w:sz w:val="17"/>
              </w:rPr>
              <w:t>2,644</w:t>
            </w:r>
          </w:p>
        </w:tc>
        <w:tc>
          <w:tcPr>
            <w:tcW w:type="dxa" w:w="1440"/>
            <w:shd w:fill="FFDCE0" w:val="clear"/>
          </w:tcPr>
          <w:p>
            <w:r>
              <w:rPr>
                <w:sz w:val="17"/>
              </w:rPr>
              <w:t>2,974</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2,257</w:t>
            </w:r>
          </w:p>
        </w:tc>
        <w:tc>
          <w:tcPr>
            <w:tcW w:type="dxa" w:w="1440"/>
            <w:shd w:fill="FFDCE0" w:val="clear"/>
          </w:tcPr>
          <w:p>
            <w:r>
              <w:rPr>
                <w:b/>
                <w:sz w:val="17"/>
              </w:rPr>
              <w:t>2,623</w:t>
            </w:r>
          </w:p>
        </w:tc>
        <w:tc>
          <w:tcPr>
            <w:tcW w:type="dxa" w:w="1440"/>
            <w:shd w:fill="FFDCE0" w:val="clear"/>
          </w:tcPr>
          <w:p>
            <w:r>
              <w:rPr>
                <w:sz w:val="17"/>
              </w:rPr>
              <w:t>2,989</w:t>
            </w:r>
          </w:p>
        </w:tc>
        <w:tc>
          <w:tcPr>
            <w:tcW w:type="dxa" w:w="1440"/>
            <w:shd w:fill="FFDCE0" w:val="clear"/>
          </w:tcPr>
          <w:p>
            <w:r>
              <w:rPr>
                <w:b/>
                <w:color w:val="C00000"/>
                <w:sz w:val="17"/>
              </w:rPr>
              <w:t>-5.7%</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2,206</w:t>
            </w:r>
          </w:p>
        </w:tc>
        <w:tc>
          <w:tcPr>
            <w:tcW w:type="dxa" w:w="1440"/>
            <w:shd w:fill="FFDCE0" w:val="clear"/>
          </w:tcPr>
          <w:p>
            <w:r>
              <w:rPr>
                <w:b/>
                <w:sz w:val="17"/>
              </w:rPr>
              <w:t>2,604</w:t>
            </w:r>
          </w:p>
        </w:tc>
        <w:tc>
          <w:tcPr>
            <w:tcW w:type="dxa" w:w="1440"/>
            <w:shd w:fill="FFDCE0" w:val="clear"/>
          </w:tcPr>
          <w:p>
            <w:r>
              <w:rPr>
                <w:sz w:val="17"/>
              </w:rPr>
              <w:t>3,002</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2,158</w:t>
            </w:r>
          </w:p>
        </w:tc>
        <w:tc>
          <w:tcPr>
            <w:tcW w:type="dxa" w:w="1440"/>
            <w:shd w:fill="FFDCE0" w:val="clear"/>
          </w:tcPr>
          <w:p>
            <w:r>
              <w:rPr>
                <w:b/>
                <w:sz w:val="17"/>
              </w:rPr>
              <w:t>2,585</w:t>
            </w:r>
          </w:p>
        </w:tc>
        <w:tc>
          <w:tcPr>
            <w:tcW w:type="dxa" w:w="1440"/>
            <w:shd w:fill="FFDCE0" w:val="clear"/>
          </w:tcPr>
          <w:p>
            <w:r>
              <w:rPr>
                <w:sz w:val="17"/>
              </w:rPr>
              <w:t>3,012</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2,114</w:t>
            </w:r>
          </w:p>
        </w:tc>
        <w:tc>
          <w:tcPr>
            <w:tcW w:type="dxa" w:w="1440"/>
            <w:shd w:fill="FFDCE0" w:val="clear"/>
          </w:tcPr>
          <w:p>
            <w:r>
              <w:rPr>
                <w:b/>
                <w:sz w:val="17"/>
              </w:rPr>
              <w:t>2,568</w:t>
            </w:r>
          </w:p>
        </w:tc>
        <w:tc>
          <w:tcPr>
            <w:tcW w:type="dxa" w:w="1440"/>
            <w:shd w:fill="FFDCE0" w:val="clear"/>
          </w:tcPr>
          <w:p>
            <w:r>
              <w:rPr>
                <w:sz w:val="17"/>
              </w:rPr>
              <w:t>3,021</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2,073</w:t>
            </w:r>
          </w:p>
        </w:tc>
        <w:tc>
          <w:tcPr>
            <w:tcW w:type="dxa" w:w="1440"/>
            <w:shd w:fill="FFDCE0" w:val="clear"/>
          </w:tcPr>
          <w:p>
            <w:r>
              <w:rPr>
                <w:b/>
                <w:sz w:val="17"/>
              </w:rPr>
              <w:t>2,551</w:t>
            </w:r>
          </w:p>
        </w:tc>
        <w:tc>
          <w:tcPr>
            <w:tcW w:type="dxa" w:w="1440"/>
            <w:shd w:fill="FFDCE0" w:val="clear"/>
          </w:tcPr>
          <w:p>
            <w:r>
              <w:rPr>
                <w:sz w:val="17"/>
              </w:rPr>
              <w:t>3,028</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2,034</w:t>
            </w:r>
          </w:p>
        </w:tc>
        <w:tc>
          <w:tcPr>
            <w:tcW w:type="dxa" w:w="1440"/>
            <w:shd w:fill="FFDCE0" w:val="clear"/>
          </w:tcPr>
          <w:p>
            <w:r>
              <w:rPr>
                <w:b/>
                <w:sz w:val="17"/>
              </w:rPr>
              <w:t>2,534</w:t>
            </w:r>
          </w:p>
        </w:tc>
        <w:tc>
          <w:tcPr>
            <w:tcW w:type="dxa" w:w="1440"/>
            <w:shd w:fill="FFDCE0" w:val="clear"/>
          </w:tcPr>
          <w:p>
            <w:r>
              <w:rPr>
                <w:sz w:val="17"/>
              </w:rPr>
              <w:t>3,034</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151,33 milliards FCFA, un niveau significatif qui la positionne parmi les valeurs moyennes à grandes capitalisations de la BRVM. Avec un BPA de 387 FCFA, le titre se négocie à un PER de 7,2x, inférieur à la moyenne historique de la place (~8-12x), suggérant une sous-évaluation relative du titre par rapport à ses bénéfices publiés. Le P/B de 1,94x indique que le marché valorise la société à près de deux fois sa valeur comptable, ce qui est raisonnable pour une entreprise de services logistiques. En revanche, l'EV/EBITDA de 32,6x est particulièrement exigeant, signalant que la valeur d'entreprise (dette incluse) est très élevée par rapport à la capacité bénéficiaire opérationnelle, ce qui tempère l'attrait apparent du PER. Cette disparité entre un PER faible et un EV/EBITDA élevé suggère une structure de bilan particulière, avec une trésorerie importante qui réduit la capitalisation nette.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SDSC a enregistré une progression spectaculaire de +39,35%, avec une dernière séance en hausse de +1,65% à 2 780 FCFA. Le titre a évolué dans une fourchette large de 1 650 à 2 820 FCFA, démontrant un fort appétit des investisseurs. La moyenne du cours sur la période (2 184 FCFA) est supérieure à la médiane (2 068 FCFA), indiquant une distribution légèrement asymétrique vers le haut, confirmée par un skewness positif de 0,237. L'écart-type de 385 FCFA (CV=17,6%) révèle une dispersion modérée des prix autour de la moyenne. Le kurtosis négatif de -1,486 signale une distribution platykurtique, c'est-à-dire une faible concentration des variations extrêmes, ce qui réduit le risque de mouvements brusques. La volatilité annualisée de 48,9% est très élevée (&gt;30%), témoignant d'un titre spéculatif avec des fluctuations importantes, caractéristique des valeurs moyennes de la BRVM en phase d'accélération haussière.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(2 780 FCFA) évolue nettement au-dessus de la MM20 (2 667,75 FCFA) et de la MM50 (2 531,7 FCFA), confirmant une dynamique haussière solide. La configuration des moyennes mobiles, avec la MM20 au-dessus de la MM50, valide la tendance de fond et justifie la décision d'achat. Cette structure technique indique que les acheteurs contrôlent le marché à moyen terme.</w:t>
      </w:r>
    </w:p>
    <w:p>
      <w:pPr>
        <w:spacing w:after="120" w:line="276" w:lineRule="auto"/>
      </w:pPr>
      <w:r>
        <w:t>**Bandes de Bollinger** : Le prix se situe à 2 780 FCFA, proche de la borne supérieure (2 878,95 FCFA) et nettement au-dessus de la borne inférieure (2 456,55 FCFA). Cette position suggère une pression acheteuse soutenue, mais également une proximité de zones de surachat technique. La décision "Neutre" reflète un équilibre entre la force de la tendance et le risque de correction à court terme.</w:t>
      </w:r>
    </w:p>
    <w:p>
      <w:pPr>
        <w:spacing w:after="120" w:line="276" w:lineRule="auto"/>
      </w:pPr>
      <w:r>
        <w:t>**MACD** : La valeur du MACD (59,798) est inférieure à son signal (62,428), indiquant un croisement baissier récent. Bien que les deux indicateurs restent en territoire positif, cette divergence suggère un ralentissement du momentum haussier. La décision "Vente" signale une possible consolidation à venir, les acheteurs perdant progressivement de leur vigueur.</w:t>
      </w:r>
    </w:p>
    <w:p>
      <w:pPr>
        <w:spacing w:after="120" w:line="276" w:lineRule="auto"/>
      </w:pPr>
      <w:r>
        <w:t>**RSI** : À 53,54, le RSI se situe en zone neutre, sans signal extrême. Cette valeur indique que le titre n'est ni suracheté ni survendu, laissant une marge de manœuvre dans les deux sens. La décision "Neutre" est cohérente avec une phase de consolidation après la forte hausse récente.</w:t>
      </w:r>
    </w:p>
    <w:p>
      <w:pPr>
        <w:spacing w:after="120" w:line="276" w:lineRule="auto"/>
      </w:pPr>
      <w:r>
        <w:t>**Stochastique** : Le %K (96,59) et le %D (86,74) sont tous deux en zone de surachat extrême (&gt;80). Cette configuration signale un épuisement potentiel de la dynamique haussière à court terme. La décision "Vente" est justifiée par la probabilité élevée d'un retournement ou d'une pause technique.</w:t>
      </w:r>
    </w:p>
    <w:p>
      <w:pPr>
        <w:spacing w:after="120" w:line="276" w:lineRule="auto"/>
      </w:pPr>
      <w:r>
        <w:t>**Conclusion technique** : Les indicateurs sont partagés entre une tendance haussière de fond (moyennes mobiles) et des signaux de surachat à court terme (stochastique, MACD). La prudence est de mise : le titre pourrait consolider avant de poursuivre sa progression. La convergence des signaux de vente sur les oscillateurs suggère une pause technique probable dans les prochaines séances.</w:t>
      </w:r>
    </w:p>
    <w:p>
      <w:pPr>
        <w:spacing w:after="120" w:line="276" w:lineRule="auto"/>
      </w:pPr>
      <w:r>
        <w:t>---</w:t>
      </w:r>
    </w:p>
    <w:p>
      <w:pPr>
        <w:spacing w:after="120" w:line="276" w:lineRule="auto"/>
      </w:pPr>
      <w:r>
        <w:t>### PARTIE 3 : ANALYSE FONDAMENTALE (SECTION CRITIQUE)</w:t>
      </w:r>
    </w:p>
    <w:p>
      <w:pPr>
        <w:spacing w:after="120" w:line="276" w:lineRule="auto"/>
      </w:pPr>
      <w:r>
        <w:t>En 2024, SDSC a réalisé un chiffre d'affaires de 85,643 milliards FCFA (+3,65% vs 2023) avec un résultat net de 21,069 milliards FCFA, soit une marge nette exceptionnelle de 24,6%. Le ROE de 27,08% et le ROA de 11,20% témoignent d'une excellente rentabilité des capitaux propres et des actifs. La structure financière est saine avec une autonomie financière de 41,36% et une solvabilité générale de 170,53%. Cependant, le délai clients de 467 jours est préoccupant, indiquant un risque de trésorerie significatif, partiellement compensé par un délai fournisseurs très étendu (4 534 jours). Le BFR de 17,874 milliards reste positif mais gérable. Les rapports 2025 (provisoires) montrent une dégradation marquée : le CA progresse à 92,004 milliards (+7,43%), mais le résultat net s'effondre à 0,785 milliard (-96%), avec un résultat d'exploitation négatif de -2,271 milliards. Cette chute s'explique par la hausse des dotations (+41%), des charges de personnel et l'absence de dividendes exceptionnels des filiales. Le rapport du T3 2025 confirme cette tendance avec un résultat net en baisse de 77% à 4,341 milliards. La trésorerie nette reste néanmoins abondante à 74,78 milliards, offrant une marge de sécurité. Les capitaux propres s'établissent à 73,55 milliards en 2025. On estime que l'exercice 2026 pourrait voir une stabilisation si la direction parvient à restaurer les marges opérationnelles, mais la rentabilité restera probablement inférieure aux niveaux de 2024.</w:t>
      </w:r>
    </w:p>
    <w:p>
      <w:pPr>
        <w:spacing w:after="120" w:line="276" w:lineRule="auto"/>
      </w:pPr>
      <w:r>
        <w:t>---</w:t>
      </w:r>
    </w:p>
    <w:p>
      <w:pPr>
        <w:spacing w:after="120" w:line="276" w:lineRule="auto"/>
      </w:pPr>
      <w:r>
        <w:t>### PARTIE 4 : CONCLUSION D'INVESTISSEMENT</w:t>
      </w:r>
    </w:p>
    <w:p>
      <w:pPr>
        <w:spacing w:after="120" w:line="276" w:lineRule="auto"/>
      </w:pPr>
      <w:r>
        <w:t>La valorisation de SDSC présente un profil contrasté : un PER de 7,2x suggère une sous-évaluation relative, mais l'EV/EBITDA de 32,6x et la chute récente de la rentabilité (marge nette passée de 24,6% à 0,85% entre 2024 et 2025) imposent une grande prudence. Le comportement du cours (+39,35% sur 100 jours) reflète un optimisme des investisseurs qui contraste avec la dégradation fondamentale. Les signaux techniques sont mitigés : tendance haussière de fond mais surachat à court terme (stochastique à 96,6%, MACD en croisement baissier). Les prédictions IA pour les 10 prochains jours (2 736 à 2 623 FCFA) anticipent une correction de 5,6%, confirmant les signaux de consolidation technique. La solidité du bilan (trésorerie de 74,78 milliards, capitaux propres de 73,55 milliards) et la croissance du CA (+7,43%) sont des atouts indéniables, mais la rentabilité opérationnelle déficitaire et la réduction drastique du dividende (-89%) justifient une approche prudente. **Recommandation : CONSERVER** avec un niveau de confiance **Moyen** et un risque global **Élevé**. L'horizon d'investissement optimal est le **moyen terme (3-12 mois)**, en attendant une clarification de la stratégie de redressement des marges et une stabilisation des résultats. Un point d'entrée plus attractif pourrait se situer sous 2 500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5,628 titres</w:t>
            </w:r>
          </w:p>
        </w:tc>
        <w:tc>
          <w:tcPr>
            <w:tcW w:type="dxa" w:w="2268"/>
            <w:shd w:fill="FFF2CC" w:val="clear"/>
          </w:tcPr>
          <w:p>
            <w:r>
              <w:rPr>
                <w:b/>
                <w:color w:val="503200"/>
                <w:sz w:val="16"/>
              </w:rPr>
              <w:t xml:space="preserve">Cours actuel : </w:t>
            </w:r>
            <w:r>
              <w:rPr>
                <w:color w:val="000000"/>
                <w:sz w:val="17"/>
              </w:rPr>
              <w:t>1,550 FCFA</w:t>
            </w:r>
          </w:p>
          <w:p>
            <w:r>
              <w:rPr>
                <w:b/>
                <w:color w:val="503200"/>
                <w:sz w:val="16"/>
              </w:rPr>
              <w:t xml:space="preserve">Var. 100 jours : </w:t>
            </w:r>
            <w:r>
              <w:rPr>
                <w:b/>
                <w:color w:val="B40000"/>
                <w:sz w:val="17"/>
              </w:rPr>
              <w:t>-26.54%</w:t>
            </w:r>
          </w:p>
          <w:p>
            <w:r>
              <w:rPr>
                <w:b/>
                <w:color w:val="503200"/>
                <w:sz w:val="16"/>
              </w:rPr>
              <w:t xml:space="preserve">Plus haut 100j : </w:t>
            </w:r>
            <w:r>
              <w:rPr>
                <w:color w:val="000000"/>
                <w:sz w:val="17"/>
              </w:rPr>
              <w:t>2,110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10.26% (Moyenne) — μ=1,588 FCFA, σ=163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β=1.4224 (Agressif) — Cov=0.000050, Var(idx)=0.000035, ρ=0.268,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5,628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1,447</w:t>
            </w:r>
          </w:p>
        </w:tc>
        <w:tc>
          <w:tcPr>
            <w:tcW w:type="dxa" w:w="1440"/>
            <w:shd w:fill="FAFAFA" w:val="clear"/>
          </w:tcPr>
          <w:p>
            <w:r>
              <w:rPr>
                <w:b/>
                <w:sz w:val="17"/>
              </w:rPr>
              <w:t>1,520</w:t>
            </w:r>
          </w:p>
        </w:tc>
        <w:tc>
          <w:tcPr>
            <w:tcW w:type="dxa" w:w="1440"/>
            <w:shd w:fill="FAFAFA" w:val="clear"/>
          </w:tcPr>
          <w:p>
            <w:r>
              <w:rPr>
                <w:sz w:val="17"/>
              </w:rPr>
              <w:t>1,592</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1,407</w:t>
            </w:r>
          </w:p>
        </w:tc>
        <w:tc>
          <w:tcPr>
            <w:tcW w:type="dxa" w:w="1440"/>
            <w:shd w:fill="FFDCE0" w:val="clear"/>
          </w:tcPr>
          <w:p>
            <w:r>
              <w:rPr>
                <w:b/>
                <w:sz w:val="17"/>
              </w:rPr>
              <w:t>1,509</w:t>
            </w:r>
          </w:p>
        </w:tc>
        <w:tc>
          <w:tcPr>
            <w:tcW w:type="dxa" w:w="1440"/>
            <w:shd w:fill="FFDCE0" w:val="clear"/>
          </w:tcPr>
          <w:p>
            <w:r>
              <w:rPr>
                <w:sz w:val="17"/>
              </w:rPr>
              <w:t>1,611</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1,371</w:t>
            </w:r>
          </w:p>
        </w:tc>
        <w:tc>
          <w:tcPr>
            <w:tcW w:type="dxa" w:w="1440"/>
            <w:shd w:fill="FFDCE0" w:val="clear"/>
          </w:tcPr>
          <w:p>
            <w:r>
              <w:rPr>
                <w:b/>
                <w:sz w:val="17"/>
              </w:rPr>
              <w:t>1,494</w:t>
            </w:r>
          </w:p>
        </w:tc>
        <w:tc>
          <w:tcPr>
            <w:tcW w:type="dxa" w:w="1440"/>
            <w:shd w:fill="FFDCE0" w:val="clear"/>
          </w:tcPr>
          <w:p>
            <w:r>
              <w:rPr>
                <w:sz w:val="17"/>
              </w:rPr>
              <w:t>1,618</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1,338</w:t>
            </w:r>
          </w:p>
        </w:tc>
        <w:tc>
          <w:tcPr>
            <w:tcW w:type="dxa" w:w="1440"/>
            <w:shd w:fill="FFDCE0" w:val="clear"/>
          </w:tcPr>
          <w:p>
            <w:r>
              <w:rPr>
                <w:b/>
                <w:sz w:val="17"/>
              </w:rPr>
              <w:t>1,479</w:t>
            </w:r>
          </w:p>
        </w:tc>
        <w:tc>
          <w:tcPr>
            <w:tcW w:type="dxa" w:w="1440"/>
            <w:shd w:fill="FFDCE0" w:val="clear"/>
          </w:tcPr>
          <w:p>
            <w:r>
              <w:rPr>
                <w:sz w:val="17"/>
              </w:rPr>
              <w:t>1,620</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1,307</w:t>
            </w:r>
          </w:p>
        </w:tc>
        <w:tc>
          <w:tcPr>
            <w:tcW w:type="dxa" w:w="1440"/>
            <w:shd w:fill="FFDCE0" w:val="clear"/>
          </w:tcPr>
          <w:p>
            <w:r>
              <w:rPr>
                <w:b/>
                <w:sz w:val="17"/>
              </w:rPr>
              <w:t>1,464</w:t>
            </w:r>
          </w:p>
        </w:tc>
        <w:tc>
          <w:tcPr>
            <w:tcW w:type="dxa" w:w="1440"/>
            <w:shd w:fill="FFDCE0" w:val="clear"/>
          </w:tcPr>
          <w:p>
            <w:r>
              <w:rPr>
                <w:sz w:val="17"/>
              </w:rPr>
              <w:t>1,620</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1,279</w:t>
            </w:r>
          </w:p>
        </w:tc>
        <w:tc>
          <w:tcPr>
            <w:tcW w:type="dxa" w:w="1440"/>
            <w:shd w:fill="FFDCE0" w:val="clear"/>
          </w:tcPr>
          <w:p>
            <w:r>
              <w:rPr>
                <w:b/>
                <w:sz w:val="17"/>
              </w:rPr>
              <w:t>1,449</w:t>
            </w:r>
          </w:p>
        </w:tc>
        <w:tc>
          <w:tcPr>
            <w:tcW w:type="dxa" w:w="1440"/>
            <w:shd w:fill="FFDCE0" w:val="clear"/>
          </w:tcPr>
          <w:p>
            <w:r>
              <w:rPr>
                <w:sz w:val="17"/>
              </w:rPr>
              <w:t>1,618</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1,253</w:t>
            </w:r>
          </w:p>
        </w:tc>
        <w:tc>
          <w:tcPr>
            <w:tcW w:type="dxa" w:w="1440"/>
            <w:shd w:fill="FFDCE0" w:val="clear"/>
          </w:tcPr>
          <w:p>
            <w:r>
              <w:rPr>
                <w:b/>
                <w:sz w:val="17"/>
              </w:rPr>
              <w:t>1,434</w:t>
            </w:r>
          </w:p>
        </w:tc>
        <w:tc>
          <w:tcPr>
            <w:tcW w:type="dxa" w:w="1440"/>
            <w:shd w:fill="FFDCE0" w:val="clear"/>
          </w:tcPr>
          <w:p>
            <w:r>
              <w:rPr>
                <w:sz w:val="17"/>
              </w:rPr>
              <w:t>1,615</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1,228</w:t>
            </w:r>
          </w:p>
        </w:tc>
        <w:tc>
          <w:tcPr>
            <w:tcW w:type="dxa" w:w="1440"/>
            <w:shd w:fill="FFDCE0" w:val="clear"/>
          </w:tcPr>
          <w:p>
            <w:r>
              <w:rPr>
                <w:b/>
                <w:sz w:val="17"/>
              </w:rPr>
              <w:t>1,420</w:t>
            </w:r>
          </w:p>
        </w:tc>
        <w:tc>
          <w:tcPr>
            <w:tcW w:type="dxa" w:w="1440"/>
            <w:shd w:fill="FFDCE0" w:val="clear"/>
          </w:tcPr>
          <w:p>
            <w:r>
              <w:rPr>
                <w:sz w:val="17"/>
              </w:rPr>
              <w:t>1,612</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1,204</w:t>
            </w:r>
          </w:p>
        </w:tc>
        <w:tc>
          <w:tcPr>
            <w:tcW w:type="dxa" w:w="1440"/>
            <w:shd w:fill="FFDCE0" w:val="clear"/>
          </w:tcPr>
          <w:p>
            <w:r>
              <w:rPr>
                <w:b/>
                <w:sz w:val="17"/>
              </w:rPr>
              <w:t>1,406</w:t>
            </w:r>
          </w:p>
        </w:tc>
        <w:tc>
          <w:tcPr>
            <w:tcW w:type="dxa" w:w="1440"/>
            <w:shd w:fill="FFDCE0" w:val="clear"/>
          </w:tcPr>
          <w:p>
            <w:r>
              <w:rPr>
                <w:sz w:val="17"/>
              </w:rPr>
              <w:t>1,607</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1,181</w:t>
            </w:r>
          </w:p>
        </w:tc>
        <w:tc>
          <w:tcPr>
            <w:tcW w:type="dxa" w:w="1440"/>
            <w:shd w:fill="FFDCE0" w:val="clear"/>
          </w:tcPr>
          <w:p>
            <w:r>
              <w:rPr>
                <w:b/>
                <w:sz w:val="17"/>
              </w:rPr>
              <w:t>1,392</w:t>
            </w:r>
          </w:p>
        </w:tc>
        <w:tc>
          <w:tcPr>
            <w:tcW w:type="dxa" w:w="1440"/>
            <w:shd w:fill="FFDCE0" w:val="clear"/>
          </w:tcPr>
          <w:p>
            <w:r>
              <w:rPr>
                <w:sz w:val="17"/>
              </w:rPr>
              <w:t>1,602</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(EVIOSYS PACKAGING SIEM)**</w:t>
        <w:br/>
        <w:t>**Date de l'analyse : 21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**39,04 milliards FCFA**, un niveau modeste qui la classe parmi les valeurs moyennes de la cote BRVM. Les ratios de valorisation (BPA, PER, P/B, EV/EBITDA) ne sont pas calculables en raison de l'absence de données financières structurées dans la base, ce qui limite la comparaison directe avec les références du marché (PER moyen BRVM de 8 à 12x). Toutefois, sur la base des rapports fondamentaux disponibles, le bénéfice net 2023 de 1,01 milliard FCFA pour 25,19 millions d'actions en circulation implique un BPA d'environ 40 FCFA, soit un PER implicite d'environ 38x, nettement supérieur à la moyenne du marché. Cette valorisation élevée s'explique par les perspectives de rebond attendues après la restructuration actionnariale, mais elle intègre également un risque important lié à la suspension de la cote et à la faiblesse des résultats récents.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SEMC a enregistré une **baisse significative de 26,54%**, avec une dernière séance en repli de 2,52% à 1 550 FCFA. Le cours a évolué dans une fourchette large de 760 FCFA, entre un plus haut de 2 110 FCFA et un plus bas de 1 350 FCFA, illustrant une forte amplitude de variation. La moyenne (1 588 FCFA) est légèrement supérieure à la médiane (1 538 FCFA), indiquant une distribution asymétrique positive (skewness de 1,482), avec davantage de journées sous la moyenne. L'écart-type de 164 FCFA (CV de 10,3%) révèle une dispersion modérée des cours autour de la moyenne. Le kurtosis excédentaire de 1,386 signale un risque de pics de volatilité, confirmé par une **volatilité annualisée de 49,8%**, classant le titre dans la catégorie des valeurs à risque élevé. Cette configuration statistique traduit un marché incertain, marqué par des mouvements brusques et une tendance baissière dominante.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(1 550 FCFA) se positionne au-dessus des MM20 (1 504,5 FCFA) et MM50 (1 505,8 FCFA), suggérant un potentiel de rebond à court terme. Cependant, la décision de vente indiquée par l'indicateur reflète la tendance baissière de fond, les moyennes mobiles ayant été orientées à la baisse sur la période. Cette configuration contradictoire suggère une possible consolidation avant une reprise plus franche.</w:t>
      </w:r>
    </w:p>
    <w:p>
      <w:pPr>
        <w:spacing w:after="120" w:line="276" w:lineRule="auto"/>
      </w:pPr>
      <w:r>
        <w:t>**Bandes de Bollinger** : Le prix se situe à l'intérieur des bandes (borne supérieure à 1 598 FCFA, borne inférieure à 1 410 FCFA), avec une position médiane (1 550 FCFA). La décision neutre est justifiée par l'absence de sortie des bandes et une volatilité modérée. L'écart entre les bornes (188 FCFA) indique une volatilité contenue, laissant présager une poursuite de la consolidation avant un mouvement directionnel.</w:t>
      </w:r>
    </w:p>
    <w:p>
      <w:pPr>
        <w:spacing w:after="120" w:line="276" w:lineRule="auto"/>
      </w:pPr>
      <w:r>
        <w:t>**MACD** : Le MACD (19,495) est nettement supérieur à son signal (7,505), générant un signal d'achat. Cette configuration positive suggère un momentum haussier émergent, avec une divergence positive qui pourrait annoncer un retournement de tendance. La vigueur de l'écart entre les deux lignes renforce la crédibilité du signal d'achat à court terme.</w:t>
      </w:r>
    </w:p>
    <w:p>
      <w:pPr>
        <w:spacing w:after="120" w:line="276" w:lineRule="auto"/>
      </w:pPr>
      <w:r>
        <w:t>**RSI** : À 61,017, le RSI se situe en zone neutre, sans signal de surachat ni de survente. Cette valeur indique un équilibre entre pression acheteuse et vendeuse, avec une légère prédominance des acheteurs. Le RSI laisse une marge de progression avant d'atteindre la zone de surachat (&gt;70), ce qui pourrait permettre une poursuite du rebond.</w:t>
      </w:r>
    </w:p>
    <w:p>
      <w:pPr>
        <w:spacing w:after="120" w:line="276" w:lineRule="auto"/>
      </w:pPr>
      <w:r>
        <w:t>**Stochastique** : Le %K (67,742) est inférieur au %D (87,097), indiquant un croisement baissier potentiel. Cette configuration suggère un essoufflement du momentum haussier à très court terme, malgré des niveaux encore élevés. La divergence entre %K et %D appelle à la prudence, car elle précède souvent une correction technique.</w:t>
      </w:r>
    </w:p>
    <w:p>
      <w:pPr>
        <w:spacing w:after="120" w:line="276" w:lineRule="auto"/>
      </w:pPr>
      <w:r>
        <w:t>**Conclusion technique** : Les indicateurs techniques présentent un tableau contrasté, avec un MACD positif et un RSI neutre-positif, mais des moyennes mobiles baissières et un stochastique en croisement baissier. Cette configuration suggère une phase de transition, avec un potentiel de rebond limité à court terme. La prudence reste de mise, car la tendance de fond demeure baissière malgré les signaux d'amélioration ponctuels.</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SEMC s'appuie sur les rapports financiers disponibles, datant tous d'avant 2025, ce qui limite la fraîcheur des données mais permet d'identifier les tendances structurelles. **Pour l'exercice 2023** (rapport du 31/12/2024), le chiffre d'affaires s'établit à **27,88 milliards FCFA**, en baisse de 6% par rapport à 2022 (29,60 milliards FCFA), avec un **résultat net de 1,01 milliard FCFA**, en chute de 74% (contre 3,86 milliards FCFA en 2022). La marge nette s'est effondrée à 3,6% (contre 13% en 2022), et la marge d'exploitation à 6,9% (contre 11%). Le rapport du 1er trimestre 2023 (date du rapport : 31/12/2023) montrait pourtant une dynamique positive avec un CA de 7,65 milliards FCFA (+16,5%) et un résultat net de 855,65 millions FCFA (+37,9%), suggérant une dégradation marquée au cours des trimestres suivants. **Les rapports 2022 et 2023 consolidés** présentent des chiffres divergents (CA de 125,4 milliards FCFA et résultat net de 12,8 milliards FCFA), probablement liés à des périmètres de consolidation différents. La politique de dividende est nulle depuis 2022, la société privilégiant la conservation de trésorerie (3,35 milliards FCFA en 2023) pour financer sa relance. Les perspectives 2024 visent un CA de 32 milliards FCFA (+18%), portées par les bouchons couronnes (+61% en volume) et les exportations, avec le soutien du nouveau actionnaire Sonoco Products Company. La suspension de la cote BRVM depuis janvier 2024 (flottant de 10,42% contre 15% requis) constitue un risque majeur de liquidité.</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une situation contrastée pour SEMC. La valorisation implicite (PER d'environ 38x sur la base des résultats 2023) apparaît élevée au regard des fondamentaux actuels, mais intègre les perspectives de rebond. Le comportement du cours sur 100 jours est préoccupant (-26,54%), avec une volatilité très élevée (49,8%) et une distribution statistique (kurtosis et skewness positifs) indiquant un risque de mouvements brusques. Les signaux techniques sont mitigés, avec un MACD positif mais des moyennes mobiles baissières et un stochastique en croisement baissier. Les fondamentaux montrent une dégradation marquée en 2023, mais avec un potentiel de redressement en 2024 porté par le nouveau partenaire stratégique Sonoco. Les prédictions IA (1 520 à 1 464 FCFA sur 10 jours) confirment la tendance baissière à court terme. **Recommandation : VENTE** avec un niveau de confiance **Moyen** et un risque global **Élevé**. L'horizon d'investissement optimal serait le **court terme (&lt;3 mois)** pour les investisseurs cherchant à limiter leur exposition, en attendant une clarification de la situation boursière (levée de suspension) et une confirmation du redressement opérationnel sur les prochains trimestres.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4,845 titres</w:t>
            </w:r>
          </w:p>
        </w:tc>
        <w:tc>
          <w:tcPr>
            <w:tcW w:type="dxa" w:w="2268"/>
            <w:shd w:fill="FFF2CC" w:val="clear"/>
          </w:tcPr>
          <w:p>
            <w:r>
              <w:rPr>
                <w:b/>
                <w:color w:val="503200"/>
                <w:sz w:val="16"/>
              </w:rPr>
              <w:t xml:space="preserve">Cours actuel : </w:t>
            </w:r>
            <w:r>
              <w:rPr>
                <w:color w:val="000000"/>
                <w:sz w:val="17"/>
              </w:rPr>
              <w:t>39,195 FCFA</w:t>
            </w:r>
          </w:p>
          <w:p>
            <w:r>
              <w:rPr>
                <w:b/>
                <w:color w:val="503200"/>
                <w:sz w:val="16"/>
              </w:rPr>
              <w:t xml:space="preserve">Var. 100 jours : </w:t>
            </w:r>
            <w:r>
              <w:rPr>
                <w:b/>
                <w:color w:val="007800"/>
                <w:sz w:val="17"/>
              </w:rPr>
              <w:t>+11.99%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5.75% (Moyenne) — μ=36,877 FCFA, σ=2,121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β=0.5471 (Défensif) — Cov=0.000019, Var(idx)=0.000035, ρ=0.210,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37,660</w:t>
            </w:r>
          </w:p>
        </w:tc>
        <w:tc>
          <w:tcPr>
            <w:tcW w:type="dxa" w:w="1440"/>
            <w:shd w:fill="FAFAFA" w:val="clear"/>
          </w:tcPr>
          <w:p>
            <w:r>
              <w:rPr>
                <w:b/>
                <w:sz w:val="17"/>
              </w:rPr>
              <w:t>38,470</w:t>
            </w:r>
          </w:p>
        </w:tc>
        <w:tc>
          <w:tcPr>
            <w:tcW w:type="dxa" w:w="1440"/>
            <w:shd w:fill="FAFAFA" w:val="clear"/>
          </w:tcPr>
          <w:p>
            <w:r>
              <w:rPr>
                <w:sz w:val="17"/>
              </w:rPr>
              <w:t>39,280</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37,249</w:t>
            </w:r>
          </w:p>
        </w:tc>
        <w:tc>
          <w:tcPr>
            <w:tcW w:type="dxa" w:w="1440"/>
            <w:shd w:fill="FFDCE0" w:val="clear"/>
          </w:tcPr>
          <w:p>
            <w:r>
              <w:rPr>
                <w:b/>
                <w:sz w:val="17"/>
              </w:rPr>
              <w:t>38,392</w:t>
            </w:r>
          </w:p>
        </w:tc>
        <w:tc>
          <w:tcPr>
            <w:tcW w:type="dxa" w:w="1440"/>
            <w:shd w:fill="FFDCE0" w:val="clear"/>
          </w:tcPr>
          <w:p>
            <w:r>
              <w:rPr>
                <w:sz w:val="17"/>
              </w:rPr>
              <w:t>39,536</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36,903</w:t>
            </w:r>
          </w:p>
        </w:tc>
        <w:tc>
          <w:tcPr>
            <w:tcW w:type="dxa" w:w="1440"/>
            <w:shd w:fill="FFDCE0" w:val="clear"/>
          </w:tcPr>
          <w:p>
            <w:r>
              <w:rPr>
                <w:b/>
                <w:sz w:val="17"/>
              </w:rPr>
              <w:t>38,300</w:t>
            </w:r>
          </w:p>
        </w:tc>
        <w:tc>
          <w:tcPr>
            <w:tcW w:type="dxa" w:w="1440"/>
            <w:shd w:fill="FFDCE0" w:val="clear"/>
          </w:tcPr>
          <w:p>
            <w:r>
              <w:rPr>
                <w:sz w:val="17"/>
              </w:rPr>
              <w:t>39,696</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36,599</w:t>
            </w:r>
          </w:p>
        </w:tc>
        <w:tc>
          <w:tcPr>
            <w:tcW w:type="dxa" w:w="1440"/>
            <w:shd w:fill="FFDCE0" w:val="clear"/>
          </w:tcPr>
          <w:p>
            <w:r>
              <w:rPr>
                <w:b/>
                <w:sz w:val="17"/>
              </w:rPr>
              <w:t>38,208</w:t>
            </w:r>
          </w:p>
        </w:tc>
        <w:tc>
          <w:tcPr>
            <w:tcW w:type="dxa" w:w="1440"/>
            <w:shd w:fill="FFDCE0" w:val="clear"/>
          </w:tcPr>
          <w:p>
            <w:r>
              <w:rPr>
                <w:sz w:val="17"/>
              </w:rPr>
              <w:t>39,817</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36,326</w:t>
            </w:r>
          </w:p>
        </w:tc>
        <w:tc>
          <w:tcPr>
            <w:tcW w:type="dxa" w:w="1440"/>
            <w:shd w:fill="FFDCE0" w:val="clear"/>
          </w:tcPr>
          <w:p>
            <w:r>
              <w:rPr>
                <w:b/>
                <w:sz w:val="17"/>
              </w:rPr>
              <w:t>38,121</w:t>
            </w:r>
          </w:p>
        </w:tc>
        <w:tc>
          <w:tcPr>
            <w:tcW w:type="dxa" w:w="1440"/>
            <w:shd w:fill="FFDCE0" w:val="clear"/>
          </w:tcPr>
          <w:p>
            <w:r>
              <w:rPr>
                <w:sz w:val="17"/>
              </w:rPr>
              <w:t>39,915</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36,074</w:t>
            </w:r>
          </w:p>
        </w:tc>
        <w:tc>
          <w:tcPr>
            <w:tcW w:type="dxa" w:w="1440"/>
            <w:shd w:fill="FFDCE0" w:val="clear"/>
          </w:tcPr>
          <w:p>
            <w:r>
              <w:rPr>
                <w:b/>
                <w:sz w:val="17"/>
              </w:rPr>
              <w:t>38,036</w:t>
            </w:r>
          </w:p>
        </w:tc>
        <w:tc>
          <w:tcPr>
            <w:tcW w:type="dxa" w:w="1440"/>
            <w:shd w:fill="FFDCE0" w:val="clear"/>
          </w:tcPr>
          <w:p>
            <w:r>
              <w:rPr>
                <w:sz w:val="17"/>
              </w:rPr>
              <w:t>39,998</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35,839</w:t>
            </w:r>
          </w:p>
        </w:tc>
        <w:tc>
          <w:tcPr>
            <w:tcW w:type="dxa" w:w="1440"/>
            <w:shd w:fill="FFDCE0" w:val="clear"/>
          </w:tcPr>
          <w:p>
            <w:r>
              <w:rPr>
                <w:b/>
                <w:sz w:val="17"/>
              </w:rPr>
              <w:t>37,953</w:t>
            </w:r>
          </w:p>
        </w:tc>
        <w:tc>
          <w:tcPr>
            <w:tcW w:type="dxa" w:w="1440"/>
            <w:shd w:fill="FFDCE0" w:val="clear"/>
          </w:tcPr>
          <w:p>
            <w:r>
              <w:rPr>
                <w:sz w:val="17"/>
              </w:rPr>
              <w:t>40,068</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35,617</w:t>
            </w:r>
          </w:p>
        </w:tc>
        <w:tc>
          <w:tcPr>
            <w:tcW w:type="dxa" w:w="1440"/>
            <w:shd w:fill="FFDCE0" w:val="clear"/>
          </w:tcPr>
          <w:p>
            <w:r>
              <w:rPr>
                <w:b/>
                <w:sz w:val="17"/>
              </w:rPr>
              <w:t>37,873</w:t>
            </w:r>
          </w:p>
        </w:tc>
        <w:tc>
          <w:tcPr>
            <w:tcW w:type="dxa" w:w="1440"/>
            <w:shd w:fill="FFDCE0" w:val="clear"/>
          </w:tcPr>
          <w:p>
            <w:r>
              <w:rPr>
                <w:sz w:val="17"/>
              </w:rPr>
              <w:t>40,128</w:t>
            </w:r>
          </w:p>
        </w:tc>
        <w:tc>
          <w:tcPr>
            <w:tcW w:type="dxa" w:w="1440"/>
            <w:shd w:fill="FFDCE0" w:val="clear"/>
          </w:tcPr>
          <w:p>
            <w:r>
              <w:rPr>
                <w:b/>
                <w:color w:val="C00000"/>
                <w:sz w:val="17"/>
              </w:rPr>
              <w:t>-3.4%</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35,406</w:t>
            </w:r>
          </w:p>
        </w:tc>
        <w:tc>
          <w:tcPr>
            <w:tcW w:type="dxa" w:w="1440"/>
            <w:shd w:fill="FFDCE0" w:val="clear"/>
          </w:tcPr>
          <w:p>
            <w:r>
              <w:rPr>
                <w:b/>
                <w:sz w:val="17"/>
              </w:rPr>
              <w:t>37,794</w:t>
            </w:r>
          </w:p>
        </w:tc>
        <w:tc>
          <w:tcPr>
            <w:tcW w:type="dxa" w:w="1440"/>
            <w:shd w:fill="FFDCE0" w:val="clear"/>
          </w:tcPr>
          <w:p>
            <w:r>
              <w:rPr>
                <w:sz w:val="17"/>
              </w:rPr>
              <w:t>40,181</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35,204</w:t>
            </w:r>
          </w:p>
        </w:tc>
        <w:tc>
          <w:tcPr>
            <w:tcW w:type="dxa" w:w="1440"/>
            <w:shd w:fill="FFDCE0" w:val="clear"/>
          </w:tcPr>
          <w:p>
            <w:r>
              <w:rPr>
                <w:b/>
                <w:sz w:val="17"/>
              </w:rPr>
              <w:t>37,716</w:t>
            </w:r>
          </w:p>
        </w:tc>
        <w:tc>
          <w:tcPr>
            <w:tcW w:type="dxa" w:w="1440"/>
            <w:shd w:fill="FFDCE0" w:val="clear"/>
          </w:tcPr>
          <w:p>
            <w:r>
              <w:rPr>
                <w:sz w:val="17"/>
              </w:rPr>
              <w:t>40,227</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1 219,40 milliards FCFA, ce qui en fait l'une des plus importantes valeurs de la BRVM, reflétant son statut de leader bancaire en Côte d'Ivoire. Avec un BPA de 3 258 FCFA, chaque action génère un bénéfice substantiel, justifiant un PER de 12,0x, légèrement au-dessus de la moyenne historique du marché (~8-12x), ce qui indique une valorisation raisonnable mais non bon marché. Le P/B de 2,46x montre que le marché accorde une prime de croissance à la banque par rapport à sa valeur comptable, signe de confiance dans sa rentabilité future. Cependant, l'EV/EBITDA de 24,7x est particulièrement exigeant, suggérant que la valeur totale de l'entreprise (dette incluse) est élevée par rapport à sa capacité opérationnelle, un point de vigilance pour les investisseurs cherchant une marge de sécurité.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de +11,99%, avec une dernière séance particulièrement dynamique (+3,95%), portant le cours à 39 195 FCFA. Le titre a évolué dans une fourchette de 32 800 FCFA (plus bas) à 39 300 FCFA (plus haut), démontrant une tendance haussière soutenue. La moyenne du cours (36 877 FCFA) est inférieure à la médiane (37 972 FCFA), ce qui, combiné à un skewness négatif (-0,538), indique que les journées au-dessus de la moyenne sont plus fréquentes, mais que les fortes baisses sont plus marquées. L'écart-type de 2 132 FCFA (CV=5,8%) révèle une dispersion modérée, tandis que le kurtosis négatif (-1,202) signale une distribution aplatie, avec peu de mouvements extrêmes. La volatilité annualisée de 24,4% classe le titre dans une zone modérée (15-30%), offrant un équilibre entre risque et rendement pour les investisseurs.</w:t>
      </w:r>
    </w:p>
    <w:p>
      <w:pPr>
        <w:spacing w:after="120" w:line="276" w:lineRule="auto" w:before="240"/>
      </w:pPr>
      <w:r>
        <w:rPr>
          <w:b/>
          <w:color w:val="003366"/>
          <w:sz w:val="24"/>
        </w:rPr>
        <w:t>**PARTIE 2 : ANALYSE TECHNIQUE DÉTAILLÉE**</w:t>
      </w:r>
    </w:p>
    <w:p>
      <w:pPr>
        <w:spacing w:after="120" w:line="276" w:lineRule="auto"/>
      </w:pPr>
      <w:r>
        <w:t>Les **Moyennes Mobiles** (MM20=38 467,25 FCFA et MM50=38 567,0 FCFA) sont toutes deux inférieures au cours actuel de 39 195 FCFA, indiquant une dynamique haussière à court et moyen terme. Cependant, la décision globale est "Vente", car le cours semble avoir dépassé ces moyennes trop rapidement, ce qui pourrait signaler une correction technique à venir.</w:t>
      </w:r>
    </w:p>
    <w:p>
      <w:pPr>
        <w:spacing w:after="120" w:line="276" w:lineRule="auto"/>
      </w:pPr>
      <w:r>
        <w:t>Les **Bandes de Bollinger** (borne supérieure à 39 652,70 FCFA et inférieure à 37 281,80 FCFA) montrent que le prix actuel se situe près de la borne supérieure, suggérant une tension haussière. La décision "Neutre" reflète une volatilité modérée, mais le positionnement proche de la borne haute pourrait indiquer une zone de résistance.</w:t>
      </w:r>
    </w:p>
    <w:p>
      <w:pPr>
        <w:spacing w:after="120" w:line="276" w:lineRule="auto"/>
      </w:pPr>
      <w:r>
        <w:t>Le **MACD** (valeur à 185,415, signal à 149,523) affiche une divergence positive, avec le MACD au-dessus du signal, confirmant un momentum haussier. La décision "Achat" est justifiée par cette dynamique positive, bien que l'écart croissant puisse signaler une possible saturation à court terme.</w:t>
      </w:r>
    </w:p>
    <w:p>
      <w:pPr>
        <w:spacing w:after="120" w:line="276" w:lineRule="auto"/>
      </w:pPr>
      <w:r>
        <w:t>Le **RSI** à 59,645 se situe dans la zone neutre (30-70), indiquant que le titre n'est ni suracheté ni survendu. La décision "Neutre" suggère que le marché n'a pas encore atteint des niveaux extrêmes, laissant une marge de progression.</w:t>
      </w:r>
    </w:p>
    <w:p>
      <w:pPr>
        <w:spacing w:after="120" w:line="276" w:lineRule="auto"/>
      </w:pPr>
      <w:r>
        <w:t>Le **Stochastique** (%K=93,417, %D=64,472) montre que %K est largement au-dessus de %D, mais à un niveau très élevé, proche de la zone de surachat. La décision "Vente" est justifiée par ce niveau extrême, qui pourrait précéder un repli technique.</w:t>
      </w:r>
    </w:p>
    <w:p>
      <w:pPr>
        <w:spacing w:after="120" w:line="276" w:lineRule="auto"/>
      </w:pPr>
      <w:r>
        <w:t>**Conclusion technique** : Les indicateurs sont mitigés, avec un MACD haussier et des moyennes mobiles sous le cours, mais un Stochastique suracheté et des bandes de Bollinger proches de la borne supérieure. Cette divergence suggère une possible consolidation à court terme avant une poursuite de la tendance haussière, ou un retour vers les moyennes mobiles.</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une banque extrêmement solide : le PNB s'établit à 276,048 Mds FCFA, avec un résultat net de 101,352 Mds FCFA, soit une marge nette de 36,7%. Le ROE atteint 20,47% (excellent, &gt;15%) et le ROA de 2,69% confirme une gestion efficace des actifs. Le coefficient d'exploitation de 38,75% est remarquable, bien en dessous du seuil de 60%, démontrant une maîtrise exceptionnelle des coûts. Le coût du risque, avec des provisions de 17,995 Mds FCFA, reste contenu, tandis que le ratio dépôts/crédits (2 907,675 Mds FCFA de dépôts pour 2 546,290 Mds FCFA de crédits) montre une transformation saine. Les rapports trimestriels 2025 confirment cette trajectoire : le T1 2025 (PNB de 66,3 Mds FCFA, +1,3%) et le S1 2025 (PNB de 132,0 Mds FCFA, +1,0%, résultat net de 53,1 Mds FCFA, +10%) montrent une croissance modérée mais rentable. Le rapport des 9 mois 2025 (PNB de 201,0 Mds FCFA, +2,5%, résultat net de 83,3 Mds FCFA, +11,7%) indique une accélération, avec un coefficient d'exploitation amélioré à 37,3%. Comparé à 2024 (PNB de 263,2 Mds FCFA, résultat net de 101,2 Mds FCFA), l'exercice 2025 devrait dépasser ces chiffres, avec une estimation de PNB annuel autour de 276 Mds FCFA et un résultat net stable ou en légère hausse. La banque affiche une notation AAA (unique sur le marché) et une solvabilité de 16,3%, bien au-dessus des exigences réglementaires. Les risques incluent une hausse des créances en souffrance (NPL à 7,8% au S1 2025) et une dépendance aux commissions, mais la solidité financière et la digitalisation offrent des perspectives positives.</w:t>
      </w:r>
    </w:p>
    <w:p>
      <w:pPr>
        <w:spacing w:after="120" w:line="276" w:lineRule="auto" w:before="240"/>
      </w:pPr>
      <w:r>
        <w:rPr>
          <w:b/>
          <w:color w:val="003366"/>
          <w:sz w:val="24"/>
        </w:rPr>
        <w:t>**PARTIE 4 : CONCLUSION D'INVESTISSEMENT**</w:t>
      </w:r>
    </w:p>
    <w:p>
      <w:pPr>
        <w:spacing w:after="120" w:line="276" w:lineRule="auto"/>
      </w:pPr>
      <w:r>
        <w:t>La valorisation de SGBC (PER de 12,0x, P/B de 2,46x) est raisonnable mais exigeante, avec un EV/EBITDA élevé qui tempère l'attrait. Le comportement du cours (hausse de +12% sur 100 jours, volatilité modérée de 24,4%) est favorable, bien que le skewness négatif et le kurtosis plat suggèrent des risques de corrections. Les signaux techniques sont mitigés : le MACD et les moyennes mobiles soutiennent la tendance haussière, mais le Stochastique suracheté et les bandes de Bollinger proches de la borne supérieure indiquent une possible pause. Les fondamentaux sont excellents, avec un ROE de 20,47%, un coefficient d'exploitation de 38,75% et une croissance soutenue du résultat net (+11,7% sur 9 mois 2025). Les prédictions IA (38 470 FCFA à J+1, 38 121 FCFA à J+10) suggèrent un léger repli, contredisant la tendance haussière récente mais confirmant les signaux de surachat technique. Sur cette base, je recommande **CONSERVER** avec un niveau de confiance **Moyen**, car la solidité fondamentale justifie une détention à long terme, mais la valorisation et les signaux techniques mitigés limitent le potentiel de hausse à court terme. Le risque global est **Moyen**, et l'horizon d'investissement optimal est le **moyen terme (3-12 mois)**, en attendant une clarification technique ou une meilleure valorisation.</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154.98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4,348 titres</w:t>
            </w:r>
          </w:p>
        </w:tc>
        <w:tc>
          <w:tcPr>
            <w:tcW w:type="dxa" w:w="2268"/>
            <w:shd w:fill="FFF2CC" w:val="clear"/>
          </w:tcPr>
          <w:p>
            <w:r>
              <w:rPr>
                <w:b/>
                <w:color w:val="503200"/>
                <w:sz w:val="16"/>
              </w:rPr>
              <w:t xml:space="preserve">Cours actuel : </w:t>
            </w:r>
            <w:r>
              <w:rPr>
                <w:color w:val="000000"/>
                <w:sz w:val="17"/>
              </w:rPr>
              <w:t>2,460 FCFA</w:t>
            </w:r>
          </w:p>
          <w:p>
            <w:r>
              <w:rPr>
                <w:b/>
                <w:color w:val="503200"/>
                <w:sz w:val="16"/>
              </w:rPr>
              <w:t xml:space="preserve">Var. 100 jours : </w:t>
            </w:r>
            <w:r>
              <w:rPr>
                <w:b/>
                <w:color w:val="007800"/>
                <w:sz w:val="17"/>
              </w:rPr>
              <w:t>+13.36%</w:t>
            </w:r>
          </w:p>
          <w:p>
            <w:r>
              <w:rPr>
                <w:b/>
                <w:color w:val="503200"/>
                <w:sz w:val="16"/>
              </w:rPr>
              <w:t xml:space="preserve">Plus haut 100j : </w:t>
            </w:r>
            <w:r>
              <w:rPr>
                <w:color w:val="000000"/>
                <w:sz w:val="17"/>
              </w:rPr>
              <w:t>2,460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6.55% (Moyenne) — μ=2,114 FCFA, σ=138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β=1.0811 (Neutre (suit le marché)) — Cov=0.000038, Var(idx)=0.000035, ρ=0.288,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2,214</w:t>
            </w:r>
          </w:p>
        </w:tc>
        <w:tc>
          <w:tcPr>
            <w:tcW w:type="dxa" w:w="1440"/>
            <w:shd w:fill="FFDCE0" w:val="clear"/>
          </w:tcPr>
          <w:p>
            <w:r>
              <w:rPr>
                <w:b/>
                <w:sz w:val="17"/>
              </w:rPr>
              <w:t>2,300</w:t>
            </w:r>
          </w:p>
        </w:tc>
        <w:tc>
          <w:tcPr>
            <w:tcW w:type="dxa" w:w="1440"/>
            <w:shd w:fill="FFDCE0" w:val="clear"/>
          </w:tcPr>
          <w:p>
            <w:r>
              <w:rPr>
                <w:sz w:val="17"/>
              </w:rPr>
              <w:t>2,386</w:t>
            </w:r>
          </w:p>
        </w:tc>
        <w:tc>
          <w:tcPr>
            <w:tcW w:type="dxa" w:w="1440"/>
            <w:shd w:fill="FFDCE0" w:val="clear"/>
          </w:tcPr>
          <w:p>
            <w:r>
              <w:rPr>
                <w:b/>
                <w:color w:val="C00000"/>
                <w:sz w:val="17"/>
              </w:rPr>
              <w:t>-6.5%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2,066</w:t>
            </w:r>
          </w:p>
        </w:tc>
        <w:tc>
          <w:tcPr>
            <w:tcW w:type="dxa" w:w="1440"/>
            <w:shd w:fill="FFDCE0" w:val="clear"/>
          </w:tcPr>
          <w:p>
            <w:r>
              <w:rPr>
                <w:b/>
                <w:sz w:val="17"/>
              </w:rPr>
              <w:t>2,182</w:t>
            </w:r>
          </w:p>
        </w:tc>
        <w:tc>
          <w:tcPr>
            <w:tcW w:type="dxa" w:w="1440"/>
            <w:shd w:fill="FFDCE0" w:val="clear"/>
          </w:tcPr>
          <w:p>
            <w:r>
              <w:rPr>
                <w:sz w:val="17"/>
              </w:rPr>
              <w:t>2,297</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1,942</w:t>
            </w:r>
          </w:p>
        </w:tc>
        <w:tc>
          <w:tcPr>
            <w:tcW w:type="dxa" w:w="1440"/>
            <w:shd w:fill="FFDCE0" w:val="clear"/>
          </w:tcPr>
          <w:p>
            <w:r>
              <w:rPr>
                <w:b/>
                <w:sz w:val="17"/>
              </w:rPr>
              <w:t>2,077</w:t>
            </w:r>
          </w:p>
        </w:tc>
        <w:tc>
          <w:tcPr>
            <w:tcW w:type="dxa" w:w="1440"/>
            <w:shd w:fill="FFDCE0" w:val="clear"/>
          </w:tcPr>
          <w:p>
            <w:r>
              <w:rPr>
                <w:sz w:val="17"/>
              </w:rPr>
              <w:t>2,212</w:t>
            </w:r>
          </w:p>
        </w:tc>
        <w:tc>
          <w:tcPr>
            <w:tcW w:type="dxa" w:w="1440"/>
            <w:shd w:fill="FFDCE0" w:val="clear"/>
          </w:tcPr>
          <w:p>
            <w:r>
              <w:rPr>
                <w:b/>
                <w:color w:val="C00000"/>
                <w:sz w:val="17"/>
              </w:rPr>
              <w:t>-15.6%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1,842</w:t>
            </w:r>
          </w:p>
        </w:tc>
        <w:tc>
          <w:tcPr>
            <w:tcW w:type="dxa" w:w="1440"/>
            <w:shd w:fill="FFDCE0" w:val="clear"/>
          </w:tcPr>
          <w:p>
            <w:r>
              <w:rPr>
                <w:b/>
                <w:sz w:val="17"/>
              </w:rPr>
              <w:t>1,991</w:t>
            </w:r>
          </w:p>
        </w:tc>
        <w:tc>
          <w:tcPr>
            <w:tcW w:type="dxa" w:w="1440"/>
            <w:shd w:fill="FFDCE0" w:val="clear"/>
          </w:tcPr>
          <w:p>
            <w:r>
              <w:rPr>
                <w:sz w:val="17"/>
              </w:rPr>
              <w:t>2,140</w:t>
            </w:r>
          </w:p>
        </w:tc>
        <w:tc>
          <w:tcPr>
            <w:tcW w:type="dxa" w:w="1440"/>
            <w:shd w:fill="FFDCE0" w:val="clear"/>
          </w:tcPr>
          <w:p>
            <w:r>
              <w:rPr>
                <w:b/>
                <w:color w:val="C00000"/>
                <w:sz w:val="17"/>
              </w:rPr>
              <w:t>-19.1%</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1,761</w:t>
            </w:r>
          </w:p>
        </w:tc>
        <w:tc>
          <w:tcPr>
            <w:tcW w:type="dxa" w:w="1440"/>
            <w:shd w:fill="FFDCE0" w:val="clear"/>
          </w:tcPr>
          <w:p>
            <w:r>
              <w:rPr>
                <w:b/>
                <w:sz w:val="17"/>
              </w:rPr>
              <w:t>1,922</w:t>
            </w:r>
          </w:p>
        </w:tc>
        <w:tc>
          <w:tcPr>
            <w:tcW w:type="dxa" w:w="1440"/>
            <w:shd w:fill="FFDCE0" w:val="clear"/>
          </w:tcPr>
          <w:p>
            <w:r>
              <w:rPr>
                <w:sz w:val="17"/>
              </w:rPr>
              <w:t>2,083</w:t>
            </w:r>
          </w:p>
        </w:tc>
        <w:tc>
          <w:tcPr>
            <w:tcW w:type="dxa" w:w="1440"/>
            <w:shd w:fill="FFDCE0" w:val="clear"/>
          </w:tcPr>
          <w:p>
            <w:r>
              <w:rPr>
                <w:b/>
                <w:color w:val="C00000"/>
                <w:sz w:val="17"/>
              </w:rPr>
              <w:t>-21.9%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1,693</w:t>
            </w:r>
          </w:p>
        </w:tc>
        <w:tc>
          <w:tcPr>
            <w:tcW w:type="dxa" w:w="1440"/>
            <w:shd w:fill="FFDCE0" w:val="clear"/>
          </w:tcPr>
          <w:p>
            <w:r>
              <w:rPr>
                <w:b/>
                <w:sz w:val="17"/>
              </w:rPr>
              <w:t>1,864</w:t>
            </w:r>
          </w:p>
        </w:tc>
        <w:tc>
          <w:tcPr>
            <w:tcW w:type="dxa" w:w="1440"/>
            <w:shd w:fill="FFDCE0" w:val="clear"/>
          </w:tcPr>
          <w:p>
            <w:r>
              <w:rPr>
                <w:sz w:val="17"/>
              </w:rPr>
              <w:t>2,036</w:t>
            </w:r>
          </w:p>
        </w:tc>
        <w:tc>
          <w:tcPr>
            <w:tcW w:type="dxa" w:w="1440"/>
            <w:shd w:fill="FFDCE0" w:val="clear"/>
          </w:tcPr>
          <w:p>
            <w:r>
              <w:rPr>
                <w:b/>
                <w:color w:val="C00000"/>
                <w:sz w:val="17"/>
              </w:rPr>
              <w:t>-24.2%</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1,636</w:t>
            </w:r>
          </w:p>
        </w:tc>
        <w:tc>
          <w:tcPr>
            <w:tcW w:type="dxa" w:w="1440"/>
            <w:shd w:fill="FFDCE0" w:val="clear"/>
          </w:tcPr>
          <w:p>
            <w:r>
              <w:rPr>
                <w:b/>
                <w:sz w:val="17"/>
              </w:rPr>
              <w:t>1,816</w:t>
            </w:r>
          </w:p>
        </w:tc>
        <w:tc>
          <w:tcPr>
            <w:tcW w:type="dxa" w:w="1440"/>
            <w:shd w:fill="FFDCE0" w:val="clear"/>
          </w:tcPr>
          <w:p>
            <w:r>
              <w:rPr>
                <w:sz w:val="17"/>
              </w:rPr>
              <w:t>1,996</w:t>
            </w:r>
          </w:p>
        </w:tc>
        <w:tc>
          <w:tcPr>
            <w:tcW w:type="dxa" w:w="1440"/>
            <w:shd w:fill="FFDCE0" w:val="clear"/>
          </w:tcPr>
          <w:p>
            <w:r>
              <w:rPr>
                <w:b/>
                <w:color w:val="C00000"/>
                <w:sz w:val="17"/>
              </w:rPr>
              <w:t>-26.2%</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1,585</w:t>
            </w:r>
          </w:p>
        </w:tc>
        <w:tc>
          <w:tcPr>
            <w:tcW w:type="dxa" w:w="1440"/>
            <w:shd w:fill="FFDCE0" w:val="clear"/>
          </w:tcPr>
          <w:p>
            <w:r>
              <w:rPr>
                <w:b/>
                <w:sz w:val="17"/>
              </w:rPr>
              <w:t>1,773</w:t>
            </w:r>
          </w:p>
        </w:tc>
        <w:tc>
          <w:tcPr>
            <w:tcW w:type="dxa" w:w="1440"/>
            <w:shd w:fill="FFDCE0" w:val="clear"/>
          </w:tcPr>
          <w:p>
            <w:r>
              <w:rPr>
                <w:sz w:val="17"/>
              </w:rPr>
              <w:t>1,961</w:t>
            </w:r>
          </w:p>
        </w:tc>
        <w:tc>
          <w:tcPr>
            <w:tcW w:type="dxa" w:w="1440"/>
            <w:shd w:fill="FFDCE0" w:val="clear"/>
          </w:tcPr>
          <w:p>
            <w:r>
              <w:rPr>
                <w:b/>
                <w:color w:val="C00000"/>
                <w:sz w:val="17"/>
              </w:rPr>
              <w:t>-27.9%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1,539</w:t>
            </w:r>
          </w:p>
        </w:tc>
        <w:tc>
          <w:tcPr>
            <w:tcW w:type="dxa" w:w="1440"/>
            <w:shd w:fill="FFDCE0" w:val="clear"/>
          </w:tcPr>
          <w:p>
            <w:r>
              <w:rPr>
                <w:b/>
                <w:sz w:val="17"/>
              </w:rPr>
              <w:t>1,734</w:t>
            </w:r>
          </w:p>
        </w:tc>
        <w:tc>
          <w:tcPr>
            <w:tcW w:type="dxa" w:w="1440"/>
            <w:shd w:fill="FFDCE0" w:val="clear"/>
          </w:tcPr>
          <w:p>
            <w:r>
              <w:rPr>
                <w:sz w:val="17"/>
              </w:rPr>
              <w:t>1,929</w:t>
            </w:r>
          </w:p>
        </w:tc>
        <w:tc>
          <w:tcPr>
            <w:tcW w:type="dxa" w:w="1440"/>
            <w:shd w:fill="FFDCE0" w:val="clear"/>
          </w:tcPr>
          <w:p>
            <w:r>
              <w:rPr>
                <w:b/>
                <w:color w:val="C00000"/>
                <w:sz w:val="17"/>
              </w:rPr>
              <w:t>-29.5%</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1,498</w:t>
            </w:r>
          </w:p>
        </w:tc>
        <w:tc>
          <w:tcPr>
            <w:tcW w:type="dxa" w:w="1440"/>
            <w:shd w:fill="FFDCE0" w:val="clear"/>
          </w:tcPr>
          <w:p>
            <w:r>
              <w:rPr>
                <w:b/>
                <w:sz w:val="17"/>
              </w:rPr>
              <w:t>1,699</w:t>
            </w:r>
          </w:p>
        </w:tc>
        <w:tc>
          <w:tcPr>
            <w:tcW w:type="dxa" w:w="1440"/>
            <w:shd w:fill="FFDCE0" w:val="clear"/>
          </w:tcPr>
          <w:p>
            <w:r>
              <w:rPr>
                <w:sz w:val="17"/>
              </w:rPr>
              <w:t>1,900</w:t>
            </w:r>
          </w:p>
        </w:tc>
        <w:tc>
          <w:tcPr>
            <w:tcW w:type="dxa" w:w="1440"/>
            <w:shd w:fill="FFDCE0" w:val="clear"/>
          </w:tcPr>
          <w:p>
            <w:r>
              <w:rPr>
                <w:b/>
                <w:color w:val="C00000"/>
                <w:sz w:val="17"/>
              </w:rPr>
              <w:t>-30.9%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154,98 milliards FCFA, un niveau significatif qui la place parmi les valeurs moyennes à grandes capitalisations de la BRVM, reflétant sa position d'acteur majeur de la distribution pétrolière en Côte d'Ivoire. Le BPA de 96 FCFA indique que chaque action génère un bénéfice modeste, cohérent avec la faible marge nette du secteur. Le PER de 25,7x est nettement supérieur à la moyenne historique de la BRVM (8-12x), signalant que les investisseurs paient une prime substantielle pour la croissance attendue, ce qui suggère une valorisation exigeante. Le P/B de 5,71x confirme cette surévaluation relative, le marché valorisant plus de cinq fois les capitaux propres comptables, un niveau qui intègre des perspectives de rendement élevées. Enfin, l'EV/EBITDA de 13,5x se situe dans la fourchette haute (10-15x), indiquant que la valeur d'entreprise par rapport à la capacité opérationnelle est élevée, ce qui renforce le constat d'une valorisation exigeante qui laisse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de +13,36%, avec une dernière séance en hausse de +0,41% à 2 460 FCFA, son plus haut niveau sur la période, contre un plus bas de 1 840 FCFA. Cette tendance haussière marquée, avec un range de trading de 620 FCFA, témoigne d'un fort momentum acheteur. La moyenne du cours sur la période (2 114 FCFA) est inférieure à la médiane (2 160 FCFA), indiquant une asymétrie positive avec des valeurs extrêmes hautes qui tirent la moyenne vers le haut. L'écart-type de 139 FCFA, avec un coefficient de variation de 6,6%, révèle une dispersion relativement faible autour de la moyenne, suggérant une stabilité relative malgré la tendance haussière. Le kurtosis de -0,520 (mésokurtique) indique une distribution proche de la normale, sans risque de pics extrêmes, tandis que le skewness de 0,077 confirme une distribution quasi symétrique. La volatilité annualisée de 35,2% est élevée (&gt;30%), ce qui positionne SHEC comme un titre à forte amplitude de variation, nécessitant une gestion active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2 278,75 FCFA et la MM50 à 2 211,2 FCFA sont toutes deux nettement inférieures au cours actuel de 2 460 FCFA, avec un écart positif de 67,55 points entre les deux moyennes. Cette configuration haussière, où le cours évolue au-dessus des deux moyennes et où la MM20 est au-dessus de la MM50, confirme une tendance haussière solide à court et moyen terme, justifiant la décision d'Achat.</w:t>
      </w:r>
    </w:p>
    <w:p>
      <w:pPr>
        <w:spacing w:after="120" w:line="276" w:lineRule="auto"/>
      </w:pPr>
      <w:r>
        <w:t>**Bandes de Bollinger** : Le cours à 2 460 FCFA se positionne très près de la borne supérieure (2 476,84 FCFA), indiquant une pression acheteuse intense et une volatilité élevée. L'écart entre les bornes (396,19 FCFA) est large, reflétant une volatilité accrue. La proximité de la borne supérieure suggère un potentiel de correction à court terme, d'où la décision Neutre, le marché étant en zone de surachat technique.</w:t>
      </w:r>
    </w:p>
    <w:p>
      <w:pPr>
        <w:spacing w:after="120" w:line="276" w:lineRule="auto"/>
      </w:pPr>
      <w:r>
        <w:t>**MACD** : Le MACD à 61,31 est nettement supérieur à son signal à 42,67, avec un écart positif de 18,64 points, indiquant un momentum haussier soutenu. Cette divergence positive confirme la dynamique acheteuse en cours, justifiant la décision d'Achat. La persistance de cet écart suggère que la tendance haussière pourrait se poursuivre à court terme.</w:t>
      </w:r>
    </w:p>
    <w:p>
      <w:pPr>
        <w:spacing w:after="120" w:line="276" w:lineRule="auto"/>
      </w:pPr>
      <w:r>
        <w:t>**RSI** : Le RSI à 75,49 est nettement au-dessus du seuil de surachat de 70, indiquant que le titre est en zone de surachat technique. Cette situation suggère que le marché est survendu à la hausse et qu'un repli technique est probable à court terme, justifiant la décision de Vente. Les investisseurs devraient être prudents face à cette situation de surachat extrême.</w:t>
      </w:r>
    </w:p>
    <w:p>
      <w:pPr>
        <w:spacing w:after="120" w:line="276" w:lineRule="auto"/>
      </w:pPr>
      <w:r>
        <w:t>**Stochastique** : Le %K et le %D sont tous deux à 100,00, un niveau extrême de surachat qui indique que le titre est fortement survendu à la hausse. Cette configuration, où les deux lignes sont au maximum, signale un épuisement potentiel du mouvement haussier et un risque élevé de retournement, justifiant la décision de Vente.</w:t>
      </w:r>
    </w:p>
    <w:p>
      <w:pPr>
        <w:spacing w:after="120" w:line="276" w:lineRule="auto"/>
      </w:pPr>
      <w:r>
        <w:t>**Conclusion technique** : La convergence des indicateurs de surachat (RSI à 75,49, Stochastique à 100,00, cours proche de la borne supérieure de Bollinger) contraste avec les signaux d'achat des moyennes mobiles et du MACD. Cette divergence suggère qu'un repli technique est probable à court terme, mais que la tendance haussière de fond reste intacte. Les investisseurs devraient attendre un repli vers les moyennes mobiles pour renforcer leurs positions.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Côte d'Ivoire) affiche un chiffre d'affaires de 604,978 milliards FCFA, en légère progression de +0,71% par rapport à 2024, et un résultat net de 6,028 milliards FCFA, en hausse de +12,6%, démontrant une amélioration de la rentabilité malgré une croissance atone des revenus. La marge nette reste faible à 0,99%, caractéristique du secteur de distribution pétrolière, mais le ROE de 22,2% est excellent, témoignant d'une création de valeur efficace pour les actionnaires. Le ROA de 3,11% est plus modeste, reflétant la lourdeur du bilan. En tant qu'entreprise de distribution, l'analyse des délais est cruciale : le délai clients de 23,27 jours est raisonnable, le délai fournisseurs de 35,47 jours est favorable pour la trésorerie, et la durée de stockage de 7,47 jours est très courte, indiquant une rotation rapide des stocks. Cependant, le BFR de 15,315 milliards FCFA est positif, ce qui est défavorable, et la trésorerie nette est fortement négative à -65,264 milliards FCFA, avec un fonds de roulement négatif de -49,85 milliards, signalant des tensions de liquidité. Le taux de distribution de 101% (dividende de 6,09 milliards pour un résultat net de 6,028 milliards) est préoccupant car il fragilise la structure financière. Les rapports trimestriels 2025 (T3 : résultat net +45% à 4,119 milliards) et le S1 2026 (résultat net de 3,016 milliards, +17% du résultat d'exploitation) montrent une amélioration opérationnelle, mais le T1 2026 affiche une baisse du CA de -9%, signalant une volatilité sectorielle. Sur la base du S1 2026, on estime que le résultat net 2026 pourrait atteindre environ 6,5 milliards FCFA, en légère progression, mais la dégradation de la trésorerie et la dépendance aux concours bancaires restent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est exigeante avec un PER de 25,7x et un P/B de 5,71x, nettement supérieurs aux moyennes du marché, indiquant une surévaluation relative qui laisse peu de marge de sécurité. Le comportement du cours sur 100 jours est haussier (+13,36%) avec une volatilité élevée (35,2%) et des statistiques (kurtosis mésokurtique, skewness symétrique) suggérant une distribution normale sans risque extrême. Les signaux techniques sont mitigés : les moyennes mobiles et le MACD sont positifs, mais le RSI à 75,49 et le Stochastique à 100,00 indiquent un surachat extrême, annonçant un repli probable à court terme. Les fondamentaux montrent une amélioration de la rentabilité (ROE de 22,2%, résultat net +13% en 2025) mais une structure financière fragile avec une trésorerie nette très négative (-65,26 milliards FCFA) et un taux de distribution excessif de 101%. Les prédictions IA pour les 10 prochains jours (2 300 à 1 922 FCFA) confirment le scénario de correction technique, avec une baisse potentielle de 22% par rapport au cours actuel. La convergence entre les signaux de surachat technique et les prédictions IA suggère une correction à court terme, mais les fondamentaux restent globalement stables. **Recommandation finale : CONSERVER**, avec un niveau de confiance Moyen et un risque global Élevé. L'horizon d'investissement optimal est le moyen terme (3-12 mois), en attendant une clarification de la structure financière et une amélioration de la trésorerie.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8,924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+27.66%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10.84% (Moyenne) — μ=8,221 FCFA, σ=891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β=0.3580 (Défensif) — Cov=0.000012, Var(idx)=0.000035, ρ=0.118,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8,416</w:t>
            </w:r>
          </w:p>
        </w:tc>
        <w:tc>
          <w:tcPr>
            <w:tcW w:type="dxa" w:w="1440"/>
            <w:shd w:fill="FFDCE0" w:val="clear"/>
          </w:tcPr>
          <w:p>
            <w:r>
              <w:rPr>
                <w:b/>
                <w:sz w:val="17"/>
              </w:rPr>
              <w:t>8,690</w:t>
            </w:r>
          </w:p>
        </w:tc>
        <w:tc>
          <w:tcPr>
            <w:tcW w:type="dxa" w:w="1440"/>
            <w:shd w:fill="FFDCE0" w:val="clear"/>
          </w:tcPr>
          <w:p>
            <w:r>
              <w:rPr>
                <w:sz w:val="17"/>
              </w:rPr>
              <w:t>8,964</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8,038</w:t>
            </w:r>
          </w:p>
        </w:tc>
        <w:tc>
          <w:tcPr>
            <w:tcW w:type="dxa" w:w="1440"/>
            <w:shd w:fill="FFDCE0" w:val="clear"/>
          </w:tcPr>
          <w:p>
            <w:r>
              <w:rPr>
                <w:b/>
                <w:sz w:val="17"/>
              </w:rPr>
              <w:t>8,413</w:t>
            </w:r>
          </w:p>
        </w:tc>
        <w:tc>
          <w:tcPr>
            <w:tcW w:type="dxa" w:w="1440"/>
            <w:shd w:fill="FFDCE0" w:val="clear"/>
          </w:tcPr>
          <w:p>
            <w:r>
              <w:rPr>
                <w:sz w:val="17"/>
              </w:rPr>
              <w:t>8,789</w:t>
            </w:r>
          </w:p>
        </w:tc>
        <w:tc>
          <w:tcPr>
            <w:tcW w:type="dxa" w:w="1440"/>
            <w:shd w:fill="FFDCE0" w:val="clear"/>
          </w:tcPr>
          <w:p>
            <w:r>
              <w:rPr>
                <w:b/>
                <w:color w:val="C00000"/>
                <w:sz w:val="17"/>
              </w:rPr>
              <w:t>-6.5%</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7,723</w:t>
            </w:r>
          </w:p>
        </w:tc>
        <w:tc>
          <w:tcPr>
            <w:tcW w:type="dxa" w:w="1440"/>
            <w:shd w:fill="FFDCE0" w:val="clear"/>
          </w:tcPr>
          <w:p>
            <w:r>
              <w:rPr>
                <w:b/>
                <w:sz w:val="17"/>
              </w:rPr>
              <w:t>8,170</w:t>
            </w:r>
          </w:p>
        </w:tc>
        <w:tc>
          <w:tcPr>
            <w:tcW w:type="dxa" w:w="1440"/>
            <w:shd w:fill="FFDCE0" w:val="clear"/>
          </w:tcPr>
          <w:p>
            <w:r>
              <w:rPr>
                <w:sz w:val="17"/>
              </w:rPr>
              <w:t>8,616</w:t>
            </w:r>
          </w:p>
        </w:tc>
        <w:tc>
          <w:tcPr>
            <w:tcW w:type="dxa" w:w="1440"/>
            <w:shd w:fill="FFDCE0" w:val="clear"/>
          </w:tcPr>
          <w:p>
            <w:r>
              <w:rPr>
                <w:b/>
                <w:color w:val="C00000"/>
                <w:sz w:val="17"/>
              </w:rPr>
              <w:t>-9.2%</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7,460</w:t>
            </w:r>
          </w:p>
        </w:tc>
        <w:tc>
          <w:tcPr>
            <w:tcW w:type="dxa" w:w="1440"/>
            <w:shd w:fill="FFDCE0" w:val="clear"/>
          </w:tcPr>
          <w:p>
            <w:r>
              <w:rPr>
                <w:b/>
                <w:sz w:val="17"/>
              </w:rPr>
              <w:t>7,962</w:t>
            </w:r>
          </w:p>
        </w:tc>
        <w:tc>
          <w:tcPr>
            <w:tcW w:type="dxa" w:w="1440"/>
            <w:shd w:fill="FFDCE0" w:val="clear"/>
          </w:tcPr>
          <w:p>
            <w:r>
              <w:rPr>
                <w:sz w:val="17"/>
              </w:rPr>
              <w:t>8,464</w:t>
            </w:r>
          </w:p>
        </w:tc>
        <w:tc>
          <w:tcPr>
            <w:tcW w:type="dxa" w:w="1440"/>
            <w:shd w:fill="FFDCE0" w:val="clear"/>
          </w:tcPr>
          <w:p>
            <w:r>
              <w:rPr>
                <w:b/>
                <w:color w:val="C00000"/>
                <w:sz w:val="17"/>
              </w:rPr>
              <w:t>-11.5%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7,235</w:t>
            </w:r>
          </w:p>
        </w:tc>
        <w:tc>
          <w:tcPr>
            <w:tcW w:type="dxa" w:w="1440"/>
            <w:shd w:fill="FFDCE0" w:val="clear"/>
          </w:tcPr>
          <w:p>
            <w:r>
              <w:rPr>
                <w:b/>
                <w:sz w:val="17"/>
              </w:rPr>
              <w:t>7,784</w:t>
            </w:r>
          </w:p>
        </w:tc>
        <w:tc>
          <w:tcPr>
            <w:tcW w:type="dxa" w:w="1440"/>
            <w:shd w:fill="FFDCE0" w:val="clear"/>
          </w:tcPr>
          <w:p>
            <w:r>
              <w:rPr>
                <w:sz w:val="17"/>
              </w:rPr>
              <w:t>8,333</w:t>
            </w:r>
          </w:p>
        </w:tc>
        <w:tc>
          <w:tcPr>
            <w:tcW w:type="dxa" w:w="1440"/>
            <w:shd w:fill="FFDCE0" w:val="clear"/>
          </w:tcPr>
          <w:p>
            <w:r>
              <w:rPr>
                <w:b/>
                <w:color w:val="C00000"/>
                <w:sz w:val="17"/>
              </w:rPr>
              <w:t>-13.5%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7,041</w:t>
            </w:r>
          </w:p>
        </w:tc>
        <w:tc>
          <w:tcPr>
            <w:tcW w:type="dxa" w:w="1440"/>
            <w:shd w:fill="FFDCE0" w:val="clear"/>
          </w:tcPr>
          <w:p>
            <w:r>
              <w:rPr>
                <w:b/>
                <w:sz w:val="17"/>
              </w:rPr>
              <w:t>7,630</w:t>
            </w:r>
          </w:p>
        </w:tc>
        <w:tc>
          <w:tcPr>
            <w:tcW w:type="dxa" w:w="1440"/>
            <w:shd w:fill="FFDCE0" w:val="clear"/>
          </w:tcPr>
          <w:p>
            <w:r>
              <w:rPr>
                <w:sz w:val="17"/>
              </w:rPr>
              <w:t>8,219</w:t>
            </w:r>
          </w:p>
        </w:tc>
        <w:tc>
          <w:tcPr>
            <w:tcW w:type="dxa" w:w="1440"/>
            <w:shd w:fill="FFDCE0" w:val="clear"/>
          </w:tcPr>
          <w:p>
            <w:r>
              <w:rPr>
                <w:b/>
                <w:color w:val="C00000"/>
                <w:sz w:val="17"/>
              </w:rPr>
              <w:t>-15.2%</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6,868</w:t>
            </w:r>
          </w:p>
        </w:tc>
        <w:tc>
          <w:tcPr>
            <w:tcW w:type="dxa" w:w="1440"/>
            <w:shd w:fill="FFDCE0" w:val="clear"/>
          </w:tcPr>
          <w:p>
            <w:r>
              <w:rPr>
                <w:b/>
                <w:sz w:val="17"/>
              </w:rPr>
              <w:t>7,494</w:t>
            </w:r>
          </w:p>
        </w:tc>
        <w:tc>
          <w:tcPr>
            <w:tcW w:type="dxa" w:w="1440"/>
            <w:shd w:fill="FFDCE0" w:val="clear"/>
          </w:tcPr>
          <w:p>
            <w:r>
              <w:rPr>
                <w:sz w:val="17"/>
              </w:rPr>
              <w:t>8,119</w:t>
            </w:r>
          </w:p>
        </w:tc>
        <w:tc>
          <w:tcPr>
            <w:tcW w:type="dxa" w:w="1440"/>
            <w:shd w:fill="FFDCE0" w:val="clear"/>
          </w:tcPr>
          <w:p>
            <w:r>
              <w:rPr>
                <w:b/>
                <w:color w:val="C00000"/>
                <w:sz w:val="17"/>
              </w:rPr>
              <w:t>-16.7%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6,714</w:t>
            </w:r>
          </w:p>
        </w:tc>
        <w:tc>
          <w:tcPr>
            <w:tcW w:type="dxa" w:w="1440"/>
            <w:shd w:fill="FFDCE0" w:val="clear"/>
          </w:tcPr>
          <w:p>
            <w:r>
              <w:rPr>
                <w:b/>
                <w:sz w:val="17"/>
              </w:rPr>
              <w:t>7,371</w:t>
            </w:r>
          </w:p>
        </w:tc>
        <w:tc>
          <w:tcPr>
            <w:tcW w:type="dxa" w:w="1440"/>
            <w:shd w:fill="FFDCE0" w:val="clear"/>
          </w:tcPr>
          <w:p>
            <w:r>
              <w:rPr>
                <w:sz w:val="17"/>
              </w:rPr>
              <w:t>8,029</w:t>
            </w:r>
          </w:p>
        </w:tc>
        <w:tc>
          <w:tcPr>
            <w:tcW w:type="dxa" w:w="1440"/>
            <w:shd w:fill="FFDCE0" w:val="clear"/>
          </w:tcPr>
          <w:p>
            <w:r>
              <w:rPr>
                <w:b/>
                <w:color w:val="C00000"/>
                <w:sz w:val="17"/>
              </w:rPr>
              <w:t>-18.1%</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6,573</w:t>
            </w:r>
          </w:p>
        </w:tc>
        <w:tc>
          <w:tcPr>
            <w:tcW w:type="dxa" w:w="1440"/>
            <w:shd w:fill="FFDCE0" w:val="clear"/>
          </w:tcPr>
          <w:p>
            <w:r>
              <w:rPr>
                <w:b/>
                <w:sz w:val="17"/>
              </w:rPr>
              <w:t>7,260</w:t>
            </w:r>
          </w:p>
        </w:tc>
        <w:tc>
          <w:tcPr>
            <w:tcW w:type="dxa" w:w="1440"/>
            <w:shd w:fill="FFDCE0" w:val="clear"/>
          </w:tcPr>
          <w:p>
            <w:r>
              <w:rPr>
                <w:sz w:val="17"/>
              </w:rPr>
              <w:t>7,947</w:t>
            </w:r>
          </w:p>
        </w:tc>
        <w:tc>
          <w:tcPr>
            <w:tcW w:type="dxa" w:w="1440"/>
            <w:shd w:fill="FFDCE0" w:val="clear"/>
          </w:tcPr>
          <w:p>
            <w:r>
              <w:rPr>
                <w:b/>
                <w:color w:val="C00000"/>
                <w:sz w:val="17"/>
              </w:rPr>
              <w:t>-19.3%</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6,444</w:t>
            </w:r>
          </w:p>
        </w:tc>
        <w:tc>
          <w:tcPr>
            <w:tcW w:type="dxa" w:w="1440"/>
            <w:shd w:fill="FFDCE0" w:val="clear"/>
          </w:tcPr>
          <w:p>
            <w:r>
              <w:rPr>
                <w:b/>
                <w:sz w:val="17"/>
              </w:rPr>
              <w:t>7,158</w:t>
            </w:r>
          </w:p>
        </w:tc>
        <w:tc>
          <w:tcPr>
            <w:tcW w:type="dxa" w:w="1440"/>
            <w:shd w:fill="FFDCE0" w:val="clear"/>
          </w:tcPr>
          <w:p>
            <w:r>
              <w:rPr>
                <w:sz w:val="17"/>
              </w:rPr>
              <w:t>7,872</w:t>
            </w:r>
          </w:p>
        </w:tc>
        <w:tc>
          <w:tcPr>
            <w:tcW w:type="dxa" w:w="1440"/>
            <w:shd w:fill="FFDCE0" w:val="clear"/>
          </w:tcPr>
          <w:p>
            <w:r>
              <w:rPr>
                <w:b/>
                <w:color w:val="C00000"/>
                <w:sz w:val="17"/>
              </w:rPr>
              <w:t>-20.5%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Absolument. Voici le rapport d'analyse professionnel structuré pour l'action SIBC,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900 milliards FCFA, ce qui en fait l'une des valeurs les plus lourdes et les plus liquides de la BRVM, représentant un poids considérable dans l'indice. Avec un BPA de 556 FCFA, le titre se négocie à un PER de 16,2x, une prime significative par rapport à la moyenne historique du marché (8-12x), indiquant que les investisseurs intègrent déjà une croissance future élevée. Cette prime est confirmée par un P/B de 4,40x, soit une valorisation plus de quatre fois supérieure à la valeur comptable des fonds propres, et un EV/EBITDA de 15,0x, qui reste exigeant. Ces ratios suggèrent que le marché valorise la solidité et la performance de la banque, mais laissent peu de marge d'erreur en cas de déception.</w:t>
      </w:r>
    </w:p>
    <w:p>
      <w:pPr>
        <w:spacing w:after="120" w:line="276" w:lineRule="auto"/>
      </w:pPr>
      <w:r>
        <w:t>### PARTIE 1 : ANALYSE DU COURS — STATISTIQUES ET ÉVOLUTION (100 derniers jours)</w:t>
      </w:r>
    </w:p>
    <w:p>
      <w:pPr>
        <w:spacing w:after="120" w:line="276" w:lineRule="auto"/>
      </w:pPr>
      <w:r>
        <w:t>Sur les 100 derniers jours, l'action SIBC a affiché une performance remarquable de +27,66%, passant d'un plus bas de 6 805 FCFA à un plus haut de 9 500 FCFA, avant de clôturer à 9 000 FCFA, en léger repli de -1,10% sur la dernière séance. La moyenne du cours sur la période (8 221 FCFA) est inférieure à la médiane (8 700 FCFA), ce qui, combiné à une asymétrie négative (skewness de -0,408), suggère que la forte progression récente a été plus rapide que la moyenne historique, tirant le cours vers le haut. L'écart-type de 896 FCFA (CV de 10,9%) indique une dispersion modérée autour de la moyenne, et le kurtosis négatif (-1,578) révèle une distribution "aplatie", avec moins de valeurs extrêmes que la normale. Enfin, la volatilité annualisée de 28,5% classe le titre dans la catégorie des valeurs à volatilité modérée à élevée, ce qui implique des fluctuations de prix notables.</w:t>
      </w:r>
    </w:p>
    <w:p>
      <w:pPr>
        <w:spacing w:after="120" w:line="276" w:lineRule="auto"/>
      </w:pPr>
      <w:r>
        <w:t>### PARTIE 2 : ANALYSE TECHNIQUE DÉTAILLÉE</w:t>
      </w:r>
    </w:p>
    <w:p>
      <w:pPr>
        <w:spacing w:after="120" w:line="276" w:lineRule="auto"/>
      </w:pPr>
      <w:r>
        <w:t>**Moyennes Mobiles** : Le cours actuel (9 000 FCFA) est inférieur à la MM20 (9 121,5 FCFA) mais supérieur à la MM50 (8 958,0 FCFA). Cette configuration, où le prix est sous la moyenne à court terme mais au-dessus de la moyenne à long terme, suggère un léger repli après une tendance haussière. La décision "Achat" est probablement basée sur le croisement haussier antérieur des MM50 et MM20, mais la prudence est de mise à court terme.</w:t>
      </w:r>
    </w:p>
    <w:p>
      <w:pPr>
        <w:spacing w:after="120" w:line="276" w:lineRule="auto"/>
      </w:pPr>
      <w:r>
        <w:t>**Bandes de Bollinger** : Le prix se situe à 9 000 FCFA, presque à mi-chemin entre la borne supérieure (9 518,94 FCFA) et la borne inférieure (8 724,06 FCFA). Cette position neutre indique que le marché n'est ni suracheté ni survendu, et que la volatilité est modérée. La décision "Neutre" est cohérente avec cette observation, le titre évoluant dans un canal sans direction claire à très court terme.</w:t>
      </w:r>
    </w:p>
    <w:p>
      <w:pPr>
        <w:spacing w:after="120" w:line="276" w:lineRule="auto"/>
      </w:pPr>
      <w:r>
        <w:t>**MACD** : La valeur du MACD (76,353) est inférieure à son signal (102,958), ce qui constitue un croisement baissier. Ce signal indique un ralentissement du momentum haussier et pourrait précéder une correction ou une phase de consolidation. La décision "Vente" reflète ce ralentissement de la dynamique positive, bien que le MACD reste en territoire positif.</w:t>
      </w:r>
    </w:p>
    <w:p>
      <w:pPr>
        <w:spacing w:after="120" w:line="276" w:lineRule="auto"/>
      </w:pPr>
      <w:r>
        <w:t>**RSI** : Avec une valeur de 50,0, le RSI est parfaitement neutre, indiquant que le titre n'est ni suracheté ni survendu. Cette lecture suggère un équilibre entre les forces acheteuses et vendeuses, laissant place à une évolution dans les deux sens. La décision "Neutre" est donc logique.</w:t>
      </w:r>
    </w:p>
    <w:p>
      <w:pPr>
        <w:spacing w:after="120" w:line="276" w:lineRule="auto"/>
      </w:pPr>
      <w:r>
        <w:t>**Stochastique** : Le %K (28,571) est inférieur au %D (44,643), indiquant un momentum baissier à court terme. Bien que le titre ne soit pas en zone de survente, ce croisement baissier suggère une pression vendeuse. La décision "Neutre" tempère ce signal, car les niveaux ne sont pas extrêmes.</w:t>
      </w:r>
    </w:p>
    <w:p>
      <w:pPr>
        <w:spacing w:after="120" w:line="276" w:lineRule="auto"/>
      </w:pPr>
      <w:r>
        <w:t>**Conclusion technique** : Les indicateurs techniques sont mitigés. La tendance de fond reste positive (prix &gt; MM50), mais les signaux à court terme (MACD, Stochastique) montrent un essoufflement du momentum. Le RSI et les Bandes de Bollinger indiquent une phase de consolidation. L'action semble donc entrer dans une phase de pause après une forte hausse, avec un biais légèrement négatif à très court terme.</w:t>
      </w:r>
    </w:p>
    <w:p>
      <w:pPr>
        <w:spacing w:after="120" w:line="276" w:lineRule="auto"/>
      </w:pPr>
      <w:r>
        <w:t>### PARTIE 3 : ANALYSE FONDAMENTALE (SECTION CRITIQUE)</w:t>
      </w:r>
    </w:p>
    <w:p>
      <w:pPr>
        <w:spacing w:after="120" w:line="276" w:lineRule="auto"/>
      </w:pPr>
      <w:r>
        <w:t>En 2025, la SIBC affiche des fondamentaux solides avec un Produit Net Bancaire (PNB) de 108,663 milliards FCFA et un résultat net de 55,623 milliards FCFA. La rentabilité est excellente, avec un ROE de 27,16% et un ROA de 2,96%, démontrant une utilisation très efficace des capitaux propres et des actifs. Le coefficient d'exploitation de 38,59% témoigne d'une gestion des coûts très rigoureuse, bien en deçà du seuil d'efficacité de 60%. Le ratio de transformation est sain, avec des dépôts clients (1 503,441 Mds FCFA) supérieurs aux créances sur la clientèle (1 226,720 Mds FCFA), indiquant une forte liquidité. Les rapports trimestriels de 2025 confirment cette dynamique : le PNB cumulé sur 9 mois (T3 2025) atteint 81,4 milliards FCFA (+8% vs T3 2024) et le résultat net 43,0 milliards FCFA (+11%). Sur la base de ces tendances, on estime que l'exercice 2025 devrait dépasser les performances de 2024 (PNB de 102,8 Mds et RN de 50,2 Mds), avec une croissance soutenue. Le rapport du T1 2026, publié récemment, confirme cette trajectoire avec un résultat net de 15,2 milliards FCFA (+11%), suggérant une poursuite de la croissance pour l'exercice en cours. La banque, portée par son plan stratégique "IMPULSION 2028", présente un profil de croissance et de rentabilité remarquable, mais son coût du risque élevé (provisions de 14,124 Mds FCFA) reste un point de vigilance.</w:t>
      </w:r>
    </w:p>
    <w:p>
      <w:pPr>
        <w:spacing w:after="120" w:line="276" w:lineRule="auto"/>
      </w:pPr>
      <w:r>
        <w:t>### PARTIE 4 : CONCLUSION D'INVESTISSEMENT</w:t>
      </w:r>
    </w:p>
    <w:p>
      <w:pPr>
        <w:spacing w:after="120" w:line="276" w:lineRule="auto"/>
      </w:pPr>
      <w:r>
        <w:t>La synthèse globale est contrastée. La valorisation (Partie 0) est exigeante, avec un PER de 16,2x et un P/B de 4,4x, reflétant une prime de qualité qui limite le potentiel de hausse immédiat. Le comportement du cours (Partie 1) montre une forte dynamique haussière sur 100 jours (+27,66%), mais avec une volatilité élevée et des statistiques suggérant une distribution non symétrique. Les signaux techniques (Partie 2) sont mitigés, avec une tendance de fond positive mais un momentum à court terme en perte de vitesse. En revanche, les fondamentaux (Partie 3) sont excellents, avec une rentabilité exceptionnelle (ROE &gt; 27%), une croissance soutenue et une gestion des coûts rigoureuse. Les prédictions IA pour les 10 prochains jours (chute de 9 000 à 7 784 FCFA) contredisent fortement la tendance haussière récente et suggèrent une correction technique. Cette divergence entre les signaux techniques/fondamentaux et la prédiction IA indique un risque de consolidation à court terme. Par conséquent, la recommandation est de **CONSERVER** le titre pour les investisseurs déjà positionnés, afin de profiter de la solidité du modèle, tout en surveillant une possible correction. Pour les nouveaux entrants, il serait prudent d'attendre un repli du cours vers 8 200-8 500 FCFA pour initier une position. Le niveau de confiance est **Moyen** et le risque global est **Élevé** en raison de la volatilité et de la valorisation tendue. L'horizon d'investissement optimal est le **moyen terme (3-12 mois)**, pour laisser le temps aux fondamentaux de se matérialiser et à la volatilité de se résorber.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5.19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117 titres</w:t>
            </w:r>
          </w:p>
        </w:tc>
        <w:tc>
          <w:tcPr>
            <w:tcW w:type="dxa" w:w="2268"/>
            <w:shd w:fill="FFF2CC" w:val="clear"/>
          </w:tcPr>
          <w:p>
            <w:r>
              <w:rPr>
                <w:b/>
                <w:color w:val="503200"/>
                <w:sz w:val="16"/>
              </w:rPr>
              <w:t xml:space="preserve">Cours actuel : </w:t>
            </w:r>
            <w:r>
              <w:rPr>
                <w:color w:val="000000"/>
                <w:sz w:val="17"/>
              </w:rPr>
              <w:t>8,650 FCFA</w:t>
            </w:r>
          </w:p>
          <w:p>
            <w:r>
              <w:rPr>
                <w:b/>
                <w:color w:val="503200"/>
                <w:sz w:val="16"/>
              </w:rPr>
              <w:t xml:space="preserve">Var. 100 jours : </w:t>
            </w:r>
            <w:r>
              <w:rPr>
                <w:b/>
                <w:color w:val="007800"/>
                <w:sz w:val="17"/>
              </w:rPr>
              <w:t>+109.19%</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29.75% (Élevée) — μ=5,145 FCFA, σ=1,531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β=-0.7559 (Contre-cyclique) — Cov=-0.000026, Var(idx)=0.000035, ρ=-0.120,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117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7,860</w:t>
            </w:r>
          </w:p>
        </w:tc>
        <w:tc>
          <w:tcPr>
            <w:tcW w:type="dxa" w:w="1440"/>
            <w:shd w:fill="FAFAFA" w:val="clear"/>
          </w:tcPr>
          <w:p>
            <w:r>
              <w:rPr>
                <w:b/>
                <w:sz w:val="17"/>
              </w:rPr>
              <w:t>8,498</w:t>
            </w:r>
          </w:p>
        </w:tc>
        <w:tc>
          <w:tcPr>
            <w:tcW w:type="dxa" w:w="1440"/>
            <w:shd w:fill="FAFAFA" w:val="clear"/>
          </w:tcPr>
          <w:p>
            <w:r>
              <w:rPr>
                <w:sz w:val="17"/>
              </w:rPr>
              <w:t>9,135</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7,258</w:t>
            </w:r>
          </w:p>
        </w:tc>
        <w:tc>
          <w:tcPr>
            <w:tcW w:type="dxa" w:w="1440"/>
            <w:shd w:fill="FFDCE0" w:val="clear"/>
          </w:tcPr>
          <w:p>
            <w:r>
              <w:rPr>
                <w:b/>
                <w:sz w:val="17"/>
              </w:rPr>
              <w:t>8,196</w:t>
            </w:r>
          </w:p>
        </w:tc>
        <w:tc>
          <w:tcPr>
            <w:tcW w:type="dxa" w:w="1440"/>
            <w:shd w:fill="FFDCE0" w:val="clear"/>
          </w:tcPr>
          <w:p>
            <w:r>
              <w:rPr>
                <w:sz w:val="17"/>
              </w:rPr>
              <w:t>9,134</w:t>
            </w:r>
          </w:p>
        </w:tc>
        <w:tc>
          <w:tcPr>
            <w:tcW w:type="dxa" w:w="1440"/>
            <w:shd w:fill="FFDCE0" w:val="clear"/>
          </w:tcPr>
          <w:p>
            <w:r>
              <w:rPr>
                <w:b/>
                <w:color w:val="C00000"/>
                <w:sz w:val="17"/>
              </w:rPr>
              <w:t>-5.2%</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6,839</w:t>
            </w:r>
          </w:p>
        </w:tc>
        <w:tc>
          <w:tcPr>
            <w:tcW w:type="dxa" w:w="1440"/>
            <w:shd w:fill="FFDCE0" w:val="clear"/>
          </w:tcPr>
          <w:p>
            <w:r>
              <w:rPr>
                <w:b/>
                <w:sz w:val="17"/>
              </w:rPr>
              <w:t>7,954</w:t>
            </w:r>
          </w:p>
        </w:tc>
        <w:tc>
          <w:tcPr>
            <w:tcW w:type="dxa" w:w="1440"/>
            <w:shd w:fill="FFDCE0" w:val="clear"/>
          </w:tcPr>
          <w:p>
            <w:r>
              <w:rPr>
                <w:sz w:val="17"/>
              </w:rPr>
              <w:t>9,068</w:t>
            </w:r>
          </w:p>
        </w:tc>
        <w:tc>
          <w:tcPr>
            <w:tcW w:type="dxa" w:w="1440"/>
            <w:shd w:fill="FFDCE0" w:val="clear"/>
          </w:tcPr>
          <w:p>
            <w:r>
              <w:rPr>
                <w:b/>
                <w:color w:val="C00000"/>
                <w:sz w:val="17"/>
              </w:rPr>
              <w:t>-8.1%</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6,483</w:t>
            </w:r>
          </w:p>
        </w:tc>
        <w:tc>
          <w:tcPr>
            <w:tcW w:type="dxa" w:w="1440"/>
            <w:shd w:fill="FFDCE0" w:val="clear"/>
          </w:tcPr>
          <w:p>
            <w:r>
              <w:rPr>
                <w:b/>
                <w:sz w:val="17"/>
              </w:rPr>
              <w:t>7,735</w:t>
            </w:r>
          </w:p>
        </w:tc>
        <w:tc>
          <w:tcPr>
            <w:tcW w:type="dxa" w:w="1440"/>
            <w:shd w:fill="FFDCE0" w:val="clear"/>
          </w:tcPr>
          <w:p>
            <w:r>
              <w:rPr>
                <w:sz w:val="17"/>
              </w:rPr>
              <w:t>8,986</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6,171</w:t>
            </w:r>
          </w:p>
        </w:tc>
        <w:tc>
          <w:tcPr>
            <w:tcW w:type="dxa" w:w="1440"/>
            <w:shd w:fill="FFDCE0" w:val="clear"/>
          </w:tcPr>
          <w:p>
            <w:r>
              <w:rPr>
                <w:b/>
                <w:sz w:val="17"/>
              </w:rPr>
              <w:t>7,534</w:t>
            </w:r>
          </w:p>
        </w:tc>
        <w:tc>
          <w:tcPr>
            <w:tcW w:type="dxa" w:w="1440"/>
            <w:shd w:fill="FFDCE0" w:val="clear"/>
          </w:tcPr>
          <w:p>
            <w:r>
              <w:rPr>
                <w:sz w:val="17"/>
              </w:rPr>
              <w:t>8,896</w:t>
            </w:r>
          </w:p>
        </w:tc>
        <w:tc>
          <w:tcPr>
            <w:tcW w:type="dxa" w:w="1440"/>
            <w:shd w:fill="FFDCE0" w:val="clear"/>
          </w:tcPr>
          <w:p>
            <w:r>
              <w:rPr>
                <w:b/>
                <w:color w:val="C00000"/>
                <w:sz w:val="17"/>
              </w:rPr>
              <w:t>-12.9%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5,892</w:t>
            </w:r>
          </w:p>
        </w:tc>
        <w:tc>
          <w:tcPr>
            <w:tcW w:type="dxa" w:w="1440"/>
            <w:shd w:fill="FFDCE0" w:val="clear"/>
          </w:tcPr>
          <w:p>
            <w:r>
              <w:rPr>
                <w:b/>
                <w:sz w:val="17"/>
              </w:rPr>
              <w:t>7,349</w:t>
            </w:r>
          </w:p>
        </w:tc>
        <w:tc>
          <w:tcPr>
            <w:tcW w:type="dxa" w:w="1440"/>
            <w:shd w:fill="FFDCE0" w:val="clear"/>
          </w:tcPr>
          <w:p>
            <w:r>
              <w:rPr>
                <w:sz w:val="17"/>
              </w:rPr>
              <w:t>8,805</w:t>
            </w:r>
          </w:p>
        </w:tc>
        <w:tc>
          <w:tcPr>
            <w:tcW w:type="dxa" w:w="1440"/>
            <w:shd w:fill="FFDCE0" w:val="clear"/>
          </w:tcPr>
          <w:p>
            <w:r>
              <w:rPr>
                <w:b/>
                <w:color w:val="C00000"/>
                <w:sz w:val="17"/>
              </w:rPr>
              <w:t>-15.0%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5,641</w:t>
            </w:r>
          </w:p>
        </w:tc>
        <w:tc>
          <w:tcPr>
            <w:tcW w:type="dxa" w:w="1440"/>
            <w:shd w:fill="FFDCE0" w:val="clear"/>
          </w:tcPr>
          <w:p>
            <w:r>
              <w:rPr>
                <w:b/>
                <w:sz w:val="17"/>
              </w:rPr>
              <w:t>7,178</w:t>
            </w:r>
          </w:p>
        </w:tc>
        <w:tc>
          <w:tcPr>
            <w:tcW w:type="dxa" w:w="1440"/>
            <w:shd w:fill="FFDCE0" w:val="clear"/>
          </w:tcPr>
          <w:p>
            <w:r>
              <w:rPr>
                <w:sz w:val="17"/>
              </w:rPr>
              <w:t>8,714</w:t>
            </w:r>
          </w:p>
        </w:tc>
        <w:tc>
          <w:tcPr>
            <w:tcW w:type="dxa" w:w="1440"/>
            <w:shd w:fill="FFDCE0" w:val="clear"/>
          </w:tcPr>
          <w:p>
            <w:r>
              <w:rPr>
                <w:b/>
                <w:color w:val="C00000"/>
                <w:sz w:val="17"/>
              </w:rPr>
              <w:t>-17.0%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5,413</w:t>
            </w:r>
          </w:p>
        </w:tc>
        <w:tc>
          <w:tcPr>
            <w:tcW w:type="dxa" w:w="1440"/>
            <w:shd w:fill="FFDCE0" w:val="clear"/>
          </w:tcPr>
          <w:p>
            <w:r>
              <w:rPr>
                <w:b/>
                <w:sz w:val="17"/>
              </w:rPr>
              <w:t>7,020</w:t>
            </w:r>
          </w:p>
        </w:tc>
        <w:tc>
          <w:tcPr>
            <w:tcW w:type="dxa" w:w="1440"/>
            <w:shd w:fill="FFDCE0" w:val="clear"/>
          </w:tcPr>
          <w:p>
            <w:r>
              <w:rPr>
                <w:sz w:val="17"/>
              </w:rPr>
              <w:t>8,626</w:t>
            </w:r>
          </w:p>
        </w:tc>
        <w:tc>
          <w:tcPr>
            <w:tcW w:type="dxa" w:w="1440"/>
            <w:shd w:fill="FFDCE0" w:val="clear"/>
          </w:tcPr>
          <w:p>
            <w:r>
              <w:rPr>
                <w:b/>
                <w:color w:val="C00000"/>
                <w:sz w:val="17"/>
              </w:rPr>
              <w:t>-18.8%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5,205</w:t>
            </w:r>
          </w:p>
        </w:tc>
        <w:tc>
          <w:tcPr>
            <w:tcW w:type="dxa" w:w="1440"/>
            <w:shd w:fill="FFDCE0" w:val="clear"/>
          </w:tcPr>
          <w:p>
            <w:r>
              <w:rPr>
                <w:b/>
                <w:sz w:val="17"/>
              </w:rPr>
              <w:t>6,873</w:t>
            </w:r>
          </w:p>
        </w:tc>
        <w:tc>
          <w:tcPr>
            <w:tcW w:type="dxa" w:w="1440"/>
            <w:shd w:fill="FFDCE0" w:val="clear"/>
          </w:tcPr>
          <w:p>
            <w:r>
              <w:rPr>
                <w:sz w:val="17"/>
              </w:rPr>
              <w:t>8,541</w:t>
            </w:r>
          </w:p>
        </w:tc>
        <w:tc>
          <w:tcPr>
            <w:tcW w:type="dxa" w:w="1440"/>
            <w:shd w:fill="FFDCE0" w:val="clear"/>
          </w:tcPr>
          <w:p>
            <w:r>
              <w:rPr>
                <w:b/>
                <w:color w:val="C00000"/>
                <w:sz w:val="17"/>
              </w:rPr>
              <w:t>-20.5%</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5,013</w:t>
            </w:r>
          </w:p>
        </w:tc>
        <w:tc>
          <w:tcPr>
            <w:tcW w:type="dxa" w:w="1440"/>
            <w:shd w:fill="FFDCE0" w:val="clear"/>
          </w:tcPr>
          <w:p>
            <w:r>
              <w:rPr>
                <w:b/>
                <w:sz w:val="17"/>
              </w:rPr>
              <w:t>6,736</w:t>
            </w:r>
          </w:p>
        </w:tc>
        <w:tc>
          <w:tcPr>
            <w:tcW w:type="dxa" w:w="1440"/>
            <w:shd w:fill="FFDCE0" w:val="clear"/>
          </w:tcPr>
          <w:p>
            <w:r>
              <w:rPr>
                <w:sz w:val="17"/>
              </w:rPr>
              <w:t>8,460</w:t>
            </w:r>
          </w:p>
        </w:tc>
        <w:tc>
          <w:tcPr>
            <w:tcW w:type="dxa" w:w="1440"/>
            <w:shd w:fill="FFDCE0" w:val="clear"/>
          </w:tcPr>
          <w:p>
            <w:r>
              <w:rPr>
                <w:b/>
                <w:color w:val="C00000"/>
                <w:sz w:val="17"/>
              </w:rPr>
              <w:t>-22.1%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SICC,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SICC s'établit à **5,19 milliards FCFA**, un niveau modeste qui la classe parmi les petites capitalisations de la BRVM. Ce montant est à comparer aux capitaux propres historiques de la société, qui ont oscillé autour de 870 millions FCFA en 2016, suggérant une valorisation boursière très supérieure à la valeur comptable. Cependant, les ratios de valorisation clés (BPA, PER, P/B, EV/EBITDA) ne sont pas calculables, car les données financières structurées récentes (comme le nombre d'actions et les bénéfices nets actualisés) sont manquantes dans la base. Cette absence de données ne permet pas de déterminer si le marché valorise le titre à un niveau "cher" ou "bon marché" par rapport à ses fondamentaux, un manque crucial pour une évaluation précise.</w:t>
      </w:r>
    </w:p>
    <w:p>
      <w:pPr>
        <w:spacing w:after="120" w:line="276" w:lineRule="auto"/>
      </w:pPr>
      <w:r>
        <w:t>### PARTIE 1 : ANALYSE DU COURS — STATISTIQUES ET ÉVOLUTION (100 derniers jours)</w:t>
      </w:r>
    </w:p>
    <w:p>
      <w:pPr>
        <w:spacing w:after="120" w:line="276" w:lineRule="auto"/>
      </w:pPr>
      <w:r>
        <w:t>Sur les 100 derniers jours, l'action SICC a connu une **hausse spectaculaire de +109,19%**, passant d'un plus bas de 3 765 FCFA à un plus haut de 10 200 FCFA, avant de clôturer à 8 650 FCFA. Cette tendance est fortement haussière, mais la **chute de -7,49% lors de la dernière séance** suggère un possible retournement ou une prise de profits. L'analyse statistique révèle une **asymétrie positive** (skewness de 1,987), indiquant que la majorité des séances se sont déroulées sous la moyenne de 5 145 FCFA, avec des pics de hausse exceptionnels. Le **kurtosis élevé (3,069)** confirme ce comportement, avec des mouvements de prix extrêmes et un risque de "pics" important. La **volatilité annualisée de 59,3%** est extrêmement élevée, classant le titre comme très risqué et spéculatif. L'écart-type de 1 539 FCFA (CV=29,9%) par rapport à une moyenne de 5 145 FCFA illustre une dispersion considérable des prix.</w:t>
      </w:r>
    </w:p>
    <w:p>
      <w:pPr>
        <w:spacing w:after="120" w:line="276" w:lineRule="auto"/>
      </w:pPr>
      <w:r>
        <w:t>### PARTIE 2 : ANALYSE TECHNIQUE DÉTAILLÉE</w:t>
      </w:r>
    </w:p>
    <w:p>
      <w:pPr>
        <w:spacing w:after="120" w:line="276" w:lineRule="auto"/>
      </w:pPr>
      <w:r>
        <w:t>**Moyennes Mobiles**: Le cours actuel (8 650 FCFA) est nettement au-dessus de la MM20 (7 744,5 FCFA) et de la MM50 (6 029,9 FCFA). Cette configuration haussière, où les moyennes sont orientées à la hausse, confirme la tendance positive de fond et justifie la décision d'**Achat**.</w:t>
      </w:r>
    </w:p>
    <w:p>
      <w:pPr>
        <w:spacing w:after="120" w:line="276" w:lineRule="auto"/>
      </w:pPr>
      <w:r>
        <w:t>**Bandes de Bollinger**: Le prix se situe à l'intérieur des bandes, plus près de la borne supérieure (11 016 FCFA) que de la borne inférieure (4 472 FCFA). L'écart important entre les bornes reflète la forte volatilité. La position du prix suggère une dynamique positive mais sans être en situation de surachat extrême, d'où la décision **Neutre**.</w:t>
      </w:r>
    </w:p>
    <w:p>
      <w:pPr>
        <w:spacing w:after="120" w:line="276" w:lineRule="auto"/>
      </w:pPr>
      <w:r>
        <w:t>**MACD**: La valeur du MACD (1 084,32) est supérieure à sa ligne de signal (1 015,25), indiquant un momentum haussier positif. La divergence positive confirme la vigueur de la tendance actuelle, justifiant la décision d'**Achat**.</w:t>
      </w:r>
    </w:p>
    <w:p>
      <w:pPr>
        <w:spacing w:after="120" w:line="276" w:lineRule="auto"/>
      </w:pPr>
      <w:r>
        <w:t>**RSI**: Avec une valeur de **70,95**, le RSI entre en zone de surachat. Cela signale que le titre a fortement monté et qu'un repli technique est probable à court terme. La décision de **Vente** est donc émise pour anticiper une correction.</w:t>
      </w:r>
    </w:p>
    <w:p>
      <w:pPr>
        <w:spacing w:after="120" w:line="276" w:lineRule="auto"/>
      </w:pPr>
      <w:r>
        <w:t>**Stochastique**: Les valeurs de %K (56,94) et %D (71,72) sont en territoire neutre, mais le %K est passé sous le %D, indiquant un affaiblissement du momentum haussier. Cette configuration neutre suggère une pause dans la tendance.</w:t>
      </w:r>
    </w:p>
    <w:p>
      <w:pPr>
        <w:spacing w:after="120" w:line="276" w:lineRule="auto"/>
      </w:pPr>
      <w:r>
        <w:t>**Conclusion technique**: Les indicateurs de tendance (MM, MACD) sont résolument haussiers, mais les oscillateurs de momentum (RSI, Stochastique) montrent des signes de fatigue et de surachat. Cette divergence suggère que la tendance de fond reste positive, mais qu'une **consolidation ou un repli technique est probable à très court terme** avant une éventuelle reprise de la hausse.</w:t>
      </w:r>
    </w:p>
    <w:p>
      <w:pPr>
        <w:spacing w:after="120" w:line="276" w:lineRule="auto"/>
      </w:pPr>
      <w:r>
        <w:t>### PARTIE 3 : ANALYSE FONDAMENTALE (SECTION CRITIQUE)</w:t>
      </w:r>
    </w:p>
    <w:p>
      <w:pPr>
        <w:spacing w:after="120" w:line="276" w:lineRule="auto"/>
      </w:pPr>
      <w:r>
        <w:t>L'analyse fondamentale s'appuie sur des rapports financiers datant de l'exercice 2023 (publiés fin 2024) et des rapports plus anciens. En 2023, la SICC (alors dénommée SICOR) a réalisé un **chiffre d'affaires de 701 millions FCFA**, en baisse de 38,4% par rapport à 2022 (1 138 millions FCFA). Malgré cette chute, la société est **redevenue bénéficiaire avec un résultat net de +19,25 millions FCFA**, contre une perte de -39,95 millions en 2022, grâce à une réduction drastique des charges (-43,7%). La marge nette reste faible à 2,75%. Les rapports de 2020 et 2017 montrent une rentabilité plus élevée (marges nettes de 4,65% et 6,44% respectivement), soulignant la volatilité des performances. Le rapport à nouveau est négatif à hauteur de 689,86 millions FCFA, ce qui **interdit tout dividende** jusqu'à son apurement. Les perspectives de redressement sont réelles mais fragiles, dépendantes de la maîtrise des coûts et de la reprise des volumes. La société est confrontée à des risques opérationnels (vols, baisse de production) et financiers (trésorerie tendue).</w:t>
      </w:r>
    </w:p>
    <w:p>
      <w:pPr>
        <w:spacing w:after="120" w:line="276" w:lineRule="auto"/>
      </w:pPr>
      <w:r>
        <w:t>### PARTIE 4 : CONCLUSION D'INVESTISSEMENT</w:t>
      </w:r>
    </w:p>
    <w:p>
      <w:pPr>
        <w:spacing w:after="120" w:line="276" w:lineRule="auto"/>
      </w:pPr>
      <w:r>
        <w:t>La valorisation boursière de la SICC est difficile à apprécier faute de ratios PER/P/B calculables, mais la capitalisation de 5,19 Mds FCFA semble élevée au vu des fondamentaux historiques. Le comportement du cours est extrêmement haussier mais tout aussi volatil, avec des statistiques (kurtosis, skewness) signalant un risque de retournement brutal. Les signaux techniques sont mitigés : la tendance de fond (MM, MACD) est positive, mais les indicateurs de momentum (RSI) crient au surachat, suggérant une correction imminente. Les fondamentaux, bien qu'en amélioration en 2023, restent fragiles avec une rentabilité faible et l'absence de dividendes. Enfin, les **prédictions IA pour les 10 prochains jours prévoient une baisse continue du cours**, de 8 498 à 7 534 FCFA, contredisant la tendance haussière récente et confirmant les signaux techniques de surachat.</w:t>
      </w:r>
    </w:p>
    <w:p>
      <w:pPr>
        <w:spacing w:after="120" w:line="276" w:lineRule="auto"/>
      </w:pPr>
      <w:r>
        <w:t>Sur la base de cette synthèse, la convergence des signaux (surachat technique, prédictions baissières, fondamentaux fragiles) malgré une tendance haussière passée, nous amène à formuler une recommandation de **VENTE** à court terme. Le niveau de confiance est **Moyen** et le niveau de risque global est **Élevé**. L'horizon d'investissement optimal serait le **court terme (&lt;3 mois)** pour les investisseurs cherchant à sécuriser des gains, tandis qu'un horizon de moyen à long terme nécessiterait une amélioration significative et durable des fondamentaux de l'entreprise.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5,569 titres</w:t>
            </w:r>
          </w:p>
        </w:tc>
        <w:tc>
          <w:tcPr>
            <w:tcW w:type="dxa" w:w="2268"/>
            <w:shd w:fill="FFF2CC" w:val="clear"/>
          </w:tcPr>
          <w:p>
            <w:r>
              <w:rPr>
                <w:b/>
                <w:color w:val="503200"/>
                <w:sz w:val="16"/>
              </w:rPr>
              <w:t xml:space="preserve">Cours actuel : </w:t>
            </w:r>
            <w:r>
              <w:rPr>
                <w:color w:val="000000"/>
                <w:sz w:val="17"/>
              </w:rPr>
              <w:t>2,370 FCFA</w:t>
            </w:r>
          </w:p>
          <w:p>
            <w:r>
              <w:rPr>
                <w:b/>
                <w:color w:val="503200"/>
                <w:sz w:val="16"/>
              </w:rPr>
              <w:t xml:space="preserve">Var. 100 jours : </w:t>
            </w:r>
            <w:r>
              <w:rPr>
                <w:b/>
                <w:color w:val="B40000"/>
                <w:sz w:val="17"/>
              </w:rPr>
              <w:t>-20.87%</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11.27% (Moyenne) — μ=2,619 FCFA, σ=295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β=0.2475 (Défensif) — Cov=0.000009, Var(idx)=0.000035, ρ=0.046,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2,088</w:t>
            </w:r>
          </w:p>
        </w:tc>
        <w:tc>
          <w:tcPr>
            <w:tcW w:type="dxa" w:w="1440"/>
            <w:shd w:fill="FFDCE0" w:val="clear"/>
          </w:tcPr>
          <w:p>
            <w:r>
              <w:rPr>
                <w:b/>
                <w:sz w:val="17"/>
              </w:rPr>
              <w:t>2,231</w:t>
            </w:r>
          </w:p>
        </w:tc>
        <w:tc>
          <w:tcPr>
            <w:tcW w:type="dxa" w:w="1440"/>
            <w:shd w:fill="FFDCE0" w:val="clear"/>
          </w:tcPr>
          <w:p>
            <w:r>
              <w:rPr>
                <w:sz w:val="17"/>
              </w:rPr>
              <w:t>2,374</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1,993</w:t>
            </w:r>
          </w:p>
        </w:tc>
        <w:tc>
          <w:tcPr>
            <w:tcW w:type="dxa" w:w="1440"/>
            <w:shd w:fill="FFDCE0" w:val="clear"/>
          </w:tcPr>
          <w:p>
            <w:r>
              <w:rPr>
                <w:b/>
                <w:sz w:val="17"/>
              </w:rPr>
              <w:t>2,192</w:t>
            </w:r>
          </w:p>
        </w:tc>
        <w:tc>
          <w:tcPr>
            <w:tcW w:type="dxa" w:w="1440"/>
            <w:shd w:fill="FFDCE0" w:val="clear"/>
          </w:tcPr>
          <w:p>
            <w:r>
              <w:rPr>
                <w:sz w:val="17"/>
              </w:rPr>
              <w:t>2,390</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1,906</w:t>
            </w:r>
          </w:p>
        </w:tc>
        <w:tc>
          <w:tcPr>
            <w:tcW w:type="dxa" w:w="1440"/>
            <w:shd w:fill="FFDCE0" w:val="clear"/>
          </w:tcPr>
          <w:p>
            <w:r>
              <w:rPr>
                <w:b/>
                <w:sz w:val="17"/>
              </w:rPr>
              <w:t>2,144</w:t>
            </w:r>
          </w:p>
        </w:tc>
        <w:tc>
          <w:tcPr>
            <w:tcW w:type="dxa" w:w="1440"/>
            <w:shd w:fill="FFDCE0" w:val="clear"/>
          </w:tcPr>
          <w:p>
            <w:r>
              <w:rPr>
                <w:sz w:val="17"/>
              </w:rPr>
              <w:t>2,381</w:t>
            </w:r>
          </w:p>
        </w:tc>
        <w:tc>
          <w:tcPr>
            <w:tcW w:type="dxa" w:w="1440"/>
            <w:shd w:fill="FFDCE0" w:val="clear"/>
          </w:tcPr>
          <w:p>
            <w:r>
              <w:rPr>
                <w:b/>
                <w:color w:val="C00000"/>
                <w:sz w:val="17"/>
              </w:rPr>
              <w:t>-9.5%</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1,826</w:t>
            </w:r>
          </w:p>
        </w:tc>
        <w:tc>
          <w:tcPr>
            <w:tcW w:type="dxa" w:w="1440"/>
            <w:shd w:fill="FFDCE0" w:val="clear"/>
          </w:tcPr>
          <w:p>
            <w:r>
              <w:rPr>
                <w:b/>
                <w:sz w:val="17"/>
              </w:rPr>
              <w:t>2,095</w:t>
            </w:r>
          </w:p>
        </w:tc>
        <w:tc>
          <w:tcPr>
            <w:tcW w:type="dxa" w:w="1440"/>
            <w:shd w:fill="FFDCE0" w:val="clear"/>
          </w:tcPr>
          <w:p>
            <w:r>
              <w:rPr>
                <w:sz w:val="17"/>
              </w:rPr>
              <w:t>2,363</w:t>
            </w:r>
          </w:p>
        </w:tc>
        <w:tc>
          <w:tcPr>
            <w:tcW w:type="dxa" w:w="1440"/>
            <w:shd w:fill="FFDCE0" w:val="clear"/>
          </w:tcPr>
          <w:p>
            <w:r>
              <w:rPr>
                <w:b/>
                <w:color w:val="C00000"/>
                <w:sz w:val="17"/>
              </w:rPr>
              <w:t>-11.6%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1,754</w:t>
            </w:r>
          </w:p>
        </w:tc>
        <w:tc>
          <w:tcPr>
            <w:tcW w:type="dxa" w:w="1440"/>
            <w:shd w:fill="FFDCE0" w:val="clear"/>
          </w:tcPr>
          <w:p>
            <w:r>
              <w:rPr>
                <w:b/>
                <w:sz w:val="17"/>
              </w:rPr>
              <w:t>2,047</w:t>
            </w:r>
          </w:p>
        </w:tc>
        <w:tc>
          <w:tcPr>
            <w:tcW w:type="dxa" w:w="1440"/>
            <w:shd w:fill="FFDCE0" w:val="clear"/>
          </w:tcPr>
          <w:p>
            <w:r>
              <w:rPr>
                <w:sz w:val="17"/>
              </w:rPr>
              <w:t>2,340</w:t>
            </w:r>
          </w:p>
        </w:tc>
        <w:tc>
          <w:tcPr>
            <w:tcW w:type="dxa" w:w="1440"/>
            <w:shd w:fill="FFDCE0" w:val="clear"/>
          </w:tcPr>
          <w:p>
            <w:r>
              <w:rPr>
                <w:b/>
                <w:color w:val="C00000"/>
                <w:sz w:val="17"/>
              </w:rPr>
              <w:t>-13.6%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1,687</w:t>
            </w:r>
          </w:p>
        </w:tc>
        <w:tc>
          <w:tcPr>
            <w:tcW w:type="dxa" w:w="1440"/>
            <w:shd w:fill="FFDCE0" w:val="clear"/>
          </w:tcPr>
          <w:p>
            <w:r>
              <w:rPr>
                <w:b/>
                <w:sz w:val="17"/>
              </w:rPr>
              <w:t>2,000</w:t>
            </w:r>
          </w:p>
        </w:tc>
        <w:tc>
          <w:tcPr>
            <w:tcW w:type="dxa" w:w="1440"/>
            <w:shd w:fill="FFDCE0" w:val="clear"/>
          </w:tcPr>
          <w:p>
            <w:r>
              <w:rPr>
                <w:sz w:val="17"/>
              </w:rPr>
              <w:t>2,314</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1,624</w:t>
            </w:r>
          </w:p>
        </w:tc>
        <w:tc>
          <w:tcPr>
            <w:tcW w:type="dxa" w:w="1440"/>
            <w:shd w:fill="FFDCE0" w:val="clear"/>
          </w:tcPr>
          <w:p>
            <w:r>
              <w:rPr>
                <w:b/>
                <w:sz w:val="17"/>
              </w:rPr>
              <w:t>1,956</w:t>
            </w:r>
          </w:p>
        </w:tc>
        <w:tc>
          <w:tcPr>
            <w:tcW w:type="dxa" w:w="1440"/>
            <w:shd w:fill="FFDCE0" w:val="clear"/>
          </w:tcPr>
          <w:p>
            <w:r>
              <w:rPr>
                <w:sz w:val="17"/>
              </w:rPr>
              <w:t>2,287</w:t>
            </w:r>
          </w:p>
        </w:tc>
        <w:tc>
          <w:tcPr>
            <w:tcW w:type="dxa" w:w="1440"/>
            <w:shd w:fill="FFDCE0" w:val="clear"/>
          </w:tcPr>
          <w:p>
            <w:r>
              <w:rPr>
                <w:b/>
                <w:color w:val="C00000"/>
                <w:sz w:val="17"/>
              </w:rPr>
              <w:t>-17.5%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1,566</w:t>
            </w:r>
          </w:p>
        </w:tc>
        <w:tc>
          <w:tcPr>
            <w:tcW w:type="dxa" w:w="1440"/>
            <w:shd w:fill="FFDCE0" w:val="clear"/>
          </w:tcPr>
          <w:p>
            <w:r>
              <w:rPr>
                <w:b/>
                <w:sz w:val="17"/>
              </w:rPr>
              <w:t>1,913</w:t>
            </w:r>
          </w:p>
        </w:tc>
        <w:tc>
          <w:tcPr>
            <w:tcW w:type="dxa" w:w="1440"/>
            <w:shd w:fill="FFDCE0" w:val="clear"/>
          </w:tcPr>
          <w:p>
            <w:r>
              <w:rPr>
                <w:sz w:val="17"/>
              </w:rPr>
              <w:t>2,259</w:t>
            </w:r>
          </w:p>
        </w:tc>
        <w:tc>
          <w:tcPr>
            <w:tcW w:type="dxa" w:w="1440"/>
            <w:shd w:fill="FFDCE0" w:val="clear"/>
          </w:tcPr>
          <w:p>
            <w:r>
              <w:rPr>
                <w:b/>
                <w:color w:val="C00000"/>
                <w:sz w:val="17"/>
              </w:rPr>
              <w:t>-19.3%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1,511</w:t>
            </w:r>
          </w:p>
        </w:tc>
        <w:tc>
          <w:tcPr>
            <w:tcW w:type="dxa" w:w="1440"/>
            <w:shd w:fill="FFDCE0" w:val="clear"/>
          </w:tcPr>
          <w:p>
            <w:r>
              <w:rPr>
                <w:b/>
                <w:sz w:val="17"/>
              </w:rPr>
              <w:t>1,871</w:t>
            </w:r>
          </w:p>
        </w:tc>
        <w:tc>
          <w:tcPr>
            <w:tcW w:type="dxa" w:w="1440"/>
            <w:shd w:fill="FFDCE0" w:val="clear"/>
          </w:tcPr>
          <w:p>
            <w:r>
              <w:rPr>
                <w:sz w:val="17"/>
              </w:rPr>
              <w:t>2,230</w:t>
            </w:r>
          </w:p>
        </w:tc>
        <w:tc>
          <w:tcPr>
            <w:tcW w:type="dxa" w:w="1440"/>
            <w:shd w:fill="FFDCE0" w:val="clear"/>
          </w:tcPr>
          <w:p>
            <w:r>
              <w:rPr>
                <w:b/>
                <w:color w:val="C00000"/>
                <w:sz w:val="17"/>
              </w:rPr>
              <w:t>-21.1%</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1,460</w:t>
            </w:r>
          </w:p>
        </w:tc>
        <w:tc>
          <w:tcPr>
            <w:tcW w:type="dxa" w:w="1440"/>
            <w:shd w:fill="FFDCE0" w:val="clear"/>
          </w:tcPr>
          <w:p>
            <w:r>
              <w:rPr>
                <w:b/>
                <w:sz w:val="17"/>
              </w:rPr>
              <w:t>1,831</w:t>
            </w:r>
          </w:p>
        </w:tc>
        <w:tc>
          <w:tcPr>
            <w:tcW w:type="dxa" w:w="1440"/>
            <w:shd w:fill="FFDCE0" w:val="clear"/>
          </w:tcPr>
          <w:p>
            <w:r>
              <w:rPr>
                <w:sz w:val="17"/>
              </w:rPr>
              <w:t>2,201</w:t>
            </w:r>
          </w:p>
        </w:tc>
        <w:tc>
          <w:tcPr>
            <w:tcW w:type="dxa" w:w="1440"/>
            <w:shd w:fill="FFDCE0" w:val="clear"/>
          </w:tcPr>
          <w:p>
            <w:r>
              <w:rPr>
                <w:b/>
                <w:color w:val="C00000"/>
                <w:sz w:val="17"/>
              </w:rPr>
              <w:t>-22.8%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ERIUM CI),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20,70 milliards FCFA positionne SIVC/ERIUM CI comme une valeur de taille moyenne sur la BRVM. Le BPA de 43 FCFA est faible, ce qui, combiné à un cours de 2 370 FCFA, aboutit à un PER de 54,9x. Ce ratio est extrêmement élevé par rapport à la moyenne historique de la BRVM (8-12x), indiquant que le marché valorise très généreusement les bénéfices actuels, probablement en anticipant une forte croissance future. De même, le P/B de 6,33x et l'EV/EBITDA de 17,3x confirment cette prime de valorisation très exigeante. Les investisseurs paient un prix substantiel pour chaque unité de bénéfice, d'actif net et de capacité opérationnelle, ce qui laisse peu de marge d'erreur et impose une pression forte sur la société pour qu'elle délivre des performances exceptionnelles.</w:t>
      </w:r>
    </w:p>
    <w:p>
      <w:pPr>
        <w:spacing w:after="120" w:line="276" w:lineRule="auto"/>
      </w:pPr>
      <w:r>
        <w:t>### PARTIE 1 : ANALYSE DU COURS — STATISTIQUES ET ÉVOLUTION (100 derniers jours)</w:t>
      </w:r>
    </w:p>
    <w:p>
      <w:pPr>
        <w:spacing w:after="120" w:line="276" w:lineRule="auto"/>
      </w:pPr>
      <w:r>
        <w:t>Sur les 100 derniers jours, l'action a subi une forte correction de -20,87%, avec une légère baisse de -0,42% lors de la dernière séance, pour s'établir à 2 370 FCFA. Le titre a évolué dans une fourchette large de 1 920 à 3 215 FCFA, illustrant une volatilité et une incertitude importantes. La moyenne (2 619 FCFA) est inférieure à la médiane (2 725 FCFA), et le skewness négatif (-0.423) confirme une distribution asymétrique avec une queue de distribution vers les valeurs basses, indiquant des épisodes de fortes baisses. L'écart-type de 297 FCFA (CV=11,3%) montre une dispersion modérée autour de la moyenne. Le kurtosis négatif (-0.942) suggère une distribution mésokurtique, sans risque de variations extrêmes plus élevé que la normale. Enfin, la volatilité annualisée de 50,7% est très élevée, classant ce titre comme particulièrement risqué et spéculatif à court terme.</w:t>
      </w:r>
    </w:p>
    <w:p>
      <w:pPr>
        <w:spacing w:after="120" w:line="276" w:lineRule="auto"/>
      </w:pPr>
      <w:r>
        <w:t>### PARTIE 2 : ANALYSE TECHNIQUE DÉTAILLÉE</w:t>
      </w:r>
    </w:p>
    <w:p>
      <w:pPr>
        <w:spacing w:after="120" w:line="276" w:lineRule="auto"/>
      </w:pPr>
      <w:r>
        <w:t>**Moyennes Mobiles:** Le cours actuel (2 370 FCFA) se situe au-dessus de sa MM20 (2 283,5 FCFA) mais en dessous de sa MM50 (2 380,2 FCFA). Cette configuration, où le prix est sous la moyenne à long terme mais au-dessus de la moyenne à court terme, suggère une tentative de rebond dans une tendance de fond baissière. La décision de "Vente" est cohérente avec la position sous la MM50.</w:t>
      </w:r>
    </w:p>
    <w:p>
      <w:pPr>
        <w:spacing w:after="120" w:line="276" w:lineRule="auto"/>
      </w:pPr>
      <w:r>
        <w:t>**Bandes de Bollinger:** Le prix (2 370 FCFA) se trouve à l'intérieur des bandes, entre la borne supérieure (2 512,4 FCFA) et la borne inférieure (2 054,6 FCFA). La position médiane du prix indique une volatilité modérée et une absence de signal directionnel fort. La décision "Neutre" est justifiée, le marché semblant chercher une direction après la récente baisse.</w:t>
      </w:r>
    </w:p>
    <w:p>
      <w:pPr>
        <w:spacing w:after="120" w:line="276" w:lineRule="auto"/>
      </w:pPr>
      <w:r>
        <w:t>**MACD:** La valeur du MACD (13,527) est positive et nettement supérieure à sa ligne de signal (-8,855). Ce croisement haussier est un signal d'achat précoce, indiquant un regain de momentum positif à court terme. La décision "Achat" reflète cette dynamique, suggérant que la pression vendeuse s'atténue.</w:t>
      </w:r>
    </w:p>
    <w:p>
      <w:pPr>
        <w:spacing w:after="120" w:line="276" w:lineRule="auto"/>
      </w:pPr>
      <w:r>
        <w:t>**RSI:** Avec une valeur de 62,879, le RSI se situe dans la zone neutre (30-70), mais proche de la zone de surachat (70). Cela indique que le titre a connu une dynamique d'achat récente mais n'est pas encore en territoire extrême. La décision "Neutre" est appropriée, laissant la possibilité d'une poursuite de la hausse avant une éventuelle consolidation.</w:t>
      </w:r>
    </w:p>
    <w:p>
      <w:pPr>
        <w:spacing w:after="120" w:line="276" w:lineRule="auto"/>
      </w:pPr>
      <w:r>
        <w:t>**Stochastique:** Les valeurs de %K (83,099) et %D (82,16) sont toutes deux élevées, en zone de surachat. Ce niveau suggère que le mouvement de hausse récent est peut-être surdimensionné à court terme et qu'un repli technique est possible. La décision "Vente" est un signal de prudence, indiquant un risque de correction.</w:t>
      </w:r>
    </w:p>
    <w:p>
      <w:pPr>
        <w:spacing w:after="120" w:line="276" w:lineRule="auto"/>
      </w:pPr>
      <w:r>
        <w:t>**Conclusion technique :** Les signaux sont mitigés. Le MACD et la position du prix au-dessus de la MM20 suggèrent un momentum haussier à court terme. Cependant, la tendance de fond (MM50) reste baissière, et les oscillateurs (RSI, Stochastique) pointent vers des conditions de surachat. Cette configuration indique un possible rebond technique, mais dans une tendance baissière plus large, ce qui rend les positions longues risquées sans confirmation supplémentaire.</w:t>
      </w:r>
    </w:p>
    <w:p>
      <w:pPr>
        <w:spacing w:after="120" w:line="276" w:lineRule="auto"/>
      </w:pPr>
      <w:r>
        <w:t>### PARTIE 3 : ANALYSE FONDAMENTALE (SECTION CRITIQUE)</w:t>
      </w:r>
    </w:p>
    <w:p>
      <w:pPr>
        <w:spacing w:after="120" w:line="276" w:lineRule="auto"/>
      </w:pPr>
      <w:r>
        <w:t>Les données financières structurées de 2024, bien que catégorisées "BANQUE", concernent en réalité une entreprise industrielle (gaz). Elles montrent un PNB/CA de 9,283 Mds FCFA, un résultat net de 376,96 M FCFA, et des ratios ROE et ROA de 11,5% et 2,7% respectivement. Le coefficient d'exploitation de 95,8% est très élevé, indiquant une faible efficacité opérationnelle. Les rapports narratifs confirment cette trajectoire contrastée. Le rapport annuel 2025 (daté du 31/12/2025) indique une hausse du CA de +8,5% à 10,07 Mds FCFA, mais une chute du résultat net de -52% à 179,3 M FCFA, avec une marge nette tombée à 1,78%. Cependant, les rapports trimestriels de 2025 peignent un tableau différent : au S1 2025, le résultat net était de 512,9 M FCFA (+4,6%), et au T3 2025, il atteignait 832,5 M FCFA (+58%). Cette divergence suggère une dégradation significative au T4 2025, possiblement due à des charges exceptionnelles. Enfin, le changement de contrôle majeur (cession de 72% du capital par Air Liquide International à ERIUM LTD en novembre 2025) introduit une incertitude stratégique majeure.</w:t>
      </w:r>
    </w:p>
    <w:p>
      <w:pPr>
        <w:spacing w:after="120" w:line="276" w:lineRule="auto"/>
      </w:pPr>
      <w:r>
        <w:t>### PARTIE 4 : CONCLUSION D'INVESTISSEMENT</w:t>
      </w:r>
    </w:p>
    <w:p>
      <w:pPr>
        <w:spacing w:after="120" w:line="276" w:lineRule="auto"/>
      </w:pPr>
      <w:r>
        <w:t>La synthèse globale est fortement contrastée. La valorisation (Partie 0) est extrêmement exigeante (PER 54,9x, P/B 6,3x), laissant peu de place à l'erreur. Le comportement du cours (Partie 1) est baissier sur 100 jours avec une volatilité très élevée, mais les statistiques montrent une distribution sans risque de kurtosis extrême. Les signaux techniques (Partie 2) sont mitigés, avec un momentum haussier à court terme (MACD) contredit par une tendance de fond baissière (MM50) et des oscillateurs surachetés. Les fondamentaux (Partie 3) montrent une croissance du CA, mais une rentabilité nette en chute libre sur l'exercice 2025, malgré des trimestres intermédiaires solides, et une situation financière fragile (trésorerie négative). Les prédictions IA (J+1 à J+10) anticipent une poursuite de la baisse vers 2 047 FCFA, ce qui contredit le signal d'achat du MACD et suggère que le rebond technique est fragile. En conclusion, la convergence des signaux est globalement négative : valorisation excessive, tendance de fond baissière, fondamentaux en détérioration et prédictions IA baissières. La recommandation finale est **VENTE**, avec un niveau de confiance **Moyen** et un risque global **Élevé**. L'horizon d'investissement optimal est le **court terme (&lt;3 mois)** pour les investisseurs cherchant à réduire leur exposition, tandis qu'un nouvel investisseur devrait attendre une clarification de la stratégie du nouveau propriétaire et une amélioration tangible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1,127 titres</w:t>
            </w:r>
          </w:p>
        </w:tc>
        <w:tc>
          <w:tcPr>
            <w:tcW w:type="dxa" w:w="2268"/>
            <w:shd w:fill="FFF2CC" w:val="clear"/>
          </w:tcPr>
          <w:p>
            <w:r>
              <w:rPr>
                <w:b/>
                <w:color w:val="503200"/>
                <w:sz w:val="16"/>
              </w:rPr>
              <w:t xml:space="preserve">Cours actuel : </w:t>
            </w:r>
            <w:r>
              <w:rPr>
                <w:color w:val="000000"/>
                <w:sz w:val="17"/>
              </w:rPr>
              <w:t>37,005 FCFA</w:t>
            </w:r>
          </w:p>
          <w:p>
            <w:r>
              <w:rPr>
                <w:b/>
                <w:color w:val="503200"/>
                <w:sz w:val="16"/>
              </w:rPr>
              <w:t xml:space="preserve">Var. 100 jours : </w:t>
            </w:r>
            <w:r>
              <w:rPr>
                <w:b/>
                <w:color w:val="B40000"/>
                <w:sz w:val="17"/>
              </w:rPr>
              <w:t>-4.63%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2.47% (Faible) — μ=38,378 FCFA, σ=950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β=0.1885 (Défensif) — Cov=0.000007, Var(idx)=0.000035, ρ=0.060,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σ_j=1.86%/j (Stable) — Vol. annualisée≈29.5%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36,144</w:t>
            </w:r>
          </w:p>
        </w:tc>
        <w:tc>
          <w:tcPr>
            <w:tcW w:type="dxa" w:w="1440"/>
            <w:shd w:fill="FAFAFA" w:val="clear"/>
          </w:tcPr>
          <w:p>
            <w:r>
              <w:rPr>
                <w:b/>
                <w:sz w:val="17"/>
              </w:rPr>
              <w:t>37,371</w:t>
            </w:r>
          </w:p>
        </w:tc>
        <w:tc>
          <w:tcPr>
            <w:tcW w:type="dxa" w:w="1440"/>
            <w:shd w:fill="FAFAFA" w:val="clear"/>
          </w:tcPr>
          <w:p>
            <w:r>
              <w:rPr>
                <w:sz w:val="17"/>
              </w:rPr>
              <w:t>38,598</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35,524</w:t>
            </w:r>
          </w:p>
        </w:tc>
        <w:tc>
          <w:tcPr>
            <w:tcW w:type="dxa" w:w="1440"/>
            <w:shd w:fill="FAFAFA" w:val="clear"/>
          </w:tcPr>
          <w:p>
            <w:r>
              <w:rPr>
                <w:b/>
                <w:sz w:val="17"/>
              </w:rPr>
              <w:t>37,254</w:t>
            </w:r>
          </w:p>
        </w:tc>
        <w:tc>
          <w:tcPr>
            <w:tcW w:type="dxa" w:w="1440"/>
            <w:shd w:fill="FAFAFA" w:val="clear"/>
          </w:tcPr>
          <w:p>
            <w:r>
              <w:rPr>
                <w:sz w:val="17"/>
              </w:rPr>
              <w:t>38,984</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35,088</w:t>
            </w:r>
          </w:p>
        </w:tc>
        <w:tc>
          <w:tcPr>
            <w:tcW w:type="dxa" w:w="1440"/>
            <w:shd w:fill="FAFAFA" w:val="clear"/>
          </w:tcPr>
          <w:p>
            <w:r>
              <w:rPr>
                <w:b/>
                <w:sz w:val="17"/>
              </w:rPr>
              <w:t>37,204</w:t>
            </w:r>
          </w:p>
        </w:tc>
        <w:tc>
          <w:tcPr>
            <w:tcW w:type="dxa" w:w="1440"/>
            <w:shd w:fill="FAFAFA" w:val="clear"/>
          </w:tcPr>
          <w:p>
            <w:r>
              <w:rPr>
                <w:sz w:val="17"/>
              </w:rPr>
              <w:t>39,320</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34,728</w:t>
            </w:r>
          </w:p>
        </w:tc>
        <w:tc>
          <w:tcPr>
            <w:tcW w:type="dxa" w:w="1440"/>
            <w:shd w:fill="FAFAFA" w:val="clear"/>
          </w:tcPr>
          <w:p>
            <w:r>
              <w:rPr>
                <w:b/>
                <w:sz w:val="17"/>
              </w:rPr>
              <w:t>37,169</w:t>
            </w:r>
          </w:p>
        </w:tc>
        <w:tc>
          <w:tcPr>
            <w:tcW w:type="dxa" w:w="1440"/>
            <w:shd w:fill="FAFAFA" w:val="clear"/>
          </w:tcPr>
          <w:p>
            <w:r>
              <w:rPr>
                <w:sz w:val="17"/>
              </w:rPr>
              <w:t>39,610</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34,411</w:t>
            </w:r>
          </w:p>
        </w:tc>
        <w:tc>
          <w:tcPr>
            <w:tcW w:type="dxa" w:w="1440"/>
            <w:shd w:fill="FAFAFA" w:val="clear"/>
          </w:tcPr>
          <w:p>
            <w:r>
              <w:rPr>
                <w:b/>
                <w:sz w:val="17"/>
              </w:rPr>
              <w:t>37,138</w:t>
            </w:r>
          </w:p>
        </w:tc>
        <w:tc>
          <w:tcPr>
            <w:tcW w:type="dxa" w:w="1440"/>
            <w:shd w:fill="FAFAFA" w:val="clear"/>
          </w:tcPr>
          <w:p>
            <w:r>
              <w:rPr>
                <w:sz w:val="17"/>
              </w:rPr>
              <w:t>39,865</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34,122</w:t>
            </w:r>
          </w:p>
        </w:tc>
        <w:tc>
          <w:tcPr>
            <w:tcW w:type="dxa" w:w="1440"/>
            <w:shd w:fill="FAFAFA" w:val="clear"/>
          </w:tcPr>
          <w:p>
            <w:r>
              <w:rPr>
                <w:b/>
                <w:sz w:val="17"/>
              </w:rPr>
              <w:t>37,107</w:t>
            </w:r>
          </w:p>
        </w:tc>
        <w:tc>
          <w:tcPr>
            <w:tcW w:type="dxa" w:w="1440"/>
            <w:shd w:fill="FAFAFA" w:val="clear"/>
          </w:tcPr>
          <w:p>
            <w:r>
              <w:rPr>
                <w:sz w:val="17"/>
              </w:rPr>
              <w:t>40,092</w:t>
            </w:r>
          </w:p>
        </w:tc>
        <w:tc>
          <w:tcPr>
            <w:tcW w:type="dxa" w:w="1440"/>
            <w:shd w:fill="FAFAFA" w:val="clear"/>
          </w:tcPr>
          <w:p>
            <w:r>
              <w:rPr>
                <w:b/>
                <w:color w:val="008000"/>
                <w:sz w:val="17"/>
              </w:rPr>
              <w:t>+0.3%</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33,855</w:t>
            </w:r>
          </w:p>
        </w:tc>
        <w:tc>
          <w:tcPr>
            <w:tcW w:type="dxa" w:w="1440"/>
            <w:shd w:fill="FAFAFA" w:val="clear"/>
          </w:tcPr>
          <w:p>
            <w:r>
              <w:rPr>
                <w:b/>
                <w:sz w:val="17"/>
              </w:rPr>
              <w:t>37,076</w:t>
            </w:r>
          </w:p>
        </w:tc>
        <w:tc>
          <w:tcPr>
            <w:tcW w:type="dxa" w:w="1440"/>
            <w:shd w:fill="FAFAFA" w:val="clear"/>
          </w:tcPr>
          <w:p>
            <w:r>
              <w:rPr>
                <w:sz w:val="17"/>
              </w:rPr>
              <w:t>40,297</w:t>
            </w:r>
          </w:p>
        </w:tc>
        <w:tc>
          <w:tcPr>
            <w:tcW w:type="dxa" w:w="1440"/>
            <w:shd w:fill="FAFAFA" w:val="clear"/>
          </w:tcPr>
          <w:p>
            <w:r>
              <w:rPr>
                <w:b/>
                <w:color w:val="008000"/>
                <w:sz w:val="17"/>
              </w:rPr>
              <w:t>+0.2%</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33,604</w:t>
            </w:r>
          </w:p>
        </w:tc>
        <w:tc>
          <w:tcPr>
            <w:tcW w:type="dxa" w:w="1440"/>
            <w:shd w:fill="FAFAFA" w:val="clear"/>
          </w:tcPr>
          <w:p>
            <w:r>
              <w:rPr>
                <w:b/>
                <w:sz w:val="17"/>
              </w:rPr>
              <w:t>37,045</w:t>
            </w:r>
          </w:p>
        </w:tc>
        <w:tc>
          <w:tcPr>
            <w:tcW w:type="dxa" w:w="1440"/>
            <w:shd w:fill="FAFAFA" w:val="clear"/>
          </w:tcPr>
          <w:p>
            <w:r>
              <w:rPr>
                <w:sz w:val="17"/>
              </w:rPr>
              <w:t>40,485</w:t>
            </w:r>
          </w:p>
        </w:tc>
        <w:tc>
          <w:tcPr>
            <w:tcW w:type="dxa" w:w="1440"/>
            <w:shd w:fill="FAFAFA" w:val="clear"/>
          </w:tcPr>
          <w:p>
            <w:r>
              <w:rPr>
                <w:b/>
                <w:color w:val="008000"/>
                <w:sz w:val="17"/>
              </w:rPr>
              <w:t>+0.1%</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33,367</w:t>
            </w:r>
          </w:p>
        </w:tc>
        <w:tc>
          <w:tcPr>
            <w:tcW w:type="dxa" w:w="1440"/>
            <w:shd w:fill="FAFAFA" w:val="clear"/>
          </w:tcPr>
          <w:p>
            <w:r>
              <w:rPr>
                <w:b/>
                <w:sz w:val="17"/>
              </w:rPr>
              <w:t>37,013</w:t>
            </w:r>
          </w:p>
        </w:tc>
        <w:tc>
          <w:tcPr>
            <w:tcW w:type="dxa" w:w="1440"/>
            <w:shd w:fill="FAFAFA" w:val="clear"/>
          </w:tcPr>
          <w:p>
            <w:r>
              <w:rPr>
                <w:sz w:val="17"/>
              </w:rPr>
              <w:t>40,660</w:t>
            </w:r>
          </w:p>
        </w:tc>
        <w:tc>
          <w:tcPr>
            <w:tcW w:type="dxa" w:w="1440"/>
            <w:shd w:fill="FAFAFA" w:val="clear"/>
          </w:tcPr>
          <w:p>
            <w:r>
              <w:rPr>
                <w:b/>
                <w:color w:val="008000"/>
                <w:sz w:val="17"/>
              </w:rPr>
              <w:t>+0.0%</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33,142</w:t>
            </w:r>
          </w:p>
        </w:tc>
        <w:tc>
          <w:tcPr>
            <w:tcW w:type="dxa" w:w="1440"/>
            <w:shd w:fill="FAFAFA" w:val="clear"/>
          </w:tcPr>
          <w:p>
            <w:r>
              <w:rPr>
                <w:b/>
                <w:sz w:val="17"/>
              </w:rPr>
              <w:t>36,982</w:t>
            </w:r>
          </w:p>
        </w:tc>
        <w:tc>
          <w:tcPr>
            <w:tcW w:type="dxa" w:w="1440"/>
            <w:shd w:fill="FAFAFA" w:val="clear"/>
          </w:tcPr>
          <w:p>
            <w:r>
              <w:rPr>
                <w:sz w:val="17"/>
              </w:rPr>
              <w:t>40,822</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24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609,13 milliards FCFA, ce qui en fait l'une des valeurs les plus significatives de la BRVM, reflétant sa position de leader dans le secteur des boissons en Afrique de l'Ouest. Le BPA de 2 781 FCFA indique que chaque action génère un bénéfice substantiel, justifiant un PER de 13,3x, légèrement supérieur à la moyenne historique de la BRVM (8-12x), ce qui traduit une prime de croissance accordée par le marché. Le P/B de 3,12x confirme cette prime, le marché valorisant la société à plus de trois fois sa valeur comptable, signe de la confiance des investisseurs dans la capacité de l'entreprise à créer de la valeur. Enfin, l'EV/EBITDA de 7,2x se situe dans une fourchette raisonnable (5-10x), indiquant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-4,63%, avec une baisse de -1,84% lors de la dernière séance, s'établissant à 37 005 FCFA. Le titre a évolué dans une fourchette de 35 540 FCFA (plus bas) à 41 500 FCFA (plus haut), démontrant une amplitude de trading de près de 6 000 FCFA. La moyenne du cours sur la période est de 38 378 FCFA, très proche de la médiane de 38 445 FCFA, ce qui indique une distribution relativement symétrique des prix, confirmée par un skewness de 0,160. L'écart-type de 954 FCFA, avec un coefficient de variation de 2,5%, révèle une dispersion modérée des prix autour de la moyenne. Le kurtosis de 0,279 suggère une distribution mésokurtique, proche de la normale, avec un risque de pics limité. La volatilité annualisée de 29,5% classe le titre dans la catégorie des valeurs à volatilité élevée, proche du seuil de 30%, ce qui implique des fluctuations de prix significatives à moyen terme.</w:t>
      </w:r>
    </w:p>
    <w:p>
      <w:pPr>
        <w:spacing w:after="120" w:line="276" w:lineRule="auto"/>
      </w:pPr>
      <w:r>
        <w:t>---</w:t>
      </w:r>
    </w:p>
    <w:p>
      <w:pPr>
        <w:spacing w:after="120" w:line="276" w:lineRule="auto"/>
      </w:pPr>
      <w:r>
        <w:t>### PARTIE 2 : ANALYSE TECHNIQUE DÉTAILLÉE</w:t>
      </w:r>
    </w:p>
    <w:p>
      <w:pPr>
        <w:spacing w:after="120" w:line="276" w:lineRule="auto"/>
      </w:pPr>
      <w:r>
        <w:t>**Moyennes Mobiles :** La MM20 à 37 804,75 FCFA et la MM50 à 38 633,2 FCFA se situent toutes deux au-dessus du cours actuel de 37 005 FCFA, indiquant une tendance baissière à court et moyen terme. Le croisement de ces moyennes, avec la MM50 au-dessus de la MM20, renforce le signal de vente, suggérant que le titre est dans une phase de correction.</w:t>
      </w:r>
    </w:p>
    <w:p>
      <w:pPr>
        <w:spacing w:after="120" w:line="276" w:lineRule="auto"/>
      </w:pPr>
      <w:r>
        <w:t>**Bandes de Bollinger :** Le cours actuel se positionne près de la borne inférieure (36 140,29 FCFA) et en dessous de la bande médiane, indiquant une pression vendeuse. La largeur des bandes reflète une volatilité modérée, et le fait que le prix ne soit pas en zone de survente extrême justifie une décision neutre, bien que la tendance reste baissière.</w:t>
      </w:r>
    </w:p>
    <w:p>
      <w:pPr>
        <w:spacing w:after="120" w:line="276" w:lineRule="auto"/>
      </w:pPr>
      <w:r>
        <w:t>**MACD :** Le MACD (-360,593) est légèrement au-dessus de sa ligne de signal (-374,054), indiquant un croisement haussier potentiel. Cette configuration suggère un ralentissement du momentum baissier et une possible inversion de tendance à court terme, justifiant la décision d'achat.</w:t>
      </w:r>
    </w:p>
    <w:p>
      <w:pPr>
        <w:spacing w:after="120" w:line="276" w:lineRule="auto"/>
      </w:pPr>
      <w:r>
        <w:t>**RSI :** À 43,627, le RSI se situe dans la zone neutre (30-70), indiquant que le titre n'est ni suracheté ni survendu. Cette valeur suggère une absence de pression directionnelle forte, laissant place à une possible consolidation ou à un retournement selon les volumes.</w:t>
      </w:r>
    </w:p>
    <w:p>
      <w:pPr>
        <w:spacing w:after="120" w:line="276" w:lineRule="auto"/>
      </w:pPr>
      <w:r>
        <w:t>**Stochastique :** Le %K à 9,545 est très bas, indiquant une condition de survente, tandis que le %D à 40,566 montre un écart significatif. Ce croisement haussier potentiel du %K sous le %D, suivi d'une remontée, signale un possible rebond technique, justifiant la décision d'achat.</w:t>
      </w:r>
    </w:p>
    <w:p>
      <w:pPr>
        <w:spacing w:after="120" w:line="276" w:lineRule="auto"/>
      </w:pPr>
      <w:r>
        <w:t>**Conclusion technique :** Les indicateurs techniques sont mitigés, avec une tendance baissière confirmée par les moyennes mobiles et les bandes de Bollinger, mais des signaux de retournement potentiel émergent du MACD et du stochastique. Le RSI neutre suggère une stabilisation. Globalement, le titre semble en phase de correction avec des signes de rebond technique à court terme, mais la prudence reste de mise tant que le cours ne dépasse pas la MM20.</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croissance de 22,1% par rapport à 2024 (309,722 milliards FCFA), selon les données structurées et le rapport annuel analysé par DeepSeek (2026-05-20). Le résultat net a plus que doublé, atteignant 45,781 milliards FCFA, contre 21,472 milliards en 2024, portant la marge nette à 12,1% (contre 6,9% en 2024). La rentabilité des fonds propres (ROE) est excellente à 23,46%, et le ROA de 13,48% témoigne d'une utilisation efficace des actifs. L'EBE a bondi de 52% à 87,445 milliards FCFA, et la capacité d'autofinancement (CAF) atteint 69,895 milliards FCFA. La structure financière est saine avec un ratio d'autonomie financière de 57,5% et une capacité de remboursement de 0,67 an. Le BFR de 61,587 milliards FCFA, avec un délai clients de 64 jours et un délai fournisseurs de 77 jours, indique une gestion équilibrée de la trésorerie. Sur la base du rapport T1 2026 (croissance du CA de +7,6% à 93,46 milliards FCFA et résultat net de 16,26 milliards FCFA), on estime que l'exercice 2026 devrait confirmer la dynamique positive, avec un résultat net annuel potentiellement supérieur à 50 milliards FCFA. Le rapport S1 2025 (analysé par Mistral) montrait déjà une croissance du CA de +12,3% et un résultat net en hausse de +175,1%, confirmant la tendance. La politique de dividende est très généreuse, avec un dividende proposé de 2 127 FCFA par action pour 2025 (taux de distribution de 76,5%), contre 1 220 FCFA en 2024. Les fondamentaux de SLBC sont exceptionnellement solides, avec une croissance soutenue, une rentabilité en forte amélioration et une situation financière robuste, malgré une dépendance aux matières premières et une concentration géographique sur le marché ivoirien.</w:t>
      </w:r>
    </w:p>
    <w:p>
      <w:pPr>
        <w:spacing w:after="120" w:line="276" w:lineRule="auto"/>
      </w:pPr>
      <w:r>
        <w:t>---</w:t>
      </w:r>
    </w:p>
    <w:p>
      <w:pPr>
        <w:spacing w:after="120" w:line="276" w:lineRule="auto"/>
      </w:pPr>
      <w:r>
        <w:t>### PARTIE 4 : CONCLUSION D'INVESTISSEMENT</w:t>
      </w:r>
    </w:p>
    <w:p>
      <w:pPr>
        <w:spacing w:after="120" w:line="276" w:lineRule="auto"/>
      </w:pPr>
      <w:r>
        <w:t>La valorisation de SLBC (PER de 13,3x, P/B de 3,12x, EV/EBITDA de 7,2x) indique une prime de croissance justifiée par des fondamentaux exceptionnels, bien que le PER soit légèrement supérieur à la moyenne BRVM. Le comportement du cours sur 100 jours montre une tendance baissière (-4,63%) avec une volatilité élevée (29,5%), mais une distribution symétrique des prix (skewness proche de 0) et un risque de pics limité (kurtosis mésokurtique). Les signaux techniques sont mitigés : tendance baissière confirmée par les moyennes mobiles, mais signaux de retournement potentiel du MACD et du stochastique, avec un RSI neutre. Les fondamentaux sont extrêmement solides, avec une croissance du CA de 22% en 2025, un résultat net doublé, un ROE de 23,5% et une politique de dividende généreuse (rendement estimé de 5,7% sur la base du dividende de 2 127 FCFA). Les prédictions IA pour les 10 prochains jours (37 371 à 37 138 FCFA) suggèrent une stabilisation du cours autour de 37 000-37 400 FCFA, confirmant la fin de la phase de correction. La convergence entre des fondamentaux excellents, une valorisation raisonnable et des signaux techniques de retournement plaide pour une recommandation **ACHAT**, avec un niveau de confiance **Élevé** et un risque global **Moyen** (volatilité élevée, dépendance aux matières premières). L'horizon d'investissement optimal est le **moyen terme (3-12 mois)**, permettant de capter à la fois le potentiel de rebond technique et la croissance fondamentale soutenue.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1,298 titres</w:t>
            </w:r>
          </w:p>
        </w:tc>
        <w:tc>
          <w:tcPr>
            <w:tcW w:type="dxa" w:w="2268"/>
            <w:shd w:fill="FFF2CC" w:val="clear"/>
          </w:tcPr>
          <w:p>
            <w:r>
              <w:rPr>
                <w:b/>
                <w:color w:val="503200"/>
                <w:sz w:val="16"/>
              </w:rPr>
              <w:t xml:space="preserve">Cours actuel : </w:t>
            </w:r>
            <w:r>
              <w:rPr>
                <w:color w:val="000000"/>
                <w:sz w:val="17"/>
              </w:rPr>
              <w:t>16,620 FCFA</w:t>
            </w:r>
          </w:p>
          <w:p>
            <w:r>
              <w:rPr>
                <w:b/>
                <w:color w:val="503200"/>
                <w:sz w:val="16"/>
              </w:rPr>
              <w:t xml:space="preserve">Var. 100 jours : </w:t>
            </w:r>
            <w:r>
              <w:rPr>
                <w:b/>
                <w:color w:val="007800"/>
                <w:sz w:val="17"/>
              </w:rPr>
              <w:t>+35.67%</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14.98% (Moyenne) — μ=14,471 FCFA, σ=2,168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β=-0.4735 (Contre-cyclique) — Cov=-0.000017, Var(idx)=0.000035, ρ=-0.121,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15,868</w:t>
            </w:r>
          </w:p>
        </w:tc>
        <w:tc>
          <w:tcPr>
            <w:tcW w:type="dxa" w:w="1440"/>
            <w:shd w:fill="FAFAFA" w:val="clear"/>
          </w:tcPr>
          <w:p>
            <w:r>
              <w:rPr>
                <w:b/>
                <w:sz w:val="17"/>
              </w:rPr>
              <w:t>16,460</w:t>
            </w:r>
          </w:p>
        </w:tc>
        <w:tc>
          <w:tcPr>
            <w:tcW w:type="dxa" w:w="1440"/>
            <w:shd w:fill="FAFAFA" w:val="clear"/>
          </w:tcPr>
          <w:p>
            <w:r>
              <w:rPr>
                <w:sz w:val="17"/>
              </w:rPr>
              <w:t>17,052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15,569</w:t>
            </w:r>
          </w:p>
        </w:tc>
        <w:tc>
          <w:tcPr>
            <w:tcW w:type="dxa" w:w="1440"/>
            <w:shd w:fill="FAFAFA" w:val="clear"/>
          </w:tcPr>
          <w:p>
            <w:r>
              <w:rPr>
                <w:b/>
                <w:sz w:val="17"/>
              </w:rPr>
              <w:t>16,404</w:t>
            </w:r>
          </w:p>
        </w:tc>
        <w:tc>
          <w:tcPr>
            <w:tcW w:type="dxa" w:w="1440"/>
            <w:shd w:fill="FAFAFA" w:val="clear"/>
          </w:tcPr>
          <w:p>
            <w:r>
              <w:rPr>
                <w:sz w:val="17"/>
              </w:rPr>
              <w:t>17,238</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15,321</w:t>
            </w:r>
          </w:p>
        </w:tc>
        <w:tc>
          <w:tcPr>
            <w:tcW w:type="dxa" w:w="1440"/>
            <w:shd w:fill="FAFAFA" w:val="clear"/>
          </w:tcPr>
          <w:p>
            <w:r>
              <w:rPr>
                <w:b/>
                <w:sz w:val="17"/>
              </w:rPr>
              <w:t>16,339</w:t>
            </w:r>
          </w:p>
        </w:tc>
        <w:tc>
          <w:tcPr>
            <w:tcW w:type="dxa" w:w="1440"/>
            <w:shd w:fill="FAFAFA" w:val="clear"/>
          </w:tcPr>
          <w:p>
            <w:r>
              <w:rPr>
                <w:sz w:val="17"/>
              </w:rPr>
              <w:t>17,357</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15,108</w:t>
            </w:r>
          </w:p>
        </w:tc>
        <w:tc>
          <w:tcPr>
            <w:tcW w:type="dxa" w:w="1440"/>
            <w:shd w:fill="FFDCE0" w:val="clear"/>
          </w:tcPr>
          <w:p>
            <w:r>
              <w:rPr>
                <w:b/>
                <w:sz w:val="17"/>
              </w:rPr>
              <w:t>16,279</w:t>
            </w:r>
          </w:p>
        </w:tc>
        <w:tc>
          <w:tcPr>
            <w:tcW w:type="dxa" w:w="1440"/>
            <w:shd w:fill="FFDCE0" w:val="clear"/>
          </w:tcPr>
          <w:p>
            <w:r>
              <w:rPr>
                <w:sz w:val="17"/>
              </w:rPr>
              <w:t>17,450</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14,917</w:t>
            </w:r>
          </w:p>
        </w:tc>
        <w:tc>
          <w:tcPr>
            <w:tcW w:type="dxa" w:w="1440"/>
            <w:shd w:fill="FFDCE0" w:val="clear"/>
          </w:tcPr>
          <w:p>
            <w:r>
              <w:rPr>
                <w:b/>
                <w:sz w:val="17"/>
              </w:rPr>
              <w:t>16,222</w:t>
            </w:r>
          </w:p>
        </w:tc>
        <w:tc>
          <w:tcPr>
            <w:tcW w:type="dxa" w:w="1440"/>
            <w:shd w:fill="FFDCE0" w:val="clear"/>
          </w:tcPr>
          <w:p>
            <w:r>
              <w:rPr>
                <w:sz w:val="17"/>
              </w:rPr>
              <w:t>17,527</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14,741</w:t>
            </w:r>
          </w:p>
        </w:tc>
        <w:tc>
          <w:tcPr>
            <w:tcW w:type="dxa" w:w="1440"/>
            <w:shd w:fill="FFDCE0" w:val="clear"/>
          </w:tcPr>
          <w:p>
            <w:r>
              <w:rPr>
                <w:b/>
                <w:sz w:val="17"/>
              </w:rPr>
              <w:t>16,165</w:t>
            </w:r>
          </w:p>
        </w:tc>
        <w:tc>
          <w:tcPr>
            <w:tcW w:type="dxa" w:w="1440"/>
            <w:shd w:fill="FFDCE0" w:val="clear"/>
          </w:tcPr>
          <w:p>
            <w:r>
              <w:rPr>
                <w:sz w:val="17"/>
              </w:rPr>
              <w:t>17,590</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14,577</w:t>
            </w:r>
          </w:p>
        </w:tc>
        <w:tc>
          <w:tcPr>
            <w:tcW w:type="dxa" w:w="1440"/>
            <w:shd w:fill="FFDCE0" w:val="clear"/>
          </w:tcPr>
          <w:p>
            <w:r>
              <w:rPr>
                <w:b/>
                <w:sz w:val="17"/>
              </w:rPr>
              <w:t>16,110</w:t>
            </w:r>
          </w:p>
        </w:tc>
        <w:tc>
          <w:tcPr>
            <w:tcW w:type="dxa" w:w="1440"/>
            <w:shd w:fill="FFDCE0" w:val="clear"/>
          </w:tcPr>
          <w:p>
            <w:r>
              <w:rPr>
                <w:sz w:val="17"/>
              </w:rPr>
              <w:t>17,643</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14,421</w:t>
            </w:r>
          </w:p>
        </w:tc>
        <w:tc>
          <w:tcPr>
            <w:tcW w:type="dxa" w:w="1440"/>
            <w:shd w:fill="FFDCE0" w:val="clear"/>
          </w:tcPr>
          <w:p>
            <w:r>
              <w:rPr>
                <w:b/>
                <w:sz w:val="17"/>
              </w:rPr>
              <w:t>16,055</w:t>
            </w:r>
          </w:p>
        </w:tc>
        <w:tc>
          <w:tcPr>
            <w:tcW w:type="dxa" w:w="1440"/>
            <w:shd w:fill="FFDCE0" w:val="clear"/>
          </w:tcPr>
          <w:p>
            <w:r>
              <w:rPr>
                <w:sz w:val="17"/>
              </w:rPr>
              <w:t>17,688</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14,274</w:t>
            </w:r>
          </w:p>
        </w:tc>
        <w:tc>
          <w:tcPr>
            <w:tcW w:type="dxa" w:w="1440"/>
            <w:shd w:fill="FFDCE0" w:val="clear"/>
          </w:tcPr>
          <w:p>
            <w:r>
              <w:rPr>
                <w:b/>
                <w:sz w:val="17"/>
              </w:rPr>
              <w:t>16,001</w:t>
            </w:r>
          </w:p>
        </w:tc>
        <w:tc>
          <w:tcPr>
            <w:tcW w:type="dxa" w:w="1440"/>
            <w:shd w:fill="FFDCE0" w:val="clear"/>
          </w:tcPr>
          <w:p>
            <w:r>
              <w:rPr>
                <w:sz w:val="17"/>
              </w:rPr>
              <w:t>17,727</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14,133</w:t>
            </w:r>
          </w:p>
        </w:tc>
        <w:tc>
          <w:tcPr>
            <w:tcW w:type="dxa" w:w="1440"/>
            <w:shd w:fill="FFDCE0" w:val="clear"/>
          </w:tcPr>
          <w:p>
            <w:r>
              <w:rPr>
                <w:b/>
                <w:sz w:val="17"/>
              </w:rPr>
              <w:t>15,947</w:t>
            </w:r>
          </w:p>
        </w:tc>
        <w:tc>
          <w:tcPr>
            <w:tcW w:type="dxa" w:w="1440"/>
            <w:shd w:fill="FFDCE0" w:val="clear"/>
          </w:tcPr>
          <w:p>
            <w:r>
              <w:rPr>
                <w:sz w:val="17"/>
              </w:rPr>
              <w:t>17,761</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**Date de l'analyse : 22 août 2026**</w:t>
        <w:br/>
        <w:t>**Cours de référence : 16,620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SMBC s'établit à 129,56 milliards FCFA, un niveau significatif sur la BRVM qui positionne le titre parmi les valeurs moyennes de la cote. Avec un BPA de 1 677 FCFA, chaque action génère un bénéfice substantiel, justifiant un PER de 9,9x. Ce ratio, inférieur à la moyenne du marché BRVM (8-12x), indique que les investisseurs paient un prix raisonnable, voire attractif, pour les bénéfices de l'entreprise, suggérant une potentielle sous-évaluation. Le P/B de 3,02x, bien que supérieur à la valeur comptable, reflète une prime de croissance accordée par le marché, ce qui est cohérent avec la forte rentabilité de la société. Enfin, l'EV/EBITDA de 6,2x, situé dans la fourchette basse des valeurs raisonnables (5-10x), confirme une valorisation globale mesurée par rapport à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 enregistré une progression remarquable de +35,67%, avec un cours actuel de 16 620 FCFA, bien au-dessus de son plus bas de 11 450 FCFA et proche de son plus haut de 17 735 FCFA. La séance de la veille était stable (0,00%). La moyenne du cours sur la période est de 14 471 FCFA, tandis que la médiane est de 15 498 FCFA. L'écart entre la moyenne et la médiane, couplé à un skewness de -0,124 (distribution quasi symétrique), suggère une distribution des prix relativement équilibrée. L'écart-type de 2 179 FCFA (CV de 15,1%) indique une dispersion modérée. Le kurtosis de -1,632 (platykurtique) révèle une faible concentration des prix autour de la moyenne, avec moins de pics extrêmes que la normale. La volatilité annualisée de 36,6% classe le titre comme très volatil, ce qui représente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(MM20 et MM50) :** Le cours actuel (16 620 FCFA) est supérieur à la MM20 (16 224 FCFA) mais légèrement inférieur à la MM50 (16 434,7 FCFA). Cette configuration, où le prix est sous la MM50, génère un signal de vente, indiquant une possible correction après une forte hausse. La MM20 au-dessus de la MM50 suggère toutefois une dynamique de court terme positive.</w:t>
      </w:r>
    </w:p>
    <w:p>
      <w:pPr>
        <w:spacing w:after="120" w:line="276" w:lineRule="auto"/>
      </w:pPr>
      <w:r>
        <w:t>**Bandes de Bollinger :** Le prix se situe à 16 620 FCFA, à l'intérieur des bandes (borne supérieure à 17 002,77 FCFA et borne inférieure à 15 445,23 FCFA). La position du cours dans la partie haute des bandes indique une pression acheteuse persistante, mais sans sortie des bandes, le signal est neutre. La largeur des bandes reflète la volatilité élevée du titre.</w:t>
      </w:r>
    </w:p>
    <w:p>
      <w:pPr>
        <w:spacing w:after="120" w:line="276" w:lineRule="auto"/>
      </w:pPr>
      <w:r>
        <w:t>**MACD :** Le MACD (115,915) est nettement au-dessus de sa ligne de signal (79,528), avec un écart positif important. Cette configuration haussière indique un momentum positif et une dynamique d'achat soutenue, justifiant la décision d'achat.</w:t>
      </w:r>
    </w:p>
    <w:p>
      <w:pPr>
        <w:spacing w:after="120" w:line="276" w:lineRule="auto"/>
      </w:pPr>
      <w:r>
        <w:t>**RSI :** Le RSI est à 83,988, une valeur très élevée, bien au-dessus du seuil de surachat de 70. Cela signale que le titre est fortement suracheté à court terme, ce qui suggère un risque élevé de correction technique. La décision de vente est donc justifiée pour les investisseurs à court terme.</w:t>
      </w:r>
    </w:p>
    <w:p>
      <w:pPr>
        <w:spacing w:after="120" w:line="276" w:lineRule="auto"/>
      </w:pPr>
      <w:r>
        <w:t>**Stochastique :** Le %K (100,0) et le %D (96,983) sont tous deux à des niveaux extrêmement élevés, en zone de surachat. Le %K est au-dessus du %D, indiquant une dynamique haussière, mais ces niveaux extrêmes suggèrent une exubérance excessive et un potentiel de retournement imminent, d'où le signal de vente.</w:t>
      </w:r>
    </w:p>
    <w:p>
      <w:pPr>
        <w:spacing w:after="120" w:line="276" w:lineRule="auto"/>
      </w:pPr>
      <w:r>
        <w:t>**Conclusion technique :** Les indicateurs de momentum (MACD) sont positifs, mais les oscillateurs de surachat (RSI, Stochastique) et la position sous la MM50 indiquent une tension à court terme. Le titre est dans une phase de consolidation après une forte hausse, avec un risque de correction technique. La prudence est de mise pour les nouveaux achats à court terme.</w:t>
      </w:r>
    </w:p>
    <w:p>
      <w:pPr>
        <w:spacing w:after="120" w:line="276" w:lineRule="auto"/>
      </w:pPr>
      <w:r>
        <w:t>---</w:t>
      </w:r>
    </w:p>
    <w:p>
      <w:pPr>
        <w:spacing w:after="120" w:line="276" w:lineRule="auto"/>
      </w:pPr>
      <w:r>
        <w:t>### PARTIE 3 : ANALYSE FONDAMENTALE (SECTION CRITIQUE)</w:t>
      </w:r>
    </w:p>
    <w:p>
      <w:pPr>
        <w:spacing w:after="120" w:line="276" w:lineRule="auto"/>
      </w:pPr>
      <w:r>
        <w:t>En 2025, SMBC a réalisé un chiffre d'affaires de 206,740 milliards FCFA, en baisse de -9,7% par rapport à 2024 (229,061 milliards FCFA). Malgré cette contraction des revenus, le résultat net a fortement progressé de +50,3% pour atteindre 13,075 milliards FCFA, contre 8,698 milliards en 2024. Cette performance exceptionnelle s'explique par une amélioration spectaculaire de la rentabilité opérationnelle, avec un EBE en hausse de +41,8% à 18,480 milliards FCFA, et une marge nette passant de 3,8% à 6,3%. Les ratios de rentabilité sont excellents : le ROE s'établit à 30,5% et le ROA à 7,3%, démontrant une utilisation très efficace des capitaux propres et des actifs. La structure financière s'est renforcée avec des capitaux propres de 42,913 milliards FCFA (+21,6%) et une trésorerie nette positive de 23,988 milliards FCFA. Cependant, le BFR de 1,693 milliards FCFA et le délai de paiement des clients de 193,75 jours représentent un risque de trésorerie à surveiller. Les rapports trimestriels de 2025 (T1, S1, 9M) montrent une tendance à la baisse du CA (-22% au T1, -23% au S1, -14% au 9M), mais avec une amélioration constante des marges grâce à un environnement de raffinage favorable. Sur la base de ces données, on estime que la tendance de forte rentabilité pourrait se poursuivre en 2026, malgré un environnement de marché difficile. La recommandation fondamentale est positive, soulignant la solidité financière et l'efficacité opérationnelle de l'entreprise.</w:t>
      </w:r>
    </w:p>
    <w:p>
      <w:pPr>
        <w:spacing w:after="120" w:line="276" w:lineRule="auto"/>
      </w:pPr>
      <w:r>
        <w:t>---</w:t>
      </w:r>
    </w:p>
    <w:p>
      <w:pPr>
        <w:spacing w:after="120" w:line="276" w:lineRule="auto"/>
      </w:pPr>
      <w:r>
        <w:t>### PARTIE 4 : CONCLUSION D'INVESTISSEMENT</w:t>
      </w:r>
    </w:p>
    <w:p>
      <w:pPr>
        <w:spacing w:after="120" w:line="276" w:lineRule="auto"/>
      </w:pPr>
      <w:r>
        <w:t>La valorisation de SMBC (PER de 9,9x, P/B de 3,02x, EV/EBITDA de 6,2x) indique une sous-évaluation relative par rapport à ses fondamentaux solides. Le comportement du cours sur 100 jours (+35,67%) montre une tendance haussière forte, mais la volatilité élevée (36,6%) et les statistiques (kurtosis platykurtique) suggèrent un risque de mouvements brusques. Les signaux techniques sont mitigés : le MACD est positif, mais le RSI et le Stochastique sont en zone de surachat, et le prix est sous la MM50, indiquant un potentiel de correction à court terme. Les fondamentaux sont excellents, avec une rentabilité exceptionnelle (ROE de 30,5%) et une trésorerie renforcée, malgré une baisse du chiffre d'affaires. Les prédictions IA pour les 10 prochains jours (de 16 460 à 16 222 FCFA) confirment un léger repli, en ligne avec les signaux de surachat technique. En synthèse, la convergence entre la sous-évaluation, les fondamentaux solides et la tendance de fond haussière est contrebalancée par des signaux techniques de surachat à court terme. **Recommandation finale : CONSERVER.** Le niveau de confiance est **Moyen**, le risque global est **Élevé** en raison de la volatilité. L'horizon d'investissement optimal est le **moyen terme (3-12 mois)**, en attendant une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9,592 titres</w:t>
            </w:r>
          </w:p>
        </w:tc>
        <w:tc>
          <w:tcPr>
            <w:tcW w:type="dxa" w:w="2268"/>
            <w:shd w:fill="FFF2CC" w:val="clear"/>
          </w:tcPr>
          <w:p>
            <w:r>
              <w:rPr>
                <w:b/>
                <w:color w:val="503200"/>
                <w:sz w:val="16"/>
              </w:rPr>
              <w:t xml:space="preserve">Cours actuel : </w:t>
            </w:r>
            <w:r>
              <w:rPr>
                <w:color w:val="000000"/>
                <w:sz w:val="17"/>
              </w:rPr>
              <w:t>36,980 FCFA</w:t>
            </w:r>
          </w:p>
          <w:p>
            <w:r>
              <w:rPr>
                <w:b/>
                <w:color w:val="503200"/>
                <w:sz w:val="16"/>
              </w:rPr>
              <w:t xml:space="preserve">Var. 100 jours : </w:t>
            </w:r>
            <w:r>
              <w:rPr>
                <w:b/>
                <w:color w:val="007800"/>
                <w:sz w:val="17"/>
              </w:rPr>
              <w:t>+30.21%</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μ=29,677 FCFA, σ=1,693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β=1.6969 (Agressif) — Cov=0.000059, Var(idx)=0.000035, ρ=0.544,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9,592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32,990</w:t>
            </w:r>
          </w:p>
        </w:tc>
        <w:tc>
          <w:tcPr>
            <w:tcW w:type="dxa" w:w="1440"/>
            <w:shd w:fill="FFDCE0" w:val="clear"/>
          </w:tcPr>
          <w:p>
            <w:r>
              <w:rPr>
                <w:b/>
                <w:sz w:val="17"/>
              </w:rPr>
              <w:t>34,206</w:t>
            </w:r>
          </w:p>
        </w:tc>
        <w:tc>
          <w:tcPr>
            <w:tcW w:type="dxa" w:w="1440"/>
            <w:shd w:fill="FFDCE0" w:val="clear"/>
          </w:tcPr>
          <w:p>
            <w:r>
              <w:rPr>
                <w:sz w:val="17"/>
              </w:rPr>
              <w:t>35,423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32,539</w:t>
            </w:r>
          </w:p>
        </w:tc>
        <w:tc>
          <w:tcPr>
            <w:tcW w:type="dxa" w:w="1440"/>
            <w:shd w:fill="FFDCE0" w:val="clear"/>
          </w:tcPr>
          <w:p>
            <w:r>
              <w:rPr>
                <w:b/>
                <w:sz w:val="17"/>
              </w:rPr>
              <w:t>34,262</w:t>
            </w:r>
          </w:p>
        </w:tc>
        <w:tc>
          <w:tcPr>
            <w:tcW w:type="dxa" w:w="1440"/>
            <w:shd w:fill="FFDCE0" w:val="clear"/>
          </w:tcPr>
          <w:p>
            <w:r>
              <w:rPr>
                <w:sz w:val="17"/>
              </w:rPr>
              <w:t>35,986</w:t>
            </w:r>
          </w:p>
        </w:tc>
        <w:tc>
          <w:tcPr>
            <w:tcW w:type="dxa" w:w="1440"/>
            <w:shd w:fill="FFDCE0" w:val="clear"/>
          </w:tcPr>
          <w:p>
            <w:r>
              <w:rPr>
                <w:b/>
                <w:color w:val="C00000"/>
                <w:sz w:val="17"/>
              </w:rPr>
              <w:t>-7.3%</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32,038</w:t>
            </w:r>
          </w:p>
        </w:tc>
        <w:tc>
          <w:tcPr>
            <w:tcW w:type="dxa" w:w="1440"/>
            <w:shd w:fill="FFDCE0" w:val="clear"/>
          </w:tcPr>
          <w:p>
            <w:r>
              <w:rPr>
                <w:b/>
                <w:sz w:val="17"/>
              </w:rPr>
              <w:t>34,141</w:t>
            </w:r>
          </w:p>
        </w:tc>
        <w:tc>
          <w:tcPr>
            <w:tcW w:type="dxa" w:w="1440"/>
            <w:shd w:fill="FFDCE0" w:val="clear"/>
          </w:tcPr>
          <w:p>
            <w:r>
              <w:rPr>
                <w:sz w:val="17"/>
              </w:rPr>
              <w:t>36,245</w:t>
            </w:r>
          </w:p>
        </w:tc>
        <w:tc>
          <w:tcPr>
            <w:tcW w:type="dxa" w:w="1440"/>
            <w:shd w:fill="FFDCE0" w:val="clear"/>
          </w:tcPr>
          <w:p>
            <w:r>
              <w:rPr>
                <w:b/>
                <w:color w:val="C00000"/>
                <w:sz w:val="17"/>
              </w:rPr>
              <w:t>-7.7%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31,601</w:t>
            </w:r>
          </w:p>
        </w:tc>
        <w:tc>
          <w:tcPr>
            <w:tcW w:type="dxa" w:w="1440"/>
            <w:shd w:fill="FFDCE0" w:val="clear"/>
          </w:tcPr>
          <w:p>
            <w:r>
              <w:rPr>
                <w:b/>
                <w:sz w:val="17"/>
              </w:rPr>
              <w:t>34,022</w:t>
            </w:r>
          </w:p>
        </w:tc>
        <w:tc>
          <w:tcPr>
            <w:tcW w:type="dxa" w:w="1440"/>
            <w:shd w:fill="FFDCE0" w:val="clear"/>
          </w:tcPr>
          <w:p>
            <w:r>
              <w:rPr>
                <w:sz w:val="17"/>
              </w:rPr>
              <w:t>36,442</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31,234</w:t>
            </w:r>
          </w:p>
        </w:tc>
        <w:tc>
          <w:tcPr>
            <w:tcW w:type="dxa" w:w="1440"/>
            <w:shd w:fill="FFDCE0" w:val="clear"/>
          </w:tcPr>
          <w:p>
            <w:r>
              <w:rPr>
                <w:b/>
                <w:sz w:val="17"/>
              </w:rPr>
              <w:t>33,933</w:t>
            </w:r>
          </w:p>
        </w:tc>
        <w:tc>
          <w:tcPr>
            <w:tcW w:type="dxa" w:w="1440"/>
            <w:shd w:fill="FFDCE0" w:val="clear"/>
          </w:tcPr>
          <w:p>
            <w:r>
              <w:rPr>
                <w:sz w:val="17"/>
              </w:rPr>
              <w:t>36,631</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30,912</w:t>
            </w:r>
          </w:p>
        </w:tc>
        <w:tc>
          <w:tcPr>
            <w:tcW w:type="dxa" w:w="1440"/>
            <w:shd w:fill="FFDCE0" w:val="clear"/>
          </w:tcPr>
          <w:p>
            <w:r>
              <w:rPr>
                <w:b/>
                <w:sz w:val="17"/>
              </w:rPr>
              <w:t>33,862</w:t>
            </w:r>
          </w:p>
        </w:tc>
        <w:tc>
          <w:tcPr>
            <w:tcW w:type="dxa" w:w="1440"/>
            <w:shd w:fill="FFDCE0" w:val="clear"/>
          </w:tcPr>
          <w:p>
            <w:r>
              <w:rPr>
                <w:sz w:val="17"/>
              </w:rPr>
              <w:t>36,813</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30,620</w:t>
            </w:r>
          </w:p>
        </w:tc>
        <w:tc>
          <w:tcPr>
            <w:tcW w:type="dxa" w:w="1440"/>
            <w:shd w:fill="FFDCE0" w:val="clear"/>
          </w:tcPr>
          <w:p>
            <w:r>
              <w:rPr>
                <w:b/>
                <w:sz w:val="17"/>
              </w:rPr>
              <w:t>33,801</w:t>
            </w:r>
          </w:p>
        </w:tc>
        <w:tc>
          <w:tcPr>
            <w:tcW w:type="dxa" w:w="1440"/>
            <w:shd w:fill="FFDCE0" w:val="clear"/>
          </w:tcPr>
          <w:p>
            <w:r>
              <w:rPr>
                <w:sz w:val="17"/>
              </w:rPr>
              <w:t>36,982</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30,349</w:t>
            </w:r>
          </w:p>
        </w:tc>
        <w:tc>
          <w:tcPr>
            <w:tcW w:type="dxa" w:w="1440"/>
            <w:shd w:fill="FFDCE0" w:val="clear"/>
          </w:tcPr>
          <w:p>
            <w:r>
              <w:rPr>
                <w:b/>
                <w:sz w:val="17"/>
              </w:rPr>
              <w:t>33,744</w:t>
            </w:r>
          </w:p>
        </w:tc>
        <w:tc>
          <w:tcPr>
            <w:tcW w:type="dxa" w:w="1440"/>
            <w:shd w:fill="FFDCE0" w:val="clear"/>
          </w:tcPr>
          <w:p>
            <w:r>
              <w:rPr>
                <w:sz w:val="17"/>
              </w:rPr>
              <w:t>37,138</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30,093</w:t>
            </w:r>
          </w:p>
        </w:tc>
        <w:tc>
          <w:tcPr>
            <w:tcW w:type="dxa" w:w="1440"/>
            <w:shd w:fill="FFDCE0" w:val="clear"/>
          </w:tcPr>
          <w:p>
            <w:r>
              <w:rPr>
                <w:b/>
                <w:sz w:val="17"/>
              </w:rPr>
              <w:t>33,688</w:t>
            </w:r>
          </w:p>
        </w:tc>
        <w:tc>
          <w:tcPr>
            <w:tcW w:type="dxa" w:w="1440"/>
            <w:shd w:fill="FFDCE0" w:val="clear"/>
          </w:tcPr>
          <w:p>
            <w:r>
              <w:rPr>
                <w:sz w:val="17"/>
              </w:rPr>
              <w:t>37,283</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29,852</w:t>
            </w:r>
          </w:p>
        </w:tc>
        <w:tc>
          <w:tcPr>
            <w:tcW w:type="dxa" w:w="1440"/>
            <w:shd w:fill="FFDCE0" w:val="clear"/>
          </w:tcPr>
          <w:p>
            <w:r>
              <w:rPr>
                <w:b/>
                <w:sz w:val="17"/>
              </w:rPr>
              <w:t>33,635</w:t>
            </w:r>
          </w:p>
        </w:tc>
        <w:tc>
          <w:tcPr>
            <w:tcW w:type="dxa" w:w="1440"/>
            <w:shd w:fill="FFDCE0" w:val="clear"/>
          </w:tcPr>
          <w:p>
            <w:r>
              <w:rPr>
                <w:sz w:val="17"/>
              </w:rPr>
              <w:t>37,418</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22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3 698 milliards FCFA, ce qui en fait la valeur la plus lourde et la plus liquide de la cote BRVM, un véritable poids lourd régional. Avec un BPA de 4 136 FCFA, le titre se négocie à un PER de 8,9x, un niveau inférieur à la moyenne historique du marché (8-12x), signalant une sous-évaluation relative de la valeur par rapport à ses bénéfices. Le P/B de 2,64x indique que le marché accorde une prime de croissance à l'entreprise, justifiée par sa rentabilité élevée. Enfin, un EV/EBITDA de 3,8x, très inférieur au seuil de 5x, confirme que la valorisation globale de l'entreprise (dette incluse) est très bon marché au regard de sa capacité opérationnelle à générer du cash. Ces ratios combinés suggèrent un profil de valeur attractif.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+30,21%, avec une accélération marquée lors de la dernière séance (+7,50%), portant le cours à 36 980 FCFA, son plus haut niveau sur la période. Le titre a évolué dans une fourchette de 27 160 FCFA à 36 980 FCFA, démontrant une tendance haussière soutenue. La moyenne du cours sur la période (29 677 FCFA) est supérieure à la médiane (28 900 FCFA), ce qui, combiné à un skewness positif (1,449), indique une distribution asymétrique avec des jours de forte hausse tirant la moyenne vers le haut. L'écart-type de 1 701 FCFA (CV de 5,7%) révèle une dispersion modérée, mais le kurtosis élevé (2,485) signale un risque de mouvements extrêmes. La volatilité annualisée de 29,3% classe le titre dans la catégorie "élevée", reflétant un momentum puissant mais potentiellement instable.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(36 980 FCFA) évolue nettement au-dessus de la MM20 (32 009 FCFA) et de la MM50 (30 714 FCFA), confirmant une tendance haussière de court et moyen terme. L'écart croissant entre le prix et les moyennes indique une dynamique positive, justifiant la décision d'achat.</w:t>
      </w:r>
    </w:p>
    <w:p>
      <w:pPr>
        <w:spacing w:after="120" w:line="276" w:lineRule="auto"/>
      </w:pPr>
      <w:r>
        <w:t>**Bandes de Bollinger** : Le cours a franchi la borne supérieure (35 169 FCFA), signalant une condition de surachat extrême. Cette sortie de canal indique une volatilité en expansion et un écart temporaire par rapport à la moyenne, ce qui déclenche un signal de vente à court terme pour un éventuel repli.</w:t>
      </w:r>
    </w:p>
    <w:p>
      <w:pPr>
        <w:spacing w:after="120" w:line="276" w:lineRule="auto"/>
      </w:pPr>
      <w:r>
        <w:t>**MACD** : La valeur du MACD (1 057) est nettement supérieure à sa ligne de signal (621), avec un histogramme positif. Cette configuration montre un momentum haussier très fort, confirmant la tendance en place et justifiant la décision d'achat.</w:t>
      </w:r>
    </w:p>
    <w:p>
      <w:pPr>
        <w:spacing w:after="120" w:line="276" w:lineRule="auto"/>
      </w:pPr>
      <w:r>
        <w:t>**RSI** : À 84,8, le RSI est profondément en zone de surachat (au-delà de 70). Ce niveau extrême indique que le titre est survendu à la hausse et qu'un essoufflement ou une consolidation technique est probable à très court terme, justifiant la décision de vente.</w:t>
      </w:r>
    </w:p>
    <w:p>
      <w:pPr>
        <w:spacing w:after="120" w:line="276" w:lineRule="auto"/>
      </w:pPr>
      <w:r>
        <w:t>**Stochastique** : Les valeurs %K et %D sont toutes deux à 100, un niveau extrême de surachat. Cette configuration signale que le marché est à son maximum de dynamique haussière, mais qu'un croisement baissier est imminent, justifiant la décision de vente.</w:t>
      </w:r>
    </w:p>
    <w:p>
      <w:pPr>
        <w:spacing w:after="120" w:line="276" w:lineRule="auto"/>
      </w:pPr>
      <w:r>
        <w:t>**Conclusion technique** : Les indicateurs de tendance (MM, MACD) sont résolument haussiers, mais les oscillateurs de momentum (RSI, Stochastique, Bollinger) sont en zone de surachat extrême. Cette divergence suggère une poursuite de la tendance à moyen terme, mais avec un fort risque de correction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SNTS a réalisé un chiffre d'affaires de 1 923,1 Mds FCFA (+8,3% vs 2024), avec un résultat net de 413,6 Mds FCFA (+5,1%), soit une marge nette de 21,5%. La rentabilité des fonds propres (ROE) est excellente à 29,6%, et le ROA atteint 12,6%, démontrant une utilisation très efficace des actifs. La structure financière est saine avec une autonomie financière de 42,8% et une capacité de remboursement rapide (0,64 an). Le BFR est négatif (-284,9 Mds FCFA), une situation favorable qui indique que l'entreprise finance son cycle d'exploitation par ses fournisseurs (délai fournisseurs de 201 jours contre 46 jours pour les clients). Les rapports trimestriels 2025 (T1, S1, T3) confirment une croissance régulière, et le communiqué du S1 2026 publié le 24 juillet 2026 fait état d'un CA de 1 049,8 Mds FCFA (+9,3%) et d'un résultat net de 230 Mds FCFA (+10,5%). Sur cette base, on estime que l'exercice 2026 pourrait dépasser 2 100 Mds FCFA de CA, avec une marge nette stable autour de 22%. La notation AAA (wu) de GCR Ratings renforce la solidité du profil de crédit.</w:t>
      </w:r>
    </w:p>
    <w:p>
      <w:pPr>
        <w:spacing w:after="120" w:line="276" w:lineRule="auto"/>
      </w:pPr>
      <w:r>
        <w:t>---</w:t>
      </w:r>
    </w:p>
    <w:p>
      <w:pPr>
        <w:spacing w:after="120" w:line="276" w:lineRule="auto"/>
      </w:pPr>
      <w:r>
        <w:t>### PARTIE 4 : CONCLUSION D'INVESTISSEMENT</w:t>
      </w:r>
    </w:p>
    <w:p>
      <w:pPr>
        <w:spacing w:after="120" w:line="276" w:lineRule="auto"/>
      </w:pPr>
      <w:r>
        <w:t>La valorisation de SNTS (PER 8,9x, EV/EBITDA 3,8x) indique une sous-évaluation malgré la forte hausse du cours, tandis que les fondamentaux sont excellents (ROE 29,6%, croissance soutenue). Le comportement du cours montre une tendance haussière puissante, mais les statistiques (kurtosis élevé, volatilité 29,3%) et les signaux techniques de surachat (RSI 84,8, Stochastique 100) suggèrent un risque de consolidation à court terme. Les prédictions IA pour les 10 prochains jours (34 206 FCFA à 33 933 FCFA) anticipent un repli technique vers les 34 000 FCFA, confirmant cette hypothèse de correction avant une potentielle reprise. La convergence entre des fondamentaux solides, une valorisation attractive et une dynamique de croissance soutenue par les résultats S1 2026 (+10,5% de résultat net) plaide pour une stratégie d'accumulation. **Recommandation : ACHAT** sur les replis, avec un niveau de confiance **Élevé** et un risque global **Moyen**. L'horizon d'investissement optimal est le **moyen terme (3-12 mois)**, visant à capter la poursuite de la croissance du groupe tout en évitant l'entrée à des niveaux de surachat extrême.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176.60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5,790 titres</w:t>
            </w:r>
          </w:p>
        </w:tc>
        <w:tc>
          <w:tcPr>
            <w:tcW w:type="dxa" w:w="2268"/>
            <w:shd w:fill="FFF2CC" w:val="clear"/>
          </w:tcPr>
          <w:p>
            <w:r>
              <w:rPr>
                <w:b/>
                <w:color w:val="503200"/>
                <w:sz w:val="16"/>
              </w:rPr>
              <w:t xml:space="preserve">Cours actuel : </w:t>
            </w:r>
            <w:r>
              <w:rPr>
                <w:color w:val="000000"/>
                <w:sz w:val="17"/>
              </w:rPr>
              <w:t>8,175 FCFA</w:t>
            </w:r>
          </w:p>
          <w:p>
            <w:r>
              <w:rPr>
                <w:b/>
                <w:color w:val="503200"/>
                <w:sz w:val="16"/>
              </w:rPr>
              <w:t xml:space="preserve">Var. 100 jours : </w:t>
            </w:r>
            <w:r>
              <w:rPr>
                <w:b/>
                <w:color w:val="B40000"/>
                <w:sz w:val="17"/>
              </w:rPr>
              <w:t>-0.30%</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μ=7,976 FCFA, σ=384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β=0.3359 (Défensif) — Cov=0.000012, Var(idx)=0.000035, ρ=0.084,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7,811</w:t>
            </w:r>
          </w:p>
        </w:tc>
        <w:tc>
          <w:tcPr>
            <w:tcW w:type="dxa" w:w="1440"/>
            <w:shd w:fill="FAFAFA" w:val="clear"/>
          </w:tcPr>
          <w:p>
            <w:r>
              <w:rPr>
                <w:b/>
                <w:sz w:val="17"/>
              </w:rPr>
              <w:t>8,185</w:t>
            </w:r>
          </w:p>
        </w:tc>
        <w:tc>
          <w:tcPr>
            <w:tcW w:type="dxa" w:w="1440"/>
            <w:shd w:fill="FAFAFA" w:val="clear"/>
          </w:tcPr>
          <w:p>
            <w:r>
              <w:rPr>
                <w:sz w:val="17"/>
              </w:rPr>
              <w:t>8,559</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7,665</w:t>
            </w:r>
          </w:p>
        </w:tc>
        <w:tc>
          <w:tcPr>
            <w:tcW w:type="dxa" w:w="1440"/>
            <w:shd w:fill="FAFAFA" w:val="clear"/>
          </w:tcPr>
          <w:p>
            <w:r>
              <w:rPr>
                <w:b/>
                <w:sz w:val="17"/>
              </w:rPr>
              <w:t>8,194</w:t>
            </w:r>
          </w:p>
        </w:tc>
        <w:tc>
          <w:tcPr>
            <w:tcW w:type="dxa" w:w="1440"/>
            <w:shd w:fill="FAFAFA" w:val="clear"/>
          </w:tcPr>
          <w:p>
            <w:r>
              <w:rPr>
                <w:sz w:val="17"/>
              </w:rPr>
              <w:t>8,724</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7,557</w:t>
            </w:r>
          </w:p>
        </w:tc>
        <w:tc>
          <w:tcPr>
            <w:tcW w:type="dxa" w:w="1440"/>
            <w:shd w:fill="FAFAFA" w:val="clear"/>
          </w:tcPr>
          <w:p>
            <w:r>
              <w:rPr>
                <w:b/>
                <w:sz w:val="17"/>
              </w:rPr>
              <w:t>8,206</w:t>
            </w:r>
          </w:p>
        </w:tc>
        <w:tc>
          <w:tcPr>
            <w:tcW w:type="dxa" w:w="1440"/>
            <w:shd w:fill="FAFAFA" w:val="clear"/>
          </w:tcPr>
          <w:p>
            <w:r>
              <w:rPr>
                <w:sz w:val="17"/>
              </w:rPr>
              <w:t>8,855</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7,467</w:t>
            </w:r>
          </w:p>
        </w:tc>
        <w:tc>
          <w:tcPr>
            <w:tcW w:type="dxa" w:w="1440"/>
            <w:shd w:fill="FAFAFA" w:val="clear"/>
          </w:tcPr>
          <w:p>
            <w:r>
              <w:rPr>
                <w:b/>
                <w:sz w:val="17"/>
              </w:rPr>
              <w:t>8,218</w:t>
            </w:r>
          </w:p>
        </w:tc>
        <w:tc>
          <w:tcPr>
            <w:tcW w:type="dxa" w:w="1440"/>
            <w:shd w:fill="FAFAFA" w:val="clear"/>
          </w:tcPr>
          <w:p>
            <w:r>
              <w:rPr>
                <w:sz w:val="17"/>
              </w:rPr>
              <w:t>8,968</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7,388</w:t>
            </w:r>
          </w:p>
        </w:tc>
        <w:tc>
          <w:tcPr>
            <w:tcW w:type="dxa" w:w="1440"/>
            <w:shd w:fill="FAFAFA" w:val="clear"/>
          </w:tcPr>
          <w:p>
            <w:r>
              <w:rPr>
                <w:b/>
                <w:sz w:val="17"/>
              </w:rPr>
              <w:t>8,229</w:t>
            </w:r>
          </w:p>
        </w:tc>
        <w:tc>
          <w:tcPr>
            <w:tcW w:type="dxa" w:w="1440"/>
            <w:shd w:fill="FAFAFA" w:val="clear"/>
          </w:tcPr>
          <w:p>
            <w:r>
              <w:rPr>
                <w:sz w:val="17"/>
              </w:rPr>
              <w:t>9,070</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7,318</w:t>
            </w:r>
          </w:p>
        </w:tc>
        <w:tc>
          <w:tcPr>
            <w:tcW w:type="dxa" w:w="1440"/>
            <w:shd w:fill="FAFAFA" w:val="clear"/>
          </w:tcPr>
          <w:p>
            <w:r>
              <w:rPr>
                <w:b/>
                <w:sz w:val="17"/>
              </w:rPr>
              <w:t>8,240</w:t>
            </w:r>
          </w:p>
        </w:tc>
        <w:tc>
          <w:tcPr>
            <w:tcW w:type="dxa" w:w="1440"/>
            <w:shd w:fill="FAFAFA" w:val="clear"/>
          </w:tcPr>
          <w:p>
            <w:r>
              <w:rPr>
                <w:sz w:val="17"/>
              </w:rPr>
              <w:t>9,163</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7,254</w:t>
            </w:r>
          </w:p>
        </w:tc>
        <w:tc>
          <w:tcPr>
            <w:tcW w:type="dxa" w:w="1440"/>
            <w:shd w:fill="FAFAFA" w:val="clear"/>
          </w:tcPr>
          <w:p>
            <w:r>
              <w:rPr>
                <w:b/>
                <w:sz w:val="17"/>
              </w:rPr>
              <w:t>8,252</w:t>
            </w:r>
          </w:p>
        </w:tc>
        <w:tc>
          <w:tcPr>
            <w:tcW w:type="dxa" w:w="1440"/>
            <w:shd w:fill="FAFAFA" w:val="clear"/>
          </w:tcPr>
          <w:p>
            <w:r>
              <w:rPr>
                <w:sz w:val="17"/>
              </w:rPr>
              <w:t>9,249</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2026-09-03</w:t>
            </w:r>
          </w:p>
        </w:tc>
        <w:tc>
          <w:tcPr>
            <w:tcW w:type="dxa" w:w="1440"/>
            <w:shd w:fill="FAFAFA" w:val="clear"/>
          </w:tcPr>
          <w:p>
            <w:r>
              <w:rPr>
                <w:sz w:val="17"/>
              </w:rPr>
              <w:t>7,195</w:t>
            </w:r>
          </w:p>
        </w:tc>
        <w:tc>
          <w:tcPr>
            <w:tcW w:type="dxa" w:w="1440"/>
            <w:shd w:fill="FAFAFA" w:val="clear"/>
          </w:tcPr>
          <w:p>
            <w:r>
              <w:rPr>
                <w:b/>
                <w:sz w:val="17"/>
              </w:rPr>
              <w:t>8,263</w:t>
            </w:r>
          </w:p>
        </w:tc>
        <w:tc>
          <w:tcPr>
            <w:tcW w:type="dxa" w:w="1440"/>
            <w:shd w:fill="FAFAFA" w:val="clear"/>
          </w:tcPr>
          <w:p>
            <w:r>
              <w:rPr>
                <w:sz w:val="17"/>
              </w:rPr>
              <w:t>9,331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2026-09-04</w:t>
            </w:r>
          </w:p>
        </w:tc>
        <w:tc>
          <w:tcPr>
            <w:tcW w:type="dxa" w:w="1440"/>
            <w:shd w:fill="FAFAFA" w:val="clear"/>
          </w:tcPr>
          <w:p>
            <w:r>
              <w:rPr>
                <w:sz w:val="17"/>
              </w:rPr>
              <w:t>7,140</w:t>
            </w:r>
          </w:p>
        </w:tc>
        <w:tc>
          <w:tcPr>
            <w:tcW w:type="dxa" w:w="1440"/>
            <w:shd w:fill="FAFAFA" w:val="clear"/>
          </w:tcPr>
          <w:p>
            <w:r>
              <w:rPr>
                <w:b/>
                <w:sz w:val="17"/>
              </w:rPr>
              <w:t>8,274</w:t>
            </w:r>
          </w:p>
        </w:tc>
        <w:tc>
          <w:tcPr>
            <w:tcW w:type="dxa" w:w="1440"/>
            <w:shd w:fill="FAFAFA" w:val="clear"/>
          </w:tcPr>
          <w:p>
            <w:r>
              <w:rPr>
                <w:sz w:val="17"/>
              </w:rPr>
              <w:t>9,408</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2026-09-07</w:t>
            </w:r>
          </w:p>
        </w:tc>
        <w:tc>
          <w:tcPr>
            <w:tcW w:type="dxa" w:w="1440"/>
            <w:shd w:fill="FAFAFA" w:val="clear"/>
          </w:tcPr>
          <w:p>
            <w:r>
              <w:rPr>
                <w:sz w:val="17"/>
              </w:rPr>
              <w:t>7,088</w:t>
            </w:r>
          </w:p>
        </w:tc>
        <w:tc>
          <w:tcPr>
            <w:tcW w:type="dxa" w:w="1440"/>
            <w:shd w:fill="FAFAFA" w:val="clear"/>
          </w:tcPr>
          <w:p>
            <w:r>
              <w:rPr>
                <w:b/>
                <w:sz w:val="17"/>
              </w:rPr>
              <w:t>8,285</w:t>
            </w:r>
          </w:p>
        </w:tc>
        <w:tc>
          <w:tcPr>
            <w:tcW w:type="dxa" w:w="1440"/>
            <w:shd w:fill="FAFAFA" w:val="clear"/>
          </w:tcPr>
          <w:p>
            <w:r>
              <w:rPr>
                <w:sz w:val="17"/>
              </w:rPr>
              <w:t>9,482</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le rapport d'analyse professionnel structuré pour l'action SOGC,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176,60 milliards FCFA, ce qui en fait une valeur de première ligne sur la BRVM, représentant un poids significatif dans l'indice. Le BPA de 578 FCFA indique que chaque action a généré un bénéfice substantiel sur l'exercice 2025. Le PER de 14,1x est supérieur à la moyenne historique de la BRVM (8-12x), ce qui suggère que le marché accorde une prime de croissance à la société, les investisseurs acceptant de payer plus cher pour ses bénéfices futurs. Le P/B de 2,58x confirme cette prime, le marché valorisant le titre bien au-dessus de sa valeur comptable, signe de confiance dans la création de valeur future. Enfin, l'EV/EBITDA de 7,3x, situé dans la fourchette raisonnable (5-10x), indique que la valorisation de l'entreprise, dette incluse, reste cohérente avec sa capacité opérationnelle à générer des flux.</w:t>
      </w:r>
    </w:p>
    <w:p>
      <w:pPr>
        <w:spacing w:after="120" w:line="276" w:lineRule="auto"/>
      </w:pPr>
      <w:r>
        <w:t>### PARTIE 1 : ANALYSE DU COURS — STATISTIQUES ET ÉVOLUTION (100 derniers jours)</w:t>
      </w:r>
    </w:p>
    <w:p>
      <w:pPr>
        <w:spacing w:after="120" w:line="276" w:lineRule="auto"/>
      </w:pPr>
      <w:r>
        <w:t>Sur les 100 derniers jours, le cours de SOGC affiche une stabilité remarquable avec une variation totale de -0,30%, et une légère baisse de -0,24% lors de la dernière séance, clôturant à 8 175 FCFA. Le titre a évolué dans un range de trading de 7 100 à 8 600 FCFA, démontrant une certaine résistance à la baisse. La moyenne (7 976 FCFA) et la médiane (8 000 FCFA) étant très proches, la distribution des prix est quasi symétrique, ce qui est confirmé par un skewness de -0,344. L'écart-type de 385 FCFA (CV=4,8%) indique une dispersion très faible des prix autour de la moyenne, et le kurtosis de -0,946 (mésokurtique) suggère une absence de mouvements extrêmes ou de pics de volatilité. La volatilité annualisée de 37,5% est élevée, mais elle est à relativiser avec la stabilité observée sur la période, indiquant que les mouvements, bien que présents, restent contenus dans une fourchette étroite.</w:t>
      </w:r>
    </w:p>
    <w:p>
      <w:pPr>
        <w:spacing w:after="120" w:line="276" w:lineRule="auto"/>
      </w:pPr>
      <w:r>
        <w:t>### PARTIE 2 : ANALYSE TECHNIQUE DÉTAILLÉE</w:t>
      </w:r>
    </w:p>
    <w:p>
      <w:pPr>
        <w:spacing w:after="120" w:line="276" w:lineRule="auto"/>
      </w:pPr>
      <w:r>
        <w:t>**Moyennes Mobiles**: Le cours actuel (8 175 FCFA) se situe sous la MM20 (8 056,5 FCFA) et nettement sous la MM50 (8 209,4 FCFA). Cette configuration, où le prix est inférieur à la moyenne à moyen terme, signale une dynamique baissière à court et moyen terme. La décision de "Vente" est justifiée par cette position relative, indiquant que la tendance de fond est actuellement négative.</w:t>
      </w:r>
    </w:p>
    <w:p>
      <w:pPr>
        <w:spacing w:after="120" w:line="276" w:lineRule="auto"/>
      </w:pPr>
      <w:r>
        <w:t>**Bandes de Bollinger**: Le prix (8 175 FCFA) évolue dans la partie médiane du canal formé par les bornes (7 545 à 8 568 FCFA). Cette position, loin des extrêmes, indique une volatilité modérée et une absence de pression directionnelle forte. La décision "Neutre" est cohérente, le marché semblant chercher une direction sans réussir à sortir du canal.</w:t>
      </w:r>
    </w:p>
    <w:p>
      <w:pPr>
        <w:spacing w:after="120" w:line="276" w:lineRule="auto"/>
      </w:pPr>
      <w:r>
        <w:t>**MACD**: La valeur du MACD (-36,5) est supérieure à sa ligne de signal (-70,15), ce qui constitue un croisement haussier. Bien que les deux lignes soient en territoire négatif, cette divergence positive indique un momentum en amélioration et une possible reprise de la dynamique haussière. La décision "Achat" reflète ce signal précoce de retournement.</w:t>
      </w:r>
    </w:p>
    <w:p>
      <w:pPr>
        <w:spacing w:after="120" w:line="276" w:lineRule="auto"/>
      </w:pPr>
      <w:r>
        <w:t>**RSI**: Avec une valeur de 47,6, le RSI se situe en zone neutre, entre les seuils de surachat (70) et de survente (30). Cela indique que le titre n'est ni survendu ni suracheté, laissant place à une évolution dans un sens ou dans l'autre. La décision "Neutre" est donc logique, le momentum n'étant pas assez fort pour signaler une direction claire.</w:t>
      </w:r>
    </w:p>
    <w:p>
      <w:pPr>
        <w:spacing w:after="120" w:line="276" w:lineRule="auto"/>
      </w:pPr>
      <w:r>
        <w:t>**Stochastique**: Les valeurs de %K (79,3) et %D (83,4) sont élevées, proches de la zone de surachat (&gt;80). Le %K étant inférieur au %D, cela pourrait signaler un début de retournement baissier, mais les deux lignes restent dans une zone de force relative. La décision "Neutre" traduit cette situation ambiguë où le titre est fort mais potentiellement surchauffé à très court terme.</w:t>
      </w:r>
    </w:p>
    <w:p>
      <w:pPr>
        <w:spacing w:after="120" w:line="276" w:lineRule="auto"/>
      </w:pPr>
      <w:r>
        <w:t>**Conclusion technique**: Les signaux techniques sont mitigés. La tendance de fond (MM) est baissière, mais le MACD montre un momentum haussier naissant. Le RSI et les bandes de Bollinger indiquent une phase de consolidation neutre, tandis que le stochastique est en zone de surachat. Cette divergence suggère une période d'incertitude, avec un potentiel de rebond technique (MACD) mais une résistance à la hausse (MM50). Le titre est dans une phase de stabilisation, attendant un catalyseur pour définir sa prochaine direction.</w:t>
      </w:r>
    </w:p>
    <w:p>
      <w:pPr>
        <w:spacing w:after="120" w:line="276" w:lineRule="auto"/>
      </w:pPr>
      <w:r>
        <w:t>### PARTIE 3 : ANALYSE FONDAMENTALE (SECTION CRITIQUE)</w:t>
      </w:r>
    </w:p>
    <w:p>
      <w:pPr>
        <w:spacing w:after="120" w:line="276" w:lineRule="auto"/>
      </w:pPr>
      <w:r>
        <w:t>En 2025, la SOGC a réalisé un chiffre d'affaires de 98,98 milliards FCFA, en hausse de 10,7% par rapport à 2024, et un résultat net de 12,49 milliards FCFA. Cette performance, bien qu'en légère baisse de 5% par rapport au résultat exceptionnel de 2024 (13,11 milliards FCFA), confirme la solidité du modèle économique. La rentabilité reste excellente avec un ROE de 18,3% et un ROA de 13,8%, témoignant d'une gestion efficace des fonds propres et des actifs. La structure financière est très saine avec une autonomie financière de 75,8% et une capacité de remboursement quasi nulle (0,04 an). En tant qu'entreprise agro-industrielle, l'analyse des délais est cruciale : le délai de stockage de 97,7 jours est élevé, immobilisant du capital, mais le BFR de 7,12 milliards FCFA reste positif et maîtrisé. Les rapports trimestriels de 2025 montrent une dynamique en dents de scie : le T1 était exceptionnel (CA +63%, RN +263%), le S1 très bon (CA +52%, RN +152%), mais le cumul 9 mois (CA +21%, RN +39,5%) confirme un ralentissement marqué au S2, dû à la baisse des cours du caoutchouc et à une concurrence accrue. Sur la base de ces rapports, on estime que l'exercice 2025, avec un résultat net de 12,49 milliards FCFA, a été porté par un premier semestre exceptionnel. Les perspectives pour 2026 restent prudentes, la direction anticipant un environnement de prix plus difficile. La société propose un dividende de 570 FCFA par action, maintenant une politique de distribution généreuse.</w:t>
      </w:r>
    </w:p>
    <w:p>
      <w:pPr>
        <w:spacing w:after="120" w:line="276" w:lineRule="auto"/>
      </w:pPr>
      <w:r>
        <w:t>### PARTIE 4 : CONCLUSION D'INVESTISSEMENT</w:t>
      </w:r>
    </w:p>
    <w:p>
      <w:pPr>
        <w:spacing w:after="120" w:line="276" w:lineRule="auto"/>
      </w:pPr>
      <w:r>
        <w:t>La valorisation de SOGC (PER 14,1x, P/B 2,58x) est correcte mais non "bon marché", intégrant une prime pour sa rentabilité élevée et sa solidité financière. Le comportement du cours sur 100 jours est stable, avec une volatilité contenue et des statistiques (kurtosis, skewness) indiquant une distribution normale des rendements, sans risque de pic majeur. Les signaux techniques sont mitigés, avec une tendance de fond baissière (MM) mais un momentum haussier naissant (MACD), le tout dans une phase de consolidation neutre. Les fondamentaux sont excellents à très bons, avec une croissance du CA, des marges élevées et une structure bilancielle robuste, malgré un ralentissement attendu. Les prédictions IA sur 10 jours (8 185 à 8 229 FCFA) suggèrent une légère tendance haussière, contredisant la tendance technique de fond mais confirmant le signal du MACD. En synthèse, la convergence entre des fondamentaux solides, une valorisation raisonnable et des prédictions IA légèrement haussières, malgré des signaux techniques partagés, conduit à une recommandation **CONSERVER**. Le niveau de confiance est **Moyen** et le risque global est **Moyen**, principalement lié à la volatilité des prix des matières premières. L'horizon d'investissement optimal est le **moyen terme (3-12 mois)**, en attendant une clarification de la tendance technique et une stabilisation des cours du caoutchouc.</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5,297 titres</w:t>
            </w:r>
          </w:p>
        </w:tc>
        <w:tc>
          <w:tcPr>
            <w:tcW w:type="dxa" w:w="2268"/>
            <w:shd w:fill="FFF2CC" w:val="clear"/>
          </w:tcPr>
          <w:p>
            <w:r>
              <w:rPr>
                <w:b/>
                <w:color w:val="503200"/>
                <w:sz w:val="16"/>
              </w:rPr>
              <w:t xml:space="preserve">Cours actuel : </w:t>
            </w:r>
            <w:r>
              <w:rPr>
                <w:color w:val="000000"/>
                <w:sz w:val="17"/>
              </w:rPr>
              <w:t>9,440 FCFA</w:t>
            </w:r>
          </w:p>
          <w:p>
            <w:r>
              <w:rPr>
                <w:b/>
                <w:color w:val="503200"/>
                <w:sz w:val="16"/>
              </w:rPr>
              <w:t xml:space="preserve">Var. 100 jours : </w:t>
            </w:r>
            <w:r>
              <w:rPr>
                <w:b/>
                <w:color w:val="007800"/>
                <w:sz w:val="17"/>
              </w:rPr>
              <w:t>+29.67%</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μ=7,472 FCFA, σ=493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β=1.1415 (Neutre (suit le marché)) — Cov=0.000040, Var(idx)=0.000035, ρ=0.272,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8,666</w:t>
            </w:r>
          </w:p>
        </w:tc>
        <w:tc>
          <w:tcPr>
            <w:tcW w:type="dxa" w:w="1440"/>
            <w:shd w:fill="FFDCE0" w:val="clear"/>
          </w:tcPr>
          <w:p>
            <w:r>
              <w:rPr>
                <w:b/>
                <w:sz w:val="17"/>
              </w:rPr>
              <w:t>9,114</w:t>
            </w:r>
          </w:p>
        </w:tc>
        <w:tc>
          <w:tcPr>
            <w:tcW w:type="dxa" w:w="1440"/>
            <w:shd w:fill="FFDCE0" w:val="clear"/>
          </w:tcPr>
          <w:p>
            <w:r>
              <w:rPr>
                <w:sz w:val="17"/>
              </w:rPr>
              <w:t>9,561</w:t>
            </w:r>
          </w:p>
        </w:tc>
        <w:tc>
          <w:tcPr>
            <w:tcW w:type="dxa" w:w="1440"/>
            <w:shd w:fill="FFDCE0" w:val="clear"/>
          </w:tcPr>
          <w:p>
            <w:r>
              <w:rPr>
                <w:b/>
                <w:color w:val="C00000"/>
                <w:sz w:val="17"/>
              </w:rPr>
              <w:t>-3.5%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8,459</w:t>
            </w:r>
          </w:p>
        </w:tc>
        <w:tc>
          <w:tcPr>
            <w:tcW w:type="dxa" w:w="1440"/>
            <w:shd w:fill="FFDCE0" w:val="clear"/>
          </w:tcPr>
          <w:p>
            <w:r>
              <w:rPr>
                <w:b/>
                <w:sz w:val="17"/>
              </w:rPr>
              <w:t>9,090</w:t>
            </w:r>
          </w:p>
        </w:tc>
        <w:tc>
          <w:tcPr>
            <w:tcW w:type="dxa" w:w="1440"/>
            <w:shd w:fill="FFDCE0" w:val="clear"/>
          </w:tcPr>
          <w:p>
            <w:r>
              <w:rPr>
                <w:sz w:val="17"/>
              </w:rPr>
              <w:t>9,722</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8,280</w:t>
            </w:r>
          </w:p>
        </w:tc>
        <w:tc>
          <w:tcPr>
            <w:tcW w:type="dxa" w:w="1440"/>
            <w:shd w:fill="FFDCE0" w:val="clear"/>
          </w:tcPr>
          <w:p>
            <w:r>
              <w:rPr>
                <w:b/>
                <w:sz w:val="17"/>
              </w:rPr>
              <w:t>9,051</w:t>
            </w:r>
          </w:p>
        </w:tc>
        <w:tc>
          <w:tcPr>
            <w:tcW w:type="dxa" w:w="1440"/>
            <w:shd w:fill="FFDCE0" w:val="clear"/>
          </w:tcPr>
          <w:p>
            <w:r>
              <w:rPr>
                <w:sz w:val="17"/>
              </w:rPr>
              <w:t>9,821</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8,129</w:t>
            </w:r>
          </w:p>
        </w:tc>
        <w:tc>
          <w:tcPr>
            <w:tcW w:type="dxa" w:w="1440"/>
            <w:shd w:fill="FFDCE0" w:val="clear"/>
          </w:tcPr>
          <w:p>
            <w:r>
              <w:rPr>
                <w:b/>
                <w:sz w:val="17"/>
              </w:rPr>
              <w:t>9,015</w:t>
            </w:r>
          </w:p>
        </w:tc>
        <w:tc>
          <w:tcPr>
            <w:tcW w:type="dxa" w:w="1440"/>
            <w:shd w:fill="FFDCE0" w:val="clear"/>
          </w:tcPr>
          <w:p>
            <w:r>
              <w:rPr>
                <w:sz w:val="17"/>
              </w:rPr>
              <w:t>9,900</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7,993</w:t>
            </w:r>
          </w:p>
        </w:tc>
        <w:tc>
          <w:tcPr>
            <w:tcW w:type="dxa" w:w="1440"/>
            <w:shd w:fill="FFDCE0" w:val="clear"/>
          </w:tcPr>
          <w:p>
            <w:r>
              <w:rPr>
                <w:b/>
                <w:sz w:val="17"/>
              </w:rPr>
              <w:t>8,980</w:t>
            </w:r>
          </w:p>
        </w:tc>
        <w:tc>
          <w:tcPr>
            <w:tcW w:type="dxa" w:w="1440"/>
            <w:shd w:fill="FFDCE0" w:val="clear"/>
          </w:tcPr>
          <w:p>
            <w:r>
              <w:rPr>
                <w:sz w:val="17"/>
              </w:rPr>
              <w:t>9,967</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7,869</w:t>
            </w:r>
          </w:p>
        </w:tc>
        <w:tc>
          <w:tcPr>
            <w:tcW w:type="dxa" w:w="1440"/>
            <w:shd w:fill="FFDCE0" w:val="clear"/>
          </w:tcPr>
          <w:p>
            <w:r>
              <w:rPr>
                <w:b/>
                <w:sz w:val="17"/>
              </w:rPr>
              <w:t>8,946</w:t>
            </w:r>
          </w:p>
        </w:tc>
        <w:tc>
          <w:tcPr>
            <w:tcW w:type="dxa" w:w="1440"/>
            <w:shd w:fill="FFDCE0" w:val="clear"/>
          </w:tcPr>
          <w:p>
            <w:r>
              <w:rPr>
                <w:sz w:val="17"/>
              </w:rPr>
              <w:t>10,022</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7,753</w:t>
            </w:r>
          </w:p>
        </w:tc>
        <w:tc>
          <w:tcPr>
            <w:tcW w:type="dxa" w:w="1440"/>
            <w:shd w:fill="FFDCE0" w:val="clear"/>
          </w:tcPr>
          <w:p>
            <w:r>
              <w:rPr>
                <w:b/>
                <w:sz w:val="17"/>
              </w:rPr>
              <w:t>8,911</w:t>
            </w:r>
          </w:p>
        </w:tc>
        <w:tc>
          <w:tcPr>
            <w:tcW w:type="dxa" w:w="1440"/>
            <w:shd w:fill="FFDCE0" w:val="clear"/>
          </w:tcPr>
          <w:p>
            <w:r>
              <w:rPr>
                <w:sz w:val="17"/>
              </w:rPr>
              <w:t>10,070</w:t>
            </w:r>
          </w:p>
        </w:tc>
        <w:tc>
          <w:tcPr>
            <w:tcW w:type="dxa" w:w="1440"/>
            <w:shd w:fill="FFDCE0" w:val="clear"/>
          </w:tcPr>
          <w:p>
            <w:r>
              <w:rPr>
                <w:b/>
                <w:color w:val="C00000"/>
                <w:sz w:val="17"/>
              </w:rPr>
              <w:t>-5.6%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7,643</w:t>
            </w:r>
          </w:p>
        </w:tc>
        <w:tc>
          <w:tcPr>
            <w:tcW w:type="dxa" w:w="1440"/>
            <w:shd w:fill="FFDCE0" w:val="clear"/>
          </w:tcPr>
          <w:p>
            <w:r>
              <w:rPr>
                <w:b/>
                <w:sz w:val="17"/>
              </w:rPr>
              <w:t>8,877</w:t>
            </w:r>
          </w:p>
        </w:tc>
        <w:tc>
          <w:tcPr>
            <w:tcW w:type="dxa" w:w="1440"/>
            <w:shd w:fill="FFDCE0" w:val="clear"/>
          </w:tcPr>
          <w:p>
            <w:r>
              <w:rPr>
                <w:sz w:val="17"/>
              </w:rPr>
              <w:t>10,111</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7,539</w:t>
            </w:r>
          </w:p>
        </w:tc>
        <w:tc>
          <w:tcPr>
            <w:tcW w:type="dxa" w:w="1440"/>
            <w:shd w:fill="FFDCE0" w:val="clear"/>
          </w:tcPr>
          <w:p>
            <w:r>
              <w:rPr>
                <w:b/>
                <w:sz w:val="17"/>
              </w:rPr>
              <w:t>8,843</w:t>
            </w:r>
          </w:p>
        </w:tc>
        <w:tc>
          <w:tcPr>
            <w:tcW w:type="dxa" w:w="1440"/>
            <w:shd w:fill="FFDCE0" w:val="clear"/>
          </w:tcPr>
          <w:p>
            <w:r>
              <w:rPr>
                <w:sz w:val="17"/>
              </w:rPr>
              <w:t>10,146</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7,440</w:t>
            </w:r>
          </w:p>
        </w:tc>
        <w:tc>
          <w:tcPr>
            <w:tcW w:type="dxa" w:w="1440"/>
            <w:shd w:fill="FFDCE0" w:val="clear"/>
          </w:tcPr>
          <w:p>
            <w:r>
              <w:rPr>
                <w:b/>
                <w:sz w:val="17"/>
              </w:rPr>
              <w:t>8,809</w:t>
            </w:r>
          </w:p>
        </w:tc>
        <w:tc>
          <w:tcPr>
            <w:tcW w:type="dxa" w:w="1440"/>
            <w:shd w:fill="FFDCE0" w:val="clear"/>
          </w:tcPr>
          <w:p>
            <w:r>
              <w:rPr>
                <w:sz w:val="17"/>
              </w:rPr>
              <w:t>10,178</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Absolument. Voici votre rapport d'analyse financière professionnel pour l'action SPHC (SAPH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s'élève à 241,27 milliards FCFA, ce qui en fait une valeur de première importance sur la BRVM, reflétant la confiance des investisseurs dans ce leader industriel. Avec un BPA de 977 FCFA, chaque action génère un bénéfice substantiel. Le PER de 9,7x est légèrement inférieur à la moyenne historique de la BRVM (8-12x), signalant que le marché valorise la société de manière raisonnable, sans prime excessive, malgré sa forte croissance. Le P/B de 1,75x indique que le marché valorise les actifs nets de la société à 75% au-dessus de leur valeur comptable, ce qui est cohérent avec une rentabilité élevée (ROE &gt; 18%). Enfin, un EV/EBITDA de 5,9x est attractif, car il suggère que la valeur totale de l'entreprise (dette incluse) reste modérée par rapport à sa capacité à générer du cash-flow opérationnel, renforçant le potentiel de sous-évaluation relative.</w:t>
      </w:r>
    </w:p>
    <w:p>
      <w:pPr>
        <w:spacing w:after="120" w:line="276" w:lineRule="auto"/>
      </w:pPr>
      <w:r>
        <w:t>### PARTIE 1 : ANALYSE DU COURS — STATISTIQUES ET ÉVOLUTION (100 derniers jours)</w:t>
      </w:r>
    </w:p>
    <w:p>
      <w:pPr>
        <w:spacing w:after="120" w:line="276" w:lineRule="auto"/>
      </w:pPr>
      <w:r>
        <w:t>Sur les 100 derniers jours, l'action SPHC a affiché une performance remarquable avec une variation totale de +29,67%, et une accélération notable lors de la dernière séance (+5,59%), clôturant à 9 440 FCFA. Le titre a évolué dans une fourchette large de 6 720 à 9 660 FCFA, démontrant un fort dynamisme haussier. Les statistiques descriptives confirment cette tendance : la moyenne (7 472 FCFA) et la médiane (7 478 FCFA) sont très proches, indiquant une distribution relativement symétrique des prix sur la période. Cependant, l'écart-type de 495 FCFA (CV=6,6%) montre une dispersion modérée. Le kurtosis élevé (5,715) signale un risque de mouvements extrêmes (queues épaisses), tandis que le skewness positif (1,894) indique une asymétrie avec des journées plus fréquentes sous la moyenne, mais des pics de hausse importants. La volatilité annualisée de 39,3% classe le titre comme très volatil, un point crucial pour tout investisseur.</w:t>
      </w:r>
    </w:p>
    <w:p>
      <w:pPr>
        <w:spacing w:after="120" w:line="276" w:lineRule="auto"/>
      </w:pPr>
      <w:r>
        <w:t>### PARTIE 2 : ANALYSE TECHNIQUE DÉTAILLÉE</w:t>
      </w:r>
    </w:p>
    <w:p>
      <w:pPr>
        <w:spacing w:after="120" w:line="276" w:lineRule="auto"/>
      </w:pPr>
      <w:r>
        <w:t>**Moyennes Mobiles** : Le cours actuel (9 440 FCFA) est nettement au-dessus de la MM20 (8 017,75 FCFA) et de la MM50 (7 777,3 FCFA). Cette configuration haussière, où les moyennes sont orientées à la hausse, confirme la tendance positive de fond et justifie le signal d'**Achat**.</w:t>
      </w:r>
    </w:p>
    <w:p>
      <w:pPr>
        <w:spacing w:after="120" w:line="276" w:lineRule="auto"/>
      </w:pPr>
      <w:r>
        <w:t>**Bandes de Bollinger** : Le prix évolue au contact de la borne supérieure (9 407,92 FCFA), ce qui indique une pression acheteuse extrême et une volatilité accrue. Un tel positionnement suggère que le titre est temporairement suracheté et pourrait subir un repli technique à court terme, d'où le signal de **Vente**.</w:t>
      </w:r>
    </w:p>
    <w:p>
      <w:pPr>
        <w:spacing w:after="120" w:line="276" w:lineRule="auto"/>
      </w:pPr>
      <w:r>
        <w:t>**MACD** : Le MACD (424,615) est nettement au-dessus de sa ligne de signal (239,713), avec un écart croissant. Cette dynamique positive confirme la force du momentum haussier et la poursuite probable de la tendance, justifiant le signal d'**Achat**.</w:t>
      </w:r>
    </w:p>
    <w:p>
      <w:pPr>
        <w:spacing w:after="120" w:line="276" w:lineRule="auto"/>
      </w:pPr>
      <w:r>
        <w:t>**RSI** : Avec une valeur de 76,748, le RSI est entré en zone de surachat (&gt;70). Cela indique que le titre a fortement monté et que les conditions sont propices à une consolidation ou un repli technique, d'où le signal de **Vente**.</w:t>
      </w:r>
    </w:p>
    <w:p>
      <w:pPr>
        <w:spacing w:after="120" w:line="276" w:lineRule="auto"/>
      </w:pPr>
      <w:r>
        <w:t>**Stochastique** : Le %K (89,815) et le %D (85,494) sont tous deux en zone de surachat, confirmant la vigueur de la tendance mais aussi l'épuisement potentiel des acheteurs à court terme. Le signal est donc à la **Vente**.</w:t>
      </w:r>
    </w:p>
    <w:p>
      <w:pPr>
        <w:spacing w:after="120" w:line="276" w:lineRule="auto"/>
      </w:pPr>
      <w:r>
        <w:t>**Conclusion technique** : Les indicateurs de tendance (MM, MACD) sont résolument haussiers, mais les oscillateurs de momentum (RSI, Stochastique) et la position par rapport aux bandes de Bollinger signalent une condition de surachat extrême. Cette divergence suggère un fort potentiel de correction à court terme, bien que la tendance de fond reste positive.</w:t>
      </w:r>
    </w:p>
    <w:p>
      <w:pPr>
        <w:spacing w:after="120" w:line="276" w:lineRule="auto"/>
      </w:pPr>
      <w:r>
        <w:t>### PARTIE 3 : ANALYSE FONDAMENTALE (SECTION CRITIQUE)</w:t>
      </w:r>
    </w:p>
    <w:p>
      <w:pPr>
        <w:spacing w:after="120" w:line="276" w:lineRule="auto"/>
      </w:pPr>
      <w:r>
        <w:t>En 2025, SPHC a réalisé une performance financière exceptionnelle. Le chiffre d'affaires s'établit à 340,831 milliards FCFA, en hausse de 22% par rapport à 2024, et le résultat net atteint 24,972 milliards FCFA, en progression de 32,9%. Cette croissance est portée par une augmentation des volumes et des prix, comme le confirment les rapports trimestriels de 2025 (T1 : CA +72%, S1 : +51%, 9 mois : +36%). La rentabilité est excellente avec un ROE de 18,1% et un ROA de 11,1%. La structure financière est saine (autonomie financière de 61%), mais la trésorerie nette est négative (-15,4 milliards FCFA). Le rapport du T1 2026, daté de mars 2026, montre un net ralentissement avec un CA en baisse de 24% et un résultat net en chute de 78%, pénalisé par la chute des cours mondiaux du caoutchouc. Sur la base de ce rapport, on estime que l'exercice 2026 sera difficile, avec une rentabilité potentiellement en forte baisse par rapport à 2025. La société propose un dividende de 489 FCFA par action pour 2025, confirmant sa générosité envers les actionnaires.</w:t>
      </w:r>
    </w:p>
    <w:p>
      <w:pPr>
        <w:spacing w:after="120" w:line="276" w:lineRule="auto"/>
      </w:pPr>
      <w:r>
        <w:t>### PARTIE 4 : CONCLUSION D'INVESTISSEMENT</w:t>
      </w:r>
    </w:p>
    <w:p>
      <w:pPr>
        <w:spacing w:after="120" w:line="276" w:lineRule="auto"/>
      </w:pPr>
      <w:r>
        <w:t>La valorisation de SPHC (PER 9,7x, EV/EBITDA 5,9x) est attractive, mais le comportement du cours (volatilité élevée, skewness positif, kurtosis marqué) suggère des risques de mouvements brusques. Les signaux techniques sont contradictoires : la tendance de fond (MM, MACD) est haussière, mais les indicateurs de momentum (RSI, Stochastique) crient au surachat, annonçant une probable consolidation. Les fondamentaux sont solides pour 2025, mais les perspectives pour 2026 sont nettement dégradées selon le rapport du T1 2026 (baisse du CA et du résultat). Les prédictions IA, qui anticipent un repli progressif du cours vers 8 980 FCFA sur 10 jours, confirment cette analyse technique de correction. En synthèse, la convergence des signaux de surachat technique et de dégradation des fondamentaux à court terme, malgré une valorisation raisonnable, conduit à une recommandation de **CONSERVER** avec un niveau de confiance **Moyen**. Le risque global est **Élevé** en raison de la volatilité et de l'incertitude sur les cours du caoutchouc. L'horizon d'investissement optimal serait le **moyen terme (3-12 mois)**, en attendant de voir si la société confirme sa capacité à traverser ce cycle baissier.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6,217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007800"/>
                <w:sz w:val="17"/>
              </w:rPr>
              <w:t>+2.77%</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μ=3,037 FCFA, σ=336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β=-1.0360 (Contre-cyclique) — Cov=-0.000036, Var(idx)=0.000035, ρ=-0.146,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σ_j=4.18%/j (Modérée) — Vol. annualisée≈66.4%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2,347</w:t>
            </w:r>
          </w:p>
        </w:tc>
        <w:tc>
          <w:tcPr>
            <w:tcW w:type="dxa" w:w="1440"/>
            <w:shd w:fill="FFDCE0" w:val="clear"/>
          </w:tcPr>
          <w:p>
            <w:r>
              <w:rPr>
                <w:b/>
                <w:sz w:val="17"/>
              </w:rPr>
              <w:t>2,462</w:t>
            </w:r>
          </w:p>
        </w:tc>
        <w:tc>
          <w:tcPr>
            <w:tcW w:type="dxa" w:w="1440"/>
            <w:shd w:fill="FFDCE0" w:val="clear"/>
          </w:tcPr>
          <w:p>
            <w:r>
              <w:rPr>
                <w:sz w:val="17"/>
              </w:rPr>
              <w:t>2,577</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2,185</w:t>
            </w:r>
          </w:p>
        </w:tc>
        <w:tc>
          <w:tcPr>
            <w:tcW w:type="dxa" w:w="1440"/>
            <w:shd w:fill="FFDCE0" w:val="clear"/>
          </w:tcPr>
          <w:p>
            <w:r>
              <w:rPr>
                <w:b/>
                <w:sz w:val="17"/>
              </w:rPr>
              <w:t>2,339</w:t>
            </w:r>
          </w:p>
        </w:tc>
        <w:tc>
          <w:tcPr>
            <w:tcW w:type="dxa" w:w="1440"/>
            <w:shd w:fill="FFDCE0" w:val="clear"/>
          </w:tcPr>
          <w:p>
            <w:r>
              <w:rPr>
                <w:sz w:val="17"/>
              </w:rPr>
              <w:t>2,494</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2,020</w:t>
            </w:r>
          </w:p>
        </w:tc>
        <w:tc>
          <w:tcPr>
            <w:tcW w:type="dxa" w:w="1440"/>
            <w:shd w:fill="FFDCE0" w:val="clear"/>
          </w:tcPr>
          <w:p>
            <w:r>
              <w:rPr>
                <w:b/>
                <w:sz w:val="17"/>
              </w:rPr>
              <w:t>2,197</w:t>
            </w:r>
          </w:p>
        </w:tc>
        <w:tc>
          <w:tcPr>
            <w:tcW w:type="dxa" w:w="1440"/>
            <w:shd w:fill="FFDCE0" w:val="clear"/>
          </w:tcPr>
          <w:p>
            <w:r>
              <w:rPr>
                <w:sz w:val="17"/>
              </w:rPr>
              <w:t>2,374</w:t>
            </w:r>
          </w:p>
        </w:tc>
        <w:tc>
          <w:tcPr>
            <w:tcW w:type="dxa" w:w="1440"/>
            <w:shd w:fill="FFDCE0" w:val="clear"/>
          </w:tcPr>
          <w:p>
            <w:r>
              <w:rPr>
                <w:b/>
                <w:color w:val="C00000"/>
                <w:sz w:val="17"/>
              </w:rPr>
              <w:t>-15.3%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1,870</w:t>
            </w:r>
          </w:p>
        </w:tc>
        <w:tc>
          <w:tcPr>
            <w:tcW w:type="dxa" w:w="1440"/>
            <w:shd w:fill="FFDCE0" w:val="clear"/>
          </w:tcPr>
          <w:p>
            <w:r>
              <w:rPr>
                <w:b/>
                <w:sz w:val="17"/>
              </w:rPr>
              <w:t>2,062</w:t>
            </w:r>
          </w:p>
        </w:tc>
        <w:tc>
          <w:tcPr>
            <w:tcW w:type="dxa" w:w="1440"/>
            <w:shd w:fill="FFDCE0" w:val="clear"/>
          </w:tcPr>
          <w:p>
            <w:r>
              <w:rPr>
                <w:sz w:val="17"/>
              </w:rPr>
              <w:t>2,254</w:t>
            </w:r>
          </w:p>
        </w:tc>
        <w:tc>
          <w:tcPr>
            <w:tcW w:type="dxa" w:w="1440"/>
            <w:shd w:fill="FFDCE0" w:val="clear"/>
          </w:tcPr>
          <w:p>
            <w:r>
              <w:rPr>
                <w:b/>
                <w:color w:val="C00000"/>
                <w:sz w:val="17"/>
              </w:rPr>
              <w:t>-20.5%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1,743</w:t>
            </w:r>
          </w:p>
        </w:tc>
        <w:tc>
          <w:tcPr>
            <w:tcW w:type="dxa" w:w="1440"/>
            <w:shd w:fill="FFDCE0" w:val="clear"/>
          </w:tcPr>
          <w:p>
            <w:r>
              <w:rPr>
                <w:b/>
                <w:sz w:val="17"/>
              </w:rPr>
              <w:t>1,946</w:t>
            </w:r>
          </w:p>
        </w:tc>
        <w:tc>
          <w:tcPr>
            <w:tcW w:type="dxa" w:w="1440"/>
            <w:shd w:fill="FFDCE0" w:val="clear"/>
          </w:tcPr>
          <w:p>
            <w:r>
              <w:rPr>
                <w:sz w:val="17"/>
              </w:rPr>
              <w:t>2,148</w:t>
            </w:r>
          </w:p>
        </w:tc>
        <w:tc>
          <w:tcPr>
            <w:tcW w:type="dxa" w:w="1440"/>
            <w:shd w:fill="FFDCE0" w:val="clear"/>
          </w:tcPr>
          <w:p>
            <w:r>
              <w:rPr>
                <w:b/>
                <w:color w:val="C00000"/>
                <w:sz w:val="17"/>
              </w:rPr>
              <w:t>-25.0%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1,638</w:t>
            </w:r>
          </w:p>
        </w:tc>
        <w:tc>
          <w:tcPr>
            <w:tcW w:type="dxa" w:w="1440"/>
            <w:shd w:fill="FFDCE0" w:val="clear"/>
          </w:tcPr>
          <w:p>
            <w:r>
              <w:rPr>
                <w:b/>
                <w:sz w:val="17"/>
              </w:rPr>
              <w:t>1,849</w:t>
            </w:r>
          </w:p>
        </w:tc>
        <w:tc>
          <w:tcPr>
            <w:tcW w:type="dxa" w:w="1440"/>
            <w:shd w:fill="FFDCE0" w:val="clear"/>
          </w:tcPr>
          <w:p>
            <w:r>
              <w:rPr>
                <w:sz w:val="17"/>
              </w:rPr>
              <w:t>2,060</w:t>
            </w:r>
          </w:p>
        </w:tc>
        <w:tc>
          <w:tcPr>
            <w:tcW w:type="dxa" w:w="1440"/>
            <w:shd w:fill="FFDCE0" w:val="clear"/>
          </w:tcPr>
          <w:p>
            <w:r>
              <w:rPr>
                <w:b/>
                <w:color w:val="C00000"/>
                <w:sz w:val="17"/>
              </w:rPr>
              <w:t>-28.8%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1,552</w:t>
            </w:r>
          </w:p>
        </w:tc>
        <w:tc>
          <w:tcPr>
            <w:tcW w:type="dxa" w:w="1440"/>
            <w:shd w:fill="FFDCE0" w:val="clear"/>
          </w:tcPr>
          <w:p>
            <w:r>
              <w:rPr>
                <w:b/>
                <w:sz w:val="17"/>
              </w:rPr>
              <w:t>1,770</w:t>
            </w:r>
          </w:p>
        </w:tc>
        <w:tc>
          <w:tcPr>
            <w:tcW w:type="dxa" w:w="1440"/>
            <w:shd w:fill="FFDCE0" w:val="clear"/>
          </w:tcPr>
          <w:p>
            <w:r>
              <w:rPr>
                <w:sz w:val="17"/>
              </w:rPr>
              <w:t>1,988</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1,480</w:t>
            </w:r>
          </w:p>
        </w:tc>
        <w:tc>
          <w:tcPr>
            <w:tcW w:type="dxa" w:w="1440"/>
            <w:shd w:fill="FFDCE0" w:val="clear"/>
          </w:tcPr>
          <w:p>
            <w:r>
              <w:rPr>
                <w:b/>
                <w:sz w:val="17"/>
              </w:rPr>
              <w:t>1,705</w:t>
            </w:r>
          </w:p>
        </w:tc>
        <w:tc>
          <w:tcPr>
            <w:tcW w:type="dxa" w:w="1440"/>
            <w:shd w:fill="FFDCE0" w:val="clear"/>
          </w:tcPr>
          <w:p>
            <w:r>
              <w:rPr>
                <w:sz w:val="17"/>
              </w:rPr>
              <w:t>1,930</w:t>
            </w:r>
          </w:p>
        </w:tc>
        <w:tc>
          <w:tcPr>
            <w:tcW w:type="dxa" w:w="1440"/>
            <w:shd w:fill="FFDCE0" w:val="clear"/>
          </w:tcPr>
          <w:p>
            <w:r>
              <w:rPr>
                <w:b/>
                <w:color w:val="C00000"/>
                <w:sz w:val="17"/>
              </w:rPr>
              <w:t>-34.3%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1,420</w:t>
            </w:r>
          </w:p>
        </w:tc>
        <w:tc>
          <w:tcPr>
            <w:tcW w:type="dxa" w:w="1440"/>
            <w:shd w:fill="FFDCE0" w:val="clear"/>
          </w:tcPr>
          <w:p>
            <w:r>
              <w:rPr>
                <w:b/>
                <w:sz w:val="17"/>
              </w:rPr>
              <w:t>1,651</w:t>
            </w:r>
          </w:p>
        </w:tc>
        <w:tc>
          <w:tcPr>
            <w:tcW w:type="dxa" w:w="1440"/>
            <w:shd w:fill="FFDCE0" w:val="clear"/>
          </w:tcPr>
          <w:p>
            <w:r>
              <w:rPr>
                <w:sz w:val="17"/>
              </w:rPr>
              <w:t>1,882</w:t>
            </w:r>
          </w:p>
        </w:tc>
        <w:tc>
          <w:tcPr>
            <w:tcW w:type="dxa" w:w="1440"/>
            <w:shd w:fill="FFDCE0" w:val="clear"/>
          </w:tcPr>
          <w:p>
            <w:r>
              <w:rPr>
                <w:b/>
                <w:color w:val="C00000"/>
                <w:sz w:val="17"/>
              </w:rPr>
              <w:t>-36.4%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1,368</w:t>
            </w:r>
          </w:p>
        </w:tc>
        <w:tc>
          <w:tcPr>
            <w:tcW w:type="dxa" w:w="1440"/>
            <w:shd w:fill="FFDCE0" w:val="clear"/>
          </w:tcPr>
          <w:p>
            <w:r>
              <w:rPr>
                <w:b/>
                <w:sz w:val="17"/>
              </w:rPr>
              <w:t>1,605</w:t>
            </w:r>
          </w:p>
        </w:tc>
        <w:tc>
          <w:tcPr>
            <w:tcW w:type="dxa" w:w="1440"/>
            <w:shd w:fill="FFDCE0" w:val="clear"/>
          </w:tcPr>
          <w:p>
            <w:r>
              <w:rPr>
                <w:sz w:val="17"/>
              </w:rPr>
              <w:t>1,841</w:t>
            </w:r>
          </w:p>
        </w:tc>
        <w:tc>
          <w:tcPr>
            <w:tcW w:type="dxa" w:w="1440"/>
            <w:shd w:fill="FFDCE0" w:val="clear"/>
          </w:tcPr>
          <w:p>
            <w:r>
              <w:rPr>
                <w:b/>
                <w:color w:val="C00000"/>
                <w:sz w:val="17"/>
              </w:rPr>
              <w:t>-38.2%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de l'analyse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34,88 milliards FCFA, un niveau relativement modeste dans l'écosystème BRVM, mais qui contraste fortement avec la situation financière de la société. Le BPA est négatif à -7 FCFA, reflétant la perte nette enregistrée sur l'exercice 2025. Le PER de -361,2x est non significatif et témoigne de l'incapacité de la société à générer des bénéfices positifs, rendant toute comparaison avec la moyenne du marché (8-12x) impossible. Le P/B de 97,76x est extrêmement élevé, indiquant que le marché valorise l'actif net comptable à une prime considérable, ce qui est atypique pour une société déficitaire. Cette valorisation semble reposer sur des anticipations de redressement futur plutôt que sur les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+2,77%, avec une progression notable de +1,76% lors de la dernière séance, clôturant à 2 595 FCFA. Le cours a évolué dans une fourchette large de 2 515 FCFA (plus bas) à 3 895 FCFA (plus haut), illustrant une volatilité importante. La moyenne du cours sur la période est de 3 037 FCFA, légèrement supérieure à la médiane de 2 990 FCFA, indiquant une distribution quasi symétrique avec un skewness de 0,401. L'écart-type de 337 FCFA (CV=11,1%) montre une dispersion modérée autour de la moyenne. Le kurtosis de -0,872 (mésokurtique) suggère une distribution proche de la normale, sans risque de pics extrêmes. La volatilité annualisée de 66,4% est très élevée, classant le titre comme spéculatif et risqué, avec des fluctuations de prix importantes.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(2 595 FCFA) se situe en dessous de la MM20 (2 685,75 FCFA) et nettement sous la MM50 (3 083,2 FCFA). Cette configuration baissière confirme une tendance de fond négative, les moyennes agissant comme des résistances dynamiques. La décision de "Vente" est justifiée par cette structure de prix défavorable.</w:t>
      </w:r>
    </w:p>
    <w:p>
      <w:pPr>
        <w:spacing w:after="120" w:line="276" w:lineRule="auto"/>
      </w:pPr>
      <w:r>
        <w:t>**Bandes de Bollinger :** Le prix évolue à 2 595 FCFA, proche de la borne inférieure (2 456,28 FCFA) et loin de la borne supérieure (2 915,22 FCFA). Cette position indique une pression vendeuse persistante, mais le fait que le cours n'ait pas encore touché la borne inférieure suggère un potentiel de rebond technique. La décision "Neutre" reflète l'absence de signal directionnel fort, le marché attendant une sortie de ce canal.</w:t>
      </w:r>
    </w:p>
    <w:p>
      <w:pPr>
        <w:spacing w:after="120" w:line="276" w:lineRule="auto"/>
      </w:pPr>
      <w:r>
        <w:t>**MACD :** Le MACD (-137,33) est légèrement au-dessus de sa ligne de signal (-141,19), indiquant un début de convergence positive. Bien que les deux valeurs soient négatives, ce croisement haussier suggère un ralentissement de la dynamique baissière et un potentiel de retournement à court terme. La décision "Achat" est prématurée mais montre une amélioration du momentum.</w:t>
      </w:r>
    </w:p>
    <w:p>
      <w:pPr>
        <w:spacing w:after="120" w:line="276" w:lineRule="auto"/>
      </w:pPr>
      <w:r>
        <w:t>**RSI :** Le RSI à 42,34 est en zone neutre (30-70), indiquant une absence de surachat ou de survente. Cette valeur suggère que le titre n'est ni survendu ni suracheté, laissant place à une évolution directionnelle. La décision "Neutre" est cohérente avec cette lecture, le marché attendant un catalyseur pour initier un mouvement.</w:t>
      </w:r>
    </w:p>
    <w:p>
      <w:pPr>
        <w:spacing w:after="120" w:line="276" w:lineRule="auto"/>
      </w:pPr>
      <w:r>
        <w:t>**Stochastique :** Le %K (22,41) est nettement supérieur au %D (9,77), formant un croisement haussier en zone de survente. Cette configuration indique un potentiel de rebond technique, mais la faiblesse des valeurs suggère que la tendance baissière reste dominante. La décision "Neutre" reflète cette ambiguïté.</w:t>
      </w:r>
    </w:p>
    <w:p>
      <w:pPr>
        <w:spacing w:after="120" w:line="276" w:lineRule="auto"/>
      </w:pPr>
      <w:r>
        <w:t>**Conclusion technique :** Les indicateurs sont globalement mitigés, avec une prédominance baissière (MM, Bollinger) mais des signes de stabilisation (MACD, Stochastique). Le titre semble chercher un point d'équilibre après une période de forte baisse, mais la tendance de fond reste négative.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situation financière très dégradée pour STAC. Le chiffre d'affaires s'établit à 3,878 milliards FCFA, en forte croissance de +116% par rapport à 2024, mais la société enregistre une perte nette de -96,56 millions FCFA, avec une marge nette de -2,49%. Le ROE est profondément négatif à -27,07%, et le ROA à -1,77%, témoignant d'une rentabilité inexistante. L'EBE est déficitaire à -650 millions FCFA, et le résultat d'exploitation à -772 millions FCFA. La structure financière est fragile : les capitaux propres ne représentent que 356,75 millions FCFA (6,55% du bilan), avec un ratio d'endettement de 93,45%. Le BFR est négatif (-930 millions FCFA), ce qui est favorable, mais le flux opérationnel est massivement négatif à -2,212 milliards FCFA. Les rapports trimestriels 2025 montrent une amélioration progressive : le CA du S1 2025 atteint 2,271 milliards FCFA (+290% vs S1 2024), et le cumul 9 mois 2025 s'élève à 3,456 milliards FCFA (+176%), porté par le chantier de l'aéroport d'Abidjan. La perte nette cumulée sur 9 mois se réduit à -477 millions FCFA (-22% vs 2024), avec une amélioration notable du résultat d'exploitation (-456 millions vs -921 millions). La direction prévoit un CA annuel de 4 milliards FCFA pour 2025, ce qui semble réalisable. Cependant, la rentabilité opérationnelle reste négative, et la trésorerie nette de 1,33 milliard FCFA constitue un coussin limité face aux pertes récurrentes.</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(P/B de 97,76x) pour une société déficitaire, indiquant une spéculation sur un redressement futur. Le comportement du cours montre une volatilité très élevée (66,4%) avec une tendance baissière sur 100 jours, malgré un récent rebond. Les signaux techniques sont mitigés, avec une prédominance vendeuse mais des signes de stabilisation (MACD, Stochastique). Les fondamentaux restent très fragiles : malgré une croissance spectaculaire du CA (+116% en 2025), la société accumule les pertes et sa structure financière est précaire. Les prédictions IA pour les 10 prochains jours indiquent une chute brutale du cours, passant de 2 462 FCFA à 1 946 FCFA, soit une baisse de plus de 20%, ce qui contredit le rebond technique actuel. Cette trajectoire suggère que le marché pourrait corriger la surévaluation actuelle. La convergence entre les fondamentaux dégradés, la valorisation excessive et les prédictions baissières conduit à une recommandation de **VENTE FORTE**, avec un niveau de confiance **Élevé**. Le risque global est **Élevé**, et l'horizon d'investissement optimal est le **court terme (&lt;3 mois)** pour les investisseurs cherchant à minimiser leurs pertes. Les investisseurs spéculatifs pourraient surveiller un éventuel retournement, mais la situation actuelle ne justifie pas une exposition au titre.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411.17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3,543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+5.53%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6.18% (Moyenne) — μ=22,259 FCFA, σ=1,375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β=-0.0873 (Contre-cyclique) — Cov=-0.000003, Var(idx)=0.000035, ρ=-0.025,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22,226</w:t>
            </w:r>
          </w:p>
        </w:tc>
        <w:tc>
          <w:tcPr>
            <w:tcW w:type="dxa" w:w="1440"/>
            <w:shd w:fill="FAFAFA" w:val="clear"/>
          </w:tcPr>
          <w:p>
            <w:r>
              <w:rPr>
                <w:b/>
                <w:sz w:val="17"/>
              </w:rPr>
              <w:t>23,305</w:t>
            </w:r>
          </w:p>
        </w:tc>
        <w:tc>
          <w:tcPr>
            <w:tcW w:type="dxa" w:w="1440"/>
            <w:shd w:fill="FAFAFA" w:val="clear"/>
          </w:tcPr>
          <w:p>
            <w:r>
              <w:rPr>
                <w:sz w:val="17"/>
              </w:rPr>
              <w:t>24,385</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2026-08-25</w:t>
            </w:r>
          </w:p>
        </w:tc>
        <w:tc>
          <w:tcPr>
            <w:tcW w:type="dxa" w:w="1440"/>
            <w:shd w:fill="C6EFCE" w:val="clear"/>
          </w:tcPr>
          <w:p>
            <w:r>
              <w:rPr>
                <w:sz w:val="17"/>
              </w:rPr>
              <w:t>21,950</w:t>
            </w:r>
          </w:p>
        </w:tc>
        <w:tc>
          <w:tcPr>
            <w:tcW w:type="dxa" w:w="1440"/>
            <w:shd w:fill="C6EFCE" w:val="clear"/>
          </w:tcPr>
          <w:p>
            <w:r>
              <w:rPr>
                <w:b/>
                <w:sz w:val="17"/>
              </w:rPr>
              <w:t>23,488</w:t>
            </w:r>
          </w:p>
        </w:tc>
        <w:tc>
          <w:tcPr>
            <w:tcW w:type="dxa" w:w="1440"/>
            <w:shd w:fill="C6EFCE" w:val="clear"/>
          </w:tcPr>
          <w:p>
            <w:r>
              <w:rPr>
                <w:sz w:val="17"/>
              </w:rPr>
              <w:t>25,027</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2026-08-27</w:t>
            </w:r>
          </w:p>
        </w:tc>
        <w:tc>
          <w:tcPr>
            <w:tcW w:type="dxa" w:w="1440"/>
            <w:shd w:fill="C6EFCE" w:val="clear"/>
          </w:tcPr>
          <w:p>
            <w:r>
              <w:rPr>
                <w:sz w:val="17"/>
              </w:rPr>
              <w:t>21,789</w:t>
            </w:r>
          </w:p>
        </w:tc>
        <w:tc>
          <w:tcPr>
            <w:tcW w:type="dxa" w:w="1440"/>
            <w:shd w:fill="C6EFCE" w:val="clear"/>
          </w:tcPr>
          <w:p>
            <w:r>
              <w:rPr>
                <w:b/>
                <w:sz w:val="17"/>
              </w:rPr>
              <w:t>23,690</w:t>
            </w:r>
          </w:p>
        </w:tc>
        <w:tc>
          <w:tcPr>
            <w:tcW w:type="dxa" w:w="1440"/>
            <w:shd w:fill="C6EFCE" w:val="clear"/>
          </w:tcPr>
          <w:p>
            <w:r>
              <w:rPr>
                <w:sz w:val="17"/>
              </w:rPr>
              <w:t>25,591</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21,696</w:t>
            </w:r>
          </w:p>
        </w:tc>
        <w:tc>
          <w:tcPr>
            <w:tcW w:type="dxa" w:w="1440"/>
            <w:shd w:fill="C6EFCE" w:val="clear"/>
          </w:tcPr>
          <w:p>
            <w:r>
              <w:rPr>
                <w:b/>
                <w:sz w:val="17"/>
              </w:rPr>
              <w:t>23,911</w:t>
            </w:r>
          </w:p>
        </w:tc>
        <w:tc>
          <w:tcPr>
            <w:tcW w:type="dxa" w:w="1440"/>
            <w:shd w:fill="C6EFCE" w:val="clear"/>
          </w:tcPr>
          <w:p>
            <w:r>
              <w:rPr>
                <w:sz w:val="17"/>
              </w:rPr>
              <w:t>26,126</w:t>
            </w:r>
          </w:p>
        </w:tc>
        <w:tc>
          <w:tcPr>
            <w:tcW w:type="dxa" w:w="1440"/>
            <w:shd w:fill="C6EFCE" w:val="clear"/>
          </w:tcPr>
          <w:p>
            <w:r>
              <w:rPr>
                <w:b/>
                <w:color w:val="008000"/>
                <w:sz w:val="17"/>
              </w:rPr>
              <w:t>+4.4%</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21,644</w:t>
            </w:r>
          </w:p>
        </w:tc>
        <w:tc>
          <w:tcPr>
            <w:tcW w:type="dxa" w:w="1440"/>
            <w:shd w:fill="C6EFCE" w:val="clear"/>
          </w:tcPr>
          <w:p>
            <w:r>
              <w:rPr>
                <w:b/>
                <w:sz w:val="17"/>
              </w:rPr>
              <w:t>24,145</w:t>
            </w:r>
          </w:p>
        </w:tc>
        <w:tc>
          <w:tcPr>
            <w:tcW w:type="dxa" w:w="1440"/>
            <w:shd w:fill="C6EFCE" w:val="clear"/>
          </w:tcPr>
          <w:p>
            <w:r>
              <w:rPr>
                <w:sz w:val="17"/>
              </w:rPr>
              <w:t>26,646</w:t>
            </w:r>
          </w:p>
        </w:tc>
        <w:tc>
          <w:tcPr>
            <w:tcW w:type="dxa" w:w="1440"/>
            <w:shd w:fill="C6EFCE" w:val="clear"/>
          </w:tcPr>
          <w:p>
            <w:r>
              <w:rPr>
                <w:b/>
                <w:color w:val="008000"/>
                <w:sz w:val="17"/>
              </w:rPr>
              <w:t>+5.4%</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21,614</w:t>
            </w:r>
          </w:p>
        </w:tc>
        <w:tc>
          <w:tcPr>
            <w:tcW w:type="dxa" w:w="1440"/>
            <w:shd w:fill="C6EFCE" w:val="clear"/>
          </w:tcPr>
          <w:p>
            <w:r>
              <w:rPr>
                <w:b/>
                <w:sz w:val="17"/>
              </w:rPr>
              <w:t>24,381</w:t>
            </w:r>
          </w:p>
        </w:tc>
        <w:tc>
          <w:tcPr>
            <w:tcW w:type="dxa" w:w="1440"/>
            <w:shd w:fill="C6EFCE" w:val="clear"/>
          </w:tcPr>
          <w:p>
            <w:r>
              <w:rPr>
                <w:sz w:val="17"/>
              </w:rPr>
              <w:t>27,147</w:t>
            </w:r>
          </w:p>
        </w:tc>
        <w:tc>
          <w:tcPr>
            <w:tcW w:type="dxa" w:w="1440"/>
            <w:shd w:fill="C6EFCE" w:val="clear"/>
          </w:tcPr>
          <w:p>
            <w:r>
              <w:rPr>
                <w:b/>
                <w:color w:val="008000"/>
                <w:sz w:val="17"/>
              </w:rPr>
              <w:t>+6.5%</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21,605</w:t>
            </w:r>
          </w:p>
        </w:tc>
        <w:tc>
          <w:tcPr>
            <w:tcW w:type="dxa" w:w="1440"/>
            <w:shd w:fill="C6EFCE" w:val="clear"/>
          </w:tcPr>
          <w:p>
            <w:r>
              <w:rPr>
                <w:b/>
                <w:sz w:val="17"/>
              </w:rPr>
              <w:t>24,623</w:t>
            </w:r>
          </w:p>
        </w:tc>
        <w:tc>
          <w:tcPr>
            <w:tcW w:type="dxa" w:w="1440"/>
            <w:shd w:fill="C6EFCE" w:val="clear"/>
          </w:tcPr>
          <w:p>
            <w:r>
              <w:rPr>
                <w:sz w:val="17"/>
              </w:rPr>
              <w:t>27,641</w:t>
            </w:r>
          </w:p>
        </w:tc>
        <w:tc>
          <w:tcPr>
            <w:tcW w:type="dxa" w:w="1440"/>
            <w:shd w:fill="C6EFCE" w:val="clear"/>
          </w:tcPr>
          <w:p>
            <w:r>
              <w:rPr>
                <w:b/>
                <w:color w:val="008000"/>
                <w:sz w:val="17"/>
              </w:rPr>
              <w:t>+7.5%</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21,608</w:t>
            </w:r>
          </w:p>
        </w:tc>
        <w:tc>
          <w:tcPr>
            <w:tcW w:type="dxa" w:w="1440"/>
            <w:shd w:fill="C6EFCE" w:val="clear"/>
          </w:tcPr>
          <w:p>
            <w:r>
              <w:rPr>
                <w:b/>
                <w:sz w:val="17"/>
              </w:rPr>
              <w:t>24,866</w:t>
            </w:r>
          </w:p>
        </w:tc>
        <w:tc>
          <w:tcPr>
            <w:tcW w:type="dxa" w:w="1440"/>
            <w:shd w:fill="C6EFCE" w:val="clear"/>
          </w:tcPr>
          <w:p>
            <w:r>
              <w:rPr>
                <w:sz w:val="17"/>
              </w:rPr>
              <w:t>28,123</w:t>
            </w:r>
          </w:p>
        </w:tc>
        <w:tc>
          <w:tcPr>
            <w:tcW w:type="dxa" w:w="1440"/>
            <w:shd w:fill="C6EFCE" w:val="clear"/>
          </w:tcPr>
          <w:p>
            <w:r>
              <w:rPr>
                <w:b/>
                <w:color w:val="008000"/>
                <w:sz w:val="17"/>
              </w:rPr>
              <w:t>+8.6%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21,624</w:t>
            </w:r>
          </w:p>
        </w:tc>
        <w:tc>
          <w:tcPr>
            <w:tcW w:type="dxa" w:w="1440"/>
            <w:shd w:fill="C6EFCE" w:val="clear"/>
          </w:tcPr>
          <w:p>
            <w:r>
              <w:rPr>
                <w:b/>
                <w:sz w:val="17"/>
              </w:rPr>
              <w:t>25,114</w:t>
            </w:r>
          </w:p>
        </w:tc>
        <w:tc>
          <w:tcPr>
            <w:tcW w:type="dxa" w:w="1440"/>
            <w:shd w:fill="C6EFCE" w:val="clear"/>
          </w:tcPr>
          <w:p>
            <w:r>
              <w:rPr>
                <w:sz w:val="17"/>
              </w:rPr>
              <w:t>28,604</w:t>
            </w:r>
          </w:p>
        </w:tc>
        <w:tc>
          <w:tcPr>
            <w:tcW w:type="dxa" w:w="1440"/>
            <w:shd w:fill="C6EFCE" w:val="clear"/>
          </w:tcPr>
          <w:p>
            <w:r>
              <w:rPr>
                <w:b/>
                <w:color w:val="008000"/>
                <w:sz w:val="17"/>
              </w:rPr>
              <w:t>+9.7%</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21,652</w:t>
            </w:r>
          </w:p>
        </w:tc>
        <w:tc>
          <w:tcPr>
            <w:tcW w:type="dxa" w:w="1440"/>
            <w:shd w:fill="C6EFCE" w:val="clear"/>
          </w:tcPr>
          <w:p>
            <w:r>
              <w:rPr>
                <w:b/>
                <w:sz w:val="17"/>
              </w:rPr>
              <w:t>25,368</w:t>
            </w:r>
          </w:p>
        </w:tc>
        <w:tc>
          <w:tcPr>
            <w:tcW w:type="dxa" w:w="1440"/>
            <w:shd w:fill="C6EFCE" w:val="clear"/>
          </w:tcPr>
          <w:p>
            <w:r>
              <w:rPr>
                <w:sz w:val="17"/>
              </w:rPr>
              <w:t>29,084</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 SITAB (BRVM)**</w:t>
      </w:r>
    </w:p>
    <w:p>
      <w:pPr>
        <w:spacing w:after="120" w:line="276" w:lineRule="auto" w:before="240"/>
      </w:pPr>
      <w:r>
        <w:rPr>
          <w:b/>
          <w:color w:val="003366"/>
          <w:sz w:val="24"/>
        </w:rPr>
        <w:t>**PARTIE 0 : INDICATEURS DE VALORISATION BOURSIÈRE**</w:t>
      </w:r>
    </w:p>
    <w:p>
      <w:pPr>
        <w:spacing w:after="120" w:line="276" w:lineRule="auto"/>
      </w:pPr>
      <w:r>
        <w:t>La capitalisation boursière de 411,17 milliards FCFA positionne STBC comme une valeur de premier plan sur la BRVM, reflétant son statut de leader sur le marché ivoirien du tabac. Avec un BPA de 2 014 FCFA, le titre se négocie à un PER de 11,4x, un niveau modéré qui se situe dans la fourchette haute de la moyenne BRVM (8-12x), indiquant que les investisseurs paient un prix raisonnable pour les bénéfices générés. En revanche, le P/B de 9,07x est particulièrement exigeant, le marché valorisant fortement les capitaux propres de la société, ce qui reflète une prime substantielle par rapport à la valeur comptable. Enfin, l'EV/EBITDA de 8,2x, dans la zone raisonnable de 5-10x, suggère que la valeur totale de l'entreprise (capitalisation moins trésorerie nette)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progression de +5,53%, avec une légère baisse de -0,43% lors de la dernière séance, s'établissant à 22 900 FCFA. Le cours a évolué dans un range de 19 705 FCFA (plus bas) à 25 000 FCFA (plus haut), démontrant une amplitude de fluctuation notable. La moyenne de 22 259 FCFA est proche de la médiane (21 948 FCFA), indiquant une distribution relativement symétrique des prix, confirmée par un skewness de 0,341. L'écart-type de 1 382 FCFA, avec un coefficient de variation de 6,2%, révèle une dispersion modérée autour de la moyenne. Le kurtosis de -0,965 (mésokurtique) suggère une distribution proche de la normale, sans risque de pics extrêmes. La volatilité annualisée de 32,9% classe le titre comme très volatil (&gt;30%), ce qui implique des fluctuations de prix importantes à prévoir.</w:t>
      </w:r>
    </w:p>
    <w:p>
      <w:pPr>
        <w:spacing w:after="120" w:line="276" w:lineRule="auto" w:before="240"/>
      </w:pPr>
      <w:r>
        <w:rPr>
          <w:b/>
          <w:color w:val="003366"/>
          <w:sz w:val="24"/>
        </w:rPr>
        <w:t>**PARTIE 2 : ANALYSE TECHNIQUE DÉTAILLÉE**</w:t>
      </w:r>
    </w:p>
    <w:p>
      <w:pPr>
        <w:spacing w:after="120" w:line="276" w:lineRule="auto"/>
      </w:pPr>
      <w:r>
        <w:t>**Moyennes Mobiles** : Le cours actuel (22 900 FCFA) est inférieur à la MM20 (23 466 FCFA) et à la MM50 (23 418 FCFA), ce qui indique une pression baissière à court terme. Cependant, la décision globale est "Achat", suggérant que la tendance de fond reste positive malgré le repli récent. La convergence des deux moyennes mobiles autour de 23 400 FCFA pourrait agir comme une résistance dynamique.</w:t>
      </w:r>
    </w:p>
    <w:p>
      <w:pPr>
        <w:spacing w:after="120" w:line="276" w:lineRule="auto"/>
      </w:pPr>
      <w:r>
        <w:t>**Bandes de Bollinger** : Le prix se situe à 22 900 FCFA, nettement en dessous de la borne supérieure (24 977 FCFA) et au-dessus de la borne inférieure (21 955 FCFA), dans la partie médiane-basse des bandes. La décision "Neutre" reflète une volatilité modérée, sans signal d'extension excessive. Un mouvement vers la borne inférieure pourrait offrir un point d'entrée potentiel.</w:t>
      </w:r>
    </w:p>
    <w:p>
      <w:pPr>
        <w:spacing w:after="120" w:line="276" w:lineRule="auto"/>
      </w:pPr>
      <w:r>
        <w:t>**MACD** : La valeur du MACD (-117,64) est inférieure à son signal (3,879), générant une décision "Vente". Cette configuration indique un momentum baissier à court terme, le MACD étant passé sous la ligne de signal. La divergence négative suggère une perte de dynamique haussière, bien que l'amplitude reste modérée.</w:t>
      </w:r>
    </w:p>
    <w:p>
      <w:pPr>
        <w:spacing w:after="120" w:line="276" w:lineRule="auto"/>
      </w:pPr>
      <w:r>
        <w:t>**RSI** : À 47,914, le RSI se situe en zone neutre (30-70), indiquant un équilibre entre pressions acheteuses et vendeuses. Cette valeur ne montre ni surachat ni survente, laissant place à une évolution directionnelle sans contrainte technique majeure. La décision "Neutre" est cohérente avec cette lecture.</w:t>
      </w:r>
    </w:p>
    <w:p>
      <w:pPr>
        <w:spacing w:after="120" w:line="276" w:lineRule="auto"/>
      </w:pPr>
      <w:r>
        <w:t>**Stochastique** : Le %K (20,0) est inférieur au %D (23,81), tous deux en zone de survente (&lt;20 pour %K). Cette configuration suggère un potentiel de rebond technique, bien que la décision reste "Neutre" en l'absence de croisement haussier confirmé. Un croisement des deux lignes pourrait signaler un retournement.</w:t>
      </w:r>
    </w:p>
    <w:p>
      <w:pPr>
        <w:spacing w:after="120" w:line="276" w:lineRule="auto"/>
      </w:pPr>
      <w:r>
        <w:t>**Conclusion technique** : Les indicateurs techniques présentent un tableau contrasté. Les moyennes mobiles suggèrent une tendance positive, tandis que le MACD et la position sous les MM indiquent une faiblesse à court terme. Le RSI neutre et le stochastique en zone de survente laissent entrevoir un possible rebond. Globalement, le signal est mitigé, avec une légère prédominance baissière à très court terme, mais un potentiel de reprise technique.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entreprise non bancaire avec un chiffre d'affaires de 268,537 milliards FCFA, en croissance de 25,3% par rapport à 2024. Le résultat net s'établit à 36,158 milliards FCFA, avec une marge nette de 13,46%. La rentabilité des fonds propres (ROE) est exceptionnelle à 79,75%, et le ROA atteint 48,09%, démontrant une utilisation très efficace des actifs. Le BFR de 5,639 milliards FCFA est positif, ce qui est défavorable pour une entreprise, indiquant un besoin de financement du cycle d'exploitation. Le délai clients de 42,57 jours est modéré, tandis que la durée de stockage de 5,73 jours est très faible, reflétant une rotation rapide des stocks. La société est quasiment sans endettement financier (1,40 million FCFA), avec une trésorerie nette très confortable de 30,763 milliards FCFA. Les rapports trimestriels 2025 confirment une année contrastée : le T1 2025 (rapport daté 2025) montre un résultat net de 9,4 milliards FCFA (+146%), le S1 2025 (rapport daté 2025) un résultat net de 18,06 milliards FCFA (+87,3%), mais le T4 2025 (rapport daté 2025) enregistre une chute de -74% du résultat net trimestriel à 5,1 milliards FCFA, impacté par la hausse des droits d'accises. Le rapport annuel 2025 (analysé par DeepSeek, 2026-06-26) confirme la baisse de rentabilité nette de -17,5% malgré la croissance du CA, avec une marge nette passant de 20,7% en 2024 à 13,6% en 2025. Le rapport T1 2026 (rapport daté 2026) montre un CA de 68,8 milliards FCFA (+12%) et un résultat net de 9,3 milliards FCFA (-1%), indiquant une stabilisation. Sur la base de ces éléments, on estime que l'exercice 2026 devrait maintenir un CA en croissance modérée, mais la pression sur les marges pourrait persister. La recommandation fondamentale est de CONSERVER, compte tenu de la solidité financière, de la politique de dividende généreuse (1 940 FCFA par action proposé pour 2025), mais des incertitudes réglementaires et fiscales.</w:t>
      </w:r>
    </w:p>
    <w:p>
      <w:pPr>
        <w:spacing w:after="120" w:line="276" w:lineRule="auto" w:before="240"/>
      </w:pPr>
      <w:r>
        <w:rPr>
          <w:b/>
          <w:color w:val="003366"/>
          <w:sz w:val="24"/>
        </w:rPr>
        <w:t>**PARTIE 4 : CONCLUSION D'INVESTISSEMENT**</w:t>
      </w:r>
    </w:p>
    <w:p>
      <w:pPr>
        <w:spacing w:after="120" w:line="276" w:lineRule="auto"/>
      </w:pPr>
      <w:r>
        <w:t>La valorisation de STBC (PER de 11,4x, P/B de 9,07x, EV/EBITDA de 8,2x) indique une valorisation modérée à exigeante, avec une prime significative sur les actifs comptables. Le comportement du cours sur 100 jours montre une tendance globalement positive (+5,53%) mais avec une volatilité élevée (32,9%) et des statistiques (kurtosis mésokurtique, skewness symétrique) suggérant un comportement relativement normal sans extrêmes. Les signaux techniques sont mitigés : les moyennes mobiles indiquent un achat, mais le MACD est vendeur, et le RSI/stochastique sont neutres, avec un potentiel de rebond technique. Les fondamentaux restent solides avec une croissance du CA de 25% en 2025, une rentabilité élevée (ROE de 79,75%), et une trésorerie abondante, mais la dégradation des marges et la pression fiscale sont des points de vigilance. Les prédictions IA (23 305 FCFA à J+1, 24 145 FCFA à J+10) anticipent une hausse progressive, confirmant le potentiel de rebond technique. La convergence entre les fondamentaux solides, la valorisation raisonnable et les prédictions haussières, malgré des signaux techniques mitigés, conduit à une recommandation **CONSERVER** avec un niveau de confiance **Moyen**. Le risque global est **Moyen**, principalement lié à l'environnement réglementaire et fiscal. L'horizon d'investissement optimal est le **moyen terme (3-12 mois)**, permettant de capter le potentiel de hausse tout en surveillant l'évolution des marges et de la réglementation.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7,707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+14.29%</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μ=2,880 FCFA, σ=137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β=0.1909 (Défensif) — Cov=0.000007, Var(idx)=0.000035, ρ=0.045,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7,707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3,190</w:t>
            </w:r>
          </w:p>
        </w:tc>
        <w:tc>
          <w:tcPr>
            <w:tcW w:type="dxa" w:w="1440"/>
            <w:shd w:fill="FAFAFA" w:val="clear"/>
          </w:tcPr>
          <w:p>
            <w:r>
              <w:rPr>
                <w:b/>
                <w:sz w:val="17"/>
              </w:rPr>
              <w:t>3,385</w:t>
            </w:r>
          </w:p>
        </w:tc>
        <w:tc>
          <w:tcPr>
            <w:tcW w:type="dxa" w:w="1440"/>
            <w:shd w:fill="FAFAFA" w:val="clear"/>
          </w:tcPr>
          <w:p>
            <w:r>
              <w:rPr>
                <w:sz w:val="17"/>
              </w:rPr>
              <w:t>3,580</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3,097</w:t>
            </w:r>
          </w:p>
        </w:tc>
        <w:tc>
          <w:tcPr>
            <w:tcW w:type="dxa" w:w="1440"/>
            <w:shd w:fill="FAFAFA" w:val="clear"/>
          </w:tcPr>
          <w:p>
            <w:r>
              <w:rPr>
                <w:b/>
                <w:sz w:val="17"/>
              </w:rPr>
              <w:t>3,372</w:t>
            </w:r>
          </w:p>
        </w:tc>
        <w:tc>
          <w:tcPr>
            <w:tcW w:type="dxa" w:w="1440"/>
            <w:shd w:fill="FAFAFA" w:val="clear"/>
          </w:tcPr>
          <w:p>
            <w:r>
              <w:rPr>
                <w:sz w:val="17"/>
              </w:rPr>
              <w:t>3,646</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3,017</w:t>
            </w:r>
          </w:p>
        </w:tc>
        <w:tc>
          <w:tcPr>
            <w:tcW w:type="dxa" w:w="1440"/>
            <w:shd w:fill="FAFAFA" w:val="clear"/>
          </w:tcPr>
          <w:p>
            <w:r>
              <w:rPr>
                <w:b/>
                <w:sz w:val="17"/>
              </w:rPr>
              <w:t>3,352</w:t>
            </w:r>
          </w:p>
        </w:tc>
        <w:tc>
          <w:tcPr>
            <w:tcW w:type="dxa" w:w="1440"/>
            <w:shd w:fill="FAFAFA" w:val="clear"/>
          </w:tcPr>
          <w:p>
            <w:r>
              <w:rPr>
                <w:sz w:val="17"/>
              </w:rPr>
              <w:t>3,686</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2,950</w:t>
            </w:r>
          </w:p>
        </w:tc>
        <w:tc>
          <w:tcPr>
            <w:tcW w:type="dxa" w:w="1440"/>
            <w:shd w:fill="FAFAFA" w:val="clear"/>
          </w:tcPr>
          <w:p>
            <w:r>
              <w:rPr>
                <w:b/>
                <w:sz w:val="17"/>
              </w:rPr>
              <w:t>3,335</w:t>
            </w:r>
          </w:p>
        </w:tc>
        <w:tc>
          <w:tcPr>
            <w:tcW w:type="dxa" w:w="1440"/>
            <w:shd w:fill="FAFAFA" w:val="clear"/>
          </w:tcPr>
          <w:p>
            <w:r>
              <w:rPr>
                <w:sz w:val="17"/>
              </w:rPr>
              <w:t>3,719</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2,892</w:t>
            </w:r>
          </w:p>
        </w:tc>
        <w:tc>
          <w:tcPr>
            <w:tcW w:type="dxa" w:w="1440"/>
            <w:shd w:fill="FFDCE0" w:val="clear"/>
          </w:tcPr>
          <w:p>
            <w:r>
              <w:rPr>
                <w:b/>
                <w:sz w:val="17"/>
              </w:rPr>
              <w:t>3,320</w:t>
            </w:r>
          </w:p>
        </w:tc>
        <w:tc>
          <w:tcPr>
            <w:tcW w:type="dxa" w:w="1440"/>
            <w:shd w:fill="FFDCE0" w:val="clear"/>
          </w:tcPr>
          <w:p>
            <w:r>
              <w:rPr>
                <w:sz w:val="17"/>
              </w:rPr>
              <w:t>3,748</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2,840</w:t>
            </w:r>
          </w:p>
        </w:tc>
        <w:tc>
          <w:tcPr>
            <w:tcW w:type="dxa" w:w="1440"/>
            <w:shd w:fill="FFDCE0" w:val="clear"/>
          </w:tcPr>
          <w:p>
            <w:r>
              <w:rPr>
                <w:b/>
                <w:sz w:val="17"/>
              </w:rPr>
              <w:t>3,307</w:t>
            </w:r>
          </w:p>
        </w:tc>
        <w:tc>
          <w:tcPr>
            <w:tcW w:type="dxa" w:w="1440"/>
            <w:shd w:fill="FFDCE0" w:val="clear"/>
          </w:tcPr>
          <w:p>
            <w:r>
              <w:rPr>
                <w:sz w:val="17"/>
              </w:rPr>
              <w:t>3,773</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2,792</w:t>
            </w:r>
          </w:p>
        </w:tc>
        <w:tc>
          <w:tcPr>
            <w:tcW w:type="dxa" w:w="1440"/>
            <w:shd w:fill="FFDCE0" w:val="clear"/>
          </w:tcPr>
          <w:p>
            <w:r>
              <w:rPr>
                <w:b/>
                <w:sz w:val="17"/>
              </w:rPr>
              <w:t>3,294</w:t>
            </w:r>
          </w:p>
        </w:tc>
        <w:tc>
          <w:tcPr>
            <w:tcW w:type="dxa" w:w="1440"/>
            <w:shd w:fill="FFDCE0" w:val="clear"/>
          </w:tcPr>
          <w:p>
            <w:r>
              <w:rPr>
                <w:sz w:val="17"/>
              </w:rPr>
              <w:t>3,796</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2,747</w:t>
            </w:r>
          </w:p>
        </w:tc>
        <w:tc>
          <w:tcPr>
            <w:tcW w:type="dxa" w:w="1440"/>
            <w:shd w:fill="FFDCE0" w:val="clear"/>
          </w:tcPr>
          <w:p>
            <w:r>
              <w:rPr>
                <w:b/>
                <w:sz w:val="17"/>
              </w:rPr>
              <w:t>3,281</w:t>
            </w:r>
          </w:p>
        </w:tc>
        <w:tc>
          <w:tcPr>
            <w:tcW w:type="dxa" w:w="1440"/>
            <w:shd w:fill="FFDCE0" w:val="clear"/>
          </w:tcPr>
          <w:p>
            <w:r>
              <w:rPr>
                <w:sz w:val="17"/>
              </w:rPr>
              <w:t>3,816</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2,704</w:t>
            </w:r>
          </w:p>
        </w:tc>
        <w:tc>
          <w:tcPr>
            <w:tcW w:type="dxa" w:w="1440"/>
            <w:shd w:fill="FFDCE0" w:val="clear"/>
          </w:tcPr>
          <w:p>
            <w:r>
              <w:rPr>
                <w:b/>
                <w:sz w:val="17"/>
              </w:rPr>
              <w:t>3,269</w:t>
            </w:r>
          </w:p>
        </w:tc>
        <w:tc>
          <w:tcPr>
            <w:tcW w:type="dxa" w:w="1440"/>
            <w:shd w:fill="FFDCE0" w:val="clear"/>
          </w:tcPr>
          <w:p>
            <w:r>
              <w:rPr>
                <w:sz w:val="17"/>
              </w:rPr>
              <w:t>3,834</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2,664</w:t>
            </w:r>
          </w:p>
        </w:tc>
        <w:tc>
          <w:tcPr>
            <w:tcW w:type="dxa" w:w="1440"/>
            <w:shd w:fill="FFDCE0" w:val="clear"/>
          </w:tcPr>
          <w:p>
            <w:r>
              <w:rPr>
                <w:b/>
                <w:sz w:val="17"/>
              </w:rPr>
              <w:t>3,258</w:t>
            </w:r>
          </w:p>
        </w:tc>
        <w:tc>
          <w:tcPr>
            <w:tcW w:type="dxa" w:w="1440"/>
            <w:shd w:fill="FFDCE0" w:val="clear"/>
          </w:tcPr>
          <w:p>
            <w:r>
              <w:rPr>
                <w:sz w:val="17"/>
              </w:rPr>
              <w:t>3,851</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 22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214,07 milliards FCFA, ce qui positionne la société parmi les poids lourds de la BRVM, reflétant la confiance des investisseurs dans ce leader de la distribution de produits pétroliers. Avec un BPA de 144 FCFA, le titre se négocie à un PER de 23,6x, nettement supérieur à la moyenne historique de la BRVM (8-12x), indiquant que le marché anticipe une croissance future des bénéfices ou valorise la prime de qualité et de liquidité du titre. Le P/B de 5,91x confirme cette valorisation exigeante, le marché payant près de 6 fois la valeur comptable des actifs, ce qui reflète une forte rentabilité des capitaux propres (ROE de 25,1%). Enfin, un EV/EBITDA de 12,0x, dans la fourchette haute de 10-15x, suggère que la valeur d'entreprise est élevée par rapport à sa capacité opérationnelle, mais reste justifiable pour une entreprise à la génération de cash-flow robuste.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remarquable de +14,29%, avec une accélération notable lors de la dernière séance (+3,19%), clôturant à son plus haut niveau sur la période à 3 400 FCFA. Cette performance s'inscrit dans une tendance haussière soutenue, le cours ayant évolué dans un range de 750 FCFA (entre 2 650 et 3 400 FCFA). Les statistiques descriptives révèlent une distribution asymétrique positive (skewness de 1,163), avec une moyenne (2 880 FCFA) légèrement supérieure à la médiane (2 878 FCFA), indiquant des journées de forte hausse plus marquées que les baisses. L'écart-type de 137 FCFA (CV de 4,8%) montre une dispersion modérée, mais le kurtosis élevé (2,464) signale un risque de mouvements extrêmes, avec des pics de volatilité possibles. La volatilité annualisée de 40% classe le titre comme très volatil, ce qui implique un risque élevé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(3 400 FCFA) se situe nettement au-dessus de la MM20 (3 046,25 FCFA) et de la MM50 (2 950,5 FCFA), confirmant une dynamique haussière solide. L'écart positif entre le prix et les moyennes mobiles, couplé à un alignement haussier (MM20 &gt; MM50), valide la tendance de fond. La décision d'achat est justifiée par cette configuration, bien que l'écart important puisse signaler une possible consolidation à court terme.</w:t>
      </w:r>
    </w:p>
    <w:p>
      <w:pPr>
        <w:spacing w:after="120" w:line="276" w:lineRule="auto"/>
      </w:pPr>
      <w:r>
        <w:t>**Bandes de Bollinger** : Le prix à 3 400 FCFA a franchi la borne supérieure (3 376,35 FCFA), indiquant une condition de surachat extrême. Cette sortie hors des bandes reflète une pression acheteuse intense, mais signale également une volatilité excessive et un risque de retour vers la moyenne. La décision de vente est donc pertinente pour les traders à court terme, bien que dans une tendance forte, le prix puisse rester au-delà de la borne pendant plusieurs séances.</w:t>
      </w:r>
    </w:p>
    <w:p>
      <w:pPr>
        <w:spacing w:after="120" w:line="276" w:lineRule="auto"/>
      </w:pPr>
      <w:r>
        <w:t>**MACD** : Le MACD (102,397) est nettement supérieur à sa ligne de signal (60,581), avec un écart positif croissant, confirmant un momentum haussier puissant. Cette configuration, avec le MACD au-dessus de zéro, indique une dynamique positive soutenue. La décision d'achat est justifiée, même si l'ampleur de l'écart suggère une possible saturation à court terme.</w:t>
      </w:r>
    </w:p>
    <w:p>
      <w:pPr>
        <w:spacing w:after="120" w:line="276" w:lineRule="auto"/>
      </w:pPr>
      <w:r>
        <w:t>**RSI** : À 68,085, le RSI se situe en zone neutre, proche du seuil de surachat (70). Cette valeur indique que le titre est fortement sollicité mais pas encore en situation extrême. La décision neutre est appropriée, car le RSI pourrait soit continuer à progresser dans une tendance forte, soit inverser sa trajectoire si la pression acheteuse s'essouffle.</w:t>
      </w:r>
    </w:p>
    <w:p>
      <w:pPr>
        <w:spacing w:after="120" w:line="276" w:lineRule="auto"/>
      </w:pPr>
      <w:r>
        <w:t>**Stochastique** : Le %K à 100,0 et le %D à 95,261 sont en zone de surachat extrême, signalant une possible correction imminente. Le croisement potentiel du %K sous le %D serait un signal de vente classique. La décision de vente est justifiée, car ces niveaux indiquent que le titre est temporairement survendu et qu'un repli technique est probable.</w:t>
      </w:r>
    </w:p>
    <w:p>
      <w:pPr>
        <w:spacing w:after="120" w:line="276" w:lineRule="auto"/>
      </w:pPr>
      <w:r>
        <w:t>**Conclusion technique** : Les indicateurs de tendance (MM, MACD) sont résolument haussiers, mais les oscillateurs de momentum (RSI, Stochastique) et les bandes de Bollinger signalent des conditions de surachat. Cette divergence suggère qu'une consolidation ou un léger repli technique est probable à court terme avant la poursuite de la tendance haussière de fond. Les investisseurs à long terme peuvent maintenir leurs positions, tandis que les traders à court terme devraient être prudents.</w:t>
      </w:r>
    </w:p>
    <w:p>
      <w:pPr>
        <w:spacing w:after="120" w:line="276" w:lineRule="auto"/>
      </w:pPr>
      <w:r>
        <w:t>---</w:t>
      </w:r>
    </w:p>
    <w:p>
      <w:pPr>
        <w:spacing w:after="120" w:line="276" w:lineRule="auto"/>
      </w:pPr>
      <w:r>
        <w:t>### PARTIE 3 : ANALYSE FONDAMENTALE (SECTION CRITIQUE)</w:t>
      </w:r>
    </w:p>
    <w:p>
      <w:pPr>
        <w:spacing w:after="120" w:line="276" w:lineRule="auto"/>
      </w:pPr>
      <w:r>
        <w:t>En 2025, TotalEnergies Marketing Côte d'Ivoire a réalisé un chiffre d'affaires de 588,709 milliards FCFA, en baisse de 5,2% par rapport à 2024 (621,042 milliards FCFA), mais avec une amélioration notable de la rentabilité opérationnelle : le résultat d'exploitation a progressé de 18% à 12,329 milliards FCFA et l'EBE de 12% à 22,347 milliards FCFA, démontrant une meilleure maîtrise des marges. Le résultat net s'établit à 9,087 milliards FCFA (-3%), avec une marge nette stable à 1,54%. La rentabilité des capitaux propres (ROE) reste excellente à 25,1%, tandis que le ROA s'établit à 4,82%. La société affiche un BFR négatif de -9,662 milliards FCFA, ce qui est favorable pour une entreprise de distribution, indiquant qu'elle finance son exploitation grâce aux délais fournisseurs (49,72 jours). Cependant, la trésorerie nette est négative à -21,926 milliards FCFA, avec un ratio d'endettement élevé de 90,2%, signalant une dépendance aux financements court terme. Le rapport annuel 2025 (analysé le 2 juin 2026) souligne une politique de dividende généreuse de 10 milliards FCFA, soit un taux de distribution supérieur à 100%, financée en partie par les réserves. Sur la base du rapport T1 2026 (publié en 2026), le chiffre d'affaires a rebondi de 4,3% à 154,392 milliards FCFA et le résultat net a progressé de 5,5% à 2,329 milliards FCFA, laissant présager une année 2026 plus favorable. La société maintient sa stratégie d'investissement dans les segments porteurs (GPL, lubrifiants, stations-service), avec 182 stations en exploitation. Les risques identifiés incluent la volatilité des prix pétroliers, la concurrence accrue et la dégradation de la trésorerie, mais la solidité opérationnelle et la position de leader confèrent une résilience certaine.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TTLC. La valorisation boursière (PER 23,6x, P/B 5,91x) est exigeante, reflétant une prime de qualité, mais pourrait limiter le potentiel de hausse à court terme. Le comportement du cours montre une tendance haussière robuste (+14,29% sur 100 jours) avec une volatilité élevée (40%), signalant un risque de retournement technique. Les indicateurs techniques sont partagés : les moyennes mobiles et le MACD sont haussiers, mais le RSI proche du surachat et le stochastique à 100% suggèrent une consolidation imminente. Les fondamentaux restent solides avec un ROE de 25,1%, mais la trésorerie négative et le taux de distribution élevé constituent des points de vigilance. Les prédictions IA (3 385 à 3 320 FCFA sur 10 jours) confirment une légère correction technique après la récente hausse, en cohérence avec les signaux de surachat. **Recommandation finale : CONSERVER**. La convergence entre la solidité fondamentale et la tendance haussière de fond justifie de maintenir les positions, mais la valorisation élevée et les signaux techniques de surachat recommandent de ne pas renforcer à ces niveaux. **Niveau de confiance : Moyen** (divergence entre les signaux techniques et fondamentaux). **Risque global : Élevé** (volatilité 40%, endettement, valorisation exigeante). **Horizon d'investissement optimal : Moyen terme (3-12 mois)**, en attendant une consolidation du cours ou une confirmation de la croissance 2026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2,754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+20.00%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10.52% (Moyenne) — μ=3,487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β=0.6439 (Défensif) — Cov=0.000022, Var(idx)=0.000035, ρ=0.126,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3,506</w:t>
            </w:r>
          </w:p>
        </w:tc>
        <w:tc>
          <w:tcPr>
            <w:tcW w:type="dxa" w:w="1440"/>
            <w:shd w:fill="FFDCE0" w:val="clear"/>
          </w:tcPr>
          <w:p>
            <w:r>
              <w:rPr>
                <w:b/>
                <w:sz w:val="17"/>
              </w:rPr>
              <w:t>3,710</w:t>
            </w:r>
          </w:p>
        </w:tc>
        <w:tc>
          <w:tcPr>
            <w:tcW w:type="dxa" w:w="1440"/>
            <w:shd w:fill="FFDCE0" w:val="clear"/>
          </w:tcPr>
          <w:p>
            <w:r>
              <w:rPr>
                <w:sz w:val="17"/>
              </w:rPr>
              <w:t>3,913</w:t>
            </w:r>
          </w:p>
        </w:tc>
        <w:tc>
          <w:tcPr>
            <w:tcW w:type="dxa" w:w="1440"/>
            <w:shd w:fill="FFDCE0" w:val="clear"/>
          </w:tcPr>
          <w:p>
            <w:r>
              <w:rPr>
                <w:b/>
                <w:color w:val="C00000"/>
                <w:sz w:val="17"/>
              </w:rPr>
              <w:t>-4.9%</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3,349</w:t>
            </w:r>
          </w:p>
        </w:tc>
        <w:tc>
          <w:tcPr>
            <w:tcW w:type="dxa" w:w="1440"/>
            <w:shd w:fill="FFDCE0" w:val="clear"/>
          </w:tcPr>
          <w:p>
            <w:r>
              <w:rPr>
                <w:b/>
                <w:sz w:val="17"/>
              </w:rPr>
              <w:t>3,630</w:t>
            </w:r>
          </w:p>
        </w:tc>
        <w:tc>
          <w:tcPr>
            <w:tcW w:type="dxa" w:w="1440"/>
            <w:shd w:fill="FFDCE0" w:val="clear"/>
          </w:tcPr>
          <w:p>
            <w:r>
              <w:rPr>
                <w:sz w:val="17"/>
              </w:rPr>
              <w:t>3,912</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3,227</w:t>
            </w:r>
          </w:p>
        </w:tc>
        <w:tc>
          <w:tcPr>
            <w:tcW w:type="dxa" w:w="1440"/>
            <w:shd w:fill="FFDCE0" w:val="clear"/>
          </w:tcPr>
          <w:p>
            <w:r>
              <w:rPr>
                <w:b/>
                <w:sz w:val="17"/>
              </w:rPr>
              <w:t>3,566</w:t>
            </w:r>
          </w:p>
        </w:tc>
        <w:tc>
          <w:tcPr>
            <w:tcW w:type="dxa" w:w="1440"/>
            <w:shd w:fill="FFDCE0" w:val="clear"/>
          </w:tcPr>
          <w:p>
            <w:r>
              <w:rPr>
                <w:sz w:val="17"/>
              </w:rPr>
              <w:t>3,905</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3,129</w:t>
            </w:r>
          </w:p>
        </w:tc>
        <w:tc>
          <w:tcPr>
            <w:tcW w:type="dxa" w:w="1440"/>
            <w:shd w:fill="FFDCE0" w:val="clear"/>
          </w:tcPr>
          <w:p>
            <w:r>
              <w:rPr>
                <w:b/>
                <w:sz w:val="17"/>
              </w:rPr>
              <w:t>3,514</w:t>
            </w:r>
          </w:p>
        </w:tc>
        <w:tc>
          <w:tcPr>
            <w:tcW w:type="dxa" w:w="1440"/>
            <w:shd w:fill="FFDCE0" w:val="clear"/>
          </w:tcPr>
          <w:p>
            <w:r>
              <w:rPr>
                <w:sz w:val="17"/>
              </w:rPr>
              <w:t>3,900</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3,043</w:t>
            </w:r>
          </w:p>
        </w:tc>
        <w:tc>
          <w:tcPr>
            <w:tcW w:type="dxa" w:w="1440"/>
            <w:shd w:fill="FFDCE0" w:val="clear"/>
          </w:tcPr>
          <w:p>
            <w:r>
              <w:rPr>
                <w:b/>
                <w:sz w:val="17"/>
              </w:rPr>
              <w:t>3,469</w:t>
            </w:r>
          </w:p>
        </w:tc>
        <w:tc>
          <w:tcPr>
            <w:tcW w:type="dxa" w:w="1440"/>
            <w:shd w:fill="FFDCE0" w:val="clear"/>
          </w:tcPr>
          <w:p>
            <w:r>
              <w:rPr>
                <w:sz w:val="17"/>
              </w:rPr>
              <w:t>3,895</w:t>
            </w:r>
          </w:p>
        </w:tc>
        <w:tc>
          <w:tcPr>
            <w:tcW w:type="dxa" w:w="1440"/>
            <w:shd w:fill="FFDCE0" w:val="clear"/>
          </w:tcPr>
          <w:p>
            <w:r>
              <w:rPr>
                <w:b/>
                <w:color w:val="C00000"/>
                <w:sz w:val="17"/>
              </w:rPr>
              <w:t>-11.0%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2,967</w:t>
            </w:r>
          </w:p>
        </w:tc>
        <w:tc>
          <w:tcPr>
            <w:tcW w:type="dxa" w:w="1440"/>
            <w:shd w:fill="FFDCE0" w:val="clear"/>
          </w:tcPr>
          <w:p>
            <w:r>
              <w:rPr>
                <w:b/>
                <w:sz w:val="17"/>
              </w:rPr>
              <w:t>3,427</w:t>
            </w:r>
          </w:p>
        </w:tc>
        <w:tc>
          <w:tcPr>
            <w:tcW w:type="dxa" w:w="1440"/>
            <w:shd w:fill="FFDCE0" w:val="clear"/>
          </w:tcPr>
          <w:p>
            <w:r>
              <w:rPr>
                <w:sz w:val="17"/>
              </w:rPr>
              <w:t>3,888</w:t>
            </w:r>
          </w:p>
        </w:tc>
        <w:tc>
          <w:tcPr>
            <w:tcW w:type="dxa" w:w="1440"/>
            <w:shd w:fill="FFDCE0" w:val="clear"/>
          </w:tcPr>
          <w:p>
            <w:r>
              <w:rPr>
                <w:b/>
                <w:color w:val="C00000"/>
                <w:sz w:val="17"/>
              </w:rPr>
              <w:t>-12.1%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2,897</w:t>
            </w:r>
          </w:p>
        </w:tc>
        <w:tc>
          <w:tcPr>
            <w:tcW w:type="dxa" w:w="1440"/>
            <w:shd w:fill="FFDCE0" w:val="clear"/>
          </w:tcPr>
          <w:p>
            <w:r>
              <w:rPr>
                <w:b/>
                <w:sz w:val="17"/>
              </w:rPr>
              <w:t>3,388</w:t>
            </w:r>
          </w:p>
        </w:tc>
        <w:tc>
          <w:tcPr>
            <w:tcW w:type="dxa" w:w="1440"/>
            <w:shd w:fill="FFDCE0" w:val="clear"/>
          </w:tcPr>
          <w:p>
            <w:r>
              <w:rPr>
                <w:sz w:val="17"/>
              </w:rPr>
              <w:t>3,880</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2,832</w:t>
            </w:r>
          </w:p>
        </w:tc>
        <w:tc>
          <w:tcPr>
            <w:tcW w:type="dxa" w:w="1440"/>
            <w:shd w:fill="FFDCE0" w:val="clear"/>
          </w:tcPr>
          <w:p>
            <w:r>
              <w:rPr>
                <w:b/>
                <w:sz w:val="17"/>
              </w:rPr>
              <w:t>3,352</w:t>
            </w:r>
          </w:p>
        </w:tc>
        <w:tc>
          <w:tcPr>
            <w:tcW w:type="dxa" w:w="1440"/>
            <w:shd w:fill="FFDCE0" w:val="clear"/>
          </w:tcPr>
          <w:p>
            <w:r>
              <w:rPr>
                <w:sz w:val="17"/>
              </w:rPr>
              <w:t>3,872</w:t>
            </w:r>
          </w:p>
        </w:tc>
        <w:tc>
          <w:tcPr>
            <w:tcW w:type="dxa" w:w="1440"/>
            <w:shd w:fill="FFDCE0" w:val="clear"/>
          </w:tcPr>
          <w:p>
            <w:r>
              <w:rPr>
                <w:b/>
                <w:color w:val="C00000"/>
                <w:sz w:val="17"/>
              </w:rPr>
              <w:t>-14.1%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2,772</w:t>
            </w:r>
          </w:p>
        </w:tc>
        <w:tc>
          <w:tcPr>
            <w:tcW w:type="dxa" w:w="1440"/>
            <w:shd w:fill="FFDCE0" w:val="clear"/>
          </w:tcPr>
          <w:p>
            <w:r>
              <w:rPr>
                <w:b/>
                <w:sz w:val="17"/>
              </w:rPr>
              <w:t>3,318</w:t>
            </w:r>
          </w:p>
        </w:tc>
        <w:tc>
          <w:tcPr>
            <w:tcW w:type="dxa" w:w="1440"/>
            <w:shd w:fill="FFDCE0" w:val="clear"/>
          </w:tcPr>
          <w:p>
            <w:r>
              <w:rPr>
                <w:sz w:val="17"/>
              </w:rPr>
              <w:t>3,864</w:t>
            </w:r>
          </w:p>
        </w:tc>
        <w:tc>
          <w:tcPr>
            <w:tcW w:type="dxa" w:w="1440"/>
            <w:shd w:fill="FFDCE0" w:val="clear"/>
          </w:tcPr>
          <w:p>
            <w:r>
              <w:rPr>
                <w:b/>
                <w:color w:val="C00000"/>
                <w:sz w:val="17"/>
              </w:rPr>
              <w:t>-14.9%</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2,715</w:t>
            </w:r>
          </w:p>
        </w:tc>
        <w:tc>
          <w:tcPr>
            <w:tcW w:type="dxa" w:w="1440"/>
            <w:shd w:fill="FFDCE0" w:val="clear"/>
          </w:tcPr>
          <w:p>
            <w:r>
              <w:rPr>
                <w:b/>
                <w:sz w:val="17"/>
              </w:rPr>
              <w:t>3,286</w:t>
            </w:r>
          </w:p>
        </w:tc>
        <w:tc>
          <w:tcPr>
            <w:tcW w:type="dxa" w:w="1440"/>
            <w:shd w:fill="FFDCE0" w:val="clear"/>
          </w:tcPr>
          <w:p>
            <w:r>
              <w:rPr>
                <w:sz w:val="17"/>
              </w:rPr>
              <w:t>3,856</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127,05 milliards FCFA, positionnant la société parmi les valeurs moyennes du marché BRVM, avec un poids significatif dans le compartiment des valeurs non financières. Le BPA de 208 FCFA indique que chaque action génère un bénéfice annuel de ce montant. Le PER de 18,7x est nettement supérieur à la moyenne historique de la BRVM (8-12x), signifiant que les investisseurs acceptent de payer une prime substantielle pour les bénéfices de la société. Le P/B de 4,50x confirme cette valorisation exigeante, le marché valorisant le titre à plus de quatre fois sa valeur comptable, ce qui reflète une forte confiance dans la qualité des actifs et la marque. Enfin, l'EV/EBITDA de 8,0x se situe dans une fourchette raisonnable, indiquant que la valeur totale de l'entreprise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progression de +20,00%, passant d'un plus bas de 2 845 FCFA à un plus haut de 4 500 FCFA, avant de se stabiliser à 3 900 FCFA. La dernière séance enregistre un repli de -1,64%, suggérant une consolidation après un mouvement haussier marqué. Le cours moyen de 3 487 FCFA, proche de la médiane de 3 450 FCFA, indique une distribution relativement symétrique, mais le skewness positif de 0,666 révèle une asymétrie avec un nombre plus important de journées sous la moyenne, ce qui traduit des phases d'accélération ponctuelles. L'écart-type de 369 FCFA (CV=10,6%) montre une dispersion modérée, tandis que le kurtosis de 0,019 (mésokurtique) indique une distribution proche de la normale, sans risque extrême de pics. La volatilité annualisée de 48,0% est élevée, positionnant TTLS comme un titre à fort potentiel de mouvement, nécessitant une gestion active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à 3 668 FCFA et la MM50 à 3 767 FCFA sont toutes deux inférieures au cours actuel de 3 900 FCFA, indiquant une tendance haussière de moyen terme. Cependant, la décision globale est à la Vente, car le cours a récemment cassé sous la MM20, signalant un affaiblissement du momentum à court terme. La configuration des moyennes mobiles suggère une possible correction vers les 3 670-3 770 FCFA avant une reprise.</w:t>
      </w:r>
    </w:p>
    <w:p>
      <w:pPr>
        <w:spacing w:after="120" w:line="276" w:lineRule="auto"/>
      </w:pPr>
      <w:r>
        <w:t>**Bandes de Bollinger** : Le cours à 3 900 FCFA se situe exactement à la borne supérieure (3 900,114 FCFA), indiquant une pression acheteuse intense mais également une zone de surachat potentiel. La borne inférieure à 3 436 FCFA définit un support majeur. La décision Neutre reflète l'équilibre entre la force de la tendance et le risque de retournement, la largeur des bandes signalant une volatilité en expansion.</w:t>
      </w:r>
    </w:p>
    <w:p>
      <w:pPr>
        <w:spacing w:after="120" w:line="276" w:lineRule="auto"/>
      </w:pPr>
      <w:r>
        <w:t>**MACD** : La valeur positive de 10,791 avec un signal à -26,933 montre un croisement haussier récent, avec un momentum positif qui se renforce. La divergence positive entre la ligne MACD et le signal indique une dynamique d'achat en cours, justifiant la décision Achat. Cette configuration suggère que la tendance haussière pourrait se poursuivre à court terme.</w:t>
      </w:r>
    </w:p>
    <w:p>
      <w:pPr>
        <w:spacing w:after="120" w:line="276" w:lineRule="auto"/>
      </w:pPr>
      <w:r>
        <w:t>**RSI** : À 60,426, le RSI se situe en zone neutre, sans signal de surachat (70) ni de survente (30). Cette valeur indique un équilibre entre pression acheteuse et vendeuse, laissant une marge de progression avant d'atteindre des niveaux extrêmes. La décision Neutre est cohérente avec cette lecture, le titre disposant d'un potentiel haussier résiduel.</w:t>
      </w:r>
    </w:p>
    <w:p>
      <w:pPr>
        <w:spacing w:after="120" w:line="276" w:lineRule="auto"/>
      </w:pPr>
      <w:r>
        <w:t>**Stochastique** : Le %K à 86,022 et le %D à 84,229 sont tous deux en zone de surachat (&gt;80), signalant une possible correction à court terme. Le croisement potentiel baissier du %K sous le %D renforcerait ce signal. La décision Vente est justifiée par ces niveaux extrêmes, suggérant une prudence pour les entrées à court terme.</w:t>
      </w:r>
    </w:p>
    <w:p>
      <w:pPr>
        <w:spacing w:after="120" w:line="276" w:lineRule="auto"/>
      </w:pPr>
      <w:r>
        <w:t>**Conclusion technique** : La convergence des indicateurs est contrastée. Le MACD et les bandes de Bollinger suggèrent une dynamique haussière, tandis que le RSI neutre et le stochastique en surachat indiquent un risque de consolidation. Les moyennes mobiles, bien que sous le cours, signalent un affaiblissement à court terme. Globalement, la tendance reste positive mais une correction technique semble probable avant la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TTLS a réalisé un chiffre d'affaires de 455,209 milliards FCFA, en baisse de 6,1% par rapport à 2024 (484,945 milliards FCFA), principalement due à l'arrêt stratégique de la commercialisation du fuel lourd. Le résultat net s'établit à 6,779 milliards FCFA, contre 7,140 milliards en 2024, soit une diminution de 5,1%. La rentabilité des fonds propres (ROE) reste excellente à 24,01%, bien au-dessus du seuil de 15%, tandis que le ROA s'établit à 3,95%. La structure financière montre une autonomie de 16,44% et un ratio d'endettement de 52,16%, avec un BFR négatif de -36,899 milliards FCFA, signe d'une gestion efficace du cycle d'exploitation. Les délais clients de 47 jours et fournisseurs de 98 jours confirment une position de force dans la chaîne de valeur. Les rapports trimestriels 2025 (T1, S1, T3) montrent une amélioration continue du résultat d'exploitation (+22% au S1), malgré la baisse du CA. Le rapport T1 2026, publié en mai 2026, confirme cette tendance avec un résultat net en hausse de 5% à 1,585 milliards FCFA, malgré une baisse de 10% du CA due à la révision des prix à la pompe par l'État. On estime que l'exercice 2026 pourrait voir une stabilisation du résultat net autour de 6,5-7 milliards FCFA, soutenu par l'amélioration des marges sur les lubrifiants et le GPL. La trésorerie s'est significativement renforcée, passant de 8,4 milliards en 2024 à 20,6 milliards en 2025, avec un endettement net négatif de -14,9 milliards FCFA, offrant une marge de manœuvre financière importante.</w:t>
      </w:r>
    </w:p>
    <w:p>
      <w:pPr>
        <w:spacing w:after="120" w:line="276" w:lineRule="auto"/>
      </w:pPr>
      <w:r>
        <w:t>---</w:t>
      </w:r>
    </w:p>
    <w:p>
      <w:pPr>
        <w:spacing w:after="120" w:line="276" w:lineRule="auto"/>
      </w:pPr>
      <w:r>
        <w:t>### PARTIE 4 : CONCLUSION D'INVESTISSEMENT</w:t>
      </w:r>
    </w:p>
    <w:p>
      <w:pPr>
        <w:spacing w:after="120" w:line="276" w:lineRule="auto"/>
      </w:pPr>
      <w:r>
        <w:t>La valorisation de TTLS (PER 18,7x, P/B 4,5x) indique une prime significative par rapport au marché BRVM, reflétant la qualité de la franchise mais limitant le potentiel de hausse à court terme. Le comportement du cours sur 100 jours (+20%) montre une dynamique positive, mais la volatilité élevée (48%) et le skewness positif suggèrent des corrections possibles. Les signaux techniques sont mitigés : le MACD est haussier, mais le stochastique en surachat et les moyennes mobiles en décision de vente indiquent un risque de consolidation. Les fondamentaux restent solides avec un ROE de 24%, une trésorerie nette positive et une amélioration des marges opérationnelles, confirmée par les résultats T1 2026. Les prédictions IA (3 710 à 3 469 FCFA sur 10 jours) anticipent une correction de -11% par rapport au cours actuel, en phase avec les signaux techniques de surachat. La convergence entre la prédiction IA et les indicateurs techniques suggère une fenêtre d'achat plus favorable à moyen terme. **Recommandation : CONSERVER** avec un niveau de confiance Moyen et un risque global Moyen. Horizon d'investissement optimal : moyen terme (3-12 mois), en attendant une correction vers 3 400-3 500 FCFA pour renforcer la position.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-2.70%</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6.35% (Moyenne) — μ=56,643 FCFA, σ=3,594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β=0.7935 (Défensif) — Cov=0.000028, Var(idx)=0.000035, ρ=0.119,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2026-08-24</w:t>
            </w:r>
          </w:p>
        </w:tc>
        <w:tc>
          <w:tcPr>
            <w:tcW w:type="dxa" w:w="1440"/>
            <w:shd w:fill="C6EFCE" w:val="clear"/>
          </w:tcPr>
          <w:p>
            <w:r>
              <w:rPr>
                <w:sz w:val="17"/>
              </w:rPr>
              <w:t>50,914</w:t>
            </w:r>
          </w:p>
        </w:tc>
        <w:tc>
          <w:tcPr>
            <w:tcW w:type="dxa" w:w="1440"/>
            <w:shd w:fill="C6EFCE" w:val="clear"/>
          </w:tcPr>
          <w:p>
            <w:r>
              <w:rPr>
                <w:b/>
                <w:sz w:val="17"/>
              </w:rPr>
              <w:t>53,998</w:t>
            </w:r>
          </w:p>
        </w:tc>
        <w:tc>
          <w:tcPr>
            <w:tcW w:type="dxa" w:w="1440"/>
            <w:shd w:fill="C6EFCE" w:val="clear"/>
          </w:tcPr>
          <w:p>
            <w:r>
              <w:rPr>
                <w:sz w:val="17"/>
              </w:rPr>
              <w:t>57,082</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2026-08-25</w:t>
            </w:r>
          </w:p>
        </w:tc>
        <w:tc>
          <w:tcPr>
            <w:tcW w:type="dxa" w:w="1440"/>
            <w:shd w:fill="C6EFCE" w:val="clear"/>
          </w:tcPr>
          <w:p>
            <w:r>
              <w:rPr>
                <w:sz w:val="17"/>
              </w:rPr>
              <w:t>49,827</w:t>
            </w:r>
          </w:p>
        </w:tc>
        <w:tc>
          <w:tcPr>
            <w:tcW w:type="dxa" w:w="1440"/>
            <w:shd w:fill="C6EFCE" w:val="clear"/>
          </w:tcPr>
          <w:p>
            <w:r>
              <w:rPr>
                <w:b/>
                <w:sz w:val="17"/>
              </w:rPr>
              <w:t>54,205</w:t>
            </w:r>
          </w:p>
        </w:tc>
        <w:tc>
          <w:tcPr>
            <w:tcW w:type="dxa" w:w="1440"/>
            <w:shd w:fill="C6EFCE" w:val="clear"/>
          </w:tcPr>
          <w:p>
            <w:r>
              <w:rPr>
                <w:sz w:val="17"/>
              </w:rPr>
              <w:t>58,584</w:t>
            </w:r>
          </w:p>
        </w:tc>
        <w:tc>
          <w:tcPr>
            <w:tcW w:type="dxa" w:w="1440"/>
            <w:shd w:fill="C6EFCE" w:val="clear"/>
          </w:tcPr>
          <w:p>
            <w:r>
              <w:rPr>
                <w:b/>
                <w:color w:val="008000"/>
                <w:sz w:val="17"/>
              </w:rPr>
              <w:t>+3.8%</w:t>
            </w:r>
          </w:p>
        </w:tc>
      </w:tr>
      <w:tr>
        <w:tc>
          <w:tcPr>
            <w:tcW w:type="dxa" w:w="1440"/>
            <w:shd w:fill="C6EFCE" w:val="clear"/>
          </w:tcPr>
          <w:p>
            <w:r>
              <w:rPr>
                <w:sz w:val="17"/>
              </w:rPr>
              <w:t>J+3  ⭐</w:t>
            </w:r>
          </w:p>
        </w:tc>
        <w:tc>
          <w:tcPr>
            <w:tcW w:type="dxa" w:w="1440"/>
            <w:shd w:fill="C6EFCE" w:val="clear"/>
          </w:tcPr>
          <w:p>
            <w:r>
              <w:rPr>
                <w:sz w:val="17"/>
              </w:rPr>
              <w:t>2026-08-27</w:t>
            </w:r>
          </w:p>
        </w:tc>
        <w:tc>
          <w:tcPr>
            <w:tcW w:type="dxa" w:w="1440"/>
            <w:shd w:fill="C6EFCE" w:val="clear"/>
          </w:tcPr>
          <w:p>
            <w:r>
              <w:rPr>
                <w:sz w:val="17"/>
              </w:rPr>
              <w:t>49,276</w:t>
            </w:r>
          </w:p>
        </w:tc>
        <w:tc>
          <w:tcPr>
            <w:tcW w:type="dxa" w:w="1440"/>
            <w:shd w:fill="C6EFCE" w:val="clear"/>
          </w:tcPr>
          <w:p>
            <w:r>
              <w:rPr>
                <w:b/>
                <w:sz w:val="17"/>
              </w:rPr>
              <w:t>54,686</w:t>
            </w:r>
          </w:p>
        </w:tc>
        <w:tc>
          <w:tcPr>
            <w:tcW w:type="dxa" w:w="1440"/>
            <w:shd w:fill="C6EFCE" w:val="clear"/>
          </w:tcPr>
          <w:p>
            <w:r>
              <w:rPr>
                <w:sz w:val="17"/>
              </w:rPr>
              <w:t>60,097</w:t>
            </w:r>
          </w:p>
        </w:tc>
        <w:tc>
          <w:tcPr>
            <w:tcW w:type="dxa" w:w="1440"/>
            <w:shd w:fill="C6EFCE" w:val="clear"/>
          </w:tcPr>
          <w:p>
            <w:r>
              <w:rPr>
                <w:b/>
                <w:color w:val="008000"/>
                <w:sz w:val="17"/>
              </w:rPr>
              <w:t>+4.8%</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48,938</w:t>
            </w:r>
          </w:p>
        </w:tc>
        <w:tc>
          <w:tcPr>
            <w:tcW w:type="dxa" w:w="1440"/>
            <w:shd w:fill="C6EFCE" w:val="clear"/>
          </w:tcPr>
          <w:p>
            <w:r>
              <w:rPr>
                <w:b/>
                <w:sz w:val="17"/>
              </w:rPr>
              <w:t>55,250</w:t>
            </w:r>
          </w:p>
        </w:tc>
        <w:tc>
          <w:tcPr>
            <w:tcW w:type="dxa" w:w="1440"/>
            <w:shd w:fill="C6EFCE" w:val="clear"/>
          </w:tcPr>
          <w:p>
            <w:r>
              <w:rPr>
                <w:sz w:val="17"/>
              </w:rPr>
              <w:t>61,561</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48,715</w:t>
            </w:r>
          </w:p>
        </w:tc>
        <w:tc>
          <w:tcPr>
            <w:tcW w:type="dxa" w:w="1440"/>
            <w:shd w:fill="C6EFCE" w:val="clear"/>
          </w:tcPr>
          <w:p>
            <w:r>
              <w:rPr>
                <w:b/>
                <w:sz w:val="17"/>
              </w:rPr>
              <w:t>55,848</w:t>
            </w:r>
          </w:p>
        </w:tc>
        <w:tc>
          <w:tcPr>
            <w:tcW w:type="dxa" w:w="1440"/>
            <w:shd w:fill="C6EFCE" w:val="clear"/>
          </w:tcPr>
          <w:p>
            <w:r>
              <w:rPr>
                <w:sz w:val="17"/>
              </w:rPr>
              <w:t>62,982</w:t>
            </w:r>
          </w:p>
        </w:tc>
        <w:tc>
          <w:tcPr>
            <w:tcW w:type="dxa" w:w="1440"/>
            <w:shd w:fill="C6EFCE" w:val="clear"/>
          </w:tcPr>
          <w:p>
            <w:r>
              <w:rPr>
                <w:b/>
                <w:color w:val="008000"/>
                <w:sz w:val="17"/>
              </w:rPr>
              <w:t>+7.0%</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48,566</w:t>
            </w:r>
          </w:p>
        </w:tc>
        <w:tc>
          <w:tcPr>
            <w:tcW w:type="dxa" w:w="1440"/>
            <w:shd w:fill="C6EFCE" w:val="clear"/>
          </w:tcPr>
          <w:p>
            <w:r>
              <w:rPr>
                <w:b/>
                <w:sz w:val="17"/>
              </w:rPr>
              <w:t>56,466</w:t>
            </w:r>
          </w:p>
        </w:tc>
        <w:tc>
          <w:tcPr>
            <w:tcW w:type="dxa" w:w="1440"/>
            <w:shd w:fill="C6EFCE" w:val="clear"/>
          </w:tcPr>
          <w:p>
            <w:r>
              <w:rPr>
                <w:sz w:val="17"/>
              </w:rPr>
              <w:t>64,367</w:t>
            </w:r>
          </w:p>
        </w:tc>
        <w:tc>
          <w:tcPr>
            <w:tcW w:type="dxa" w:w="1440"/>
            <w:shd w:fill="C6EFCE" w:val="clear"/>
          </w:tcPr>
          <w:p>
            <w:r>
              <w:rPr>
                <w:b/>
                <w:color w:val="008000"/>
                <w:sz w:val="17"/>
              </w:rPr>
              <w:t>+8.2%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48,467</w:t>
            </w:r>
          </w:p>
        </w:tc>
        <w:tc>
          <w:tcPr>
            <w:tcW w:type="dxa" w:w="1440"/>
            <w:shd w:fill="C6EFCE" w:val="clear"/>
          </w:tcPr>
          <w:p>
            <w:r>
              <w:rPr>
                <w:b/>
                <w:sz w:val="17"/>
              </w:rPr>
              <w:t>57,096</w:t>
            </w:r>
          </w:p>
        </w:tc>
        <w:tc>
          <w:tcPr>
            <w:tcW w:type="dxa" w:w="1440"/>
            <w:shd w:fill="C6EFCE" w:val="clear"/>
          </w:tcPr>
          <w:p>
            <w:r>
              <w:rPr>
                <w:sz w:val="17"/>
              </w:rPr>
              <w:t>65,725</w:t>
            </w:r>
          </w:p>
        </w:tc>
        <w:tc>
          <w:tcPr>
            <w:tcW w:type="dxa" w:w="1440"/>
            <w:shd w:fill="C6EFCE" w:val="clear"/>
          </w:tcPr>
          <w:p>
            <w:r>
              <w:rPr>
                <w:b/>
                <w:color w:val="008000"/>
                <w:sz w:val="17"/>
              </w:rPr>
              <w:t>+9.4%</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48,406</w:t>
            </w:r>
          </w:p>
        </w:tc>
        <w:tc>
          <w:tcPr>
            <w:tcW w:type="dxa" w:w="1440"/>
            <w:shd w:fill="C6EFCE" w:val="clear"/>
          </w:tcPr>
          <w:p>
            <w:r>
              <w:rPr>
                <w:b/>
                <w:sz w:val="17"/>
              </w:rPr>
              <w:t>57,734</w:t>
            </w:r>
          </w:p>
        </w:tc>
        <w:tc>
          <w:tcPr>
            <w:tcW w:type="dxa" w:w="1440"/>
            <w:shd w:fill="C6EFCE" w:val="clear"/>
          </w:tcPr>
          <w:p>
            <w:r>
              <w:rPr>
                <w:sz w:val="17"/>
              </w:rPr>
              <w:t>67,061</w:t>
            </w:r>
          </w:p>
        </w:tc>
        <w:tc>
          <w:tcPr>
            <w:tcW w:type="dxa" w:w="1440"/>
            <w:shd w:fill="C6EFCE" w:val="clear"/>
          </w:tcPr>
          <w:p>
            <w:r>
              <w:rPr>
                <w:b/>
                <w:color w:val="008000"/>
                <w:sz w:val="17"/>
              </w:rPr>
              <w:t>+10.6%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48,374</w:t>
            </w:r>
          </w:p>
        </w:tc>
        <w:tc>
          <w:tcPr>
            <w:tcW w:type="dxa" w:w="1440"/>
            <w:shd w:fill="C6EFCE" w:val="clear"/>
          </w:tcPr>
          <w:p>
            <w:r>
              <w:rPr>
                <w:b/>
                <w:sz w:val="17"/>
              </w:rPr>
              <w:t>58,377</w:t>
            </w:r>
          </w:p>
        </w:tc>
        <w:tc>
          <w:tcPr>
            <w:tcW w:type="dxa" w:w="1440"/>
            <w:shd w:fill="C6EFCE" w:val="clear"/>
          </w:tcPr>
          <w:p>
            <w:r>
              <w:rPr>
                <w:sz w:val="17"/>
              </w:rPr>
              <w:t>68,381</w:t>
            </w:r>
          </w:p>
        </w:tc>
        <w:tc>
          <w:tcPr>
            <w:tcW w:type="dxa" w:w="1440"/>
            <w:shd w:fill="C6EFCE" w:val="clear"/>
          </w:tcPr>
          <w:p>
            <w:r>
              <w:rPr>
                <w:b/>
                <w:color w:val="008000"/>
                <w:sz w:val="17"/>
              </w:rPr>
              <w:t>+11.8%</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48,363</w:t>
            </w:r>
          </w:p>
        </w:tc>
        <w:tc>
          <w:tcPr>
            <w:tcW w:type="dxa" w:w="1440"/>
            <w:shd w:fill="C6EFCE" w:val="clear"/>
          </w:tcPr>
          <w:p>
            <w:r>
              <w:rPr>
                <w:b/>
                <w:sz w:val="17"/>
              </w:rPr>
              <w:t>59,025</w:t>
            </w:r>
          </w:p>
        </w:tc>
        <w:tc>
          <w:tcPr>
            <w:tcW w:type="dxa" w:w="1440"/>
            <w:shd w:fill="C6EFCE" w:val="clear"/>
          </w:tcPr>
          <w:p>
            <w:r>
              <w:rPr>
                <w:sz w:val="17"/>
              </w:rPr>
              <w:t>69,687</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479,37 milliards FCFA, ce qui la positionne parmi les valeurs moyennes à grandes capitalisations de la BRVM, dans un marché où les poids lourds comme Sonatel dépassent les 2 000 milliards FCFA. Les ratios de valorisation (BPA, PER, P/B, EV/EBITDA) ne sont pas calculables en raison de l'absence de données financières structurées récentes dans la base, ce qui constitue une limite importante pour évaluer le caractère attractif ou non du titre. Toutefois, sur la base des derniers rapports disponibles (exercice 2023), le bénéfice net de 640 millions FCFA rapporté au nombre d'actions en circulation (environ 9,18 millions) suggère un BPA d'environ 70 FCFA, ce qui impliquerait un PER extrêmement élevé (plus de 700x), traduisant une valorisation très généreuse au regard des bénéfices actuels. Cette situation s'explique par la faiblesse persistante des résultats après les pertes massives de 2022, le marché anticipant probablement un redressement futur. En l'absence de capitaux propres positifs solides (ils étaient négatifs à -10,6 milliards FCFA fin 2023), le ratio P/B n'est pas significatif, et l'EV/EBITDA ne peut être calculé faute d'EBITDA fiable, ce qui renforce la prudence nécessaire dans l'interprétation de ces indicateurs.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de trading, le titre UNLC a enregistré une variation totale de -2,70%, avec une légère reprise de +0,38% lors de la dernière séance, reflétant une tendance globalement baissière mais modérée. Le cours a évolué dans une fourchette relativement large, oscillant entre un plus bas de 49 630 FCFA et un plus haut de 69 005 FCFA, soit une amplitude de près de 39%, indiquant une volatilité significative sur la période. La moyenne du cours s'établit à 56 643 FCFA, légèrement supérieure à la médiane de 56 252 FCFA, avec un écart-type de 3 612 FCFA (coefficient de variation de 6,4%), ce qui révèle une dispersion modérée autour de la moyenne. Le kurtosis excédentaire de 0,596 indique une distribution mésokurtique, proche d'une normale, avec un risque de valeurs extrêmes limité, tandis que le skewness positif de 0,500 suggère une asymétrie vers la droite, signifiant que le cours a passé plus de journées sous la moyenne que au-dessus, avec quelques pics ponctuels. La volatilité annualisée de 64,0% classe UNLC comme un titre à très forte volatilité, bien au-delà du seuil de 30% considéré comme élevé, ce qui implique un risque substantiel pour les investisseurs, particulièrement dans un contexte de faible liquidité avec un volume moyen de seulement 23 titres par 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53 992,5 FCFA et la MM50 à 54 531,4 FCFA se situent toutes deux au-dessus du cours actuel de 52 200 FCFA, indiquant une configuration baissière où le prix évolue sous ses moyennes mobiles clés. La MM20 étant inférieure à la MM50 suggère une dynamique négative à court terme, avec une décision de Vente justifiée par cette structure défavorable.</w:t>
      </w:r>
    </w:p>
    <w:p>
      <w:pPr>
        <w:spacing w:after="120" w:line="276" w:lineRule="auto"/>
      </w:pPr>
      <w:r>
        <w:t>**Bandes de Bollinger :** Le cours à 52 200 FCFA se positionne dans la partie inférieure des bandes, entre la borne inférieure à 49 302,59 FCFA et la borne supérieure à 58 682,41 FCFA, avec une largeur de bandes reflétant une volatilité élevée. La décision Neutre s'explique par le fait que le prix n'a pas encore atteint les extrêmes des bandes, laissant place à une possible poursuite du mouvement baissier ou un rebond technique.</w:t>
      </w:r>
    </w:p>
    <w:p>
      <w:pPr>
        <w:spacing w:after="120" w:line="276" w:lineRule="auto"/>
      </w:pPr>
      <w:r>
        <w:t>**MACD :** La valeur du MACD à 14,467 est nettement inférieure à son signal à 228,619, créant un écart négatif important qui confirme un momentum baissier prononcé. La décision de Vente est justifiée par cette divergence négative, bien que la faiblesse absolue du MACD suggère que la pression vendeuse pourrait s'atténuer à court terme.</w:t>
      </w:r>
    </w:p>
    <w:p>
      <w:pPr>
        <w:spacing w:after="120" w:line="276" w:lineRule="auto"/>
      </w:pPr>
      <w:r>
        <w:t>**RSI :** À 44,516, le RSI se situe dans la zone neutre (entre 30 et 70), indiquant un équilibre relatif entre les forces acheteuses et vendeuses, sans signal de surachat ni de survente. La décision Neutre est cohérente avec cette lecture, le marché n'étant pas encore dans des conditions extrêmes qui justifieraient un retournement imminent.</w:t>
      </w:r>
    </w:p>
    <w:p>
      <w:pPr>
        <w:spacing w:after="120" w:line="276" w:lineRule="auto"/>
      </w:pPr>
      <w:r>
        <w:t>**Stochastique :** Le %K à 17,143 et le %D à 24,762 sont tous deux en zone de survente (sous 20 pour %K), avec un croisement potentiel à la hausse qui pourrait signaler un rebond technique. La décision d'Achat est justifiée par cette configuration, suggérant que le titre est temporairement survendu et pourrait connaître une correction haussière à très court terme.</w:t>
      </w:r>
    </w:p>
    <w:p>
      <w:pPr>
        <w:spacing w:after="120" w:line="276" w:lineRule="auto"/>
      </w:pPr>
      <w:r>
        <w:t>**Conclusion technique :** La convergence des indicateurs de tendance (MM, MACD) vers une orientation baissière contraste avec les signaux de retournement potentiel issus du stochastique en zone de survente. Le RSI neutre et les bandes de Bollinger sans extrême confirment une phase de consolidation baissière, où le titre pourrait tenter un rebond technique limité avant de poursuivre sa tendance. Globalement, la configuration technique reste défavorable à moyen terme, avec un biais vendeur dominant malgré des signaux de court terme suggérant un possible sursaut.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disponibles dans les rapports officiels couvrent les exercices 2021 à 2023, avec une nette amélioration de la performance sur la période. En 2021, UNLC a réalisé un chiffre d'affaires de 24,336 milliards FCFA avec un bénéfice net de 6,09 milliards FCFA, soit une marge nette exceptionnelle de 25%, portée par des éléments exceptionnels. L'exercice 2022 a marqué une rupture brutale avec une perte nette de 6,38 milliards FCFA (marge nette de -26,2%), conséquence de la cession de l'activité thé et de coûts logistiques élevés. Le rapport 2023 (daté du 31 décembre 2023, analysé en mars 2026) montre un redressement partiel avec un CA stable à 24,336 milliards FCFA et un bénéfice net de 640 millions FCFA, soit une marge nette de 2,63%, nettement inférieure à la moyenne sectorielle des FMCG (5-10%). Le résultat d'exploitation est passé de -6,26 milliards FCFA en 2022 à +3,34 milliards FCFA en 2023, grâce à une réduction des charges, mais les capitaux propres restent négatifs à -10,66 milliards FCFA, avec un endettement financier de 4,38 milliards FCFA. Aucun dividende n'a été versé sur la période 2021-2023, la priorité étant donnée à la reconstitution des fonds propres. Sur la base de ces éléments, la situation financière d'UNLC demeure fragile, avec une rentabilité insuffisante pour absorber les pertes passées et un risque de liquidité persistant, bien que la tendance soit à l'amélioration progressive depuis le point bas de 2022.</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analyses fait ressortir une situation contrastée pour le titre UNLC. Sur le plan de la valorisation, l'absence de ratios calculables et un PER implicite extrêmement élevé (supérieur à 700x) indiquent une surévaluation manifeste au regard des bénéfices actuels, le marché anticipant un redressement qui tarde à se matérialiser. Le comportement du cours sur 100 jours montre une tendance baissière modérée (-2,70%) avec une volatilité annualisée de 64%, très élevée, et une distribution statistique révélant des journées majoritairement sous la moyenne, signe d'une faiblesse persistante. Les signaux techniques sont majoritairement vendeurs (MM, MACD) avec un seul indicateur d'achat (stochastique en survente), suggérant une poursuite probable de la baisse à moyen terme malgré un possible rebond technique de court terme. Les fondamentaux, bien qu'en amélioration depuis 2022, restent préoccupants avec une marge nette de seulement 2,63% en 2023, des capitaux propres négatifs et l'absence de dividendes. Les prédictions IA pour les 10 prochains jours (52 200 à 55 848 FCFA) suggèrent une hausse de 7% qui contredit les signaux techniques baissiers, mais cette projection semble optimiste au vu des fondamentaux fragiles. En conclusion, je recommande une **VENTE** avec un niveau de confiance **Moyen** et un risque global **Élevé**, l'horizon d'investissement optimal étant le **court terme (&lt;3 mois)** pour les investisseurs cherchant à limiter leur exposition à un titre dont la solidité financière reste incertaine et dont la valorisation actuelle ne reflète pas la réalité économique.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51.15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12,761 titres</w:t>
            </w:r>
          </w:p>
        </w:tc>
        <w:tc>
          <w:tcPr>
            <w:tcW w:type="dxa" w:w="2268"/>
            <w:shd w:fill="FFF2CC" w:val="clear"/>
          </w:tcPr>
          <w:p>
            <w:r>
              <w:rPr>
                <w:b/>
                <w:color w:val="503200"/>
                <w:sz w:val="16"/>
              </w:rPr>
              <w:t xml:space="preserve">Cours actuel : </w:t>
            </w:r>
            <w:r>
              <w:rPr>
                <w:color w:val="000000"/>
                <w:sz w:val="17"/>
              </w:rPr>
              <w:t>2,465 FCFA</w:t>
            </w:r>
          </w:p>
          <w:p>
            <w:r>
              <w:rPr>
                <w:b/>
                <w:color w:val="503200"/>
                <w:sz w:val="16"/>
              </w:rPr>
              <w:t xml:space="preserve">Var. 100 jours : </w:t>
            </w:r>
            <w:r>
              <w:rPr>
                <w:b/>
                <w:color w:val="007800"/>
                <w:sz w:val="17"/>
              </w:rPr>
              <w:t>+17.66%</w:t>
            </w:r>
          </w:p>
          <w:p>
            <w:r>
              <w:rPr>
                <w:b/>
                <w:color w:val="503200"/>
                <w:sz w:val="16"/>
              </w:rPr>
              <w:t xml:space="preserve">Plus haut 100j : </w:t>
            </w:r>
            <w:r>
              <w:rPr>
                <w:color w:val="000000"/>
                <w:sz w:val="17"/>
              </w:rPr>
              <w:t>2,470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10.33% (Moyenne) — μ=1,878 FCFA, σ=194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β=0.0115 (Défensif) — Cov=0.000000, Var(idx)=0.000035, ρ=0.002,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12,761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2,239</w:t>
            </w:r>
          </w:p>
        </w:tc>
        <w:tc>
          <w:tcPr>
            <w:tcW w:type="dxa" w:w="1440"/>
            <w:shd w:fill="FFDCE0" w:val="clear"/>
          </w:tcPr>
          <w:p>
            <w:r>
              <w:rPr>
                <w:b/>
                <w:sz w:val="17"/>
              </w:rPr>
              <w:t>2,372</w:t>
            </w:r>
          </w:p>
        </w:tc>
        <w:tc>
          <w:tcPr>
            <w:tcW w:type="dxa" w:w="1440"/>
            <w:shd w:fill="FFDCE0" w:val="clear"/>
          </w:tcPr>
          <w:p>
            <w:r>
              <w:rPr>
                <w:sz w:val="17"/>
              </w:rPr>
              <w:t>2,506</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2,173</w:t>
            </w:r>
          </w:p>
        </w:tc>
        <w:tc>
          <w:tcPr>
            <w:tcW w:type="dxa" w:w="1440"/>
            <w:shd w:fill="FFDCE0" w:val="clear"/>
          </w:tcPr>
          <w:p>
            <w:r>
              <w:rPr>
                <w:b/>
                <w:sz w:val="17"/>
              </w:rPr>
              <w:t>2,361</w:t>
            </w:r>
          </w:p>
        </w:tc>
        <w:tc>
          <w:tcPr>
            <w:tcW w:type="dxa" w:w="1440"/>
            <w:shd w:fill="FFDCE0" w:val="clear"/>
          </w:tcPr>
          <w:p>
            <w:r>
              <w:rPr>
                <w:sz w:val="17"/>
              </w:rPr>
              <w:t>2,548</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2,115</w:t>
            </w:r>
          </w:p>
        </w:tc>
        <w:tc>
          <w:tcPr>
            <w:tcW w:type="dxa" w:w="1440"/>
            <w:shd w:fill="FFDCE0" w:val="clear"/>
          </w:tcPr>
          <w:p>
            <w:r>
              <w:rPr>
                <w:b/>
                <w:sz w:val="17"/>
              </w:rPr>
              <w:t>2,342</w:t>
            </w:r>
          </w:p>
        </w:tc>
        <w:tc>
          <w:tcPr>
            <w:tcW w:type="dxa" w:w="1440"/>
            <w:shd w:fill="FFDCE0" w:val="clear"/>
          </w:tcPr>
          <w:p>
            <w:r>
              <w:rPr>
                <w:sz w:val="17"/>
              </w:rPr>
              <w:t>2,570</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2,065</w:t>
            </w:r>
          </w:p>
        </w:tc>
        <w:tc>
          <w:tcPr>
            <w:tcW w:type="dxa" w:w="1440"/>
            <w:shd w:fill="FFDCE0" w:val="clear"/>
          </w:tcPr>
          <w:p>
            <w:r>
              <w:rPr>
                <w:b/>
                <w:sz w:val="17"/>
              </w:rPr>
              <w:t>2,326</w:t>
            </w:r>
          </w:p>
        </w:tc>
        <w:tc>
          <w:tcPr>
            <w:tcW w:type="dxa" w:w="1440"/>
            <w:shd w:fill="FFDCE0" w:val="clear"/>
          </w:tcPr>
          <w:p>
            <w:r>
              <w:rPr>
                <w:sz w:val="17"/>
              </w:rPr>
              <w:t>2,587</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2,021</w:t>
            </w:r>
          </w:p>
        </w:tc>
        <w:tc>
          <w:tcPr>
            <w:tcW w:type="dxa" w:w="1440"/>
            <w:shd w:fill="FFDCE0" w:val="clear"/>
          </w:tcPr>
          <w:p>
            <w:r>
              <w:rPr>
                <w:b/>
                <w:sz w:val="17"/>
              </w:rPr>
              <w:t>2,311</w:t>
            </w:r>
          </w:p>
        </w:tc>
        <w:tc>
          <w:tcPr>
            <w:tcW w:type="dxa" w:w="1440"/>
            <w:shd w:fill="FFDCE0" w:val="clear"/>
          </w:tcPr>
          <w:p>
            <w:r>
              <w:rPr>
                <w:sz w:val="17"/>
              </w:rPr>
              <w:t>2,602</w:t>
            </w:r>
          </w:p>
        </w:tc>
        <w:tc>
          <w:tcPr>
            <w:tcW w:type="dxa" w:w="1440"/>
            <w:shd w:fill="FFDCE0" w:val="clear"/>
          </w:tcPr>
          <w:p>
            <w:r>
              <w:rPr>
                <w:b/>
                <w:color w:val="C00000"/>
                <w:sz w:val="17"/>
              </w:rPr>
              <w:t>-6.2%</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1,982</w:t>
            </w:r>
          </w:p>
        </w:tc>
        <w:tc>
          <w:tcPr>
            <w:tcW w:type="dxa" w:w="1440"/>
            <w:shd w:fill="FFDCE0" w:val="clear"/>
          </w:tcPr>
          <w:p>
            <w:r>
              <w:rPr>
                <w:b/>
                <w:sz w:val="17"/>
              </w:rPr>
              <w:t>2,298</w:t>
            </w:r>
          </w:p>
        </w:tc>
        <w:tc>
          <w:tcPr>
            <w:tcW w:type="dxa" w:w="1440"/>
            <w:shd w:fill="FFDCE0" w:val="clear"/>
          </w:tcPr>
          <w:p>
            <w:r>
              <w:rPr>
                <w:sz w:val="17"/>
              </w:rPr>
              <w:t>2,614</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1,945</w:t>
            </w:r>
          </w:p>
        </w:tc>
        <w:tc>
          <w:tcPr>
            <w:tcW w:type="dxa" w:w="1440"/>
            <w:shd w:fill="FFDCE0" w:val="clear"/>
          </w:tcPr>
          <w:p>
            <w:r>
              <w:rPr>
                <w:b/>
                <w:sz w:val="17"/>
              </w:rPr>
              <w:t>2,284</w:t>
            </w:r>
          </w:p>
        </w:tc>
        <w:tc>
          <w:tcPr>
            <w:tcW w:type="dxa" w:w="1440"/>
            <w:shd w:fill="FFDCE0" w:val="clear"/>
          </w:tcPr>
          <w:p>
            <w:r>
              <w:rPr>
                <w:sz w:val="17"/>
              </w:rPr>
              <w:t>2,623</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1,910</w:t>
            </w:r>
          </w:p>
        </w:tc>
        <w:tc>
          <w:tcPr>
            <w:tcW w:type="dxa" w:w="1440"/>
            <w:shd w:fill="FFDCE0" w:val="clear"/>
          </w:tcPr>
          <w:p>
            <w:r>
              <w:rPr>
                <w:b/>
                <w:sz w:val="17"/>
              </w:rPr>
              <w:t>2,271</w:t>
            </w:r>
          </w:p>
        </w:tc>
        <w:tc>
          <w:tcPr>
            <w:tcW w:type="dxa" w:w="1440"/>
            <w:shd w:fill="FFDCE0" w:val="clear"/>
          </w:tcPr>
          <w:p>
            <w:r>
              <w:rPr>
                <w:sz w:val="17"/>
              </w:rPr>
              <w:t>2,631</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1,877</w:t>
            </w:r>
          </w:p>
        </w:tc>
        <w:tc>
          <w:tcPr>
            <w:tcW w:type="dxa" w:w="1440"/>
            <w:shd w:fill="FFDCE0" w:val="clear"/>
          </w:tcPr>
          <w:p>
            <w:r>
              <w:rPr>
                <w:b/>
                <w:sz w:val="17"/>
              </w:rPr>
              <w:t>2,257</w:t>
            </w:r>
          </w:p>
        </w:tc>
        <w:tc>
          <w:tcPr>
            <w:tcW w:type="dxa" w:w="1440"/>
            <w:shd w:fill="FFDCE0" w:val="clear"/>
          </w:tcPr>
          <w:p>
            <w:r>
              <w:rPr>
                <w:sz w:val="17"/>
              </w:rPr>
              <w:t>2,638</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1,846</w:t>
            </w:r>
          </w:p>
        </w:tc>
        <w:tc>
          <w:tcPr>
            <w:tcW w:type="dxa" w:w="1440"/>
            <w:shd w:fill="FFDCE0" w:val="clear"/>
          </w:tcPr>
          <w:p>
            <w:r>
              <w:rPr>
                <w:b/>
                <w:sz w:val="17"/>
              </w:rPr>
              <w:t>2,244</w:t>
            </w:r>
          </w:p>
        </w:tc>
        <w:tc>
          <w:tcPr>
            <w:tcW w:type="dxa" w:w="1440"/>
            <w:shd w:fill="FFDCE0" w:val="clear"/>
          </w:tcPr>
          <w:p>
            <w:r>
              <w:rPr>
                <w:sz w:val="17"/>
              </w:rPr>
              <w:t>2,643</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51,15 milliards FCFA, un niveau qui la positionne comme une valeur de taille moyenne sur la BRVM. Le BPA est négatif à -105 FCFA, reflétant la perte nette de l'exercice 2024, ce qui rend le PER non significatif (-23,4x) — les investisseurs ne peuvent pas valoriser la société sur la base de ses bénéfices actuels. En revanche, le P/B de 3,28x indique que le marché valorise l'actif net de la société bien au-dessus de sa valeur comptable, suggérant une prime de croissance ou des anticipations de redressement. L'absence de données EV/EBITDA s'explique par la faiblesse de l'EBITDA, lui-même affecté par les pertes opérationnelles. Cette configuration valorise clairement un scénario de retournement plutôt que la performance actuelle.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progression spectaculaire de +17,66%, avec un cours actuel de 2 465 FCFA, proche de son plus haut sur la période (2 470 FCFA) et très éloigné de son plus bas (1 250 FCFA). La légère baisse de -0,20% sur la dernière séance suggère une consolidation après un fort mouvement haussier. La moyenne (1 878 FCFA) est inférieure à la médiane (1 900 FCFA), indiquant une distribution légèrement asymétrique avec des valeurs extrêmes à la hausse. L'écart-type de 195 FCFA (CV=10,4%) montre une dispersion modérée autour de la moyenne. Le kurtosis élevé (3,27) signale un risque de mouvements brusques, tandis que le skewness négatif (-0,448) suggère une asymétrie vers les rendements négatifs. La volatilité annualisée de 51,5% classe le titre comme très volatil, un niveau élevé qui implique un risque significatif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(2 465 FCFA) se situe nettement au-dessus de la MM20 (2 026,5 FCFA) et de la MM50 (1 862,9 FCFA). Cette configuration haussière confirme la tendance positive de moyen terme. L'écart important entre le cours et les moyennes indique un mouvement de hausse rapide, mais aussi une possible extension excessive qui pourrait précéder un repli technique.</w:t>
      </w:r>
    </w:p>
    <w:p>
      <w:pPr>
        <w:spacing w:after="120" w:line="276" w:lineRule="auto"/>
      </w:pPr>
      <w:r>
        <w:t>**Bandes de Bollinger** : Le prix évolue au-dessus de la borne supérieure (2 436 FCFA), ce qui signale une condition de surachat extrême. La largeur des bandes (écart de 819 FCFA entre les bornes) reflète la volatilité élevée du titre. La décision de vente est justifiée par cette sortie de canal, qui précède souvent un retour vers la moyenne.</w:t>
      </w:r>
    </w:p>
    <w:p>
      <w:pPr>
        <w:spacing w:after="120" w:line="276" w:lineRule="auto"/>
      </w:pPr>
      <w:r>
        <w:t>**MACD** : La valeur du MACD (154,08) est nettement supérieure à son signal (96,35), confirmant un momentum haussier fort. La divergence positive indique que la tendance haussière est soutenue par les flux. Cependant, l'ampleur de l'écart suggère une possible saturation à court terme.</w:t>
      </w:r>
    </w:p>
    <w:p>
      <w:pPr>
        <w:spacing w:after="120" w:line="276" w:lineRule="auto"/>
      </w:pPr>
      <w:r>
        <w:t>**RSI** : À 86,62, le RSI est profondément en zone de surachat (au-delà de 70). Cette lecture indique que le titre est survendu à la hausse et qu'un repli technique est probable. Les investisseurs devraient être prudents à ces niveaux, car les corrections succèdent souvent aux conditions de surachat extrême.</w:t>
      </w:r>
    </w:p>
    <w:p>
      <w:pPr>
        <w:spacing w:after="120" w:line="276" w:lineRule="auto"/>
      </w:pPr>
      <w:r>
        <w:t>**Stochastique** : Les valeurs %K (99,14) et %D (99,71) sont toutes deux à des niveaux extrêmement élevés, confirmant la surachat. Le fait que %D soit supérieur à %K suggère un affaiblissement du momentum haussier, un signal précurseur de retournement potentiel.</w:t>
      </w:r>
    </w:p>
    <w:p>
      <w:pPr>
        <w:spacing w:after="120" w:line="276" w:lineRule="auto"/>
      </w:pPr>
      <w:r>
        <w:t>**Conclusion technique** : La convergence des indicateurs (Bollinger, RSI, Stochastique) vers des zones de surachat extrême contraste avec la tendance haussière des moyennes mobiles et du MACD. Cette divergence entre la tendance de fond et les conditions de court terme suggère une consolidation imminente, mais ne remet pas en cause la tendance haussière de moyen terme.</w:t>
      </w:r>
    </w:p>
    <w:p>
      <w:pPr>
        <w:spacing w:after="120" w:line="276" w:lineRule="auto" w:before="240"/>
      </w:pPr>
      <w:r>
        <w:rPr>
          <w:b/>
          <w:color w:val="003366"/>
          <w:sz w:val="24"/>
        </w:rPr>
        <w:t>**PARTIE 3 : ANALYSE FONDAMENTALE (SECTION CRITIQUE)**</w:t>
      </w:r>
    </w:p>
    <w:p>
      <w:pPr>
        <w:spacing w:after="120" w:line="276" w:lineRule="auto"/>
      </w:pPr>
      <w:r>
        <w:t>En 2024, les données structurées révèlent une situation financière difficile pour UNXC : le chiffre d'affaires s'établit à 27,333 milliards FCFA, en baisse de 7,9%, mais le résultat net est fortement déficitaire à -2,189 milliards FCFA, avec une marge nette de -8,0% et un ROE de -14,0%. Le BFR de 2,149 milliards FCFA est positif, ce qui est défavorable, et les délais de paiement clients (51 jours) et de stockage (255 jours) sont élevés, immobilisant la trésorerie. Cependant, les rapports trimestriels 2025 (T1, S1, 9 mois) montrent une amélioration spectaculaire du résultat net grâce à la cession-bail du terrain (produit exceptionnel de 9,994 milliards FCFA), mais le résultat des activités ordinaires reste déficitaire (-371 millions sur 9 mois). Le rapport S1 2026 confirme un tournant décisif : le résultat d'exploitation redevient positif à 771 millions FCFA, et le résultat net atteint 771 millions FCFA, contre une perte de 314 millions au S1 2025. Le rapport annuel 2025 (publié en 2026) indique un EBE positif de 1,13 milliard FCFA et une perte réduite à -624 millions FCFA. La structure financière s'est assainie avec un désendettement massif (dettes fournisseurs réduites de 14,9 à 5,0 milliards FCFA). Cette trajectoire montre une amélioration opérationnelle réelle, mais la rentabilité durable reste à confirmer.</w:t>
      </w:r>
    </w:p>
    <w:p>
      <w:pPr>
        <w:spacing w:after="120" w:line="276" w:lineRule="auto" w:before="240"/>
      </w:pPr>
      <w:r>
        <w:rPr>
          <w:b/>
          <w:color w:val="003366"/>
          <w:sz w:val="24"/>
        </w:rPr>
        <w:t>**PARTIE 4 : CONCLUSION D'INVESTISSEMENT**</w:t>
      </w:r>
    </w:p>
    <w:p>
      <w:pPr>
        <w:spacing w:after="120" w:line="276" w:lineRule="auto"/>
      </w:pPr>
      <w:r>
        <w:t>La valorisation d'UNXC (P/B de 3,28x, PER négatif) reflète des anticipations de redressement plutôt que la performance actuelle. Le comportement du cours (+17,66% sur 100 jours, volatilité de 51,5%) montre une dynamique haussière forte mais risquée, avec des statistiques indiquant un risque de pics. Les signaux techniques sont contradictoires : la tendance de fond (MM, MACD) reste haussière, mais les indicateurs de surachat (Bollinger, RSI, Stochastique) suggèrent une correction imminente. Les fondamentaux montrent une amélioration opérationnelle réelle en 2025-2026, avec un retour à l'équilibre du résultat d'exploitation au S1 2026, mais la rentabilité reste fragile. Les prédictions IA (baisse de 2 372 à 2 311 FCFA sur 10 jours) confirment le scénario de consolidation technique. La convergence entre les signaux de surachat technique et les prédictions IA suggère une pause dans la hausse. **Recommandation : CONSERVER** avec un niveau de confiance Moyen, un risque global Élevé, et un horizon d'investissement optimal à moyen terme (3-12 mois) pour confirmer la solidité du redressement opérationnel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