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36"/>
        </w:rPr>
        <w:t>RAPPORT MENSUEL BRVM</w:t>
      </w:r>
    </w:p>
    <w:p>
      <w:pPr>
        <w:spacing w:after="240"/>
        <w:jc w:val="center"/>
      </w:pPr>
      <w:r>
        <w:rPr>
          <w:color w:val="666666"/>
          <w:sz w:val="20"/>
        </w:rPr>
        <w:t>Synthèse par section — évolution sur la période   •   01/09/2026 → 30/09/2026   •   28 rapport(s) journalier(s)</w:t>
      </w:r>
    </w:p>
    <w:p>
      <w:pPr>
        <w:spacing w:before="200" w:after="40"/>
      </w:pPr>
      <w:r>
        <w:rPr>
          <w:b/>
          <w:color w:val="1A237E"/>
          <w:sz w:val="26"/>
        </w:rPr>
        <w:t>SYNTHÈSE MENSUELLE — ÉVOLUTION DE LA PÉRIODE</w:t>
      </w:r>
    </w:p>
    <w:p>
      <w:pPr>
        <w:spacing w:before="20" w:after="160"/>
      </w:pPr>
      <w:r>
        <w:rPr>
          <w:b w:val="0"/>
          <w:color w:val="666666"/>
          <w:sz w:val="16"/>
        </w:rPr>
        <w:t>Période : 01/09/2026 → 30/09/2026   •   28 élément(s) analysé(s)</w:t>
      </w:r>
    </w:p>
    <w:p>
      <w:pPr>
        <w:spacing w:before="160" w:after="40"/>
      </w:pPr>
      <w:r>
        <w:rPr>
          <w:b/>
          <w:color w:val="0F9D58"/>
          <w:sz w:val="22"/>
        </w:rPr>
        <w:t>TENDANCE GÉNÉRALE</w:t>
      </w:r>
    </w:p>
    <w:p>
      <w:pPr>
        <w:spacing w:before="20" w:after="20"/>
      </w:pPr>
      <w:r>
        <w:rPr>
          <w:b w:val="0"/>
          <w:sz w:val="20"/>
        </w:rPr>
        <w:t>Le BRVM Composite a progressé de 530,92 points le 01/09 à 548,04 points le 30/09, soit un gain d'environ 3,2% sur le mois, après avoir culminé à 555,90 points en cours de période. La capitalisation boursière globale a suivi une trajectoire haussière comparable, passant d'environ 2 047 milliards FCFA à 21 491 milliards FCFA selon les relevés de fin de mois, même si les bases de calcul semblent avoir été révisées en cours de période rendant la comparaison directe délicate. Le mouvement s'est décomposé en deux temps : une ascension quasi continue jusqu'à la mi-septembre, suivie d'une consolidation avec un point bas local à 531,63 points le 25/09 avant un rebond final. La tendance de fond reste haussière, avec une moyenne de l'indice en progression continue sur les fenêtres glissantes.</w:t>
      </w:r>
    </w:p>
    <w:p>
      <w:pPr>
        <w:spacing w:before="160" w:after="40"/>
      </w:pPr>
      <w:r>
        <w:rPr>
          <w:b/>
          <w:color w:val="0F9D58"/>
          <w:sz w:val="22"/>
        </w:rPr>
        <w:t>FAITS MARQUANTS DE LA PÉRIODE</w:t>
      </w:r>
    </w:p>
    <w:p>
      <w:pPr>
        <w:spacing w:before="20" w:after="20"/>
      </w:pPr>
      <w:r>
        <w:rPr>
          <w:b w:val="0"/>
          <w:sz w:val="20"/>
        </w:rPr>
        <w:t>- Plus haut historique du mois atteint le 13/09 à 555,48 points, suivi d'un pic intra-journalier à 555,90 points le 16/09, marquant l'essoufflement de la dynamique haussière.</w:t>
      </w:r>
    </w:p>
    <w:p>
      <w:pPr>
        <w:spacing w:before="20" w:after="20"/>
      </w:pPr>
      <w:r>
        <w:rPr>
          <w:b w:val="0"/>
          <w:sz w:val="20"/>
        </w:rPr>
        <w:t>- Rupture de tendance notable le 22/09 avec un passage en mode baissier et un repli de -1,63% sur la séance, suivie d'une correction jusqu'à 531,63 points le 25/09.</w:t>
      </w:r>
    </w:p>
    <w:p>
      <w:pPr>
        <w:spacing w:before="20" w:after="20"/>
      </w:pPr>
      <w:r>
        <w:rPr>
          <w:b w:val="0"/>
          <w:sz w:val="20"/>
        </w:rPr>
        <w:t>- Fort rebond le 25/09 avec une progression de +2,97% sur la séance, signalant un retour des acheteurs après la consolidation.</w:t>
      </w:r>
    </w:p>
    <w:p>
      <w:pPr>
        <w:spacing w:before="20" w:after="20"/>
      </w:pPr>
      <w:r>
        <w:rPr>
          <w:b w:val="0"/>
          <w:sz w:val="20"/>
        </w:rPr>
        <w:t>- Le nombre de sociétés analysées est passé de 47 à 48 en fin de mois, avec l'apparition de nouvelles valeurs dans les opportunités d'achat (BBGC, FTSC).</w:t>
      </w:r>
    </w:p>
    <w:p>
      <w:pPr>
        <w:spacing w:before="20" w:after="20"/>
      </w:pPr>
      <w:r>
        <w:rPr>
          <w:b w:val="0"/>
          <w:sz w:val="20"/>
        </w:rPr>
        <w:t>- Rotation des top opportunités : BOAS en début de période, puis BNBC, SIVC, BOAC, CFAC, NTLC, SEMC, BOAB et enfin ABJC en fin de mois, reflétant une diversification des signaux.</w:t>
      </w:r>
    </w:p>
    <w:p>
      <w:pPr>
        <w:spacing w:before="20" w:after="20"/>
      </w:pPr>
      <w:r>
        <w:rPr>
          <w:b w:val="0"/>
          <w:sz w:val="20"/>
        </w:rPr>
        <w:t>- Les divergences technique/fondamental ont fluctué entre 6 et 15 sociétés, avec une amélioration en milieu de mois (6 divergences le 16/09) puis une remontée à 13 en fin de période.</w:t>
      </w:r>
    </w:p>
    <w:p>
      <w:pPr>
        <w:spacing w:before="160" w:after="40"/>
      </w:pPr>
      <w:r>
        <w:rPr>
          <w:b/>
          <w:color w:val="0F9D58"/>
          <w:sz w:val="22"/>
        </w:rPr>
        <w:t>ROTATION SECTORIELLE</w:t>
      </w:r>
    </w:p>
    <w:p>
      <w:pPr>
        <w:spacing w:before="20" w:after="20"/>
      </w:pPr>
      <w:r>
        <w:rPr>
          <w:b w:val="0"/>
          <w:sz w:val="20"/>
        </w:rPr>
        <w:t>Le secteur des Services Publics (CIEC, SDCC) a maintenu une surperformance spectaculaire tout au long du mois, avec une performance moyenne de 100 jours passant de +86,2% à +72,9% en fin de période, tout en restant largement au-dessus de l'indice. Les Services Financiers ont également surperformé mais avec une dynamique moins marquée, leur performance relative passant de +11,7% à +5,2% par rapport à l'indice, traduisant un essoufflement relatif. Le secteur des Industriels est resté identifié comme sous-performant de manière constante sur l'ensemble de la période.</w:t>
      </w:r>
    </w:p>
    <w:p>
      <w:pPr>
        <w:spacing w:before="160" w:after="40"/>
      </w:pPr>
      <w:r>
        <w:rPr>
          <w:b/>
          <w:color w:val="0F9D58"/>
          <w:sz w:val="22"/>
        </w:rPr>
        <w:t>RISQUES &amp; POINTS DE VIGILANCE</w:t>
      </w:r>
    </w:p>
    <w:p>
      <w:pPr>
        <w:spacing w:before="20" w:after="20"/>
      </w:pPr>
      <w:r>
        <w:rPr>
          <w:b w:val="0"/>
          <w:sz w:val="20"/>
        </w:rPr>
        <w:t>- La liquidité réduite affecte entre 8 et 12 titres selon les séances, avec une tendance à la dégradation en fin de période (12 titres le 28/09), limitant les possibilités de sortie pour certains investisseurs.</w:t>
      </w:r>
    </w:p>
    <w:p>
      <w:pPr>
        <w:spacing w:before="20" w:after="20"/>
      </w:pPr>
      <w:r>
        <w:rPr>
          <w:b w:val="0"/>
          <w:sz w:val="20"/>
        </w:rPr>
        <w:t>- La divergence entre les signaux techniques majoritairement acheteurs (47-48 ACHAT sur 47-48 sociétés) et les fondamentaux soulève des questions sur la robustesse de la tendance haussière.</w:t>
      </w:r>
    </w:p>
    <w:p>
      <w:pPr>
        <w:spacing w:before="20" w:after="20"/>
      </w:pPr>
      <w:r>
        <w:rPr>
          <w:b w:val="0"/>
          <w:sz w:val="20"/>
        </w:rPr>
        <w:t>- Les indicateurs de distribution (kurtosis négatif, asymétrie positive) suggèrent une tendance à la correction après les pics, avec des fluctuations régulières mais un risque de retournement.</w:t>
      </w:r>
    </w:p>
    <w:p>
      <w:pPr>
        <w:spacing w:before="20" w:after="20"/>
      </w:pPr>
      <w:r>
        <w:rPr>
          <w:b w:val="0"/>
          <w:sz w:val="20"/>
        </w:rPr>
        <w:t>- La volatilité de la capitalisation boursière, bien que modérée (CV autour de 10%), masque des variations importantes selon les titres et les secteurs.</w:t>
      </w:r>
    </w:p>
    <w:p>
      <w:pPr>
        <w:spacing w:before="160" w:after="40"/>
      </w:pPr>
      <w:r>
        <w:rPr>
          <w:b/>
          <w:color w:val="0F9D58"/>
          <w:sz w:val="22"/>
        </w:rPr>
        <w:t>PERSPECTIVES</w:t>
      </w:r>
    </w:p>
    <w:p>
      <w:pPr>
        <w:spacing w:before="20" w:after="20"/>
      </w:pPr>
      <w:r>
        <w:rPr>
          <w:b w:val="0"/>
          <w:sz w:val="20"/>
        </w:rPr>
        <w:t>La dynamique haussière du marché semble s'essouffler en fin de période, avec une progression mensuelle plus modeste (+3,2%) comparée à la performance des 100 derniers jours (+35% environ). La consolidation autour des 548 points pourrait se poursuivre si les volumes et la liquidité ne s'améliorent pas significativement. Une attention particulière devra être portée à l'évolution des secteurs défensifs et à la capacité du marché à franchir durablement la résistance des 555 points pour confirmer une nouvelle phase d'expansion.</w:t>
      </w:r>
    </w:p>
    <w:p>
      <w:pPr>
        <w:spacing w:before="120" w:after="160"/>
        <w:jc w:val="center"/>
      </w:pPr>
      <w:r>
        <w:rPr>
          <w:b w:val="0"/>
          <w:color w:val="999999"/>
          <w:sz w:val="18"/>
        </w:rPr>
        <w:t>— — —</w:t>
      </w:r>
    </w:p>
    <w:p>
      <w:pPr>
        <w:pStyle w:val="Heading1"/>
      </w:pPr>
      <w:r>
        <w:t>SYNTHÈSE GÉNÉRALE</w:t>
      </w:r>
    </w:p>
    <w:p>
      <w:pPr>
        <w:spacing w:after="20"/>
      </w:pPr>
      <w:r>
        <w:rPr>
          <w:sz w:val="20"/>
        </w:rPr>
        <w:t>Sur la période du 1er au 30 septembre 2026, le marché financier de l'UEMOA a affiché une dynamique globalement haussière, soutenue par un regain de confiance des investisseurs.</w:t>
      </w:r>
    </w:p>
    <w:p>
      <w:pPr>
        <w:spacing w:after="20"/>
      </w:pPr>
      <w:r>
        <w:rPr>
          <w:sz w:val="20"/>
        </w:rPr>
        <w:t>- L'indice BRVM Composite a progressé pour s'établir à 548,04 points en fin de période, avec une performance sur 100 jours glissants atteignant +35,88% (contre +29,70% au début du mois).</w:t>
      </w:r>
    </w:p>
    <w:p>
      <w:pPr>
        <w:spacing w:after="20"/>
      </w:pPr>
      <w:r>
        <w:rPr>
          <w:sz w:val="20"/>
        </w:rPr>
        <w:t>- La capitalisation boursière globale a suivi cette tendance positive pour clôturer à 21 491,234 milliards de FCFA, affichant une progression de +38,21% sur la période d'analyse.</w:t>
      </w:r>
    </w:p>
    <w:p>
      <w:pPr>
        <w:spacing w:after="20"/>
      </w:pPr>
      <w:r>
        <w:rPr>
          <w:sz w:val="20"/>
        </w:rPr>
        <w:t>- Le nombre de sociétés cotées est passé de 47 à 48 entités en fin de mois.</w:t>
      </w:r>
    </w:p>
    <w:p>
      <w:pPr>
        <w:spacing w:after="20"/>
      </w:pPr>
      <w:r>
        <w:rPr>
          <w:sz w:val="20"/>
        </w:rPr>
        <w:t>- La dispersion des cotations est demeurée modérée (écart-type autour de 46,87 points), traduisant des fluctuations régulières du marché.</w:t>
      </w:r>
    </w:p>
    <w:p>
      <w:pPr>
        <w:pStyle w:val="Heading1"/>
      </w:pPr>
      <w:r>
        <w:t>ANALYSE PAR SECTEUR</w:t>
      </w:r>
    </w:p>
    <w:p>
      <w:pPr>
        <w:spacing w:after="20"/>
      </w:pPr>
      <w:r>
        <w:rPr>
          <w:sz w:val="20"/>
        </w:rPr>
        <w:t>- Sur la période du 01/09/2026 au 30/09/2026, l'analyse sectorielle de la BRVM couvre les Services Publics (2 sociétés) et les Services Financiers (16 sociétés).</w:t>
      </w:r>
    </w:p>
    <w:p>
      <w:pPr>
        <w:spacing w:after="20"/>
      </w:pPr>
      <w:r>
        <w:rPr>
          <w:sz w:val="20"/>
        </w:rPr>
        <w:t>- Les deux secteurs maintiennent une surperformance constante par rapport au BRVM Composite et affichent un niveau de risque moyen.</w:t>
      </w:r>
    </w:p>
    <w:p>
      <w:pPr>
        <w:spacing w:after="20"/>
      </w:pPr>
      <w:r>
        <w:rPr>
          <w:sz w:val="20"/>
        </w:rPr>
        <w:t>- Pour les Services Publics, la performance passe de 86,19% à 72,95% (après un pic à 112,24%) et le prix moyen évolue de 9 842 à 9 720 FCFA, avec un sentiment majoritairement à l'achat hormis une brève transition à conserver.</w:t>
      </w:r>
    </w:p>
    <w:p>
      <w:pPr>
        <w:spacing w:after="20"/>
      </w:pPr>
      <w:r>
        <w:rPr>
          <w:sz w:val="20"/>
        </w:rPr>
        <w:t>- Pour les Services Financiers, la performance varie de 41,42% à 41,04% (après un creux à 28,61%) et le prix moyen passe de 13 478 à 13 677 FCFA, conservant un sentiment global d'achat sur toute la période.</w:t>
      </w:r>
    </w:p>
    <w:p>
      <w:pPr>
        <w:pStyle w:val="Heading1"/>
      </w:pPr>
      <w:r>
        <w:t>MATRICE DE CONVERGENCE DES SIGNAUX</w:t>
      </w:r>
    </w:p>
    <w:p>
      <w:pPr>
        <w:spacing w:after="20"/>
      </w:pPr>
      <w:r>
        <w:rPr>
          <w:sz w:val="20"/>
        </w:rPr>
        <w:t>- La matrice de convergence des signaux de la période montre une forte instabilité du positionnement des sociétés cotées entre les catégories techniques et fondamentales.</w:t>
      </w:r>
    </w:p>
    <w:p>
      <w:pPr>
        <w:spacing w:after="20"/>
      </w:pPr>
      <w:r>
        <w:rPr>
          <w:sz w:val="20"/>
        </w:rPr>
        <w:t>- Au cours de la période, les signaux techniques d'achat ont fluctué, connaissant un pic de concentration marqué au point 8 avant de se disperser à nouveau.</w:t>
      </w:r>
    </w:p>
    <w:p>
      <w:pPr>
        <w:spacing w:after="20"/>
      </w:pPr>
      <w:r>
        <w:rPr>
          <w:sz w:val="20"/>
        </w:rPr>
        <w:t>- Les cas de divergence prononcée entre signaux techniques et fondamentaux, matérialisés par des positions mixtes, restent rares et sporadiques sur l'ensemble des dix observations.</w:t>
      </w:r>
    </w:p>
    <w:p>
      <w:pPr>
        <w:spacing w:after="20"/>
      </w:pPr>
      <w:r>
        <w:rPr>
          <w:sz w:val="20"/>
        </w:rPr>
        <w:t>- La grande majorité des valeurs oscille continuellement entre les catégories neutres et d'achat, reflétant l'absence de tendance directionnelle unanime et durable sur le marché au cours du mois de septembre 2026.</w:t>
      </w:r>
    </w:p>
    <w:p>
      <w:pPr>
        <w:pStyle w:val="Heading1"/>
      </w:pPr>
      <w:r>
        <w:t>ANALYSE DE LIQUIDITÉ</w:t>
      </w:r>
    </w:p>
    <w:p>
      <w:pPr>
        <w:spacing w:after="20"/>
      </w:pPr>
      <w:r>
        <w:rPr>
          <w:sz w:val="20"/>
        </w:rPr>
        <w:t>- L'analyse de liquidité de septembre 2026 met en évidence une nette polarisation du marché BRVM entre des titres ultra-liquides en tête et un groupe persistant à risque élevé.</w:t>
      </w:r>
    </w:p>
    <w:p>
      <w:pPr>
        <w:spacing w:after="20"/>
      </w:pPr>
      <w:r>
        <w:rPr>
          <w:sz w:val="20"/>
        </w:rPr>
        <w:t>- ETIT (Ecobank Transnational Incorporated Togo) domine durablement le haut du classement, voyant son volume moyen progresser de 1,5 million à plus de 1,9 million de titres échangés entre le début et la fin du mois.</w:t>
      </w:r>
    </w:p>
    <w:p>
      <w:pPr>
        <w:spacing w:after="20"/>
      </w:pPr>
      <w:r>
        <w:rPr>
          <w:sz w:val="20"/>
        </w:rPr>
        <w:t>- La liquidité des grandes capitalisations reste soutenue, à l'image de SONATEL (SNTS), dont le volume moyen passe de 13 529 à 22 559 titres et la valeur moyenne échangée franchit les 917 millions de FCFA.</w:t>
      </w:r>
    </w:p>
    <w:p>
      <w:pPr>
        <w:spacing w:after="20"/>
      </w:pPr>
      <w:r>
        <w:rPr>
          <w:sz w:val="20"/>
        </w:rPr>
        <w:t>- Les titres à faible liquidité, tels que SOGC, ABJC ou PALC, affichent des volumes stables mais restreints sous le seuil des 4 000 titres, confirmant un risque de liquidité constant.</w:t>
      </w:r>
    </w:p>
    <w:p>
      <w:pPr>
        <w:spacing w:after="20"/>
      </w:pPr>
      <w:r>
        <w:rPr>
          <w:sz w:val="20"/>
        </w:rPr>
        <w:t>- L'indicateur de performance à 100 jours demeure globalement orienté à la hausse pour les valeurs vedettes, tandis que les recommandations d'achat sont unanimes sur l'ensemble de la période.</w:t>
      </w:r>
    </w:p>
    <w:p>
      <w:pPr>
        <w:pStyle w:val="Heading1"/>
      </w:pPr>
      <w:r>
        <w:t>TOP 10 DES DIVERGENCES MAJEURES</w:t>
      </w:r>
    </w:p>
    <w:p>
      <w:pPr>
        <w:spacing w:after="20"/>
      </w:pPr>
      <w:r>
        <w:rPr>
          <w:sz w:val="20"/>
        </w:rPr>
        <w:t>- La section relative aux divergences majeures met en évidence les écarts entre indicateurs techniques et fondamentaux sur la période de septembre 2026.</w:t>
      </w:r>
    </w:p>
    <w:p>
      <w:pPr>
        <w:spacing w:after="20"/>
      </w:pPr>
      <w:r>
        <w:rPr>
          <w:sz w:val="20"/>
        </w:rPr>
        <w:t>- Les scores de divergence observés oscillent généralement entre 2/8 et 6/8, traduisant des configurations techniques contrastées selon les valeurs.</w:t>
      </w:r>
    </w:p>
    <w:p>
      <w:pPr>
        <w:spacing w:after="20"/>
      </w:pPr>
      <w:r>
        <w:rPr>
          <w:sz w:val="20"/>
        </w:rPr>
        <w:t>- Les signaux techniques sont dominés par des oppositions récurrentes entre les moyennes mobiles et les oscillateurs de type MACD, RSI et stochastique.</w:t>
      </w:r>
    </w:p>
    <w:p>
      <w:pPr>
        <w:spacing w:after="20"/>
      </w:pPr>
      <w:r>
        <w:rPr>
          <w:sz w:val="20"/>
        </w:rPr>
        <w:t>- Malgré ces divergences, la recommandation finale pour l'ensemble des titres listés demeure systématiquement orientée à l'achat, incluant quelques cas d'achat fort.</w:t>
      </w:r>
    </w:p>
    <w:p>
      <w:pPr>
        <w:pStyle w:val="Heading1"/>
      </w:pPr>
      <w:r>
        <w:t>MATRICE RISQUE vs HORIZON</w:t>
      </w:r>
    </w:p>
    <w:p>
      <w:pPr>
        <w:spacing w:after="20"/>
      </w:pPr>
      <w:r>
        <w:rPr>
          <w:sz w:val="20"/>
        </w:rPr>
        <w:t>Sur la période du 1er au 30 septembre 2026, la matrice risque-horizon de la BRVM montre une concentration exclusive des placements sur l'horizon à moyen terme, sans aucun titre classé en court ou long terme.</w:t>
      </w:r>
    </w:p>
    <w:p>
      <w:pPr>
        <w:spacing w:after="20"/>
      </w:pPr>
      <w:r>
        <w:rPr>
          <w:sz w:val="20"/>
        </w:rPr>
        <w:t>- Le nombre de titres à faible risque est passé de 20 en début de période à 29 en fin de période, illustrant une progression de la sécurité des actifs listés.</w:t>
      </w:r>
    </w:p>
    <w:p>
      <w:pPr>
        <w:spacing w:after="20"/>
      </w:pPr>
      <w:r>
        <w:rPr>
          <w:sz w:val="20"/>
        </w:rPr>
        <w:t>- En parallèle, les titres à risque moyen ont diminué, passant de 27 à 19 sur la même période.</w:t>
      </w:r>
    </w:p>
    <w:p>
      <w:pPr>
        <w:spacing w:after="20"/>
      </w:pPr>
      <w:r>
        <w:rPr>
          <w:sz w:val="20"/>
        </w:rPr>
        <w:t>- La catégorie à risque élevé est demeurée totalement vide tout au long du mois, avec un volume de zéro titre enregistré.</w:t>
      </w:r>
    </w:p>
    <w:p>
      <w:pPr>
        <w:pStyle w:val="Heading1"/>
      </w:pPr>
      <w:r>
        <w:t>ANALYSE MACRO</w:t>
      </w:r>
    </w:p>
    <w:p>
      <w:pPr>
        <w:spacing w:after="20"/>
      </w:pPr>
      <w:r>
        <w:rPr>
          <w:sz w:val="20"/>
        </w:rPr>
        <w:t>Sur la période 01/09/2026 → 30/09/2026, la section « Analyse macro » reste strictement identique à chacune des 10 captures : aucune variation ni progression n'est observable début→fin.</w:t>
      </w:r>
    </w:p>
    <w:p>
      <w:pPr>
        <w:spacing w:after="20"/>
      </w:pPr>
      <w:r>
        <w:rPr>
          <w:sz w:val="20"/>
        </w:rPr>
        <w:t>- Même objet : environnement macroéconomique mondial et régional susceptible d'affecter la BRVM et les sociétés cotées.</w:t>
      </w:r>
    </w:p>
    <w:p>
      <w:pPr>
        <w:spacing w:after="20"/>
      </w:pPr>
      <w:r>
        <w:rPr>
          <w:sz w:val="20"/>
        </w:rPr>
        <w:t>- Même méthode : analyse générée par IA (DEEPSEEK) à partir de flux RSS Google News (BRVM, BCEAO, UEMOA, matières premières, marchés mondiaux).</w:t>
      </w:r>
    </w:p>
    <w:p>
      <w:pPr>
        <w:spacing w:after="20"/>
      </w:pPr>
      <w:r>
        <w:rPr>
          <w:sz w:val="20"/>
        </w:rPr>
        <w:t>- Mêmes volumes constants : 100 actualités, réparties en Mondial 18, Afrique 18, Afrique de l'Ouest 18, UEMOA 18, BRVM 11.</w:t>
      </w:r>
    </w:p>
    <w:p>
      <w:pPr>
        <w:spacing w:after="20"/>
      </w:pPr>
      <w:r>
        <w:rPr>
          <w:sz w:val="20"/>
        </w:rPr>
        <w:t>- Aucun élément nouveau apparu ni disparu ; aucun indicateur chiffré supplémentaire fourni.</w:t>
      </w:r>
    </w:p>
    <w:p>
      <w:pPr>
        <w:spacing w:after="20"/>
      </w:pPr>
      <w:r>
        <w:rPr>
          <w:sz w:val="20"/>
        </w:rPr>
        <w:t>En l'absence de contenu macro distinct entre les points, la section apparaît comme un gabarit répété sans évolution documentée sur la période.</w:t>
      </w:r>
    </w:p>
    <w:p>
      <w:pPr>
        <w:pStyle w:val="Heading1"/>
      </w:pPr>
      <w:r>
        <w:t>1. ACTUALITÉS MACRO</w:t>
      </w:r>
    </w:p>
    <w:p>
      <w:pPr>
        <w:spacing w:after="20"/>
      </w:pPr>
      <w:r>
        <w:rPr>
          <w:sz w:val="20"/>
        </w:rPr>
        <w:t>Sur la période, la macro reste dominée par le resserrement de la BCE (hausse des taux confirmée le 14/09), un dollar fort et une flambée du pétrole (Brent au-dessus de 100 USD le 09/09) : l'indice MXV des matières premières progresse cinq semaines consécutives puis dépasse 3 000 points, son plus haut en quatre mois. Ces facteurs pèsent sur les valorisations BRVM, les coûts des industriels (CABC, SDSC, FTSC) et les importateurs (ABJC, PRSC, CFAC), tout en soutenant les valeurs énergie (SHEC, TTLS, SMBC). Deux éléments récurrents apparaissent et se confirment : l'accord FMI-Sénégal d'environ 1,9 Md€ (01-02/09) et la prévision Goldman Sachs d'un retour de l'Afrique du Sud en « Investment grade » dès 2028, améliorant la perception risque du continent. En fin de période, la volatilité pétrolière persiste (27/09) et les tensions persistent ; côté ouest-africain, le projet de monnaie unique eco est reporté à 2027, tandis que les initiatives BIDC/CEA sur le riz et l'investissement émergent comme nouveaux soutiens.</w:t>
      </w:r>
    </w:p>
    <w:p>
      <w:pPr>
        <w:pStyle w:val="Heading1"/>
      </w:pPr>
      <w:r>
        <w:t>2. ACTUALITÉS POLITIQUES</w:t>
      </w:r>
    </w:p>
    <w:p>
      <w:pPr>
        <w:spacing w:after="20"/>
      </w:pPr>
      <w:r>
        <w:rPr>
          <w:sz w:val="20"/>
        </w:rPr>
        <w:t>- Le contexte international est marqué par le durcissement des politiques monétaires (BCE, Fed) et la volatilité des cours du pétrole liée aux tensions géopolitiques au Moyen-Orient.</w:t>
      </w:r>
    </w:p>
    <w:p>
      <w:pPr>
        <w:spacing w:after="20"/>
      </w:pPr>
      <w:r>
        <w:rPr>
          <w:sz w:val="20"/>
        </w:rPr>
        <w:t>- Ces facteurs mondiaux pèsent sur l'appétit pour le risque et tendent à limiter les flux de capitaux internationaux vers la BRVM.</w:t>
      </w:r>
    </w:p>
    <w:p>
      <w:pPr>
        <w:spacing w:after="20"/>
      </w:pPr>
      <w:r>
        <w:rPr>
          <w:sz w:val="20"/>
        </w:rPr>
        <w:t>- Sur le plan régional, la stabilité politique de la Côte d'Ivoire offre un socle protecteur, tandis que le Sénégal et la zone sahélienne subissent des tensions politiques et sécuritaires persistantes.</w:t>
      </w:r>
    </w:p>
    <w:p>
      <w:pPr>
        <w:spacing w:after="20"/>
      </w:pPr>
      <w:r>
        <w:rPr>
          <w:sz w:val="20"/>
        </w:rPr>
        <w:t>- Les investisseurs sur le marché financier régional adoptent une posture prudente en privilégiant les valeurs défensives face à la montée des risques pays et des coûts d'approvisionnement.</w:t>
      </w:r>
    </w:p>
    <w:p>
      <w:pPr>
        <w:pStyle w:val="Heading1"/>
      </w:pPr>
      <w:r>
        <w:t>3. ACTUALITÉS FINANCIÈRES</w:t>
      </w:r>
    </w:p>
    <w:p>
      <w:pPr>
        <w:spacing w:after="20"/>
      </w:pPr>
      <w:r>
        <w:rPr>
          <w:sz w:val="20"/>
        </w:rPr>
        <w:t>- Sur la période de septembre 2026, l'indice BRVM Composite a fluctué, débutant autour de 552,96 points pour clôturer à 548,04 points, après un point bas marqué à 516,29 points.</w:t>
      </w:r>
    </w:p>
    <w:p>
      <w:pPr>
        <w:spacing w:after="20"/>
      </w:pPr>
      <w:r>
        <w:rPr>
          <w:sz w:val="20"/>
        </w:rPr>
        <w:t>- L'actualité mondiale a été dominée par la politique restrictive de la BCE, la hausse persistante des cours du pétrole et la volatilité des matières premières, pesant sur les coûts des sociétés importatrices.</w:t>
      </w:r>
    </w:p>
    <w:p>
      <w:pPr>
        <w:spacing w:after="20"/>
      </w:pPr>
      <w:r>
        <w:rPr>
          <w:sz w:val="20"/>
        </w:rPr>
        <w:t>- À l'échelle africaine, l'accord FMI-Sénégal et les perspectives de notation de l'Afrique du Sud ont intensifié la concurrence pour attirer les capitaux institutionnels.</w:t>
      </w:r>
    </w:p>
    <w:p>
      <w:pPr>
        <w:spacing w:after="20"/>
      </w:pPr>
      <w:r>
        <w:rPr>
          <w:sz w:val="20"/>
        </w:rPr>
        <w:t>- Les investisseurs sur la BRVM ont privilégié les valeurs financières robustes et les titres domestiques défensifs face à l'attentisme international.</w:t>
      </w:r>
    </w:p>
    <w:p>
      <w:pPr>
        <w:spacing w:after="20"/>
      </w:pPr>
      <w:r>
        <w:rPr>
          <w:sz w:val="20"/>
        </w:rPr>
        <w:t>- L'élément marquant de la fin de période réside dans la résistance des marchés actions locaux et l'attractivité persistante des services financiers (BOAS, BOAC, SGBC).</w:t>
      </w:r>
    </w:p>
    <w:p>
      <w:pPr>
        <w:pStyle w:val="Heading1"/>
      </w:pPr>
      <w:r>
        <w:t>SYNTHÈSE &amp; RECOMMANDATION FINALE</w:t>
      </w:r>
    </w:p>
    <w:p>
      <w:pPr>
        <w:spacing w:after="20"/>
      </w:pPr>
      <w:r>
        <w:rPr>
          <w:sz w:val="20"/>
        </w:rPr>
        <w:t>Sur la période 01/09→30/09, l'alerte globale BRVM évolue de VERT (point 1) à ORANGE, niveau qui se maintient ensuite sur l'ensemble des relevés suivants (points 2 à 10). Le basculement s'opère dès fin août/début septembre sous l'effet des incertitudes macro mondiales (dette, inflation, BCE, pétrole).</w:t>
      </w:r>
    </w:p>
    <w:p>
      <w:pPr>
        <w:spacing w:after="20"/>
      </w:pPr>
      <w:r>
        <w:rPr>
          <w:sz w:val="20"/>
        </w:rPr>
        <w:t>- Le contexte reste dominé par des risques exogènes : resserrement monétaire BCE, volatilité du pétrole (Brent &gt; 100 $, MXV &gt; 3 000 pts) et tensions géopolitiques au Moyen-Orient et au Sahel.</w:t>
      </w:r>
    </w:p>
    <w:p>
      <w:pPr>
        <w:spacing w:after="20"/>
      </w:pPr>
      <w:r>
        <w:rPr>
          <w:sz w:val="20"/>
        </w:rPr>
        <w:t>- Les facteurs de soutien sont constants : résultats encourageants des sociétés ivoiriennes, stabilité du FCFA/BCEAO (taux 3%), soutien FMI au Sénégal, croissance CEDEAO (6,1%) et initiatives ZLECAf.</w:t>
      </w:r>
    </w:p>
    <w:p>
      <w:pPr>
        <w:spacing w:after="20"/>
      </w:pPr>
      <w:r>
        <w:rPr>
          <w:sz w:val="20"/>
        </w:rPr>
        <w:t>- Les recommandations se resserrent progressivement : le point 1 suggérait de maintenir une position investie ; dès le point 2, la posture devient « prudente mais constructive », puis sélective.</w:t>
      </w:r>
    </w:p>
    <w:p>
      <w:pPr>
        <w:spacing w:after="20"/>
      </w:pPr>
      <w:r>
        <w:rPr>
          <w:sz w:val="20"/>
        </w:rPr>
        <w:t>- Les valeurs bancaires (SGBC, BICB, BOAC/BOAB) et défensives (PALC, SNTS, SOGC) constituent le socle récurrent ; l'exposition aux cycliques exposées à l'énergie (CFAC, ABJC, SDSC) est progressivement réduite.</w:t>
      </w:r>
    </w:p>
    <w:p>
      <w:pPr>
        <w:spacing w:after="20"/>
      </w:pPr>
      <w:r>
        <w:rPr>
          <w:sz w:val="20"/>
        </w:rPr>
        <w:t>- Éléments apparus en cours de période : risque politique sénégalais, report de l'eco, concurrence des titres publics UEMOA et instabilité sahélienne ; l'incertitude initiale sur le prix du cacao disparaît des synthèses.</w:t>
      </w:r>
    </w:p>
    <w:p>
      <w:pPr>
        <w:pStyle w:val="Heading1"/>
      </w:pPr>
      <w:r>
        <w:t>ACTUALITÉS DU MARCHÉ BRVM</w:t>
      </w:r>
    </w:p>
    <w:p>
      <w:pPr>
        <w:spacing w:after="20"/>
      </w:pPr>
      <w:r>
        <w:rPr>
          <w:sz w:val="20"/>
        </w:rPr>
        <w:t>- L actualite du marche de la BRVM sur la periode du 1er au 30 septembre 2026 s appuie sur les publications officielles des societes cotees et la veille financiere.</w:t>
      </w:r>
    </w:p>
    <w:p>
      <w:pPr>
        <w:spacing w:after="20"/>
      </w:pPr>
      <w:r>
        <w:rPr>
          <w:sz w:val="20"/>
        </w:rPr>
        <w:t>- Les documents repertories incluent notamment les convocations aux Assemblees Generales Ordinaires, les formulaires de vote par correspondance et les propositions de dividendes.</w:t>
      </w:r>
    </w:p>
    <w:p>
      <w:pPr>
        <w:spacing w:after="20"/>
      </w:pPr>
      <w:r>
        <w:rPr>
          <w:sz w:val="20"/>
        </w:rPr>
        <w:t>- Le suivi met en avant des emetteurs majeurs tels que Sonatel, Uniwax et Bank of Africa Cote d Ivoire.</w:t>
      </w:r>
    </w:p>
    <w:p>
      <w:pPr>
        <w:spacing w:after="20"/>
      </w:pPr>
      <w:r>
        <w:rPr>
          <w:sz w:val="20"/>
        </w:rPr>
        <w:t>- Aucun changement methodologique majeur n est a signaler dans la structure de publication des donnees sur la periode analysee.</w:t>
      </w:r>
    </w:p>
    <w:p>
      <w:pPr>
        <w:pStyle w:val="Heading1"/>
      </w:pPr>
      <w:r>
        <w:t>CLASSEMENT DES SOCIÉTÉS</w:t>
      </w:r>
    </w:p>
    <w:p>
      <w:pPr>
        <w:spacing w:after="20"/>
      </w:pPr>
      <w:r>
        <w:rPr>
          <w:sz w:val="20"/>
        </w:rPr>
        <w:t>- Au cours de la période du 1er au 30 septembre 2026, le classement des sociétés de la BRVM basé sur le score composite a fluctué tout en maintenant une dominante de recommandations d'achat.</w:t>
      </w:r>
    </w:p>
    <w:p>
      <w:pPr>
        <w:spacing w:after="20"/>
      </w:pPr>
      <w:r>
        <w:rPr>
          <w:sz w:val="20"/>
        </w:rPr>
        <w:t>- Le nombre total de sociétés évaluées est passé de 47 à 48 en fin de période.</w:t>
      </w:r>
    </w:p>
    <w:p>
      <w:pPr>
        <w:spacing w:after="20"/>
      </w:pPr>
      <w:r>
        <w:rPr>
          <w:sz w:val="20"/>
        </w:rPr>
        <w:t>- Les scores maximaux observés ont atteint un pic à 89/100 à mi-parcours avant de se stabiliser autour de 79/100 fin septembre.</w:t>
      </w:r>
    </w:p>
    <w:p>
      <w:pPr>
        <w:spacing w:after="20"/>
      </w:pPr>
      <w:r>
        <w:rPr>
          <w:sz w:val="20"/>
        </w:rPr>
        <w:t>- Les signaux fondamentaux sont restés constamment orientés à l'achat, tandis que les signaux techniques ont alterné entre achat, neutre et vente selon les valeurs de tête.</w:t>
      </w:r>
    </w:p>
    <w:p>
      <w:pPr>
        <w:pStyle w:val="Heading1"/>
      </w:pPr>
      <w:r>
        <w:t>PORTEFEUILLES MODÈLES</w:t>
      </w:r>
    </w:p>
    <w:p>
      <w:pPr>
        <w:spacing w:after="20"/>
      </w:pPr>
      <w:r>
        <w:rPr>
          <w:sz w:val="20"/>
        </w:rPr>
        <w:t>- La section présente l'évolution de deux portefeuilles modèles, défensif et équilibré, construits selon le score composite, le niveau de risque et la liquidité.</w:t>
      </w:r>
    </w:p>
    <w:p>
      <w:pPr>
        <w:spacing w:after="20"/>
      </w:pPr>
      <w:r>
        <w:rPr>
          <w:sz w:val="20"/>
        </w:rPr>
        <w:t>- Les pondérations des actifs sont demeurées stables avec une position cash recommandée maintenue à 15% pour le portefeuille défensif.</w:t>
      </w:r>
    </w:p>
    <w:p>
      <w:pPr>
        <w:spacing w:after="20"/>
      </w:pPr>
      <w:r>
        <w:rPr>
          <w:sz w:val="20"/>
        </w:rPr>
        <w:t>- Les scores des composantes ont fluctué au cours de la période, atteignant des pics notables autour du point 8 (jusqu'à 89/100 pour Bank of Africa Sénégal) avant de se stabiliser.</w:t>
      </w:r>
    </w:p>
    <w:p>
      <w:pPr>
        <w:spacing w:after="20"/>
      </w:pPr>
      <w:r>
        <w:rPr>
          <w:sz w:val="20"/>
        </w:rPr>
        <w:t>- La composition des portefeuilles a régulièrement évolué par l'entrée et la sortie de différentes sociétés cotées sur le marché de la BRVM, reflétant l'ajustement dynamique des critères de sélection.</w:t>
      </w:r>
    </w:p>
    <w:p>
      <w:pPr>
        <w:pStyle w:val="Heading1"/>
      </w:pPr>
      <w:r>
        <w:t>ALERTES DU JOUR</w:t>
      </w:r>
    </w:p>
    <w:p>
      <w:pPr>
        <w:spacing w:after="20"/>
      </w:pPr>
      <w:r>
        <w:rPr>
          <w:sz w:val="20"/>
        </w:rPr>
        <w:t>Sur la période, la section « Alertes du jour » évolue d'une prédominance de signaux de surachat vers une généralisation des signaux de survente. Début septembre, les alertes portaient surtout sur des RSI &gt; 70 (BICB jusqu'à 84,7 ; BNBC à 94,3 ; ABJC à 92,5), avec cours collés aux plus hauts 100 jours. À partir du 7e point, les RSI de survente se multiplient et dominent en fin de période (STAC à 11,7 ; BOAC à 0,3 ; BOABF à 6,5 ; CFAC à 11,3), traduisant un retournement marqué du marché. La divergence tech(VENTE)/fond(ACHAT) reste le signal transversal le plus fréquent, avec recommandations ajustées à ACHAT. Les valeurs bancaires (BOA, BICB, CBIBF) passent du surachat à la survente. SNTS reste en surachat jusqu'au 10e point (77,8, plus haut 43 000 FCFA), seul signal haussier persistant en fin de période.</w:t>
      </w:r>
    </w:p>
    <w:p>
      <w:pPr>
        <w:pStyle w:val="Heading1"/>
      </w:pPr>
      <w:r>
        <w:t>RÉCAPITULATIF DES RISQUES</w:t>
      </w:r>
    </w:p>
    <w:p>
      <w:pPr>
        <w:spacing w:after="20"/>
      </w:pPr>
      <w:r>
        <w:rPr>
          <w:sz w:val="20"/>
        </w:rPr>
        <w:t>Sur la période du 1er au 30 septembre 2026, le marché de la BRVM a constamment affiché un profil de risque globalement faible.</w:t>
      </w:r>
    </w:p>
    <w:p>
      <w:pPr>
        <w:spacing w:after="20"/>
      </w:pPr>
      <w:r>
        <w:rPr>
          <w:sz w:val="20"/>
        </w:rPr>
        <w:t>- Le score de risque moyen a légèrement fléchi, passant de 21,5/100 au début du mois à 19,8/100 à la fin.</w:t>
      </w:r>
    </w:p>
    <w:p>
      <w:pPr>
        <w:spacing w:after="20"/>
      </w:pPr>
      <w:r>
        <w:rPr>
          <w:sz w:val="20"/>
        </w:rPr>
        <w:t>- Le score médian a également reculé, évoluant de 20,8/100 à 17,5/100.</w:t>
      </w:r>
    </w:p>
    <w:p>
      <w:pPr>
        <w:spacing w:after="20"/>
      </w:pPr>
      <w:r>
        <w:rPr>
          <w:sz w:val="20"/>
        </w:rPr>
        <w:t>- La proportion des sociétés présentant un risque faible s'est renforcée, progressant de 43% (20 sociétés) à 60% (29 sociétés), tandis que les titres à risque moyen ont reflué de 57% à 40%.</w:t>
      </w:r>
    </w:p>
    <w:p>
      <w:pPr>
        <w:spacing w:after="20"/>
      </w:pPr>
      <w:r>
        <w:rPr>
          <w:sz w:val="20"/>
        </w:rPr>
        <w:t>- Les catégories de risque élevé et très élevé sont demeurées inexistantes sur toute la période (0%).</w:t>
      </w:r>
    </w:p>
    <w:p>
      <w:pPr>
        <w:spacing w:after="20"/>
      </w:pPr>
      <w:r>
        <w:rPr>
          <w:sz w:val="20"/>
        </w:rPr>
        <w:t>- Les titres ETIT et SICC se sont maintenus en permanence aux deux premières places des valeurs les plus risquées du marché.</w:t>
      </w:r>
    </w:p>
    <w:p>
      <w:pPr>
        <w:pStyle w:val="Heading1"/>
      </w:pPr>
      <w:r>
        <w:t>PRÉDICTIONS</w:t>
      </w:r>
    </w:p>
    <w:p>
      <w:pPr>
        <w:spacing w:after="20"/>
      </w:pPr>
      <w:r>
        <w:rPr>
          <w:sz w:val="20"/>
        </w:rPr>
        <w:t>Sur la période 01/09 au 30/09/2026, la section PRÉDICTIONS évolue d'un biais nettement baissier vers un signal légèrement baissier, avec un pic haussier isolé en cours de période. La variation moyenne J+10 passe de -12,65% (point 1) à -1,13% (point 10), après un plus bas à -13,28% (point 2) et un plus haut à +2,35% (point 8). Le nombre de sociétés en baisse recule de 38 à 27, tandis que les hausses progressent de 7 à 15. La confiance reste dominée par le niveau Faible sur l'ensemble des points, sans aucune société à confiance Élevée ; la part Faible monte jusqu'à 83% (point 9) avant de revenir à 78%. Le nombre de sociétés couvertes passe de 47 à 48 au dernier point. Le signal marché, d'abord BAISSIER, devient LÉGÈREMENT BAISSIER puis LÉGÈREMENT HAUSSIER ponctuellement, avant de se stabiliser en légère baisse.</w:t>
      </w:r>
    </w:p>
    <w:p>
      <w:pPr>
        <w:pStyle w:val="Heading1"/>
      </w:pPr>
      <w:r>
        <w:t>ANALYSE FINANCIÈRE</w:t>
      </w:r>
    </w:p>
    <w:p>
      <w:pPr>
        <w:spacing w:after="20"/>
      </w:pPr>
      <w:r>
        <w:rPr>
          <w:sz w:val="20"/>
        </w:rPr>
        <w:t>- L analyse financière de la période du 01/09/2026 au 30/09/2026 porte sur le secteur de la consommation de base avec sept sociétés analysées pour l exercice 2025.</w:t>
      </w:r>
    </w:p>
    <w:p>
      <w:pPr>
        <w:spacing w:after="20"/>
      </w:pPr>
      <w:r>
        <w:rPr>
          <w:sz w:val="20"/>
        </w:rPr>
        <w:t>- Le périmètre global du marché évolue légèrement en fin de période, passant de 47 à 48 sociétés totales, tandis que les données sectorielles restent stables.</w:t>
      </w:r>
    </w:p>
    <w:p>
      <w:pPr>
        <w:spacing w:after="20"/>
      </w:pPr>
      <w:r>
        <w:rPr>
          <w:sz w:val="20"/>
        </w:rPr>
        <w:t>- Les indicateurs clés montrent de fortes disparités, avec des performances de rentabilité très élevées pour STBC et NTLC, contrastant avec les difficultés de SCRC affichant un résultat net négatif de -7,954 milliards FCFA.</w:t>
      </w:r>
    </w:p>
    <w:p>
      <w:pPr>
        <w:spacing w:after="20"/>
      </w:pPr>
      <w:r>
        <w:rPr>
          <w:sz w:val="20"/>
        </w:rPr>
        <w:t>- Le plus haut résultat net du secteur est enregistré par SLBC avec 45,781 milliards FCFA, illustrant la solidité des leaders de la consommation de base sur la période.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