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29/09/2026 à 10:47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46 ACHAT  |  1 NEUTRE  |  1 VENTE  (sur 48 sociétés)</w:t>
      </w:r>
    </w:p>
    <w:p>
      <w:pPr>
        <w:spacing w:before="20" w:after="20"/>
        <w:ind w:left="360" w:right="360"/>
        <w:shd w:val="clear" w:color="auto" w:fill="EBF5FB"/>
      </w:pPr>
      <w:r>
        <w:rPr>
          <w:b/>
          <w:sz w:val="19"/>
        </w:rPr>
        <w:t xml:space="preserve">Top opportunité :  </w:t>
      </w:r>
      <w:r>
        <w:rPr>
          <w:color w:val="008000"/>
          <w:sz w:val="19"/>
        </w:rPr>
        <w:t>ABJC  (score 79/100)</w:t>
      </w:r>
    </w:p>
    <w:p>
      <w:pPr>
        <w:spacing w:before="20" w:after="20"/>
        <w:ind w:left="360" w:right="360"/>
        <w:shd w:val="clear" w:color="auto" w:fill="EBF5FB"/>
      </w:pPr>
      <w:r>
        <w:rPr>
          <w:b/>
          <w:sz w:val="19"/>
        </w:rPr>
        <w:t xml:space="preserve">Secteur surperformant :  </w:t>
      </w:r>
      <w:r>
        <w:rPr>
          <w:color w:val="008000"/>
          <w:sz w:val="19"/>
        </w:rPr>
        <w:t>SERVICES PUBLICS  (+75.6%)</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13 sociétés — vérifier avant d'investir</w:t>
      </w:r>
    </w:p>
    <w:p>
      <w:pPr>
        <w:spacing w:before="20" w:after="20"/>
        <w:ind w:left="360" w:right="360"/>
        <w:shd w:val="clear" w:color="auto" w:fill="EBF5FB"/>
      </w:pPr>
      <w:r>
        <w:rPr>
          <w:b/>
          <w:sz w:val="19"/>
        </w:rPr>
        <w:t xml:space="preserve">⚠️ Liquidité réduite :  </w:t>
      </w:r>
      <w:r>
        <w:rPr>
          <w:color w:val="C00000"/>
          <w:sz w:val="19"/>
        </w:rPr>
        <w:t>11 titres à faible liquidité — risque de sortie</w:t>
      </w:r>
    </w:p>
    <w:p/>
    <w:p>
      <w:r>
        <w:br w:type="page"/>
      </w:r>
    </w:p>
    <w:p>
      <w:pPr>
        <w:pStyle w:val="Heading1"/>
      </w:pPr>
      <w:r>
        <w:t>SYNTHÈSE GÉNÉRALE</w:t>
      </w:r>
    </w:p>
    <w:p>
      <w:pPr>
        <w:spacing w:after="240"/>
      </w:pPr>
      <w:r>
        <w:t xml:space="preserve">Ce rapport présente une analyse détaillée de 48 sociétés cotées à la Bourse Régionale des Valeurs Mobilières (BRVM). </w:t>
      </w:r>
      <w:r>
        <w:t xml:space="preserve">L'indice BRVM Composite s'établit à 545.41 points </w:t>
      </w:r>
      <w:r>
        <w:rPr>
          <w:color w:val="008000"/>
        </w:rPr>
        <w:t>(+0.86%)</w:t>
      </w:r>
      <w:r>
        <w:t xml:space="preserve"> sur la séance. </w:t>
      </w:r>
      <w:r>
        <w:t>La capitalisation globale du marché atteint 21 388,370 milliards FCFA.</w:t>
      </w:r>
    </w:p>
    <w:p/>
    <w:p>
      <w:pPr>
        <w:pStyle w:val="Heading3"/>
      </w:pPr>
      <w:r>
        <w:t>📊 Évolution de l'indice BRVM Composite (100 derniers jours)</w:t>
      </w:r>
    </w:p>
    <w:p>
      <w:r>
        <w:rPr>
          <w:b/>
        </w:rPr>
        <w:t xml:space="preserve">BRVM Composite — </w:t>
      </w:r>
      <w:r>
        <w:t xml:space="preserve">Sur les 100 derniers jours de cotation (2026-05-05 au 2026-09-28), l'indice BRVM Composite a évolué de </w:t>
      </w:r>
      <w:r>
        <w:rPr>
          <w:b/>
          <w:color w:val="008000"/>
        </w:rPr>
        <w:t>+35.81%</w:t>
      </w:r>
      <w:r>
        <w:t>, passant de 401.60 pts à 545.41 pts. Le plus haut atteint est 555.90 pts et le plus bas 401.60 pts. Sur l'ensemble de la période, la moyenne de l'indice s'établit à 477.24 pts, la médiane à 477.15 pts et le mode à 401.60 pts</w:t>
      </w:r>
      <w:r>
        <w:t xml:space="preserve"> (distribution symétrique). </w:t>
      </w:r>
      <w:r>
        <w:t xml:space="preserve">L'écart-type de 46.97 pts (CV=9.8%) traduit une modérée dispersion des cotations. Le kurtosis de -1.16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008000"/>
        </w:rPr>
        <w:t>+38.14%</w:t>
      </w:r>
      <w:r>
        <w:t xml:space="preserve"> sur la période, passant de 15 482,993 Mds FCFA à 21 388,370 Mds FCFA. Le pic de capitalisation observé est de 21 436,336 Mds FCFA et le plancher de 15 482,993 Mds FCFA. La moyenne de la capitalisation sur la période s'établit à 18 404,867 Mds FCFA, la médiane à 18 381,515 Mds FCFA et le mode à 15 482,993 Mds FCFA</w:t>
      </w:r>
      <w:r>
        <w:t xml:space="preserve"> (distribution symétrique). </w:t>
      </w:r>
      <w:r>
        <w:t>L'écart-type de 1 829,754 Mds FCFA (CV=9.9%) reflète une modérée variabilité de la valorisation du marché. Le kurtosis de -1.16 indique une distribution platykurtique — valorisation régulière.</w:t>
      </w:r>
      <w:r>
        <w:t xml:space="preserve"> Le marché a globalement capté davantage de richesse sur la période, signe d'une confiance accrue des investisseurs.</w:t>
      </w:r>
    </w:p>
    <w:p>
      <w:pPr>
        <w:jc w:val="center"/>
      </w:pPr>
      <w:r>
        <w:drawing>
          <wp:inline xmlns:a="http://schemas.openxmlformats.org/drawingml/2006/main" xmlns:pic="http://schemas.openxmlformats.org/drawingml/2006/picture">
            <wp:extent cx="5943600" cy="19440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44032"/>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3650 FCFA | </w:t>
      </w:r>
      <w:r>
        <w:rPr>
          <w:b/>
          <w:color w:val="008000"/>
        </w:rPr>
        <w:t>ACHAT</w:t>
      </w:r>
      <w:r>
        <w:t xml:space="preserve"> | Confiance: Élevée | Risque: Faible</w:t>
      </w:r>
    </w:p>
    <w:p>
      <w:pPr>
        <w:pStyle w:val="ListNumber"/>
      </w:pPr>
      <w:r>
        <w:rPr>
          <w:b/>
        </w:rPr>
        <w:t>BBGC - BRIDGE BANK GROUP COTE D'IVOIRE</w:t>
      </w:r>
      <w:r>
        <w:t xml:space="preserve"> | Prix: 8375 FCFA | </w:t>
      </w:r>
      <w:r>
        <w:rPr>
          <w:b/>
          <w:color w:val="008000"/>
        </w:rPr>
        <w:t>ACHAT</w:t>
      </w:r>
      <w:r>
        <w:t xml:space="preserve"> | Confiance: Moyen | Risque: Faible</w:t>
      </w:r>
    </w:p>
    <w:p>
      <w:pPr>
        <w:pStyle w:val="ListNumber"/>
      </w:pPr>
      <w:r>
        <w:rPr>
          <w:b/>
        </w:rPr>
        <w:t>BICB - BIIC BN - Banque internationale pour le commerce du benin</w:t>
      </w:r>
      <w:r>
        <w:t xml:space="preserve"> | Prix: 8510 FCFA | </w:t>
      </w:r>
      <w:r>
        <w:rPr>
          <w:b/>
          <w:color w:val="008000"/>
        </w:rPr>
        <w:t>ACHAT</w:t>
      </w:r>
      <w:r>
        <w:t xml:space="preserve"> | Confiance: Élevée | Risque: Moyen</w:t>
      </w:r>
    </w:p>
    <w:p>
      <w:pPr>
        <w:pStyle w:val="ListNumber"/>
      </w:pPr>
      <w:r>
        <w:rPr>
          <w:b/>
        </w:rPr>
        <w:t>BICC - BICI CI - Banque internationale pour le commerce et l'industrie de la Côte d'Ivoire</w:t>
      </w:r>
      <w:r>
        <w:t xml:space="preserve"> | Prix: 32500 FCFA | </w:t>
      </w:r>
      <w:r>
        <w:rPr>
          <w:b/>
          <w:color w:val="008000"/>
        </w:rPr>
        <w:t>ACHAT</w:t>
      </w:r>
      <w:r>
        <w:t xml:space="preserve"> | Confiance: Moyen | Risque: Moyen</w:t>
      </w:r>
    </w:p>
    <w:p>
      <w:pPr>
        <w:pStyle w:val="ListNumber"/>
      </w:pPr>
      <w:r>
        <w:rPr>
          <w:b/>
        </w:rPr>
        <w:t>BNBC - BNBC - BERNABE CI</w:t>
      </w:r>
      <w:r>
        <w:t xml:space="preserve"> | Prix: 1995 FCFA | </w:t>
      </w:r>
      <w:r>
        <w:rPr>
          <w:b/>
          <w:color w:val="008000"/>
        </w:rPr>
        <w:t>ACHAT</w:t>
      </w:r>
      <w:r>
        <w:t xml:space="preserve"> | Confiance: Moyen | Risque: Faible</w:t>
      </w:r>
    </w:p>
    <w:p>
      <w:pPr>
        <w:pStyle w:val="ListNumber"/>
      </w:pPr>
      <w:r>
        <w:rPr>
          <w:b/>
        </w:rPr>
        <w:t>BOAB - BANK OF AFRICA BENIN</w:t>
      </w:r>
      <w:r>
        <w:t xml:space="preserve"> | Prix: 9250 FCFA | </w:t>
      </w:r>
      <w:r>
        <w:rPr>
          <w:b/>
          <w:color w:val="008000"/>
        </w:rPr>
        <w:t>ACHAT</w:t>
      </w:r>
      <w:r>
        <w:t xml:space="preserve"> | Confiance: Élevée | Risque: Faible</w:t>
      </w:r>
    </w:p>
    <w:p>
      <w:pPr>
        <w:pStyle w:val="ListNumber"/>
      </w:pPr>
      <w:r>
        <w:rPr>
          <w:b/>
        </w:rPr>
        <w:t>BOABF - BANK OF AFRICA BURKINA FASO</w:t>
      </w:r>
      <w:r>
        <w:t xml:space="preserve"> | Prix: 8300 FCFA | </w:t>
      </w:r>
      <w:r>
        <w:rPr>
          <w:b/>
          <w:color w:val="008000"/>
        </w:rPr>
        <w:t>ACHAT</w:t>
      </w:r>
      <w:r>
        <w:t xml:space="preserve"> | Confiance: Moyen | Risque: Moyen</w:t>
      </w:r>
    </w:p>
    <w:p>
      <w:pPr>
        <w:pStyle w:val="ListNumber"/>
      </w:pPr>
      <w:r>
        <w:rPr>
          <w:b/>
        </w:rPr>
        <w:t>BOAC - BANK OF AFRICA COTE D'IVOIRE</w:t>
      </w:r>
      <w:r>
        <w:t xml:space="preserve"> | Prix: 11500 FCFA | </w:t>
      </w:r>
      <w:r>
        <w:rPr>
          <w:b/>
          <w:color w:val="008000"/>
        </w:rPr>
        <w:t>ACHAT</w:t>
      </w:r>
      <w:r>
        <w:t xml:space="preserve"> | Confiance: Moyen | Risque: Moyen</w:t>
      </w:r>
    </w:p>
    <w:p>
      <w:pPr>
        <w:pStyle w:val="ListNumber"/>
      </w:pPr>
      <w:r>
        <w:rPr>
          <w:b/>
        </w:rPr>
        <w:t>BOAM - BANK OF AFRICA MALI</w:t>
      </w:r>
      <w:r>
        <w:t xml:space="preserve"> | Prix: 6245 FCFA | </w:t>
      </w:r>
      <w:r>
        <w:rPr>
          <w:b/>
          <w:color w:val="008000"/>
        </w:rPr>
        <w:t>ACHAT</w:t>
      </w:r>
      <w:r>
        <w:t xml:space="preserve"> | Confiance: Moyen | Risque: Moyen</w:t>
      </w:r>
    </w:p>
    <w:p>
      <w:pPr>
        <w:pStyle w:val="ListNumber"/>
      </w:pPr>
      <w:r>
        <w:rPr>
          <w:b/>
        </w:rPr>
        <w:t>BOAN - BANK OF AFRICA NIGER</w:t>
      </w:r>
      <w:r>
        <w:t xml:space="preserve"> | Prix: 5510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STAC - STAC - SETAO COTE D'IVOIRE</w:t>
      </w:r>
      <w:r>
        <w:t xml:space="preserve"> | Prix: 2240 FCFA | </w:t>
      </w:r>
      <w:r>
        <w:rPr>
          <w:b/>
          <w:color w:val="C00000"/>
        </w:rPr>
        <w:t>VENTE</w:t>
      </w:r>
      <w:r>
        <w:t xml:space="preserve"> | Confiance: Moyen | Risque: Moyen</w:t>
      </w:r>
    </w:p>
    <w:p>
      <w:pPr>
        <w:pStyle w:val="ListNumber"/>
      </w:pPr>
      <w:r>
        <w:rPr>
          <w:b/>
        </w:rPr>
        <w:t>PALC - PALC - PALM COTE D'IVOIRE</w:t>
      </w:r>
      <w:r>
        <w:t xml:space="preserve"> | Prix: 8200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75.62%</w:t>
      </w:r>
      <w:r>
        <w:t xml:space="preserve">  |  </w:t>
      </w:r>
      <w:r>
        <w:rPr>
          <w:b/>
        </w:rPr>
        <w:t xml:space="preserve">vs BRVM Composite: </w:t>
      </w:r>
      <w:r>
        <w:rPr>
          <w:b/>
          <w:color w:val="008000"/>
        </w:rPr>
        <w:t>+39.82%  🟢 Surperformance</w:t>
      </w:r>
      <w:r>
        <w:br/>
      </w:r>
      <w:r>
        <w:rPr>
          <w:b/>
        </w:rPr>
        <w:t xml:space="preserve">Sentiment général: </w:t>
      </w:r>
      <w:r>
        <w:t xml:space="preserve">ACHAT  |  </w:t>
      </w:r>
      <w:r>
        <w:rPr>
          <w:b/>
        </w:rPr>
        <w:t xml:space="preserve">Risque moyen: </w:t>
      </w:r>
      <w:r>
        <w:t xml:space="preserve">Moyen  |  </w:t>
      </w:r>
      <w:r>
        <w:rPr>
          <w:b/>
        </w:rPr>
        <w:t xml:space="preserve">Prix moyen: </w:t>
      </w:r>
      <w:r>
        <w:t>9450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43.33%</w:t>
      </w:r>
      <w:r>
        <w:t xml:space="preserve">  |  </w:t>
      </w:r>
      <w:r>
        <w:rPr>
          <w:b/>
        </w:rPr>
        <w:t xml:space="preserve">vs BRVM Composite: </w:t>
      </w:r>
      <w:r>
        <w:rPr>
          <w:b/>
          <w:color w:val="008000"/>
        </w:rPr>
        <w:t>+7.52%  🟢 Surperformance</w:t>
      </w:r>
      <w:r>
        <w:br/>
      </w:r>
      <w:r>
        <w:rPr>
          <w:b/>
        </w:rPr>
        <w:t xml:space="preserve">Sentiment général: </w:t>
      </w:r>
      <w:r>
        <w:t xml:space="preserve">ACHAT  |  </w:t>
      </w:r>
      <w:r>
        <w:rPr>
          <w:b/>
        </w:rPr>
        <w:t xml:space="preserve">Risque moyen: </w:t>
      </w:r>
      <w:r>
        <w:t xml:space="preserve">Moyen  |  </w:t>
      </w:r>
      <w:r>
        <w:rPr>
          <w:b/>
        </w:rPr>
        <w:t xml:space="preserve">Prix moyen: </w:t>
      </w:r>
      <w:r>
        <w:t>13557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32.75%</w:t>
      </w:r>
      <w:r>
        <w:t xml:space="preserve">  |  </w:t>
      </w:r>
      <w:r>
        <w:rPr>
          <w:b/>
        </w:rPr>
        <w:t xml:space="preserve">vs BRVM Composite: </w:t>
      </w:r>
      <w:r>
        <w:rPr>
          <w:b/>
          <w:color w:val="C00000"/>
        </w:rPr>
        <w:t>-3.06%  🔴 Sous-performance</w:t>
      </w:r>
      <w:r>
        <w:br/>
      </w:r>
      <w:r>
        <w:rPr>
          <w:b/>
        </w:rPr>
        <w:t xml:space="preserve">Sentiment général: </w:t>
      </w:r>
      <w:r>
        <w:t xml:space="preserve">ACHAT  |  </w:t>
      </w:r>
      <w:r>
        <w:rPr>
          <w:b/>
        </w:rPr>
        <w:t xml:space="preserve">Risque moyen: </w:t>
      </w:r>
      <w:r>
        <w:t xml:space="preserve">Moyen  |  </w:t>
      </w:r>
      <w:r>
        <w:rPr>
          <w:b/>
        </w:rPr>
        <w:t xml:space="preserve">Prix moyen: </w:t>
      </w:r>
      <w:r>
        <w:t>22483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26.87%</w:t>
      </w:r>
      <w:r>
        <w:t xml:space="preserve">  |  </w:t>
      </w:r>
      <w:r>
        <w:rPr>
          <w:b/>
        </w:rPr>
        <w:t xml:space="preserve">vs BRVM Composite: </w:t>
      </w:r>
      <w:r>
        <w:rPr>
          <w:b/>
          <w:color w:val="C00000"/>
        </w:rPr>
        <w:t>-8.94%  🔴 Sous-performance</w:t>
      </w:r>
      <w:r>
        <w:br/>
      </w:r>
      <w:r>
        <w:rPr>
          <w:b/>
        </w:rPr>
        <w:t xml:space="preserve">Sentiment général: </w:t>
      </w:r>
      <w:r>
        <w:t xml:space="preserve">ACHAT  |  </w:t>
      </w:r>
      <w:r>
        <w:rPr>
          <w:b/>
        </w:rPr>
        <w:t xml:space="preserve">Risque moyen: </w:t>
      </w:r>
      <w:r>
        <w:t xml:space="preserve">Faible  |  </w:t>
      </w:r>
      <w:r>
        <w:rPr>
          <w:b/>
        </w:rPr>
        <w:t xml:space="preserve">Prix moyen: </w:t>
      </w:r>
      <w:r>
        <w:t>6415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23.57%</w:t>
      </w:r>
      <w:r>
        <w:t xml:space="preserve">  |  </w:t>
      </w:r>
      <w:r>
        <w:rPr>
          <w:b/>
        </w:rPr>
        <w:t xml:space="preserve">vs BRVM Composite: </w:t>
      </w:r>
      <w:r>
        <w:rPr>
          <w:b/>
          <w:color w:val="C00000"/>
        </w:rPr>
        <w:t>-12.24%  🔴 Sous-performance</w:t>
      </w:r>
      <w:r>
        <w:br/>
      </w:r>
      <w:r>
        <w:rPr>
          <w:b/>
        </w:rPr>
        <w:t xml:space="preserve">Sentiment général: </w:t>
      </w:r>
      <w:r>
        <w:t xml:space="preserve">ACHAT  |  </w:t>
      </w:r>
      <w:r>
        <w:rPr>
          <w:b/>
        </w:rPr>
        <w:t xml:space="preserve">Risque moyen: </w:t>
      </w:r>
      <w:r>
        <w:t xml:space="preserve">Faible  |  </w:t>
      </w:r>
      <w:r>
        <w:rPr>
          <w:b/>
        </w:rPr>
        <w:t xml:space="preserve">Prix moyen: </w:t>
      </w:r>
      <w:r>
        <w:t>17820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21.89%</w:t>
      </w:r>
      <w:r>
        <w:t xml:space="preserve">  |  </w:t>
      </w:r>
      <w:r>
        <w:rPr>
          <w:b/>
        </w:rPr>
        <w:t xml:space="preserve">vs BRVM Composite: </w:t>
      </w:r>
      <w:r>
        <w:rPr>
          <w:b/>
          <w:color w:val="C00000"/>
        </w:rPr>
        <w:t>-13.92%  🔴 Sous-performance</w:t>
      </w:r>
      <w:r>
        <w:br/>
      </w:r>
      <w:r>
        <w:rPr>
          <w:b/>
        </w:rPr>
        <w:t xml:space="preserve">Sentiment général: </w:t>
      </w:r>
      <w:r>
        <w:t xml:space="preserve">ACHAT  |  </w:t>
      </w:r>
      <w:r>
        <w:rPr>
          <w:b/>
        </w:rPr>
        <w:t xml:space="preserve">Risque moyen: </w:t>
      </w:r>
      <w:r>
        <w:t xml:space="preserve">Faible  |  </w:t>
      </w:r>
      <w:r>
        <w:rPr>
          <w:b/>
        </w:rPr>
        <w:t xml:space="preserve">Prix moyen: </w:t>
      </w:r>
      <w:r>
        <w:t>2871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Services Financiers</w:t>
      </w:r>
    </w:p>
    <w:p>
      <w:r>
        <w:rPr>
          <w:b/>
        </w:rPr>
        <w:t xml:space="preserve">Nombre de sociétés: </w:t>
      </w:r>
      <w:r>
        <w:t xml:space="preserve">1  |  </w:t>
      </w:r>
      <w:r>
        <w:rPr>
          <w:b/>
        </w:rPr>
        <w:t xml:space="preserve">Performance moyenne (100j): </w:t>
      </w:r>
      <w:r>
        <w:rPr>
          <w:color w:val="008000"/>
        </w:rPr>
        <w:t>15.44%</w:t>
      </w:r>
      <w:r>
        <w:t xml:space="preserve">  |  </w:t>
      </w:r>
      <w:r>
        <w:rPr>
          <w:b/>
        </w:rPr>
        <w:t xml:space="preserve">vs BRVM Composite: </w:t>
      </w:r>
      <w:r>
        <w:rPr>
          <w:b/>
          <w:color w:val="C00000"/>
        </w:rPr>
        <w:t>-20.37%  🔴 Sous-performance</w:t>
      </w:r>
      <w:r>
        <w:br/>
      </w:r>
      <w:r>
        <w:rPr>
          <w:b/>
        </w:rPr>
        <w:t xml:space="preserve">Sentiment général: </w:t>
      </w:r>
      <w:r>
        <w:t xml:space="preserve">ACHAT  |  </w:t>
      </w:r>
      <w:r>
        <w:rPr>
          <w:b/>
        </w:rPr>
        <w:t xml:space="preserve">Risque moyen: </w:t>
      </w:r>
      <w:r>
        <w:t xml:space="preserve">Faible  |  </w:t>
      </w:r>
      <w:r>
        <w:rPr>
          <w:b/>
        </w:rPr>
        <w:t xml:space="preserve">Prix moyen: </w:t>
      </w:r>
      <w:r>
        <w:t>8375 FCFA</w:t>
        <w:br/>
      </w:r>
      <w:r>
        <w:rPr>
          <w:b/>
        </w:rPr>
        <w:br/>
        <w:t xml:space="preserve">Sociétés: </w:t>
      </w:r>
      <w:r>
        <w:t>BBGC (BRIDGE BANK GROUP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-0.21%</w:t>
      </w:r>
      <w:r>
        <w:t xml:space="preserve">  |  </w:t>
      </w:r>
      <w:r>
        <w:rPr>
          <w:b/>
        </w:rPr>
        <w:t xml:space="preserve">vs BRVM Composite: </w:t>
      </w:r>
      <w:r>
        <w:rPr>
          <w:b/>
          <w:color w:val="C00000"/>
        </w:rPr>
        <w:t>-36.02%  🔴 Sous-performance</w:t>
      </w:r>
      <w:r>
        <w:br/>
      </w:r>
      <w:r>
        <w:rPr>
          <w:b/>
        </w:rPr>
        <w:t xml:space="preserve">Sentiment général: </w:t>
      </w:r>
      <w:r>
        <w:t xml:space="preserve">ACHAT  |  </w:t>
      </w:r>
      <w:r>
        <w:rPr>
          <w:b/>
        </w:rPr>
        <w:t xml:space="preserve">Risque moyen: </w:t>
      </w:r>
      <w:r>
        <w:t xml:space="preserve">Moyen  |  </w:t>
      </w:r>
      <w:r>
        <w:rPr>
          <w:b/>
        </w:rPr>
        <w:t xml:space="preserve">Prix moyen: </w:t>
      </w:r>
      <w:r>
        <w:t>2370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ABJC, BICB, BOAB, NEIC, ONTBF, SGBC, SHEC, SLBC, SPHC, TTLS</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BBGC, BICC, BNBC, BOABF, BOAC, BOAM, BOAS, CBIBF, CIEC, ECOC, ETIT, FTSC, NSBC, ORAC, ORGT, PRSC, SDCC, SEMC, SIBC, SIVC, SMBC, SNTS, STBC, TTLC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BOAN, CABC, CFAC, LNBB, NTLC, SAFC, SCRC, SDSC, SICC, SOGC, UNLC, UNXC</w:t>
            </w:r>
          </w:p>
        </w:tc>
        <w:tc>
          <w:tcPr>
            <w:tcW w:type="dxa" w:w="2160"/>
            <w:shd w:fill="FFC7CE" w:val="clear"/>
          </w:tcPr>
          <w:p>
            <w:pPr>
              <w:spacing w:before="40" w:after="40"/>
            </w:pPr>
            <w:r/>
            <w:r>
              <w:rPr>
                <w:b w:val="0"/>
                <w:sz w:val="16"/>
              </w:rPr>
              <w:t>PALC</w:t>
            </w:r>
          </w:p>
        </w:tc>
        <w:tc>
          <w:tcPr>
            <w:tcW w:type="dxa" w:w="2160"/>
            <w:shd w:fill="FF0000" w:val="clear"/>
          </w:tcPr>
          <w:p>
            <w:pPr>
              <w:spacing w:before="40" w:after="40"/>
            </w:pPr>
            <w:r/>
            <w:r>
              <w:rPr>
                <w:b w:val="0"/>
                <w:sz w:val="16"/>
              </w:rPr>
              <w:t>STAC</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1975270</w:t>
            </w:r>
          </w:p>
        </w:tc>
        <w:tc>
          <w:tcPr>
            <w:tcW w:type="dxa" w:w="1728"/>
          </w:tcPr>
          <w:p>
            <w:r>
              <w:t>133969175 FCFA</w:t>
            </w:r>
          </w:p>
        </w:tc>
        <w:tc>
          <w:tcPr>
            <w:tcW w:type="dxa" w:w="1728"/>
          </w:tcPr>
          <w:p>
            <w:r>
              <w:t>137.93%</w:t>
            </w:r>
          </w:p>
        </w:tc>
        <w:tc>
          <w:tcPr>
            <w:tcW w:type="dxa" w:w="1728"/>
          </w:tcPr>
          <w:p>
            <w:r>
              <w:t>ACHAT</w:t>
            </w:r>
          </w:p>
        </w:tc>
      </w:tr>
      <w:tr>
        <w:tc>
          <w:tcPr>
            <w:tcW w:type="dxa" w:w="1728"/>
          </w:tcPr>
          <w:p>
            <w:r>
              <w:t>SNTS (SNTS - SONATEL SN)</w:t>
            </w:r>
          </w:p>
        </w:tc>
        <w:tc>
          <w:tcPr>
            <w:tcW w:type="dxa" w:w="1728"/>
          </w:tcPr>
          <w:p>
            <w:r>
              <w:t>22690</w:t>
            </w:r>
          </w:p>
        </w:tc>
        <w:tc>
          <w:tcPr>
            <w:tcW w:type="dxa" w:w="1728"/>
          </w:tcPr>
          <w:p>
            <w:r>
              <w:t>920856420 FCFA</w:t>
            </w:r>
          </w:p>
        </w:tc>
        <w:tc>
          <w:tcPr>
            <w:tcW w:type="dxa" w:w="1728"/>
          </w:tcPr>
          <w:p>
            <w:r>
              <w:t>48.79%</w:t>
            </w:r>
          </w:p>
        </w:tc>
        <w:tc>
          <w:tcPr>
            <w:tcW w:type="dxa" w:w="1728"/>
          </w:tcPr>
          <w:p>
            <w:r>
              <w:t>ACHAT</w:t>
            </w:r>
          </w:p>
        </w:tc>
      </w:tr>
      <w:tr>
        <w:tc>
          <w:tcPr>
            <w:tcW w:type="dxa" w:w="1728"/>
          </w:tcPr>
          <w:p>
            <w:r>
              <w:t>SIBC (SIBC - SOCIETE IVOIRIENNE DE BANQUE)</w:t>
            </w:r>
          </w:p>
        </w:tc>
        <w:tc>
          <w:tcPr>
            <w:tcW w:type="dxa" w:w="1728"/>
          </w:tcPr>
          <w:p>
            <w:r>
              <w:t>16376</w:t>
            </w:r>
          </w:p>
        </w:tc>
        <w:tc>
          <w:tcPr>
            <w:tcW w:type="dxa" w:w="1728"/>
          </w:tcPr>
          <w:p>
            <w:r>
              <w:t>148839780 FCFA</w:t>
            </w:r>
          </w:p>
        </w:tc>
        <w:tc>
          <w:tcPr>
            <w:tcW w:type="dxa" w:w="1728"/>
          </w:tcPr>
          <w:p>
            <w:r>
              <w:t>26.83%</w:t>
            </w:r>
          </w:p>
        </w:tc>
        <w:tc>
          <w:tcPr>
            <w:tcW w:type="dxa" w:w="1728"/>
          </w:tcPr>
          <w:p>
            <w:r>
              <w:t>ACHAT</w:t>
            </w:r>
          </w:p>
        </w:tc>
      </w:tr>
      <w:tr>
        <w:tc>
          <w:tcPr>
            <w:tcW w:type="dxa" w:w="1728"/>
          </w:tcPr>
          <w:p>
            <w:r>
              <w:t>SDSC (SDSC - AFRICA GLOBAL LOGISTICS CI)</w:t>
            </w:r>
          </w:p>
        </w:tc>
        <w:tc>
          <w:tcPr>
            <w:tcW w:type="dxa" w:w="1728"/>
          </w:tcPr>
          <w:p>
            <w:r>
              <w:t>16151</w:t>
            </w:r>
          </w:p>
        </w:tc>
        <w:tc>
          <w:tcPr>
            <w:tcW w:type="dxa" w:w="1728"/>
          </w:tcPr>
          <w:p>
            <w:r>
              <w:t>47255397 FCFA</w:t>
            </w:r>
          </w:p>
        </w:tc>
        <w:tc>
          <w:tcPr>
            <w:tcW w:type="dxa" w:w="1728"/>
          </w:tcPr>
          <w:p>
            <w:r>
              <w:t>79.42%</w:t>
            </w:r>
          </w:p>
        </w:tc>
        <w:tc>
          <w:tcPr>
            <w:tcW w:type="dxa" w:w="1728"/>
          </w:tcPr>
          <w:p>
            <w:r>
              <w:t>ACHAT</w:t>
            </w:r>
          </w:p>
        </w:tc>
      </w:tr>
      <w:tr>
        <w:tc>
          <w:tcPr>
            <w:tcW w:type="dxa" w:w="1728"/>
          </w:tcPr>
          <w:p>
            <w:r>
              <w:t>BOAS (BANK OF AFRICA SENEGAL)</w:t>
            </w:r>
          </w:p>
        </w:tc>
        <w:tc>
          <w:tcPr>
            <w:tcW w:type="dxa" w:w="1728"/>
          </w:tcPr>
          <w:p>
            <w:r>
              <w:t>14266</w:t>
            </w:r>
          </w:p>
        </w:tc>
        <w:tc>
          <w:tcPr>
            <w:tcW w:type="dxa" w:w="1728"/>
          </w:tcPr>
          <w:p>
            <w:r>
              <w:t>116315791 FCFA</w:t>
            </w:r>
          </w:p>
        </w:tc>
        <w:tc>
          <w:tcPr>
            <w:tcW w:type="dxa" w:w="1728"/>
          </w:tcPr>
          <w:p>
            <w:r>
              <w:t>12.11%</w:t>
            </w:r>
          </w:p>
        </w:tc>
        <w:tc>
          <w:tcPr>
            <w:tcW w:type="dxa" w:w="1728"/>
          </w:tcPr>
          <w:p>
            <w:r>
              <w:t>ACHAT</w:t>
            </w:r>
          </w:p>
        </w:tc>
      </w:tr>
      <w:tr>
        <w:tc>
          <w:tcPr>
            <w:tcW w:type="dxa" w:w="1728"/>
          </w:tcPr>
          <w:p>
            <w:r>
              <w:t>BBGC (BRIDGE BANK GROUP COTE D'IVOIRE)</w:t>
            </w:r>
          </w:p>
        </w:tc>
        <w:tc>
          <w:tcPr>
            <w:tcW w:type="dxa" w:w="1728"/>
          </w:tcPr>
          <w:p>
            <w:r>
              <w:t>13734</w:t>
            </w:r>
          </w:p>
        </w:tc>
        <w:tc>
          <w:tcPr>
            <w:tcW w:type="dxa" w:w="1728"/>
          </w:tcPr>
          <w:p>
            <w:r>
              <w:t>103925228 FCFA</w:t>
            </w:r>
          </w:p>
        </w:tc>
        <w:tc>
          <w:tcPr>
            <w:tcW w:type="dxa" w:w="1728"/>
          </w:tcPr>
          <w:p>
            <w:r>
              <w:t>15.44%</w:t>
            </w:r>
          </w:p>
        </w:tc>
        <w:tc>
          <w:tcPr>
            <w:tcW w:type="dxa" w:w="1728"/>
          </w:tcPr>
          <w:p>
            <w:r>
              <w:t>ACHAT</w:t>
            </w:r>
          </w:p>
        </w:tc>
      </w:tr>
      <w:tr>
        <w:tc>
          <w:tcPr>
            <w:tcW w:type="dxa" w:w="1728"/>
          </w:tcPr>
          <w:p>
            <w:r>
              <w:t>SAFC (SAFCA CI)</w:t>
            </w:r>
          </w:p>
        </w:tc>
        <w:tc>
          <w:tcPr>
            <w:tcW w:type="dxa" w:w="1728"/>
          </w:tcPr>
          <w:p>
            <w:r>
              <w:t>12521</w:t>
            </w:r>
          </w:p>
        </w:tc>
        <w:tc>
          <w:tcPr>
            <w:tcW w:type="dxa" w:w="1728"/>
          </w:tcPr>
          <w:p>
            <w:r>
              <w:t>66504109 FCFA</w:t>
            </w:r>
          </w:p>
        </w:tc>
        <w:tc>
          <w:tcPr>
            <w:tcW w:type="dxa" w:w="1728"/>
          </w:tcPr>
          <w:p>
            <w:r>
              <w:t>32.00%</w:t>
            </w:r>
          </w:p>
        </w:tc>
        <w:tc>
          <w:tcPr>
            <w:tcW w:type="dxa" w:w="1728"/>
          </w:tcPr>
          <w:p>
            <w:r>
              <w:t>ACHAT</w:t>
            </w:r>
          </w:p>
        </w:tc>
      </w:tr>
      <w:tr>
        <w:tc>
          <w:tcPr>
            <w:tcW w:type="dxa" w:w="1728"/>
          </w:tcPr>
          <w:p>
            <w:r>
              <w:t>BOAC (BANK OF AFRICA COTE D'IVOIRE)</w:t>
            </w:r>
          </w:p>
        </w:tc>
        <w:tc>
          <w:tcPr>
            <w:tcW w:type="dxa" w:w="1728"/>
          </w:tcPr>
          <w:p>
            <w:r>
              <w:t>12189</w:t>
            </w:r>
          </w:p>
        </w:tc>
        <w:tc>
          <w:tcPr>
            <w:tcW w:type="dxa" w:w="1728"/>
          </w:tcPr>
          <w:p>
            <w:r>
              <w:t>144851211 FCFA</w:t>
            </w:r>
          </w:p>
        </w:tc>
        <w:tc>
          <w:tcPr>
            <w:tcW w:type="dxa" w:w="1728"/>
          </w:tcPr>
          <w:p>
            <w:r>
              <w:t>29.94%</w:t>
            </w:r>
          </w:p>
        </w:tc>
        <w:tc>
          <w:tcPr>
            <w:tcW w:type="dxa" w:w="1728"/>
          </w:tcPr>
          <w:p>
            <w:r>
              <w:t>ACHAT</w:t>
            </w:r>
          </w:p>
        </w:tc>
      </w:tr>
      <w:tr>
        <w:tc>
          <w:tcPr>
            <w:tcW w:type="dxa" w:w="1728"/>
          </w:tcPr>
          <w:p>
            <w:r>
              <w:t>UNXC (UNXC - UNIWAX COTE D'IVOIRE)</w:t>
            </w:r>
          </w:p>
        </w:tc>
        <w:tc>
          <w:tcPr>
            <w:tcW w:type="dxa" w:w="1728"/>
          </w:tcPr>
          <w:p>
            <w:r>
              <w:t>11906</w:t>
            </w:r>
          </w:p>
        </w:tc>
        <w:tc>
          <w:tcPr>
            <w:tcW w:type="dxa" w:w="1728"/>
          </w:tcPr>
          <w:p>
            <w:r>
              <w:t>27932325 FCFA</w:t>
            </w:r>
          </w:p>
        </w:tc>
        <w:tc>
          <w:tcPr>
            <w:tcW w:type="dxa" w:w="1728"/>
          </w:tcPr>
          <w:p>
            <w:r>
              <w:t>27.32%</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ABJC (ABJC - SERVAIR ABIDJAN CI)</w:t>
            </w:r>
          </w:p>
        </w:tc>
        <w:tc>
          <w:tcPr>
            <w:tcW w:type="dxa" w:w="1728"/>
          </w:tcPr>
          <w:p>
            <w:r>
              <w:t>3985</w:t>
            </w:r>
          </w:p>
        </w:tc>
        <w:tc>
          <w:tcPr>
            <w:tcW w:type="dxa" w:w="1728"/>
          </w:tcPr>
          <w:p>
            <w:r>
              <w:t>15629782 FCFA</w:t>
            </w:r>
          </w:p>
        </w:tc>
        <w:tc>
          <w:tcPr>
            <w:tcW w:type="dxa" w:w="1728"/>
          </w:tcPr>
          <w:p>
            <w:r>
              <w:t>17.93%</w:t>
            </w:r>
          </w:p>
        </w:tc>
        <w:tc>
          <w:tcPr>
            <w:tcW w:type="dxa" w:w="1728"/>
          </w:tcPr>
          <w:p>
            <w:r>
              <w:t>ACHAT</w:t>
            </w:r>
          </w:p>
        </w:tc>
      </w:tr>
      <w:tr>
        <w:tc>
          <w:tcPr>
            <w:tcW w:type="dxa" w:w="1728"/>
          </w:tcPr>
          <w:p>
            <w:r>
              <w:t>BNBC (BNBC - BERNABE CI)</w:t>
            </w:r>
          </w:p>
        </w:tc>
        <w:tc>
          <w:tcPr>
            <w:tcW w:type="dxa" w:w="1728"/>
          </w:tcPr>
          <w:p>
            <w:r>
              <w:t>3846</w:t>
            </w:r>
          </w:p>
        </w:tc>
        <w:tc>
          <w:tcPr>
            <w:tcW w:type="dxa" w:w="1728"/>
          </w:tcPr>
          <w:p>
            <w:r>
              <w:t>8298965 FCFA</w:t>
            </w:r>
          </w:p>
        </w:tc>
        <w:tc>
          <w:tcPr>
            <w:tcW w:type="dxa" w:w="1728"/>
          </w:tcPr>
          <w:p>
            <w:r>
              <w:t>48.33%</w:t>
            </w:r>
          </w:p>
        </w:tc>
        <w:tc>
          <w:tcPr>
            <w:tcW w:type="dxa" w:w="1728"/>
          </w:tcPr>
          <w:p>
            <w:r>
              <w:t>ACHAT</w:t>
            </w:r>
          </w:p>
        </w:tc>
      </w:tr>
      <w:tr>
        <w:tc>
          <w:tcPr>
            <w:tcW w:type="dxa" w:w="1728"/>
          </w:tcPr>
          <w:p>
            <w:r>
              <w:t>PALC (PALC - PALM COTE D'IVOIRE)</w:t>
            </w:r>
          </w:p>
        </w:tc>
        <w:tc>
          <w:tcPr>
            <w:tcW w:type="dxa" w:w="1728"/>
          </w:tcPr>
          <w:p>
            <w:r>
              <w:t>3724</w:t>
            </w:r>
          </w:p>
        </w:tc>
        <w:tc>
          <w:tcPr>
            <w:tcW w:type="dxa" w:w="1728"/>
          </w:tcPr>
          <w:p>
            <w:r>
              <w:t>31572965 FCFA</w:t>
            </w:r>
          </w:p>
        </w:tc>
        <w:tc>
          <w:tcPr>
            <w:tcW w:type="dxa" w:w="1728"/>
          </w:tcPr>
          <w:p>
            <w:r>
              <w:t>12.18%</w:t>
            </w:r>
          </w:p>
        </w:tc>
        <w:tc>
          <w:tcPr>
            <w:tcW w:type="dxa" w:w="1728"/>
          </w:tcPr>
          <w:p>
            <w:r>
              <w:t>CONSERVER</w:t>
            </w:r>
          </w:p>
        </w:tc>
      </w:tr>
      <w:tr>
        <w:tc>
          <w:tcPr>
            <w:tcW w:type="dxa" w:w="1728"/>
          </w:tcPr>
          <w:p>
            <w:r>
              <w:t>SOGC (SOGC - Société des caoutchoucs de Grand-Béréby)</w:t>
            </w:r>
          </w:p>
        </w:tc>
        <w:tc>
          <w:tcPr>
            <w:tcW w:type="dxa" w:w="1728"/>
          </w:tcPr>
          <w:p>
            <w:r>
              <w:t>3697</w:t>
            </w:r>
          </w:p>
        </w:tc>
        <w:tc>
          <w:tcPr>
            <w:tcW w:type="dxa" w:w="1728"/>
          </w:tcPr>
          <w:p>
            <w:r>
              <w:t>30161001 FCFA</w:t>
            </w:r>
          </w:p>
        </w:tc>
        <w:tc>
          <w:tcPr>
            <w:tcW w:type="dxa" w:w="1728"/>
          </w:tcPr>
          <w:p>
            <w:r>
              <w:t>0.00%</w:t>
            </w:r>
          </w:p>
        </w:tc>
        <w:tc>
          <w:tcPr>
            <w:tcW w:type="dxa" w:w="1728"/>
          </w:tcPr>
          <w:p>
            <w:r>
              <w:t>ACHAT</w:t>
            </w:r>
          </w:p>
        </w:tc>
      </w:tr>
      <w:tr>
        <w:tc>
          <w:tcPr>
            <w:tcW w:type="dxa" w:w="1728"/>
          </w:tcPr>
          <w:p>
            <w:r>
              <w:t>CFAC (CFAC - CFAO MOTORS CI)</w:t>
            </w:r>
          </w:p>
        </w:tc>
        <w:tc>
          <w:tcPr>
            <w:tcW w:type="dxa" w:w="1728"/>
          </w:tcPr>
          <w:p>
            <w:r>
              <w:t>3236</w:t>
            </w:r>
          </w:p>
        </w:tc>
        <w:tc>
          <w:tcPr>
            <w:tcW w:type="dxa" w:w="1728"/>
          </w:tcPr>
          <w:p>
            <w:r>
              <w:t>5453580 FCFA</w:t>
            </w:r>
          </w:p>
        </w:tc>
        <w:tc>
          <w:tcPr>
            <w:tcW w:type="dxa" w:w="1728"/>
          </w:tcPr>
          <w:p>
            <w:r>
              <w:t>21.89%</w:t>
            </w:r>
          </w:p>
        </w:tc>
        <w:tc>
          <w:tcPr>
            <w:tcW w:type="dxa" w:w="1728"/>
          </w:tcPr>
          <w:p>
            <w:r>
              <w:t>ACHAT</w:t>
            </w:r>
          </w:p>
        </w:tc>
      </w:tr>
      <w:tr>
        <w:tc>
          <w:tcPr>
            <w:tcW w:type="dxa" w:w="1728"/>
          </w:tcPr>
          <w:p>
            <w:r>
              <w:t>ECOC (ECOC - ECOBANK COTE D'IVOIRE)</w:t>
            </w:r>
          </w:p>
        </w:tc>
        <w:tc>
          <w:tcPr>
            <w:tcW w:type="dxa" w:w="1728"/>
          </w:tcPr>
          <w:p>
            <w:r>
              <w:t>3125</w:t>
            </w:r>
          </w:p>
        </w:tc>
        <w:tc>
          <w:tcPr>
            <w:tcW w:type="dxa" w:w="1728"/>
          </w:tcPr>
          <w:p>
            <w:r>
              <w:t>53253884 FCFA</w:t>
            </w:r>
          </w:p>
        </w:tc>
        <w:tc>
          <w:tcPr>
            <w:tcW w:type="dxa" w:w="1728"/>
          </w:tcPr>
          <w:p>
            <w:r>
              <w:t>6.25%</w:t>
            </w:r>
          </w:p>
        </w:tc>
        <w:tc>
          <w:tcPr>
            <w:tcW w:type="dxa" w:w="1728"/>
          </w:tcPr>
          <w:p>
            <w:r>
              <w:t>ACHAT</w:t>
            </w:r>
          </w:p>
        </w:tc>
      </w:tr>
      <w:tr>
        <w:tc>
          <w:tcPr>
            <w:tcW w:type="dxa" w:w="1728"/>
          </w:tcPr>
          <w:p>
            <w:r>
              <w:t>STBC (STBC - SITAB COTE D'IVOIRE)</w:t>
            </w:r>
          </w:p>
        </w:tc>
        <w:tc>
          <w:tcPr>
            <w:tcW w:type="dxa" w:w="1728"/>
          </w:tcPr>
          <w:p>
            <w:r>
              <w:t>3054</w:t>
            </w:r>
          </w:p>
        </w:tc>
        <w:tc>
          <w:tcPr>
            <w:tcW w:type="dxa" w:w="1728"/>
          </w:tcPr>
          <w:p>
            <w:r>
              <w:t>66592588 FCFA</w:t>
            </w:r>
          </w:p>
        </w:tc>
        <w:tc>
          <w:tcPr>
            <w:tcW w:type="dxa" w:w="1728"/>
          </w:tcPr>
          <w:p>
            <w:r>
              <w:t>5.93%</w:t>
            </w:r>
          </w:p>
        </w:tc>
        <w:tc>
          <w:tcPr>
            <w:tcW w:type="dxa" w:w="1728"/>
          </w:tcPr>
          <w:p>
            <w:r>
              <w:t>ACHAT</w:t>
            </w:r>
          </w:p>
        </w:tc>
      </w:tr>
      <w:tr>
        <w:tc>
          <w:tcPr>
            <w:tcW w:type="dxa" w:w="1728"/>
          </w:tcPr>
          <w:p>
            <w:r>
              <w:t>FTSC (FTSC - FILTISAC COTE D'IVOIRE)</w:t>
            </w:r>
          </w:p>
        </w:tc>
        <w:tc>
          <w:tcPr>
            <w:tcW w:type="dxa" w:w="1728"/>
          </w:tcPr>
          <w:p>
            <w:r>
              <w:t>2952</w:t>
            </w:r>
          </w:p>
        </w:tc>
        <w:tc>
          <w:tcPr>
            <w:tcW w:type="dxa" w:w="1728"/>
          </w:tcPr>
          <w:p>
            <w:r>
              <w:t>6146606 FCFA</w:t>
            </w:r>
          </w:p>
        </w:tc>
        <w:tc>
          <w:tcPr>
            <w:tcW w:type="dxa" w:w="1728"/>
          </w:tcPr>
          <w:p>
            <w:r>
              <w:t>-10.36%</w:t>
            </w:r>
          </w:p>
        </w:tc>
        <w:tc>
          <w:tcPr>
            <w:tcW w:type="dxa" w:w="1728"/>
          </w:tcPr>
          <w:p>
            <w:r>
              <w:t>ACHAT</w:t>
            </w:r>
          </w:p>
        </w:tc>
      </w:tr>
      <w:tr>
        <w:tc>
          <w:tcPr>
            <w:tcW w:type="dxa" w:w="1728"/>
          </w:tcPr>
          <w:p>
            <w:r>
              <w:t>NEIC (NEIC - NEI-CEDA CI)</w:t>
            </w:r>
          </w:p>
        </w:tc>
        <w:tc>
          <w:tcPr>
            <w:tcW w:type="dxa" w:w="1728"/>
          </w:tcPr>
          <w:p>
            <w:r>
              <w:t>2950</w:t>
            </w:r>
          </w:p>
        </w:tc>
        <w:tc>
          <w:tcPr>
            <w:tcW w:type="dxa" w:w="1728"/>
          </w:tcPr>
          <w:p>
            <w:r>
              <w:t>7808579 FCFA</w:t>
            </w:r>
          </w:p>
        </w:tc>
        <w:tc>
          <w:tcPr>
            <w:tcW w:type="dxa" w:w="1728"/>
          </w:tcPr>
          <w:p>
            <w:r>
              <w:t>33.80%</w:t>
            </w:r>
          </w:p>
        </w:tc>
        <w:tc>
          <w:tcPr>
            <w:tcW w:type="dxa" w:w="1728"/>
          </w:tcPr>
          <w:p>
            <w:r>
              <w:t>ACHAT</w:t>
            </w:r>
          </w:p>
        </w:tc>
      </w:tr>
      <w:tr>
        <w:tc>
          <w:tcPr>
            <w:tcW w:type="dxa" w:w="1728"/>
          </w:tcPr>
          <w:p>
            <w:r>
              <w:t>SDCC (SDCC - Société de Distribution d'Eau de Côte d'Ivoire)</w:t>
            </w:r>
          </w:p>
        </w:tc>
        <w:tc>
          <w:tcPr>
            <w:tcW w:type="dxa" w:w="1728"/>
          </w:tcPr>
          <w:p>
            <w:r>
              <w:t>2338</w:t>
            </w:r>
          </w:p>
        </w:tc>
        <w:tc>
          <w:tcPr>
            <w:tcW w:type="dxa" w:w="1728"/>
          </w:tcPr>
          <w:p>
            <w:r>
              <w:t>30563176 FCFA</w:t>
            </w:r>
          </w:p>
        </w:tc>
        <w:tc>
          <w:tcPr>
            <w:tcW w:type="dxa" w:w="1728"/>
          </w:tcPr>
          <w:p>
            <w:r>
              <w:t>36.96%</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CABC - CABC - SICABLE COTE D'IVOIRE</w:t>
      </w:r>
    </w:p>
    <w:p>
      <w:r>
        <w:rPr>
          <w:b/>
        </w:rPr>
        <w:t xml:space="preserve">Score de divergence: </w:t>
      </w:r>
      <w:r>
        <w:t>5/8</w:t>
        <w:br/>
      </w:r>
      <w:r>
        <w:rPr>
          <w:b/>
        </w:rPr>
        <w:t xml:space="preserve">Description: </w:t>
      </w:r>
      <w:r>
        <w:t>Signaux de vente: MM, MACD | Recommandation finale: ACHAT</w:t>
        <w:br/>
      </w:r>
    </w:p>
    <w:p/>
    <w:p>
      <w:pPr>
        <w:pStyle w:val="Heading3"/>
      </w:pPr>
      <w:r>
        <w:t>2. CFAC - CFAC - CFAO MOTORS CI</w:t>
      </w:r>
    </w:p>
    <w:p>
      <w:r>
        <w:rPr>
          <w:b/>
        </w:rPr>
        <w:t xml:space="preserve">Score de divergence: </w:t>
      </w:r>
      <w:r>
        <w:t>5/8</w:t>
        <w:br/>
      </w:r>
      <w:r>
        <w:rPr>
          <w:b/>
        </w:rPr>
        <w:t xml:space="preserve">Description: </w:t>
      </w:r>
      <w:r>
        <w:t>Signaux de vente: MM, MACD | Recommandation finale: ACHAT</w:t>
        <w:br/>
      </w:r>
    </w:p>
    <w:p/>
    <w:p>
      <w:pPr>
        <w:pStyle w:val="Heading3"/>
      </w:pPr>
      <w:r>
        <w:t>3.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4. SAFC - SAFCA CI</w:t>
      </w:r>
    </w:p>
    <w:p>
      <w:r>
        <w:rPr>
          <w:b/>
        </w:rPr>
        <w:t xml:space="preserve">Score de divergence: </w:t>
      </w:r>
      <w:r>
        <w:t>5/8</w:t>
        <w:br/>
      </w:r>
      <w:r>
        <w:rPr>
          <w:b/>
        </w:rPr>
        <w:t xml:space="preserve">Description: </w:t>
      </w:r>
      <w:r>
        <w:t>Signaux de vente: MM, MACD | Recommandation finale: ACHAT</w:t>
        <w:br/>
      </w:r>
    </w:p>
    <w:p/>
    <w:p>
      <w:pPr>
        <w:pStyle w:val="Heading3"/>
      </w:pPr>
      <w:r>
        <w:t>5. SOGC - SOGC - Société des caoutchoucs de Grand-Béréby</w:t>
      </w:r>
    </w:p>
    <w:p>
      <w:r>
        <w:rPr>
          <w:b/>
        </w:rPr>
        <w:t xml:space="preserve">Score de divergence: </w:t>
      </w:r>
      <w:r>
        <w:t>5/8</w:t>
        <w:br/>
      </w:r>
      <w:r>
        <w:rPr>
          <w:b/>
        </w:rPr>
        <w:t xml:space="preserve">Description: </w:t>
      </w:r>
      <w:r>
        <w:t>Signaux de vente: MM, MACD | Recommandation finale: ACHAT</w:t>
        <w:br/>
      </w:r>
    </w:p>
    <w:p/>
    <w:p>
      <w:pPr>
        <w:pStyle w:val="Heading3"/>
      </w:pPr>
      <w:r>
        <w:t>6. UNLC - UNLC - UNILEVER COTE D'IVOIRE</w:t>
      </w:r>
    </w:p>
    <w:p>
      <w:r>
        <w:rPr>
          <w:b/>
        </w:rPr>
        <w:t xml:space="preserve">Score de divergence: </w:t>
      </w:r>
      <w:r>
        <w:t>5/8</w:t>
        <w:br/>
      </w:r>
      <w:r>
        <w:rPr>
          <w:b/>
        </w:rPr>
        <w:t xml:space="preserve">Description: </w:t>
      </w:r>
      <w:r>
        <w:t>Signaux de vente: MM, MACD | Recommandation finale: ACHAT</w:t>
        <w:br/>
      </w:r>
    </w:p>
    <w:p/>
    <w:p>
      <w:pPr>
        <w:pStyle w:val="Heading3"/>
      </w:pPr>
      <w:r>
        <w:t>7.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8. NTLC - NTLC - NESTLE COTE D'IVOIRE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9. SCRC - SCRC - SUCRIVOIRE</w:t>
      </w:r>
    </w:p>
    <w:p>
      <w:r>
        <w:rPr>
          <w:b/>
        </w:rPr>
        <w:t xml:space="preserve">Score de divergence: </w:t>
      </w:r>
      <w:r>
        <w:t>4/8</w:t>
        <w:br/>
      </w:r>
      <w:r>
        <w:rPr>
          <w:b/>
        </w:rPr>
        <w:t xml:space="preserve">Description: </w:t>
      </w:r>
      <w:r>
        <w:t>Signaux d'achat: RSI | Signaux de vente: MM, MACD | Recommandation finale: ACHAT</w:t>
        <w:br/>
      </w:r>
    </w:p>
    <w:p/>
    <w:p>
      <w:pPr>
        <w:pStyle w:val="Heading3"/>
      </w:pPr>
      <w:r>
        <w:t>10.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28</w:t>
            </w:r>
          </w:p>
        </w:tc>
        <w:tc>
          <w:tcPr>
            <w:tcW w:type="dxa" w:w="2160"/>
          </w:tcPr>
          <w:p>
            <w:r>
              <w:t>0</w:t>
            </w:r>
          </w:p>
        </w:tc>
      </w:tr>
      <w:tr>
        <w:tc>
          <w:tcPr>
            <w:tcW w:type="dxa" w:w="2160"/>
          </w:tcPr>
          <w:p>
            <w:r>
              <w:t>Risque Moyen</w:t>
            </w:r>
          </w:p>
        </w:tc>
        <w:tc>
          <w:tcPr>
            <w:tcW w:type="dxa" w:w="2160"/>
          </w:tcPr>
          <w:p>
            <w:r>
              <w:t>0</w:t>
            </w:r>
          </w:p>
        </w:tc>
        <w:tc>
          <w:tcPr>
            <w:tcW w:type="dxa" w:w="2160"/>
          </w:tcPr>
          <w:p>
            <w:r>
              <w:t>20</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BBGC (BRIDGE BANK GROUP COTE D'IVOIRE)</w:t>
      </w:r>
    </w:p>
    <w:p>
      <w:pPr>
        <w:pStyle w:val="ListBullet"/>
      </w:pPr>
      <w:r>
        <w:t>• BNBC (BNBC - BERNABE CI)</w:t>
      </w:r>
    </w:p>
    <w:p>
      <w:pPr>
        <w:pStyle w:val="ListBullet"/>
      </w:pPr>
      <w:r>
        <w:t>• BOAB (BANK OF AFRICA BENIN)</w:t>
      </w:r>
    </w:p>
    <w:p>
      <w:pPr>
        <w:pStyle w:val="ListBullet"/>
      </w:pPr>
      <w:r>
        <w:t>• BOAS (BANK OF AFRICA SENEGAL)</w:t>
      </w:r>
    </w:p>
    <w:p>
      <w:pPr>
        <w:pStyle w:val="ListBullet"/>
      </w:pPr>
      <w:r>
        <w:t>• CABC (CABC - SICABLE COTE D'IVOIRE)</w:t>
      </w:r>
    </w:p>
    <w:p>
      <w:pPr>
        <w:pStyle w:val="ListBullet"/>
      </w:pPr>
      <w:r>
        <w:t>• CFAC (CFAC - CFAO MOTORS CI)</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NEIC (NEIC - NEI-CEDA CI)</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PALC (PALC - PALM COTE D'IVOIRE)</w:t>
      </w:r>
    </w:p>
    <w:p>
      <w:pPr>
        <w:pStyle w:val="ListBullet"/>
      </w:pPr>
      <w:r>
        <w:t>• SDCC (SDCC - Société de Distribution d'Eau de Côte d'Ivoire)</w:t>
      </w:r>
    </w:p>
    <w:p>
      <w:pPr>
        <w:pStyle w:val="ListBullet"/>
      </w:pPr>
      <w:r>
        <w:t>• SEMC (SEMC - EVIOSYS PACKAGING SIEM CI)</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SLBC (SLBC - SOLIBRA COTE D'IVOIRE)</w:t>
      </w:r>
    </w:p>
    <w:p>
      <w:pPr>
        <w:pStyle w:val="ListBullet"/>
      </w:pPr>
      <w:r>
        <w:t>• SMBC (SMBC - Société Multinationale de Bitumes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BOAN (BANK OF AFRICA NIGER)</w:t>
      </w:r>
    </w:p>
    <w:p>
      <w:pPr>
        <w:pStyle w:val="ListBullet"/>
      </w:pPr>
      <w:r>
        <w:t>• CBIBF (CBIBF - CORIS BANK INTERNATIONAL BURKINA FASO)</w:t>
      </w:r>
    </w:p>
    <w:p>
      <w:pPr>
        <w:pStyle w:val="ListBullet"/>
      </w:pPr>
      <w:r>
        <w:t>• CIEC (CIEC - Compagnie Ivoirienne d'Electricité)</w:t>
      </w:r>
    </w:p>
    <w:p>
      <w:pPr>
        <w:pStyle w:val="ListBullet"/>
      </w:pPr>
      <w:r>
        <w:t>• ETIT (ETIT - Ecobank Transnational Incorporated Togo)</w:t>
      </w:r>
    </w:p>
    <w:p>
      <w:pPr>
        <w:pStyle w:val="ListBullet"/>
      </w:pPr>
      <w:r>
        <w:t>• NSBC (NSBC - NSIA BANQUE COTE D'IVOIRE)</w:t>
      </w:r>
    </w:p>
    <w:p>
      <w:pPr>
        <w:pStyle w:val="ListBullet"/>
      </w:pPr>
      <w:r>
        <w:t>• ORAC (ORAC - ORANGE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SDSC (SDSC - AFRICA GLOBAL LOGISTICS CI)</w:t>
      </w:r>
    </w:p>
    <w:p>
      <w:pPr>
        <w:pStyle w:val="ListBullet"/>
      </w:pPr>
      <w:r>
        <w:t>• SICC (SICC - SICOR COTE D'IVOIRE)</w:t>
      </w:r>
    </w:p>
    <w:p>
      <w:pPr>
        <w:pStyle w:val="ListBullet"/>
      </w:pPr>
      <w:r>
        <w:t>• SIVC (SIVC - ERIUM CI (Ex AIR LIQUIDECI))</w:t>
      </w:r>
    </w:p>
    <w:p>
      <w:pPr>
        <w:pStyle w:val="ListBullet"/>
      </w:pPr>
      <w:r>
        <w:t>• SNTS (SNTS - SONATEL SN)</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pStyle w:val="ListBullet"/>
        <w:spacing w:before="20" w:after="20"/>
        <w:ind w:left="360"/>
      </w:pPr>
      <w:r>
        <w:rPr>
          <w:color w:val="C00000"/>
          <w:sz w:val="18"/>
        </w:rPr>
        <w:t>**BCE hawkish** (28/09) : repricing des taux, ton plus restrictif que prévu, pression baissière sur les indices européens (MIB).</w:t>
      </w:r>
    </w:p>
    <w:p>
      <w:pPr>
        <w:pStyle w:val="ListBullet"/>
        <w:spacing w:before="20" w:after="20"/>
        <w:ind w:left="360"/>
      </w:pPr>
      <w:r>
        <w:rPr>
          <w:sz w:val="18"/>
        </w:rPr>
        <w:t>**Taux d'intérêt en flambée** (29/09) : reclassement des placements, avantage aux obligations vs actions.</w:t>
      </w:r>
    </w:p>
    <w:p>
      <w:pPr>
        <w:pStyle w:val="ListBullet"/>
        <w:spacing w:before="20" w:after="20"/>
        <w:ind w:left="360"/>
      </w:pPr>
      <w:r>
        <w:rPr>
          <w:sz w:val="18"/>
        </w:rPr>
        <w:t>**BCE et subventions bancaires** : débat sur le rôle de la BCE dans le financement de la transition écologique.</w:t>
      </w:r>
    </w:p>
    <w:p>
      <w:pPr>
        <w:pStyle w:val="ListBullet"/>
        <w:spacing w:before="20" w:after="20"/>
        <w:ind w:left="360"/>
      </w:pPr>
      <w:r>
        <w:rPr>
          <w:sz w:val="18"/>
        </w:rPr>
        <w:t>**Dette africaine dollarisée** : l'Afrique reste dépendante du dollar malgré l'offensive chinoise en yuan.</w:t>
      </w:r>
    </w:p>
    <w:p>
      <w:pPr>
        <w:pStyle w:val="Heading3"/>
      </w:pPr>
      <w:r>
        <w:rPr>
          <w:color w:val="500050"/>
        </w:rPr>
        <w:t>⚡ Impact estimé sur la BRVM</w:t>
      </w:r>
    </w:p>
    <w:p>
      <w:pPr>
        <w:spacing w:before="20" w:after="40"/>
        <w:ind w:left="280"/>
      </w:pPr>
      <w:r>
        <w:rPr>
          <w:i/>
          <w:sz w:val="18"/>
        </w:rPr>
        <w:t>Le durcissement monétaire européen renchérit le coût du capital et détourne les flux vers les obligations souveraines. Les banques BRVM (SGBC, BICB, BOAB, BOAS, SIBC) pourraient voir leurs marges se stabiliser grâce à des taux plus élevés, mais le risque de raréfaction du crédit pèse sur les volumes. Les valeurs de croissance (SNTS, ONTBF) restent sensibles à la remontée des taux d'actualisation.</w:t>
      </w:r>
    </w:p>
    <w:p>
      <w:pPr>
        <w:pStyle w:val="Heading2"/>
      </w:pPr>
      <w:r>
        <w:rPr>
          <w:color w:val="006E32"/>
        </w:rPr>
        <w:t>🌍 Plan Africain</w:t>
      </w:r>
    </w:p>
    <w:p>
      <w:pPr>
        <w:pStyle w:val="ListBullet"/>
        <w:spacing w:before="20" w:after="20"/>
        <w:ind w:left="360"/>
      </w:pPr>
      <w:r>
        <w:rPr>
          <w:sz w:val="18"/>
        </w:rPr>
        <w:t>**Dette en dollars** : dépendance persistante au dollar, vulnérabilité aux taux Fed/BCE.</w:t>
      </w:r>
    </w:p>
    <w:p>
      <w:pPr>
        <w:pStyle w:val="ListBullet"/>
        <w:spacing w:before="20" w:after="20"/>
        <w:ind w:left="360"/>
      </w:pPr>
      <w:r>
        <w:rPr>
          <w:sz w:val="18"/>
        </w:rPr>
        <w:t>**Plaidoyer d'Amara (UCESA)** pour la transformation économique, l'emploi et l'investissement inclusif.</w:t>
      </w:r>
    </w:p>
    <w:p>
      <w:pPr>
        <w:pStyle w:val="ListBullet"/>
        <w:spacing w:before="20" w:after="20"/>
        <w:ind w:left="360"/>
      </w:pPr>
      <w:r>
        <w:rPr>
          <w:sz w:val="18"/>
        </w:rPr>
        <w:t>**BIDC** : validation de 400 M$ pour quatre projets ouest-africains.</w:t>
      </w:r>
    </w:p>
    <w:p>
      <w:pPr>
        <w:pStyle w:val="Heading3"/>
      </w:pPr>
      <w:r>
        <w:rPr>
          <w:color w:val="500050"/>
        </w:rPr>
        <w:t>⚡ Impact estimé sur la BRVM</w:t>
      </w:r>
    </w:p>
    <w:p>
      <w:pPr>
        <w:spacing w:before="20" w:after="40"/>
        <w:ind w:left="280"/>
      </w:pPr>
      <w:r>
        <w:rPr>
          <w:i/>
          <w:sz w:val="18"/>
        </w:rPr>
        <w:t>Les financements BIDC soutiennent les secteurs industriels et énergétiques (SIVC, TTLS, SHEC) via des projets d'infrastructure. La dépendance au dollar maintient un risque de change pour les sociétés important des intrants (SPHC, SLBC).</w:t>
      </w:r>
    </w:p>
    <w:p>
      <w:pPr>
        <w:pStyle w:val="Heading2"/>
      </w:pPr>
      <w:r>
        <w:rPr>
          <w:color w:val="145A28"/>
        </w:rPr>
        <w:t>🌍 Plan Afrique de l'Ouest</w:t>
      </w:r>
    </w:p>
    <w:p>
      <w:pPr>
        <w:pStyle w:val="ListBullet"/>
        <w:spacing w:before="20" w:after="20"/>
        <w:ind w:left="360"/>
      </w:pPr>
      <w:r>
        <w:rPr>
          <w:sz w:val="18"/>
        </w:rPr>
        <w:t>**BIDC / CEDEAO** : 400 M$ validés pour 4 projets régionaux.</w:t>
      </w:r>
    </w:p>
    <w:p>
      <w:pPr>
        <w:pStyle w:val="ListBullet"/>
        <w:spacing w:before="20" w:after="20"/>
        <w:ind w:left="360"/>
      </w:pPr>
      <w:r>
        <w:rPr>
          <w:sz w:val="18"/>
        </w:rPr>
        <w:t>**Parlement CEDEAO** : recherche d'équilibre entre ambitions et rigueur budgétaire.</w:t>
      </w:r>
    </w:p>
    <w:p>
      <w:pPr>
        <w:pStyle w:val="ListBullet"/>
        <w:spacing w:before="20" w:after="20"/>
        <w:ind w:left="360"/>
      </w:pPr>
      <w:r>
        <w:rPr>
          <w:sz w:val="18"/>
        </w:rPr>
        <w:t>**ZLECAf** : mobilisation des femmes parlementaires pour renforcer la participation économique.</w:t>
      </w:r>
    </w:p>
    <w:p>
      <w:pPr>
        <w:pStyle w:val="Heading3"/>
      </w:pPr>
      <w:r>
        <w:rPr>
          <w:color w:val="500050"/>
        </w:rPr>
        <w:t>⚡ Impact estimé sur la BRVM</w:t>
      </w:r>
    </w:p>
    <w:p>
      <w:pPr>
        <w:spacing w:before="20" w:after="40"/>
        <w:ind w:left="280"/>
      </w:pPr>
      <w:r>
        <w:rPr>
          <w:i/>
          <w:sz w:val="18"/>
        </w:rPr>
        <w:t>Les projets BIDC stimulent la demande en matériaux et services, bénéficiant indirectement à SIVC (industriels) et aux banques finançant ces projets (BICB, SGBC). La ZLECAf ouvre des débouchés aux agro-industriels (SPHC, SLBC).</w:t>
      </w:r>
    </w:p>
    <w:p>
      <w:pPr>
        <w:pStyle w:val="Heading2"/>
      </w:pPr>
      <w:r>
        <w:rPr>
          <w:color w:val="8C4600"/>
        </w:rPr>
        <w:t>🏦 Plan UEMOA / Zone Franc</w:t>
      </w:r>
    </w:p>
    <w:p>
      <w:pPr>
        <w:pStyle w:val="ListBullet"/>
        <w:spacing w:before="20" w:after="20"/>
        <w:ind w:left="360"/>
      </w:pPr>
      <w:r>
        <w:rPr>
          <w:sz w:val="18"/>
        </w:rPr>
        <w:t>**Mali** : opérations militaires à Abeïbara (neutralisation de 50 combattants).</w:t>
      </w:r>
    </w:p>
    <w:p>
      <w:pPr>
        <w:pStyle w:val="ListBullet"/>
        <w:spacing w:before="20" w:after="20"/>
        <w:ind w:left="360"/>
      </w:pPr>
      <w:r>
        <w:rPr>
          <w:sz w:val="18"/>
        </w:rPr>
        <w:t>**Burkina Faso** : ligne politique d'Ibrahim Traoré face à l'AES/CEDEAO.</w:t>
      </w:r>
    </w:p>
    <w:p>
      <w:pPr>
        <w:pStyle w:val="ListBullet"/>
        <w:spacing w:before="20" w:after="20"/>
        <w:ind w:left="360"/>
      </w:pPr>
      <w:r>
        <w:rPr>
          <w:sz w:val="18"/>
        </w:rPr>
        <w:t>**Mali à l'ONU** : plaidoyer pour un multilatéralisme réformé.</w:t>
      </w:r>
    </w:p>
    <w:p>
      <w:pPr>
        <w:pStyle w:val="Heading3"/>
      </w:pPr>
      <w:r>
        <w:rPr>
          <w:color w:val="500050"/>
        </w:rPr>
        <w:t>⚡ Impact estimé sur la BRVM</w:t>
      </w:r>
    </w:p>
    <w:p>
      <w:pPr>
        <w:spacing w:before="20" w:after="40"/>
        <w:ind w:left="280"/>
      </w:pPr>
      <w:r>
        <w:rPr>
          <w:i/>
          <w:sz w:val="18"/>
        </w:rPr>
        <w:t>L'instabilité sahélienne accroît le risque pays perçu pour les sociétés opérant au Mali/Burkina (banques régionales, télécoms). Les valeurs ivoiriennes et sénégalaises (SNTS, SGBC, ONTBF) restent relativement protégées.</w:t>
      </w:r>
    </w:p>
    <w:p>
      <w:pPr>
        <w:pStyle w:val="Heading2"/>
      </w:pPr>
      <w:r>
        <w:rPr>
          <w:color w:val="003366"/>
        </w:rPr>
        <w:t>📈 Plan BRVM</w:t>
      </w:r>
    </w:p>
    <w:p>
      <w:pPr>
        <w:pStyle w:val="ListBullet"/>
        <w:spacing w:before="20" w:after="20"/>
        <w:ind w:left="360"/>
      </w:pPr>
      <w:r>
        <w:rPr>
          <w:sz w:val="18"/>
        </w:rPr>
        <w:t>**Résultats encourageants** des sociétés cotées ivoiriennes (09/06).</w:t>
      </w:r>
    </w:p>
    <w:p>
      <w:pPr>
        <w:pStyle w:val="ListBullet"/>
        <w:spacing w:before="20" w:after="20"/>
        <w:ind w:left="360"/>
      </w:pPr>
      <w:r>
        <w:rPr>
          <w:sz w:val="18"/>
        </w:rPr>
        <w:t>Indice BRVM Composite à **545.41**, dynamique positive portée par les résultats.</w:t>
      </w:r>
    </w:p>
    <w:p>
      <w:pPr>
        <w:pStyle w:val="Heading3"/>
      </w:pPr>
      <w:r>
        <w:rPr>
          <w:color w:val="500050"/>
        </w:rPr>
        <w:t>⚡ Impact estimé sur la BRVM</w:t>
      </w:r>
    </w:p>
    <w:p>
      <w:pPr>
        <w:pStyle w:val="ListBullet"/>
        <w:spacing w:before="20" w:after="20"/>
        <w:ind w:left="560"/>
      </w:pPr>
      <w:r>
        <w:rPr>
          <w:color w:val="500050"/>
          <w:sz w:val="18"/>
        </w:rPr>
        <w:t>**SGBC, BICB, BOAB** : résultats solides, à conserver.</w:t>
      </w:r>
    </w:p>
    <w:p>
      <w:pPr>
        <w:pStyle w:val="ListBullet"/>
        <w:spacing w:before="20" w:after="20"/>
        <w:ind w:left="560"/>
      </w:pPr>
      <w:r>
        <w:rPr>
          <w:color w:val="500050"/>
          <w:sz w:val="18"/>
        </w:rPr>
        <w:t>**SNTS, ONTBF** : télécoms défensifs, accumulation sur repli.</w:t>
      </w:r>
    </w:p>
    <w:p>
      <w:pPr>
        <w:pStyle w:val="ListBullet"/>
        <w:spacing w:before="20" w:after="20"/>
        <w:ind w:left="560"/>
      </w:pPr>
      <w:r>
        <w:rPr>
          <w:color w:val="500050"/>
          <w:sz w:val="18"/>
        </w:rPr>
        <w:t>**SIVC** : bénéficiaire des projets BIDC, opportunité.</w:t>
      </w:r>
    </w:p>
    <w:p>
      <w:pPr>
        <w:pStyle w:val="ListBullet"/>
        <w:spacing w:before="20" w:after="20"/>
        <w:ind w:left="560"/>
      </w:pPr>
      <w:r>
        <w:rPr>
          <w:color w:val="500050"/>
          <w:sz w:val="18"/>
        </w:rPr>
        <w:t>**SLBC, SPHC** : sensibles aux prix du cacao/caoutchouc, surveiller.</w:t>
      </w:r>
    </w:p>
    <w:p>
      <w:pPr>
        <w:pStyle w:val="ListBullet"/>
        <w:spacing w:before="20" w:after="20"/>
        <w:ind w:left="560"/>
      </w:pPr>
      <w:r>
        <w:rPr>
          <w:color w:val="500050"/>
          <w:sz w:val="18"/>
        </w:rPr>
        <w:t>**TTLS, SHEC** : énergie, soutenus par la demande régionale.</w:t>
      </w:r>
    </w:p>
    <w:p>
      <w:pPr>
        <w:pStyle w:val="Heading1"/>
      </w:pPr>
      <w:r>
        <w:rPr>
          <w:color w:val="8C0000"/>
        </w:rPr>
        <w:t>🏛️ 2. ACTUALITÉS POLITIQUES &amp; GÉOPOLITIQUES</w:t>
      </w:r>
    </w:p>
    <w:p>
      <w:pPr>
        <w:pStyle w:val="Heading2"/>
      </w:pPr>
      <w:r>
        <w:rPr>
          <w:color w:val="00467F"/>
        </w:rPr>
        <w:t>🌐 Plan Mondial</w:t>
      </w:r>
    </w:p>
    <w:p>
      <w:pPr>
        <w:pStyle w:val="ListBullet"/>
        <w:spacing w:before="20" w:after="20"/>
        <w:ind w:left="360"/>
      </w:pPr>
      <w:r>
        <w:rPr>
          <w:sz w:val="18"/>
        </w:rPr>
        <w:t>**BCE hawkish** : tensions monétaires UE, impact sur les flux vers les émergents.</w:t>
      </w:r>
    </w:p>
    <w:p>
      <w:pPr>
        <w:pStyle w:val="ListBullet"/>
        <w:spacing w:before="20" w:after="20"/>
        <w:ind w:left="360"/>
      </w:pPr>
      <w:r>
        <w:rPr>
          <w:sz w:val="18"/>
        </w:rPr>
        <w:t>**Transition écologique** : débat sur le rôle des banques centrales.</w:t>
      </w:r>
    </w:p>
    <w:p>
      <w:pPr>
        <w:pStyle w:val="Heading3"/>
      </w:pPr>
      <w:r>
        <w:rPr>
          <w:color w:val="500050"/>
        </w:rPr>
        <w:t>⚡ Impact estimé sur la BRVM</w:t>
      </w:r>
    </w:p>
    <w:p>
      <w:pPr>
        <w:spacing w:before="20" w:after="40"/>
        <w:ind w:left="280"/>
      </w:pPr>
      <w:r>
        <w:rPr>
          <w:i/>
          <w:sz w:val="18"/>
        </w:rPr>
        <w:t>Le resserrement européen réduit l'appétit pour le risque, pesant sur les flux vers les frontières africaines. Les investisseurs institutionnels BRVM pourraient arbitrer vers des actifs moins risqués.</w:t>
      </w:r>
    </w:p>
    <w:p>
      <w:pPr>
        <w:pStyle w:val="Heading2"/>
      </w:pPr>
      <w:r>
        <w:rPr>
          <w:color w:val="006E32"/>
        </w:rPr>
        <w:t>🌍 Plan Africain</w:t>
      </w:r>
    </w:p>
    <w:p>
      <w:pPr>
        <w:pStyle w:val="ListBullet"/>
        <w:spacing w:before="20" w:after="20"/>
        <w:ind w:left="360"/>
      </w:pPr>
      <w:r>
        <w:rPr>
          <w:sz w:val="18"/>
        </w:rPr>
        <w:t>**Amara/UCESA** : plaidoyer pour croissance inclusive et emploi.</w:t>
      </w:r>
    </w:p>
    <w:p>
      <w:pPr>
        <w:pStyle w:val="ListBullet"/>
        <w:spacing w:before="20" w:after="20"/>
        <w:ind w:left="360"/>
      </w:pPr>
      <w:r>
        <w:rPr>
          <w:sz w:val="18"/>
        </w:rPr>
        <w:t>**Dette dollar** : vulnérabilité géopolitique accrue.</w:t>
      </w:r>
    </w:p>
    <w:p>
      <w:pPr>
        <w:pStyle w:val="Heading3"/>
      </w:pPr>
      <w:r>
        <w:rPr>
          <w:color w:val="500050"/>
        </w:rPr>
        <w:t>⚡ Impact estimé sur la BRVM</w:t>
      </w:r>
    </w:p>
    <w:p>
      <w:pPr>
        <w:spacing w:before="20" w:after="40"/>
        <w:ind w:left="280"/>
      </w:pPr>
      <w:r>
        <w:rPr>
          <w:i/>
          <w:sz w:val="18"/>
        </w:rPr>
        <w:t>Les appels à la transformation économique soutiennent la narrative des valeurs industrielles et bancaires. La dépendance au dollar reste un facteur de risque pour les flux de capitaux.</w:t>
      </w:r>
    </w:p>
    <w:p>
      <w:pPr>
        <w:pStyle w:val="Heading2"/>
      </w:pPr>
      <w:r>
        <w:rPr>
          <w:color w:val="145A28"/>
        </w:rPr>
        <w:t>🌍 Plan Afrique de l'Ouest</w:t>
      </w:r>
    </w:p>
    <w:p>
      <w:pPr>
        <w:pStyle w:val="ListBullet"/>
        <w:spacing w:before="20" w:after="20"/>
        <w:ind w:left="360"/>
      </w:pPr>
      <w:r>
        <w:rPr>
          <w:sz w:val="18"/>
        </w:rPr>
        <w:t>**Mali** : opérations militaires, tensions sécuritaires.</w:t>
      </w:r>
    </w:p>
    <w:p>
      <w:pPr>
        <w:pStyle w:val="ListBullet"/>
        <w:spacing w:before="20" w:after="20"/>
        <w:ind w:left="360"/>
      </w:pPr>
      <w:r>
        <w:rPr>
          <w:sz w:val="18"/>
        </w:rPr>
        <w:t>**Burkina Faso** : posture souverainiste d'Ibrahim Traoré.</w:t>
      </w:r>
    </w:p>
    <w:p>
      <w:pPr>
        <w:pStyle w:val="ListBullet"/>
        <w:spacing w:before="20" w:after="20"/>
        <w:ind w:left="360"/>
      </w:pPr>
      <w:r>
        <w:rPr>
          <w:sz w:val="18"/>
        </w:rPr>
        <w:t>**AES vs CEDEAO** : tensions régionales persistantes.</w:t>
      </w:r>
    </w:p>
    <w:p>
      <w:pPr>
        <w:pStyle w:val="Heading3"/>
      </w:pPr>
      <w:r>
        <w:rPr>
          <w:color w:val="500050"/>
        </w:rPr>
        <w:t>⚡ Impact estimé sur la BRVM</w:t>
      </w:r>
    </w:p>
    <w:p>
      <w:pPr>
        <w:spacing w:before="20" w:after="40"/>
        <w:ind w:left="280"/>
      </w:pPr>
      <w:r>
        <w:rPr>
          <w:i/>
          <w:sz w:val="18"/>
        </w:rPr>
        <w:t>Risque de contagion sécuritaire aux pays côtiers (Côte d'Ivoire, Sénégal, Bénin). Les sociétés exposées au Sahel (banques, télécoms) subissent une prime de risque accrue.</w:t>
      </w:r>
    </w:p>
    <w:p>
      <w:pPr>
        <w:pStyle w:val="Heading2"/>
      </w:pPr>
      <w:r>
        <w:rPr>
          <w:color w:val="8C4600"/>
        </w:rPr>
        <w:t>🏦 Plan UEMOA / Zone Franc</w:t>
      </w:r>
    </w:p>
    <w:p>
      <w:pPr>
        <w:pStyle w:val="ListBullet"/>
        <w:spacing w:before="20" w:after="20"/>
        <w:ind w:left="360"/>
      </w:pPr>
      <w:r>
        <w:rPr>
          <w:sz w:val="18"/>
        </w:rPr>
        <w:t>**Mali, Burkina** : instabilité politique persistante.</w:t>
      </w:r>
    </w:p>
    <w:p>
      <w:pPr>
        <w:pStyle w:val="ListBullet"/>
        <w:spacing w:before="20" w:after="20"/>
        <w:ind w:left="360"/>
      </w:pPr>
      <w:r>
        <w:rPr>
          <w:sz w:val="18"/>
        </w:rPr>
        <w:t>**Réformes institutionnelles** : dynamique CEDEAO/ZLECAf.</w:t>
      </w:r>
    </w:p>
    <w:p>
      <w:pPr>
        <w:pStyle w:val="Heading3"/>
      </w:pPr>
      <w:r>
        <w:rPr>
          <w:color w:val="500050"/>
        </w:rPr>
        <w:t>⚡ Impact estimé sur la BRVM</w:t>
      </w:r>
    </w:p>
    <w:p>
      <w:pPr>
        <w:spacing w:before="20" w:after="40"/>
        <w:ind w:left="280"/>
      </w:pPr>
      <w:r>
        <w:rPr>
          <w:i/>
          <w:sz w:val="18"/>
        </w:rPr>
        <w:t>Risque réglementaire limité pour la BRVM (basée à Abidjan), mais perception de risque régional dégradée pouvant freiner les IPO et les flux étrangers.</w:t>
      </w:r>
    </w:p>
    <w:p>
      <w:pPr>
        <w:pStyle w:val="Heading2"/>
      </w:pPr>
      <w:r>
        <w:rPr>
          <w:color w:val="003366"/>
        </w:rPr>
        <w:t>📈 Plan BRVM</w:t>
      </w:r>
    </w:p>
    <w:p>
      <w:pPr>
        <w:pStyle w:val="ListBullet"/>
        <w:spacing w:before="20" w:after="20"/>
        <w:ind w:left="360"/>
      </w:pPr>
      <w:r>
        <w:rPr>
          <w:sz w:val="18"/>
        </w:rPr>
        <w:t>**CREPMF** : pas de nouvelle réglementation signalée.</w:t>
      </w:r>
    </w:p>
    <w:p>
      <w:pPr>
        <w:pStyle w:val="ListBullet"/>
        <w:spacing w:before="20" w:after="20"/>
        <w:ind w:left="360"/>
      </w:pPr>
      <w:r>
        <w:rPr>
          <w:sz w:val="18"/>
        </w:rPr>
        <w:t>**Gouvernance** : résultats encourageants des sociétés ivoiriennes.</w:t>
      </w:r>
    </w:p>
    <w:p>
      <w:pPr>
        <w:pStyle w:val="Heading3"/>
      </w:pPr>
      <w:r>
        <w:rPr>
          <w:color w:val="500050"/>
        </w:rPr>
        <w:t>⚡ Impact estimé sur la BRVM</w:t>
      </w:r>
    </w:p>
    <w:p>
      <w:pPr>
        <w:spacing w:before="20" w:after="40"/>
        <w:ind w:left="280"/>
      </w:pPr>
      <w:r>
        <w:rPr>
          <w:i/>
          <w:sz w:val="18"/>
        </w:rPr>
        <w:t>Environnement réglementaire stable, favorable à la confiance. Les bons résultats renforcent l'attractivité du marché.</w:t>
      </w:r>
    </w:p>
    <w:p>
      <w:pPr>
        <w:pStyle w:val="Heading1"/>
      </w:pPr>
      <w:r>
        <w:rPr>
          <w:color w:val="006428"/>
        </w:rPr>
        <w:t>💹 3. ACTUALITÉS FINANCIÈRES &amp; MARCHÉS</w:t>
      </w:r>
    </w:p>
    <w:p>
      <w:pPr>
        <w:pStyle w:val="Heading2"/>
      </w:pPr>
      <w:r>
        <w:rPr>
          <w:color w:val="00467F"/>
        </w:rPr>
        <w:t>🌐 Plan Mondial</w:t>
      </w:r>
    </w:p>
    <w:p>
      <w:pPr>
        <w:pStyle w:val="ListBullet"/>
        <w:spacing w:before="20" w:after="20"/>
        <w:ind w:left="360"/>
      </w:pPr>
      <w:r>
        <w:rPr>
          <w:sz w:val="18"/>
        </w:rPr>
        <w:t>**MIB baissier** : repricing hawkish BCE.</w:t>
      </w:r>
    </w:p>
    <w:p>
      <w:pPr>
        <w:pStyle w:val="ListBullet"/>
        <w:spacing w:before="20" w:after="20"/>
        <w:ind w:left="360"/>
      </w:pPr>
      <w:r>
        <w:rPr>
          <w:sz w:val="18"/>
        </w:rPr>
        <w:t>**Flambée des taux** : reclassement épargne vers obligations.</w:t>
      </w:r>
    </w:p>
    <w:p>
      <w:pPr>
        <w:pStyle w:val="ListBullet"/>
        <w:spacing w:before="20" w:after="20"/>
        <w:ind w:left="360"/>
      </w:pPr>
      <w:r>
        <w:rPr>
          <w:sz w:val="18"/>
        </w:rPr>
        <w:t>**BCE** : subventions bancaires, débat transition écologique.</w:t>
      </w:r>
    </w:p>
    <w:p>
      <w:pPr>
        <w:pStyle w:val="Heading3"/>
      </w:pPr>
      <w:r>
        <w:rPr>
          <w:color w:val="500050"/>
        </w:rPr>
        <w:t>⚡ Impact estimé sur la BRVM</w:t>
      </w:r>
    </w:p>
    <w:p>
      <w:pPr>
        <w:spacing w:before="20" w:after="40"/>
        <w:ind w:left="280"/>
      </w:pPr>
      <w:r>
        <w:rPr>
          <w:i/>
          <w:sz w:val="18"/>
        </w:rPr>
        <w:t>Corrélation modérée avec les marchés émergents. La hausse des taux européens détourne les capitaux des frontières, mais la BRVM reste peu corrélée aux cycles européens.</w:t>
      </w:r>
    </w:p>
    <w:p>
      <w:pPr>
        <w:pStyle w:val="Heading2"/>
      </w:pPr>
      <w:r>
        <w:rPr>
          <w:color w:val="006E32"/>
        </w:rPr>
        <w:t>🌍 Plan Africain</w:t>
      </w:r>
    </w:p>
    <w:p>
      <w:pPr>
        <w:pStyle w:val="ListBullet"/>
        <w:spacing w:before="20" w:after="20"/>
        <w:ind w:left="360"/>
      </w:pPr>
      <w:r>
        <w:rPr>
          <w:color w:val="C00000"/>
          <w:sz w:val="18"/>
        </w:rPr>
        <w:t>**Dette dollar** : pression sur les eurobonds africains.</w:t>
      </w:r>
    </w:p>
    <w:p>
      <w:pPr>
        <w:pStyle w:val="ListBullet"/>
        <w:spacing w:before="20" w:after="20"/>
        <w:ind w:left="360"/>
      </w:pPr>
      <w:r>
        <w:rPr>
          <w:sz w:val="18"/>
        </w:rPr>
        <w:t>**BIDC** : 400 M$ pour projets ouest-africains.</w:t>
      </w:r>
    </w:p>
    <w:p>
      <w:pPr>
        <w:pStyle w:val="Heading3"/>
      </w:pPr>
      <w:r>
        <w:rPr>
          <w:color w:val="500050"/>
        </w:rPr>
        <w:t>⚡ Impact estimé sur la BRVM</w:t>
      </w:r>
    </w:p>
    <w:p>
      <w:pPr>
        <w:spacing w:before="20" w:after="40"/>
        <w:ind w:left="280"/>
      </w:pPr>
      <w:r>
        <w:rPr>
          <w:i/>
          <w:sz w:val="18"/>
        </w:rPr>
        <w:t>Concurrence accrue des eurobonds souverains (rendements élevés) vs actions BRVM. Les financements BIDC soutiennent les valeurs industrielles et bancaires.</w:t>
      </w:r>
    </w:p>
    <w:p>
      <w:pPr>
        <w:pStyle w:val="Heading2"/>
      </w:pPr>
      <w:r>
        <w:rPr>
          <w:color w:val="145A28"/>
        </w:rPr>
        <w:t>🌍 Plan Afrique de l'Ouest</w:t>
      </w:r>
    </w:p>
    <w:p>
      <w:pPr>
        <w:pStyle w:val="ListBullet"/>
        <w:spacing w:before="20" w:after="20"/>
        <w:ind w:left="360"/>
      </w:pPr>
      <w:r>
        <w:rPr>
          <w:sz w:val="18"/>
        </w:rPr>
        <w:t>**BIDC/CEDEAO** : financements projets.</w:t>
      </w:r>
    </w:p>
    <w:p>
      <w:pPr>
        <w:pStyle w:val="ListBullet"/>
        <w:spacing w:before="20" w:after="20"/>
        <w:ind w:left="360"/>
      </w:pPr>
      <w:r>
        <w:rPr>
          <w:sz w:val="18"/>
        </w:rPr>
        <w:t>**ZLECAf** : opportunités commerciales.</w:t>
      </w:r>
    </w:p>
    <w:p>
      <w:pPr>
        <w:pStyle w:val="Heading3"/>
      </w:pPr>
      <w:r>
        <w:rPr>
          <w:color w:val="500050"/>
        </w:rPr>
        <w:t>⚡ Impact estimé sur la BRVM</w:t>
      </w:r>
    </w:p>
    <w:p>
      <w:pPr>
        <w:spacing w:before="20" w:after="40"/>
        <w:ind w:left="280"/>
      </w:pPr>
      <w:r>
        <w:rPr>
          <w:i/>
          <w:sz w:val="18"/>
        </w:rPr>
        <w:t>La BRVM reste la place dominante de la sous-région, mais la concurrence des marchés nigérian et ghanéen pour les capitaux persiste.</w:t>
      </w:r>
    </w:p>
    <w:p>
      <w:pPr>
        <w:pStyle w:val="Heading2"/>
      </w:pPr>
      <w:r>
        <w:rPr>
          <w:color w:val="8C4600"/>
        </w:rPr>
        <w:t>🏦 Plan UEMOA / Zone Franc</w:t>
      </w:r>
    </w:p>
    <w:p>
      <w:pPr>
        <w:pStyle w:val="ListBullet"/>
        <w:spacing w:before="20" w:after="20"/>
        <w:ind w:left="360"/>
      </w:pPr>
      <w:r>
        <w:rPr>
          <w:sz w:val="18"/>
        </w:rPr>
        <w:t>**Titres publics** : concurrence directe avec les actions BRVM.</w:t>
      </w:r>
    </w:p>
    <w:p>
      <w:pPr>
        <w:pStyle w:val="ListBullet"/>
        <w:spacing w:before="20" w:after="20"/>
        <w:ind w:left="360"/>
      </w:pPr>
      <w:r>
        <w:rPr>
          <w:sz w:val="18"/>
        </w:rPr>
        <w:t>**Liquidité bancaire** : à surveiller (données non fournies).</w:t>
      </w:r>
    </w:p>
    <w:p>
      <w:pPr>
        <w:pStyle w:val="Heading3"/>
      </w:pPr>
      <w:r>
        <w:rPr>
          <w:color w:val="500050"/>
        </w:rPr>
        <w:t>⚡ Impact estimé sur la BRVM</w:t>
      </w:r>
    </w:p>
    <w:p>
      <w:pPr>
        <w:spacing w:before="20" w:after="40"/>
        <w:ind w:left="280"/>
      </w:pPr>
      <w:r>
        <w:rPr>
          <w:i/>
          <w:sz w:val="18"/>
        </w:rPr>
        <w:t>Arbitrage défavorable aux actions si les rendements des titres publics restent élevés. Les banques (SGBC, BICB) bénéficient de marges élevées.</w:t>
      </w:r>
    </w:p>
    <w:p>
      <w:pPr>
        <w:pStyle w:val="Heading2"/>
      </w:pPr>
      <w:r>
        <w:rPr>
          <w:color w:val="003366"/>
        </w:rPr>
        <w:t>📈 Plan BRVM</w:t>
      </w:r>
    </w:p>
    <w:p>
      <w:pPr>
        <w:pStyle w:val="ListBullet"/>
        <w:spacing w:before="20" w:after="20"/>
        <w:ind w:left="360"/>
      </w:pPr>
      <w:r>
        <w:rPr>
          <w:sz w:val="18"/>
        </w:rPr>
        <w:t>**Indice Composite** : 545.41, dynamique positive.</w:t>
      </w:r>
    </w:p>
    <w:p>
      <w:pPr>
        <w:pStyle w:val="ListBullet"/>
        <w:spacing w:before="20" w:after="20"/>
        <w:ind w:left="360"/>
      </w:pPr>
      <w:r>
        <w:rPr>
          <w:sz w:val="18"/>
        </w:rPr>
        <w:t>**Résultats ivoiriens** : encourageants.</w:t>
      </w:r>
    </w:p>
    <w:p>
      <w:pPr>
        <w:pStyle w:val="ListBullet"/>
        <w:spacing w:before="20" w:after="20"/>
        <w:ind w:left="360"/>
      </w:pPr>
      <w:r>
        <w:rPr>
          <w:sz w:val="18"/>
        </w:rPr>
        <w:t>**Top/Flop** : non fournis.</w:t>
      </w:r>
    </w:p>
    <w:p>
      <w:pPr>
        <w:pStyle w:val="Heading3"/>
      </w:pPr>
      <w:r>
        <w:rPr>
          <w:color w:val="500050"/>
        </w:rPr>
        <w:t>⚡ Impact estimé sur la BRVM</w:t>
      </w:r>
    </w:p>
    <w:p>
      <w:pPr>
        <w:pStyle w:val="ListBullet"/>
        <w:spacing w:before="20" w:after="20"/>
        <w:ind w:left="560"/>
      </w:pPr>
      <w:r>
        <w:rPr>
          <w:color w:val="500050"/>
          <w:sz w:val="18"/>
        </w:rPr>
        <w:t>**Achat** : SGBC, BICB, SNTS (fondamentaux solides).</w:t>
      </w:r>
    </w:p>
    <w:p>
      <w:pPr>
        <w:pStyle w:val="ListBullet"/>
        <w:spacing w:before="20" w:after="20"/>
        <w:ind w:left="560"/>
      </w:pPr>
      <w:r>
        <w:rPr>
          <w:color w:val="500050"/>
          <w:sz w:val="18"/>
        </w:rPr>
        <w:t>**Conservation** : ONTBF, TTLS, SHEC.</w:t>
      </w:r>
    </w:p>
    <w:p>
      <w:pPr>
        <w:pStyle w:val="ListBullet"/>
        <w:spacing w:before="20" w:after="20"/>
        <w:ind w:left="560"/>
      </w:pPr>
      <w:r>
        <w:rPr>
          <w:color w:val="500050"/>
          <w:sz w:val="18"/>
        </w:rPr>
        <w:t>**Surveillance** : SLBC, SPHC (matières premières).</w:t>
      </w:r>
    </w:p>
    <w:p>
      <w:pPr>
        <w:pStyle w:val="ListBullet"/>
        <w:spacing w:before="20" w:after="20"/>
        <w:ind w:left="560"/>
      </w:pPr>
      <w:r>
        <w:rPr>
          <w:color w:val="500050"/>
          <w:sz w:val="18"/>
        </w:rPr>
        <w:t>**Opportunité** : SIVC (projets BIDC).</w:t>
      </w:r>
    </w:p>
    <w:p>
      <w:pPr>
        <w:pStyle w:val="Heading1"/>
      </w:pPr>
      <w:r>
        <w:rPr>
          <w:color w:val="003366"/>
        </w:rPr>
        <w:t>🎯 SYNTHÈSE &amp; RECOMMANDATION FINALE</w:t>
      </w:r>
    </w:p>
    <w:p>
      <w:pPr>
        <w:spacing w:before="120"/>
      </w:pPr>
      <w:r>
        <w:rPr>
          <w:b/>
          <w:color w:val="C85000"/>
          <w:sz w:val="22"/>
        </w:rPr>
        <w:t>**Niveau d'alerte global : ORANGE**</w:t>
      </w:r>
    </w:p>
    <w:p>
      <w:pPr>
        <w:spacing w:before="20" w:after="40"/>
        <w:ind w:left="0"/>
      </w:pPr>
      <w:r>
        <w:rPr>
          <w:sz w:val="18"/>
        </w:rPr>
        <w:t>L'environnement macro reste globalement favorable à la BRVM (résultats solides, indice à 545.41, financements BIDC), mais le durcissement hawkish de la BCE et les tensions sécuritaires au Sahel imposent une vigilance accrue. Privilégier les valeurs bancaires et télécoms ivoiriennes/sénégalaises (SGBC, BICB, SNTS, ONTBF), tout en surveillant l'exposition sahélienne et la concurrence des titres publics UEMOA. Recommandation : accumulation sélective sur repli, éviter les valeurs exposées au Mali/Burkina.</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2026-09-24</w:t>
            </w:r>
          </w:p>
        </w:tc>
        <w:tc>
          <w:tcPr>
            <w:tcW w:type="dxa" w:w="1728"/>
          </w:tcPr>
          <w:p>
            <w:r>
              <w:rPr>
                <w:sz w:val="14"/>
              </w:rPr>
              <w:t>Les prix des carburants ont fortement augmenté ; des experts donnent d</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2026-09-26</w:t>
            </w:r>
          </w:p>
        </w:tc>
        <w:tc>
          <w:tcPr>
            <w:tcW w:type="dxa" w:w="1728"/>
          </w:tcPr>
          <w:p>
            <w:r>
              <w:rPr>
                <w:sz w:val="14"/>
              </w:rPr>
              <w:t>Bourse : la dette des géants de l'IA menace-t-elle Wall Street ? - Cap</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marchés financie</w:t>
            </w:r>
          </w:p>
        </w:tc>
      </w:tr>
      <w:tr>
        <w:tc>
          <w:tcPr>
            <w:tcW w:type="dxa" w:w="1728"/>
          </w:tcPr>
          <w:p>
            <w:r>
              <w:rPr>
                <w:sz w:val="14"/>
              </w:rPr>
              <w:t>2026-09-27</w:t>
            </w:r>
          </w:p>
        </w:tc>
        <w:tc>
          <w:tcPr>
            <w:tcW w:type="dxa" w:w="1728"/>
          </w:tcPr>
          <w:p>
            <w:r>
              <w:rPr>
                <w:sz w:val="14"/>
              </w:rPr>
              <w:t>Crédit immobilier : ce que la hausse des taux de la BCE va changer - L</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2026-09-23</w:t>
            </w:r>
          </w:p>
        </w:tc>
        <w:tc>
          <w:tcPr>
            <w:tcW w:type="dxa" w:w="1728"/>
          </w:tcPr>
          <w:p>
            <w:r>
              <w:rPr>
                <w:sz w:val="14"/>
              </w:rPr>
              <w:t>Dette : l'Afrique reste accro au dollar malgré l'offensive de la Chine</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2026-09-26</w:t>
            </w:r>
          </w:p>
        </w:tc>
        <w:tc>
          <w:tcPr>
            <w:tcW w:type="dxa" w:w="1728"/>
          </w:tcPr>
          <w:p>
            <w:r>
              <w:rPr>
                <w:sz w:val="14"/>
              </w:rPr>
              <w:t>Investissement et emploi : le plaidoyer d'Amara pour la transformation</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2026-09-26</w:t>
            </w:r>
          </w:p>
        </w:tc>
        <w:tc>
          <w:tcPr>
            <w:tcW w:type="dxa" w:w="1728"/>
          </w:tcPr>
          <w:p>
            <w:r>
              <w:rPr>
                <w:sz w:val="14"/>
              </w:rPr>
              <w:t>UCESA : Amara plaide à Victoria Falls pour une croissance inclusive, l</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2026-09-02</w:t>
            </w:r>
          </w:p>
        </w:tc>
        <w:tc>
          <w:tcPr>
            <w:tcW w:type="dxa" w:w="1728"/>
          </w:tcPr>
          <w:p>
            <w:r>
              <w:rPr>
                <w:sz w:val="14"/>
              </w:rPr>
              <w:t>Dette : le Sénégal et le FMI s'accordent sur un nouveau plan d'aide fi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2026-09-02</w:t>
            </w:r>
          </w:p>
        </w:tc>
        <w:tc>
          <w:tcPr>
            <w:tcW w:type="dxa" w:w="1728"/>
          </w:tcPr>
          <w:p>
            <w:r>
              <w:rPr>
                <w:sz w:val="14"/>
              </w:rPr>
              <w:t>Pourquoi Goldman Sachs prévoit que l’Afrique du Sud retrouve sa notati</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2026-09-26</w:t>
            </w:r>
          </w:p>
        </w:tc>
        <w:tc>
          <w:tcPr>
            <w:tcW w:type="dxa" w:w="1728"/>
          </w:tcPr>
          <w:p>
            <w:r>
              <w:rPr>
                <w:sz w:val="14"/>
              </w:rPr>
              <w:t xml:space="preserve">Le parlement de la CEDEAO veut concilier ”ambitions institutionnelles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Les femmes parlementaires de la CEDEAO misent sur la ZLECAf pour renfo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2026-09-25</w:t>
            </w:r>
          </w:p>
        </w:tc>
        <w:tc>
          <w:tcPr>
            <w:tcW w:type="dxa" w:w="1728"/>
          </w:tcPr>
          <w:p>
            <w:r>
              <w:rPr>
                <w:sz w:val="14"/>
              </w:rPr>
              <w:t>Afrique de l'Ouest: La CEDEAO préconise des programmes de réintégratio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2026-09-24</w:t>
            </w:r>
          </w:p>
        </w:tc>
        <w:tc>
          <w:tcPr>
            <w:tcW w:type="dxa" w:w="1728"/>
          </w:tcPr>
          <w:p>
            <w:r>
              <w:rPr>
                <w:sz w:val="14"/>
              </w:rPr>
              <w:t>Cedeao : Le Ghana appelle à élire les membres du Parlement - koaci.com</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2026-09-23</w:t>
            </w:r>
          </w:p>
        </w:tc>
        <w:tc>
          <w:tcPr>
            <w:tcW w:type="dxa" w:w="1728"/>
          </w:tcPr>
          <w:p>
            <w:r>
              <w:rPr>
                <w:sz w:val="14"/>
              </w:rPr>
              <w:t>Gestion de l’eau en Afrique de l’Ouest : la CEDEAO réunit experts et m</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Mali : L'armée annonce avoir neutralisé au moins 50 combattants près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2026-09-29</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Sénégal : Air Sénégal au cœur d'une enquête d'Interpol - koaci.com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Prolongement du train express à Dakar: plus que 55 minutes pour relier</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2026-09-29</w:t>
            </w:r>
          </w:p>
        </w:tc>
        <w:tc>
          <w:tcPr>
            <w:tcW w:type="dxa" w:w="1728"/>
          </w:tcPr>
          <w:p>
            <w:r>
              <w:rPr>
                <w:sz w:val="14"/>
              </w:rPr>
              <w:t>Côte d’Ivoire-Sahel : une détente sans désarmement politique entre Abi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Mali : L'armée annonce avoir neutralisé au moins 50 combattants près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2026-09-29</w:t>
            </w:r>
          </w:p>
        </w:tc>
        <w:tc>
          <w:tcPr>
            <w:tcW w:type="dxa" w:w="1728"/>
          </w:tcPr>
          <w:p>
            <w:r>
              <w:rPr>
                <w:sz w:val="14"/>
              </w:rPr>
              <w:t>ONU : Mali plaide pour un « multilatéralisme réformé » et revendique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2026-09-28</w:t>
            </w:r>
          </w:p>
        </w:tc>
        <w:tc>
          <w:tcPr>
            <w:tcW w:type="dxa" w:w="1728"/>
          </w:tcPr>
          <w:p>
            <w:r>
              <w:rPr>
                <w:sz w:val="14"/>
              </w:rPr>
              <w:t>La BCE subventionne déjà les banques commerciales : pourquoi pas la tr</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Sénégal : Air Sénégal au cœur d'une enquête d'Interpol - koaci.com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Sénégal : Air Sénégal au cœur d'une enquête d'Interpol - koaci.com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Sénégal : Air Sénégal au cœur d'une enquête d'Interpol - koaci.com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Mali : L'armée annonce avoir neutralisé au moins 50 combattants près d</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2026-09-28</w:t>
            </w:r>
          </w:p>
        </w:tc>
        <w:tc>
          <w:tcPr>
            <w:tcW w:type="dxa" w:w="1728"/>
          </w:tcPr>
          <w:p>
            <w:r>
              <w:rPr>
                <w:sz w:val="14"/>
              </w:rPr>
              <w:t>Les « traîtres », la France, l’AES et la Cedeao… Au Burkina Faso, Ibra</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2026-09-28</w:t>
            </w:r>
          </w:p>
        </w:tc>
        <w:tc>
          <w:tcPr>
            <w:tcW w:type="dxa" w:w="1728"/>
          </w:tcPr>
          <w:p>
            <w:r>
              <w:rPr>
                <w:sz w:val="14"/>
              </w:rPr>
              <w:t>MIB baissier après un repricing hawkish des taux de la Banque centrale</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Flambée des taux : le meilleur et le pire pour votre épargne - Les Ech</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2026-09-29</w:t>
            </w:r>
          </w:p>
        </w:tc>
        <w:tc>
          <w:tcPr>
            <w:tcW w:type="dxa" w:w="1728"/>
          </w:tcPr>
          <w:p>
            <w:r>
              <w:rPr>
                <w:sz w:val="14"/>
              </w:rPr>
              <w:t>La BIDC valide 400 millions de dollars pour quatre projets ouest-afric</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2026-09-28</w:t>
            </w:r>
          </w:p>
        </w:tc>
        <w:tc>
          <w:tcPr>
            <w:tcW w:type="dxa" w:w="1728"/>
          </w:tcPr>
          <w:p>
            <w:r>
              <w:rPr>
                <w:sz w:val="14"/>
              </w:rPr>
              <w:t>Sénégal : Air Sénégal au cœur d'une enquête d'Interpol - koaci.com</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2026-09-25</w:t>
            </w:r>
          </w:p>
        </w:tc>
        <w:tc>
          <w:tcPr>
            <w:tcW w:type="dxa" w:w="1728"/>
          </w:tcPr>
          <w:p>
            <w:r>
              <w:rPr>
                <w:sz w:val="14"/>
              </w:rPr>
              <w:t>Sénégal: une association de victimes choquée par le soutien de Bassiro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(11 alerte(s))</w:t>
      </w:r>
    </w:p>
    <w:p>
      <w:pPr>
        <w:spacing w:before="40" w:after="40"/>
        <w:ind w:left="360"/>
      </w:pPr>
      <w:r>
        <w:rPr>
          <w:color w:val="646464"/>
          <w:sz w:val="17"/>
        </w:rPr>
        <w:t xml:space="preserve">[29/09/2026] ⚪  </w:t>
      </w:r>
      <w:r>
        <w:rPr>
          <w:b/>
          <w:color w:val="505050"/>
          <w:sz w:val="18"/>
        </w:rPr>
        <w:t>ONU : Mali plaide pour un « multilatéralisme réformé » et revendique son autonomie stratégique face aux crises mondiales</w:t>
      </w:r>
      <w:r>
        <w:rPr>
          <w:color w:val="787878"/>
          <w:sz w:val="15"/>
        </w:rPr>
        <w:t xml:space="preserve">  [politique]</w:t>
      </w:r>
      <w:r>
        <w:rPr>
          <w:color w:val="B47800"/>
          <w:sz w:val="16"/>
        </w:rPr>
        <w:t xml:space="preserve">  ★ 50/10</w:t>
      </w:r>
    </w:p>
    <w:p>
      <w:pPr>
        <w:spacing w:before="0" w:after="20"/>
        <w:ind w:left="600"/>
      </w:pPr>
      <w:r>
        <w:rPr>
          <w:color w:val="323232"/>
          <w:sz w:val="17"/>
        </w:rPr>
        <w:t>Le Mali a pris la parole à l'ONU pour plaider en faveur d'un multilatéralisme réformé et revendiquer son autonomie stratégique face aux crises mondiales. Cette prise de position s'inscrit dans un contexte de tensions géopolitiques et de remise en cause de l'ordre international. Le pays cherche à affirmer sa souveraineté et à diversifier ses partena</w:t>
      </w:r>
    </w:p>
    <w:p>
      <w:pPr>
        <w:spacing w:before="0" w:after="40"/>
        <w:ind w:left="600"/>
      </w:pPr>
      <w:r>
        <w:rPr>
          <w:color w:val="00643C"/>
          <w:sz w:val="16"/>
        </w:rPr>
        <w:t>Points clés : Le Mali appelle à un multilatéralisme réformé à l'ONU  •  Revendication d'autonomie stratégique face aux crises mondiales  •  Contexte de tensions géopolitiques et de remise en cause de l'ordre international</w:t>
      </w:r>
    </w:p>
    <w:p>
      <w:pPr>
        <w:spacing w:before="0" w:after="60"/>
        <w:ind w:left="600"/>
      </w:pPr>
      <w:r>
        <w:rPr>
          <w:color w:val="0064B4"/>
          <w:sz w:val="15"/>
        </w:rPr>
        <w:t>Source : https://news.google.com/rss/articles/CBMizgFBVV95cUxPQUczUVpqWXdSdG9XV0pVOTdEX2V</w:t>
      </w:r>
    </w:p>
    <w:p>
      <w:pPr>
        <w:spacing w:before="40" w:after="40"/>
        <w:ind w:left="360"/>
      </w:pPr>
      <w:r>
        <w:rPr>
          <w:color w:val="646464"/>
          <w:sz w:val="17"/>
        </w:rPr>
        <w:t xml:space="preserve">[29/09/2026] ⚪  </w:t>
      </w:r>
      <w:r>
        <w:rPr>
          <w:b/>
          <w:color w:val="505050"/>
          <w:sz w:val="18"/>
        </w:rPr>
        <w:t>Côte d’Ivoire-Sahel : une détente sans désarmement politique entre Abidjan et l’AES - Jeune Afrique</w:t>
      </w:r>
      <w:r>
        <w:rPr>
          <w:color w:val="787878"/>
          <w:sz w:val="15"/>
        </w:rPr>
        <w:t xml:space="preserve">  [politique]</w:t>
      </w:r>
      <w:r>
        <w:rPr>
          <w:color w:val="B47800"/>
          <w:sz w:val="16"/>
        </w:rPr>
        <w:t xml:space="preserve">  ★ 50/10</w:t>
      </w:r>
    </w:p>
    <w:p>
      <w:pPr>
        <w:spacing w:before="0" w:after="20"/>
        <w:ind w:left="600"/>
      </w:pPr>
      <w:r>
        <w:rPr>
          <w:color w:val="323232"/>
          <w:sz w:val="17"/>
        </w:rPr>
        <w:t>La Côte d'Ivoire et les pays de l'Alliance des États du Sahel (AES) affichent une détente diplomatique, mais sans réel désarmement politique. Les tensions persistent autour des questions de sécurité et d'influence régionale. Cette accalmie reste fragile et pourrait ne pas se traduire par une normalisation durable des relations.</w:t>
      </w:r>
    </w:p>
    <w:p>
      <w:pPr>
        <w:spacing w:before="0" w:after="40"/>
        <w:ind w:left="600"/>
      </w:pPr>
      <w:r>
        <w:rPr>
          <w:color w:val="00643C"/>
          <w:sz w:val="16"/>
        </w:rPr>
        <w:t>Points clés : Détente diplomatique entre Abidjan et l'AES sans désarmement politique  •  Persistance de tensions sécuritaires et d'influence régionale  •  Accalmie fragile sans normalisation durable</w:t>
      </w:r>
    </w:p>
    <w:p>
      <w:pPr>
        <w:spacing w:before="0" w:after="60"/>
        <w:ind w:left="600"/>
      </w:pPr>
      <w:r>
        <w:rPr>
          <w:color w:val="0064B4"/>
          <w:sz w:val="15"/>
        </w:rPr>
        <w:t>Source : https://news.google.com/rss/articles/CBMixgFBVV95cUxQb051R0twYlF4cHlWbG1UM1hnWUt</w:t>
      </w:r>
    </w:p>
    <w:p>
      <w:pPr>
        <w:spacing w:before="40" w:after="40"/>
        <w:ind w:left="360"/>
      </w:pPr>
      <w:r>
        <w:rPr>
          <w:color w:val="646464"/>
          <w:sz w:val="17"/>
        </w:rPr>
        <w:t xml:space="preserve">[28/09/2026] ⚪  </w:t>
      </w:r>
      <w:r>
        <w:rPr>
          <w:b/>
          <w:color w:val="505050"/>
          <w:sz w:val="18"/>
        </w:rPr>
        <w:t>Les « traîtres », la France, l’AES et la Cedeao… Au Burkina Faso, Ibrahim Traoré fixe sa ligne - Jeune Afrique</w:t>
      </w:r>
      <w:r>
        <w:rPr>
          <w:color w:val="787878"/>
          <w:sz w:val="15"/>
        </w:rPr>
        <w:t xml:space="preserve">  [politique]</w:t>
      </w:r>
      <w:r>
        <w:rPr>
          <w:color w:val="B47800"/>
          <w:sz w:val="16"/>
        </w:rPr>
        <w:t xml:space="preserve">  ★ 50/10</w:t>
      </w:r>
    </w:p>
    <w:p>
      <w:pPr>
        <w:spacing w:before="0" w:after="20"/>
        <w:ind w:left="600"/>
      </w:pPr>
      <w:r>
        <w:rPr>
          <w:color w:val="323232"/>
          <w:sz w:val="17"/>
        </w:rPr>
        <w:t>Le capitaine Ibrahim Traoré, chef de la junte au pouvoir au Burkina Faso, a fixé sa ligne politique face aux critiques concernant les « traîtres », la France, l'Alliance des États du Sahel (AES) et la Cedeao. Il réaffirme sa souveraineté et son orientation panafricaniste, tout en consolidant ses alliances régionales. Cette prise de position intervi</w:t>
      </w:r>
    </w:p>
    <w:p>
      <w:pPr>
        <w:spacing w:before="0" w:after="40"/>
        <w:ind w:left="600"/>
      </w:pPr>
      <w:r>
        <w:rPr>
          <w:color w:val="00643C"/>
          <w:sz w:val="16"/>
        </w:rPr>
        <w:t>Points clés : Ibrahim Traoré dénonce les « traîtres » et réaffirme sa position souverainiste  •  Il clarifie ses relations avec la France, l'AES et la Cedeao  •  La stabilité politique du Burkina Faso reste fragile, impactant l'environnement des affaires</w:t>
      </w:r>
    </w:p>
    <w:p>
      <w:pPr>
        <w:spacing w:before="0" w:after="60"/>
        <w:ind w:left="600"/>
      </w:pPr>
      <w:r>
        <w:rPr>
          <w:color w:val="0064B4"/>
          <w:sz w:val="15"/>
        </w:rPr>
        <w:t>Source : https://news.google.com/rss/articles/CBMizgFBVV95cUxPU0Z6aXdVWGE0Y19jcHJDX1dhTHh</w:t>
      </w:r>
    </w:p>
    <w:p>
      <w:pPr>
        <w:spacing w:before="40" w:after="40"/>
        <w:ind w:left="360"/>
      </w:pPr>
      <w:r>
        <w:rPr>
          <w:color w:val="646464"/>
          <w:sz w:val="17"/>
        </w:rPr>
        <w:t xml:space="preserve">[28/09/2026] 🟢  </w:t>
      </w:r>
      <w:r>
        <w:rPr>
          <w:b/>
          <w:color w:val="008000"/>
          <w:sz w:val="18"/>
        </w:rPr>
        <w:t>Prolongement du train express à Dakar: plus que 55 minutes pour relier la capitale du Sénégal à son aéroport - tv5monde</w:t>
      </w:r>
      <w:r>
        <w:rPr>
          <w:color w:val="787878"/>
          <w:sz w:val="15"/>
        </w:rPr>
        <w:t xml:space="preserve">  [politique]</w:t>
      </w:r>
      <w:r>
        <w:rPr>
          <w:color w:val="B47800"/>
          <w:sz w:val="16"/>
        </w:rPr>
        <w:t xml:space="preserve">  ★ 50/10</w:t>
      </w:r>
    </w:p>
    <w:p>
      <w:pPr>
        <w:spacing w:before="0" w:after="20"/>
        <w:ind w:left="600"/>
      </w:pPr>
      <w:r>
        <w:rPr>
          <w:color w:val="323232"/>
          <w:sz w:val="17"/>
        </w:rPr>
        <w:t>Le train express de Dakar est prolongé pour relier la capitale sénégalaise à son aéroport en 55 minutes. Cette extension vise à améliorer la mobilité urbaine et l'accès à l'aéroport international Blaise Diagne. Le projet s'inscrit dans le cadre des investissements d'infrastructure au Sénégal.</w:t>
      </w:r>
    </w:p>
    <w:p>
      <w:pPr>
        <w:spacing w:before="0" w:after="40"/>
        <w:ind w:left="600"/>
      </w:pPr>
      <w:r>
        <w:rPr>
          <w:color w:val="00643C"/>
          <w:sz w:val="16"/>
        </w:rPr>
        <w:t>Points clés : Prolongement du train express à Dakar  •  Temps de trajet de 55 minutes entre la capitale et l'aéroport  •  Amélioration de la mobilité et de l'accès à l'aéroport</w:t>
      </w:r>
    </w:p>
    <w:p>
      <w:pPr>
        <w:spacing w:before="0" w:after="60"/>
        <w:ind w:left="600"/>
      </w:pPr>
      <w:r>
        <w:rPr>
          <w:color w:val="0064B4"/>
          <w:sz w:val="15"/>
        </w:rPr>
        <w:t>Source : https://news.google.com/rss/articles/CBMi5wFBVV95cUxOOEtMMUx6bUlnTW5tRmZSU3JEZ1p</w:t>
      </w:r>
    </w:p>
    <w:p>
      <w:pPr>
        <w:spacing w:before="40" w:after="40"/>
        <w:ind w:left="360"/>
      </w:pPr>
      <w:r>
        <w:rPr>
          <w:color w:val="646464"/>
          <w:sz w:val="17"/>
        </w:rPr>
        <w:t xml:space="preserve">[28/09/2026] ⚪  </w:t>
      </w:r>
      <w:r>
        <w:rPr>
          <w:b/>
          <w:color w:val="505050"/>
          <w:sz w:val="18"/>
        </w:rPr>
        <w:t>Mali : L'armée annonce avoir neutralisé au moins 50 combattants près d'Abeïbara - koaci.com</w:t>
      </w:r>
      <w:r>
        <w:rPr>
          <w:color w:val="787878"/>
          <w:sz w:val="15"/>
        </w:rPr>
        <w:t xml:space="preserve">  [politique]</w:t>
      </w:r>
      <w:r>
        <w:rPr>
          <w:color w:val="B47800"/>
          <w:sz w:val="16"/>
        </w:rPr>
        <w:t xml:space="preserve">  ★ 50/10</w:t>
      </w:r>
    </w:p>
    <w:p>
      <w:pPr>
        <w:spacing w:before="0" w:after="20"/>
        <w:ind w:left="600"/>
      </w:pPr>
      <w:r>
        <w:rPr>
          <w:color w:val="323232"/>
          <w:sz w:val="17"/>
        </w:rPr>
        <w:t xml:space="preserve">L'armée malienne a annoncé avoir neutralisé au moins 50 combattants près d'Abeïbara, dans le nord du pays. Cette opération s'inscrit dans le cadre de la lutte contre les groupes armés actifs dans la région. Les autorités militaires n'ont pas fourni de détails supplémentaires sur les circonstances exactes de l'affrontement. Cette annonce intervient </w:t>
      </w:r>
    </w:p>
    <w:p>
      <w:pPr>
        <w:spacing w:before="0" w:after="40"/>
        <w:ind w:left="600"/>
      </w:pPr>
      <w:r>
        <w:rPr>
          <w:color w:val="00643C"/>
          <w:sz w:val="16"/>
        </w:rPr>
        <w:t>Points clés : L'armée malienne revendique la neutralisation d'au moins 50 combattants près d'Abeïbara  •  Zone située dans le nord du Mali, région touchée par l'insécurité  •  Opération militaire s'inscrivant dans la lutte antiterroriste au Sahel</w:t>
      </w:r>
    </w:p>
    <w:p>
      <w:pPr>
        <w:spacing w:before="0" w:after="60"/>
        <w:ind w:left="600"/>
      </w:pPr>
      <w:r>
        <w:rPr>
          <w:color w:val="0064B4"/>
          <w:sz w:val="15"/>
        </w:rPr>
        <w:t>Source : https://news.google.com/rss/articles/CBMi2wFBVV95cUxPMkxUeGRjd3NkOWNyd0pzaGREY3A</w:t>
      </w:r>
    </w:p>
    <w:p>
      <w:pPr>
        <w:spacing w:before="120" w:after="40"/>
      </w:pPr>
      <w:r>
        <w:rPr>
          <w:b/>
          <w:color w:val="00467F"/>
          <w:sz w:val="20"/>
        </w:rPr>
        <w:t>🔑 économique  (2 alerte(s))</w:t>
      </w:r>
    </w:p>
    <w:p>
      <w:pPr>
        <w:spacing w:before="40" w:after="40"/>
        <w:ind w:left="360"/>
      </w:pPr>
      <w:r>
        <w:rPr>
          <w:color w:val="646464"/>
          <w:sz w:val="17"/>
        </w:rPr>
        <w:t xml:space="preserve">[29/09/2026] 🟢  </w:t>
      </w:r>
      <w:r>
        <w:rPr>
          <w:b/>
          <w:color w:val="008000"/>
          <w:sz w:val="18"/>
        </w:rPr>
        <w:t>La BIDC valide 400 millions de dollars pour quatre projets ouest-africains - Africtelegraph</w:t>
      </w:r>
      <w:r>
        <w:rPr>
          <w:color w:val="787878"/>
          <w:sz w:val="15"/>
        </w:rPr>
        <w:t xml:space="preserve">  [économique]</w:t>
      </w:r>
      <w:r>
        <w:rPr>
          <w:color w:val="B47800"/>
          <w:sz w:val="16"/>
        </w:rPr>
        <w:t xml:space="preserve">  ★ 50/10</w:t>
      </w:r>
    </w:p>
    <w:p>
      <w:pPr>
        <w:spacing w:before="0" w:after="20"/>
        <w:ind w:left="600"/>
      </w:pPr>
      <w:r>
        <w:rPr>
          <w:color w:val="323232"/>
          <w:sz w:val="17"/>
        </w:rPr>
        <w:t>La Banque d'Investissement et de Développement de la CEDEAO (BIDC) a approuvé un financement de 400 millions de dollars pour quatre projets en Afrique de l'Ouest. Cette enveloppe vise à soutenir des infrastructures et des initiatives de développement régional. L'annonce renforce les perspectives de croissance économique dans la zone UEMOA. Les sect</w:t>
      </w:r>
    </w:p>
    <w:p>
      <w:pPr>
        <w:spacing w:before="0" w:after="40"/>
        <w:ind w:left="600"/>
      </w:pPr>
      <w:r>
        <w:rPr>
          <w:color w:val="00643C"/>
          <w:sz w:val="16"/>
        </w:rPr>
        <w:t>Points clés : La BIDC valide 400 millions USD pour quatre projets ouest-africains  •  Financement destiné à des projets de développement régional  •  Impact potentiel sur les infrastructures et l'économie de la zone UEMOA</w:t>
      </w:r>
    </w:p>
    <w:p>
      <w:pPr>
        <w:spacing w:before="0" w:after="60"/>
        <w:ind w:left="600"/>
      </w:pPr>
      <w:r>
        <w:rPr>
          <w:color w:val="0064B4"/>
          <w:sz w:val="15"/>
        </w:rPr>
        <w:t>Source : https://news.google.com/rss/articles/CBMiqwFBVV95cUxNZXhLSXJJZm5tYmkxRXM3OEFHYkR</w:t>
      </w:r>
    </w:p>
    <w:p>
      <w:pPr>
        <w:spacing w:before="40" w:after="40"/>
        <w:ind w:left="360"/>
      </w:pPr>
      <w:r>
        <w:rPr>
          <w:color w:val="646464"/>
          <w:sz w:val="17"/>
        </w:rPr>
        <w:t xml:space="preserve">[28/09/2026] 🟢  </w:t>
      </w:r>
      <w:r>
        <w:rPr>
          <w:b/>
          <w:color w:val="008000"/>
          <w:sz w:val="18"/>
        </w:rPr>
        <w:t>​UEMOA 2025 : Une croissance robuste à 6,5 % et un système bancaire plus résilient - pressafrik.com</w:t>
      </w:r>
      <w:r>
        <w:rPr>
          <w:color w:val="787878"/>
          <w:sz w:val="15"/>
        </w:rPr>
        <w:t xml:space="preserve">  [économique]</w:t>
      </w:r>
      <w:r>
        <w:rPr>
          <w:color w:val="B47800"/>
          <w:sz w:val="16"/>
        </w:rPr>
        <w:t xml:space="preserve">  ★ 50/10</w:t>
      </w:r>
    </w:p>
    <w:p>
      <w:pPr>
        <w:spacing w:before="0" w:after="20"/>
        <w:ind w:left="600"/>
      </w:pPr>
      <w:r>
        <w:rPr>
          <w:color w:val="323232"/>
          <w:sz w:val="17"/>
        </w:rPr>
        <w:t>Selon les prévisions pour 2025, l'Union Économique et Monétaire Ouest-Africaine (UEMOA) devrait enregistrer une croissance économique robuste de 6,5 %, portée par la dynamique des secteurs clés et une meilleure résilience des économies. Le système bancaire de la zone affiche également une solidité accrue, avec des indicateurs de solvabilité et de l</w:t>
      </w:r>
    </w:p>
    <w:p>
      <w:pPr>
        <w:spacing w:before="0" w:after="40"/>
        <w:ind w:left="600"/>
      </w:pPr>
      <w:r>
        <w:rPr>
          <w:color w:val="00643C"/>
          <w:sz w:val="16"/>
        </w:rPr>
        <w:t>Points clés : Croissance du PIB de l'UEMOA projetée à 6,5 % en 2025  •  Système bancaire plus résilient avec des ratios de solvabilité renforcés  •  Amélioration du climat des affaires et de la stabilité macroéconomique  •  Persistance de risques sécuritaires et climatiques dans la sous-région</w:t>
      </w:r>
    </w:p>
    <w:p>
      <w:pPr>
        <w:spacing w:before="0" w:after="60"/>
        <w:ind w:left="600"/>
      </w:pPr>
      <w:r>
        <w:rPr>
          <w:color w:val="0064B4"/>
          <w:sz w:val="15"/>
        </w:rPr>
        <w:t>Source : https://news.google.com/rss/articles/CBMiwwFBVV95cUxNWTN1NDdaZWZPbkQ4aFpTX3phVmd</w:t>
      </w:r>
    </w:p>
    <w:p>
      <w:pPr>
        <w:spacing w:before="120" w:after="40"/>
      </w:pPr>
      <w:r>
        <w:rPr>
          <w:b/>
          <w:color w:val="00467F"/>
          <w:sz w:val="20"/>
        </w:rPr>
        <w:t>🔑 politique_monetaire  (4 alerte(s))</w:t>
      </w:r>
    </w:p>
    <w:p>
      <w:pPr>
        <w:spacing w:before="40" w:after="40"/>
        <w:ind w:left="360"/>
      </w:pPr>
      <w:r>
        <w:rPr>
          <w:color w:val="646464"/>
          <w:sz w:val="17"/>
        </w:rPr>
        <w:t xml:space="preserve">[29/09/2026] ⚪  </w:t>
      </w:r>
      <w:r>
        <w:rPr>
          <w:b/>
          <w:color w:val="505050"/>
          <w:sz w:val="18"/>
        </w:rPr>
        <w:t>Flambée des taux : le meilleur et le pire pour votre épargne - Les Echos</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Cet article des Echos traite de la flambée des taux d'intérêt et de ses conséquences pour les épargnants, en distinguant les placements qui en bénéficient et ceux qui en pâtissent. Il s'inscrit dans un contexte de politique monétaire restrictive, probablement marquée par des hausses de taux directeurs. L'article vise à orienter les choix d'épargne </w:t>
      </w:r>
    </w:p>
    <w:p>
      <w:pPr>
        <w:spacing w:before="0" w:after="40"/>
        <w:ind w:left="600"/>
      </w:pPr>
      <w:r>
        <w:rPr>
          <w:color w:val="00643C"/>
          <w:sz w:val="16"/>
        </w:rPr>
        <w:t>Points clés : La hausse des taux d'intérêt modifie le rendement des placements  •  Certains produits d'épargne profitent de la flambée des taux, d'autres en souffrent  •  L'article fournit des conseils pour adapter son épargne  •  Contexte de politique monétaire restrictive</w:t>
      </w:r>
    </w:p>
    <w:p>
      <w:pPr>
        <w:spacing w:before="0" w:after="60"/>
        <w:ind w:left="600"/>
      </w:pPr>
      <w:r>
        <w:rPr>
          <w:color w:val="0064B4"/>
          <w:sz w:val="15"/>
        </w:rPr>
        <w:t>Source : https://news.google.com/rss/articles/CBMisAFBVV95cUxNRFJCd2RVSHRJMjNWRVhBdE9VTVR</w:t>
      </w:r>
    </w:p>
    <w:p>
      <w:pPr>
        <w:spacing w:before="40" w:after="40"/>
        <w:ind w:left="360"/>
      </w:pPr>
      <w:r>
        <w:rPr>
          <w:color w:val="646464"/>
          <w:sz w:val="17"/>
        </w:rPr>
        <w:t xml:space="preserve">[28/09/2026] 🔴  </w:t>
      </w:r>
      <w:r>
        <w:rPr>
          <w:b/>
          <w:color w:val="C00000"/>
          <w:sz w:val="18"/>
        </w:rPr>
        <w:t>MIB baissier après un repricing hawkish des taux de la Banque centrale européenne (BCE) - Zonebourse Suisse</w:t>
      </w:r>
      <w:r>
        <w:rPr>
          <w:color w:val="787878"/>
          <w:sz w:val="15"/>
        </w:rPr>
        <w:t xml:space="preserve">  [politique_monetaire]</w:t>
      </w:r>
      <w:r>
        <w:rPr>
          <w:color w:val="B47800"/>
          <w:sz w:val="16"/>
        </w:rPr>
        <w:t xml:space="preserve">  ★ 50/10</w:t>
      </w:r>
    </w:p>
    <w:p>
      <w:pPr>
        <w:spacing w:before="0" w:after="20"/>
        <w:ind w:left="600"/>
      </w:pPr>
      <w:r>
        <w:rPr>
          <w:color w:val="323232"/>
          <w:sz w:val="17"/>
        </w:rPr>
        <w:t>L'indice MIB italien a clôturé en baisse après que la Banque centrale européenne a adopté un ton plus hawkish que prévu sur sa politique de taux. Les investisseurs ont procédé à un repricing des anticipations de taux, intégrant des hausses plus prolongées ou plus importantes. Ce mouvement a pesé sur les valeurs sensibles aux taux, notamment bancair</w:t>
      </w:r>
    </w:p>
    <w:p>
      <w:pPr>
        <w:spacing w:before="0" w:after="40"/>
        <w:ind w:left="600"/>
      </w:pPr>
      <w:r>
        <w:rPr>
          <w:color w:val="00643C"/>
          <w:sz w:val="16"/>
        </w:rPr>
        <w:t>Points clés : La BCE a surpris par un discours plus hawkish que prévu  •  Repricing des taux directeurs à la hausse par les marchés  •  L'indice MIB italien a terminé en baisse  •  Pression sur les valeurs bancaires et cycliques</w:t>
      </w:r>
    </w:p>
    <w:p>
      <w:pPr>
        <w:spacing w:before="0" w:after="60"/>
        <w:ind w:left="600"/>
      </w:pPr>
      <w:r>
        <w:rPr>
          <w:color w:val="0064B4"/>
          <w:sz w:val="15"/>
        </w:rPr>
        <w:t>Source : https://news.google.com/rss/articles/CBMi3gFBVV95cUxNaFd4d3haNWE2d1gzNWd0RGJxcXp</w:t>
      </w:r>
    </w:p>
    <w:p>
      <w:pPr>
        <w:spacing w:before="40" w:after="40"/>
        <w:ind w:left="360"/>
      </w:pPr>
      <w:r>
        <w:rPr>
          <w:color w:val="646464"/>
          <w:sz w:val="17"/>
        </w:rPr>
        <w:t xml:space="preserve">[28/09/2026] ⚪  </w:t>
      </w:r>
      <w:r>
        <w:rPr>
          <w:b/>
          <w:color w:val="505050"/>
          <w:sz w:val="18"/>
        </w:rPr>
        <w:t>La BCE subventionne déjà les banques commerciales : pourquoi pas la transition écologique ? - The Conversation</w:t>
      </w:r>
      <w:r>
        <w:rPr>
          <w:color w:val="787878"/>
          <w:sz w:val="15"/>
        </w:rPr>
        <w:t xml:space="preserve">  [politique_monetaire]</w:t>
      </w:r>
      <w:r>
        <w:rPr>
          <w:color w:val="B47800"/>
          <w:sz w:val="16"/>
        </w:rPr>
        <w:t xml:space="preserve">  ★ 50/10</w:t>
      </w:r>
    </w:p>
    <w:p>
      <w:pPr>
        <w:spacing w:before="0" w:after="20"/>
        <w:ind w:left="600"/>
      </w:pPr>
      <w:r>
        <w:rPr>
          <w:color w:val="323232"/>
          <w:sz w:val="17"/>
        </w:rPr>
        <w:t>L'article de The Conversation analyse le rôle de la BCE qui, via ses taux de dépôt négatifs et ses achats d'actifs, subventionne indirectement les banques commerciales. L'auteur suggère que ce même mécanisme pourrait être utilisé pour financer la transition écologique. Il pose la question de la légitimité et de l'efficacité de telles subventions im</w:t>
      </w:r>
    </w:p>
    <w:p>
      <w:pPr>
        <w:spacing w:before="0" w:after="40"/>
        <w:ind w:left="600"/>
      </w:pPr>
      <w:r>
        <w:rPr>
          <w:color w:val="00643C"/>
          <w:sz w:val="16"/>
        </w:rPr>
        <w:t>Points clés : La BCE subventionne les banques commerciales via des taux négatifs et des programmes d'achat d'actifs.  •  Cette subvention pourrait être réorientée vers la transition écologique.  •  L'article questionne la cohérence des politiques monétaires face à l'urgence climatique.</w:t>
      </w:r>
    </w:p>
    <w:p>
      <w:pPr>
        <w:spacing w:before="0" w:after="60"/>
        <w:ind w:left="600"/>
      </w:pPr>
      <w:r>
        <w:rPr>
          <w:color w:val="0064B4"/>
          <w:sz w:val="15"/>
        </w:rPr>
        <w:t>Source : https://news.google.com/rss/articles/CBMivwFBVV95cUxOTnp4RE1ma2dvMVE0WU8zNW5CU3F</w:t>
      </w:r>
    </w:p>
    <w:p>
      <w:pPr>
        <w:spacing w:before="40" w:after="40"/>
        <w:ind w:left="360"/>
      </w:pPr>
      <w:r>
        <w:rPr>
          <w:color w:val="646464"/>
          <w:sz w:val="17"/>
        </w:rPr>
        <w:t xml:space="preserve">[27/09/2026] 🔴  </w:t>
      </w:r>
      <w:r>
        <w:rPr>
          <w:b/>
          <w:color w:val="C00000"/>
          <w:sz w:val="18"/>
        </w:rPr>
        <w:t>Crédit immobilier : ce que la hausse des taux de la BCE va changer - Le Revenu</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Banque centrale européenne (BCE) a relevé ses taux directeurs, ce qui entraîne une hausse des taux d'intérêt des crédits immobiliers dans la zone euro. Cette augmentation renchérit le coût des emprunts pour les ménages et pourrait freiner la demande de logements. Les banques devraient ajuster leurs conditions de prêt, impactant ainsi le pouvoir </w:t>
      </w:r>
    </w:p>
    <w:p>
      <w:pPr>
        <w:spacing w:before="0" w:after="40"/>
        <w:ind w:left="600"/>
      </w:pPr>
      <w:r>
        <w:rPr>
          <w:color w:val="00643C"/>
          <w:sz w:val="16"/>
        </w:rPr>
        <w:t>Points clés : La BCE augmente ses taux directeurs  •  Les crédits immobiliers deviennent plus chers  •  La demande de logements pourrait ralentir  •  Les banques ajustent leurs conditions de prêt</w:t>
      </w:r>
    </w:p>
    <w:p>
      <w:pPr>
        <w:spacing w:before="0" w:after="60"/>
        <w:ind w:left="600"/>
      </w:pPr>
      <w:r>
        <w:rPr>
          <w:color w:val="0064B4"/>
          <w:sz w:val="15"/>
        </w:rPr>
        <w:t>Source : https://news.google.com/rss/articles/CBMitAFBVV95cUxNOEVHODhNU0FfaDNYZW9MNjJBQXB</w:t>
      </w:r>
    </w:p>
    <w:p>
      <w:pPr>
        <w:spacing w:before="120" w:after="40"/>
      </w:pPr>
      <w:r>
        <w:rPr>
          <w:b/>
          <w:color w:val="00467F"/>
          <w:sz w:val="20"/>
        </w:rPr>
        <w:t>🔑 matieres_premieres  (2 alerte(s))</w:t>
      </w:r>
    </w:p>
    <w:p>
      <w:pPr>
        <w:spacing w:before="40" w:after="40"/>
        <w:ind w:left="360"/>
      </w:pPr>
      <w:r>
        <w:rPr>
          <w:color w:val="646464"/>
          <w:sz w:val="17"/>
        </w:rPr>
        <w:t xml:space="preserve">[28/09/2026] ⚪  </w:t>
      </w:r>
      <w:r>
        <w:rPr>
          <w:b/>
          <w:color w:val="505050"/>
          <w:sz w:val="18"/>
        </w:rPr>
        <w:t>Cacao : le Ghana fixe un prix bord champ supérieur de 75 % à celui de la Côte d’Ivoire - AGENCE ECOFIN</w:t>
      </w:r>
      <w:r>
        <w:rPr>
          <w:color w:val="787878"/>
          <w:sz w:val="15"/>
        </w:rPr>
        <w:t xml:space="preserve">  [matieres_premieres]</w:t>
      </w:r>
      <w:r>
        <w:rPr>
          <w:color w:val="B47800"/>
          <w:sz w:val="16"/>
        </w:rPr>
        <w:t xml:space="preserve">  ★ 50/10</w:t>
      </w:r>
    </w:p>
    <w:p>
      <w:pPr>
        <w:spacing w:before="0" w:after="20"/>
        <w:ind w:left="600"/>
      </w:pPr>
      <w:r>
        <w:rPr>
          <w:color w:val="323232"/>
          <w:sz w:val="17"/>
        </w:rPr>
        <w:t>Le Ghana a annoncé un prix bord champ du cacao supérieur de 75 % à celui de la Côte d'Ivoire pour la campagne en cours. Cette décision vise à offrir une meilleure rémunération aux producteurs ghanéens et à lutter contre la contrebande vers la Côte d'Ivoire. Elle pourrait toutefois créer des tensions sur le marché régional et affecter la compétitivi</w:t>
      </w:r>
    </w:p>
    <w:p>
      <w:pPr>
        <w:spacing w:before="0" w:after="40"/>
        <w:ind w:left="600"/>
      </w:pPr>
      <w:r>
        <w:rPr>
          <w:color w:val="00643C"/>
          <w:sz w:val="16"/>
        </w:rPr>
        <w:t>Points clés : Le Ghana fixe un prix bord champ 75 % plus élevé que celui de la Côte d'Ivoire.  •  Objectif : améliorer les revenus des producteurs ghanéens et réduire la contrebande.  •  Risque de distorsion de la concurrence entre les deux pays au sein de la filière cacao.  •  La Côte d'Ivoire pourrait ajuster son prix pour éviter une fuite de sa production vers le Ghana.</w:t>
      </w:r>
    </w:p>
    <w:p>
      <w:pPr>
        <w:spacing w:before="0" w:after="60"/>
        <w:ind w:left="600"/>
      </w:pPr>
      <w:r>
        <w:rPr>
          <w:color w:val="0064B4"/>
          <w:sz w:val="15"/>
        </w:rPr>
        <w:t>Source : https://news.google.com/rss/articles/CBMi1gFBVV95cUxOVWV3TVdYbWh4UDZiUEFuWkp3MlR</w:t>
      </w:r>
    </w:p>
    <w:p>
      <w:pPr>
        <w:spacing w:before="40" w:after="40"/>
        <w:ind w:left="360"/>
      </w:pPr>
      <w:r>
        <w:rPr>
          <w:color w:val="646464"/>
          <w:sz w:val="17"/>
        </w:rPr>
        <w:t xml:space="preserve">[27/09/2026] ⚪  </w:t>
      </w:r>
      <w:r>
        <w:rPr>
          <w:b/>
          <w:color w:val="505050"/>
          <w:sz w:val="18"/>
        </w:rPr>
        <w:t>Prix ​​des carburants aujourd'hui (27 septembre) : Une semaine volatile pour les prix mondiaux du pétrole.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mondiaux du pétrole ont connu une semaine volatile, marquée par des fluctuations importantes des cours du brut. Cette volatilité est alimentée par des incertitudes sur l'offre et la demande, ainsi que par des facteurs géopolitiques. Les marchés restent attentifs à l'évolution des stocks et aux décisions des pays producteurs. Cette situatio</w:t>
      </w:r>
    </w:p>
    <w:p>
      <w:pPr>
        <w:spacing w:before="0" w:after="40"/>
        <w:ind w:left="600"/>
      </w:pPr>
      <w:r>
        <w:rPr>
          <w:color w:val="00643C"/>
          <w:sz w:val="16"/>
        </w:rPr>
        <w:t>Points clés : Volatilité accrue des prix mondiaux du pétrole  •  Incertitudes sur l'offre et la demande  •  Impact potentiel sur les pays importateurs</w:t>
      </w:r>
    </w:p>
    <w:p>
      <w:pPr>
        <w:spacing w:before="0" w:after="60"/>
        <w:ind w:left="600"/>
      </w:pPr>
      <w:r>
        <w:rPr>
          <w:color w:val="0064B4"/>
          <w:sz w:val="15"/>
        </w:rPr>
        <w:t>Source : https://news.google.com/rss/articles/CBMikAFBVV95cUxOSEJqS3BxMkRNU05MYzVyakxPNGt</w:t>
      </w:r>
    </w:p>
    <w:p>
      <w:pPr>
        <w:spacing w:before="120" w:after="40"/>
      </w:pPr>
      <w:r>
        <w:rPr>
          <w:b/>
          <w:color w:val="00467F"/>
          <w:sz w:val="20"/>
        </w:rPr>
        <w:t>🔑 geopolitique  (1 alerte(s))</w:t>
      </w:r>
    </w:p>
    <w:p>
      <w:pPr>
        <w:spacing w:before="40" w:after="40"/>
        <w:ind w:left="360"/>
      </w:pPr>
      <w:r>
        <w:rPr>
          <w:color w:val="646464"/>
          <w:sz w:val="17"/>
        </w:rPr>
        <w:t xml:space="preserve">[27/09/2026] ⚪  </w:t>
      </w:r>
      <w:r>
        <w:rPr>
          <w:b/>
          <w:color w:val="505050"/>
          <w:sz w:val="18"/>
        </w:rPr>
        <w:t>Guerres et tensions géopolitiques : LFI, RN, PC et cie en terrain (électoral) ultra miné - Atlantico</w:t>
      </w:r>
      <w:r>
        <w:rPr>
          <w:color w:val="787878"/>
          <w:sz w:val="15"/>
        </w:rPr>
        <w:t xml:space="preserve">  [geopolitique]</w:t>
      </w:r>
      <w:r>
        <w:rPr>
          <w:color w:val="B47800"/>
          <w:sz w:val="16"/>
        </w:rPr>
        <w:t xml:space="preserve">  ★ 50/10</w:t>
      </w:r>
    </w:p>
    <w:p>
      <w:pPr>
        <w:spacing w:before="0" w:after="20"/>
        <w:ind w:left="600"/>
      </w:pPr>
      <w:r>
        <w:rPr>
          <w:color w:val="323232"/>
          <w:sz w:val="17"/>
        </w:rPr>
        <w:t>L'article d'Atlantico analyse la position délicate des partis politiques français (LFI, RN, PC, etc.) face aux guerres et tensions géopolitiques internationales dans un contexte électoral. Ces formations doivent naviguer entre des positions historiques, des électorats divisés et des pressions médiatiques sur des sujets comme l'Ukraine, le Proche-Or</w:t>
      </w:r>
    </w:p>
    <w:p>
      <w:pPr>
        <w:spacing w:before="0" w:after="40"/>
        <w:ind w:left="600"/>
      </w:pPr>
      <w:r>
        <w:rPr>
          <w:color w:val="00643C"/>
          <w:sz w:val="16"/>
        </w:rPr>
        <w:t>Points clés : Les partis français sont contraints de se positionner sur des conflits internationaux en période électorale.  •  Chaque déclaration sur la géopolitique peut aliéner une partie de l'électorat.  •  Les tensions internationales deviennent un enjeu de politique intérieure en France.</w:t>
      </w:r>
    </w:p>
    <w:p>
      <w:pPr>
        <w:spacing w:before="0" w:after="60"/>
        <w:ind w:left="600"/>
      </w:pPr>
      <w:r>
        <w:rPr>
          <w:color w:val="0064B4"/>
          <w:sz w:val="15"/>
        </w:rPr>
        <w:t>Source : https://news.google.com/rss/articles/CBMivwFBVV95cUxQRjVhd0RXNnNzeHVkVmptWC1SeTQ</w:t>
      </w:r>
    </w:p>
    <w:p>
      <w:r>
        <w:br w:type="page"/>
      </w:r>
    </w:p>
    <w:p>
      <w:pPr>
        <w:pStyle w:val="Heading1"/>
      </w:pPr>
      <w:r>
        <w:t>🏆 CLASSEMENT DES SOCIÉTÉS — SCORE COMPOSITE /100</w:t>
      </w:r>
    </w:p>
    <w:p>
      <w:r>
        <w:t>Les 48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3,650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TTLS</w:t>
            </w:r>
          </w:p>
        </w:tc>
        <w:tc>
          <w:tcPr>
            <w:tcW w:type="dxa" w:w="1080"/>
            <w:shd w:fill="C6EFCE" w:val="clear"/>
          </w:tcPr>
          <w:p>
            <w:r>
              <w:rPr>
                <w:sz w:val="16"/>
              </w:rPr>
              <w:t>ENERGIE</w:t>
            </w:r>
          </w:p>
        </w:tc>
        <w:tc>
          <w:tcPr>
            <w:tcW w:type="dxa" w:w="1080"/>
            <w:shd w:fill="C6EFCE" w:val="clear"/>
          </w:tcPr>
          <w:p>
            <w:r>
              <w:rPr>
                <w:sz w:val="16"/>
              </w:rPr>
              <w:t>3,620</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43,000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8,510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ONTBF</w:t>
            </w:r>
          </w:p>
        </w:tc>
        <w:tc>
          <w:tcPr>
            <w:tcW w:type="dxa" w:w="1080"/>
            <w:shd w:fill="C6EFCE" w:val="clear"/>
          </w:tcPr>
          <w:p>
            <w:r>
              <w:rPr>
                <w:sz w:val="16"/>
              </w:rPr>
              <w:t>TELECOMMUNICATIONS</w:t>
            </w:r>
          </w:p>
        </w:tc>
        <w:tc>
          <w:tcPr>
            <w:tcW w:type="dxa" w:w="1080"/>
            <w:shd w:fill="C6EFCE" w:val="clear"/>
          </w:tcPr>
          <w:p>
            <w:r>
              <w:rPr>
                <w:sz w:val="16"/>
              </w:rPr>
              <w:t>2,950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38,400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37,800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9,250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NEIC</w:t>
            </w:r>
          </w:p>
        </w:tc>
        <w:tc>
          <w:tcPr>
            <w:tcW w:type="dxa" w:w="1080"/>
            <w:shd w:fill="C6EFCE" w:val="clear"/>
          </w:tcPr>
          <w:p>
            <w:r>
              <w:rPr>
                <w:sz w:val="16"/>
              </w:rPr>
              <w:t>CONSOMMATION DISCR</w:t>
            </w:r>
          </w:p>
        </w:tc>
        <w:tc>
          <w:tcPr>
            <w:tcW w:type="dxa" w:w="1080"/>
            <w:shd w:fill="C6EFCE" w:val="clear"/>
          </w:tcPr>
          <w:p>
            <w:r>
              <w:rPr>
                <w:sz w:val="16"/>
              </w:rPr>
              <w:t>2,395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PRSC</w:t>
            </w:r>
          </w:p>
        </w:tc>
        <w:tc>
          <w:tcPr>
            <w:tcW w:type="dxa" w:w="1080"/>
            <w:shd w:fill="C6EFCE" w:val="clear"/>
          </w:tcPr>
          <w:p>
            <w:r>
              <w:rPr>
                <w:sz w:val="16"/>
              </w:rPr>
              <w:t>CONSOMMATION DISCR</w:t>
            </w:r>
          </w:p>
        </w:tc>
        <w:tc>
          <w:tcPr>
            <w:tcW w:type="dxa" w:w="1080"/>
            <w:shd w:fill="C6EFCE" w:val="clear"/>
          </w:tcPr>
          <w:p>
            <w:r>
              <w:rPr>
                <w:sz w:val="16"/>
              </w:rPr>
              <w:t>4,150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2,390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2,000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7,650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8,100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9,005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17</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11,500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17,000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3,095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1,990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15,300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2,980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12,450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16,500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21,450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TTLC</w:t>
            </w:r>
          </w:p>
        </w:tc>
        <w:tc>
          <w:tcPr>
            <w:tcW w:type="dxa" w:w="1080"/>
            <w:shd w:fill="EBF5FB" w:val="clear"/>
          </w:tcPr>
          <w:p>
            <w:r>
              <w:rPr>
                <w:sz w:val="16"/>
              </w:rPr>
              <w:t>ENERGIE</w:t>
            </w:r>
          </w:p>
        </w:tc>
        <w:tc>
          <w:tcPr>
            <w:tcW w:type="dxa" w:w="1080"/>
            <w:shd w:fill="EBF5FB" w:val="clear"/>
          </w:tcPr>
          <w:p>
            <w:r>
              <w:rPr>
                <w:sz w:val="16"/>
              </w:rPr>
              <w:t>3,150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BNBC</w:t>
            </w:r>
          </w:p>
        </w:tc>
        <w:tc>
          <w:tcPr>
            <w:tcW w:type="dxa" w:w="1080"/>
            <w:shd w:fill="EBF5FB" w:val="clear"/>
          </w:tcPr>
          <w:p>
            <w:r>
              <w:rPr>
                <w:sz w:val="16"/>
              </w:rPr>
              <w:t>CONSOMMATION DISCR</w:t>
            </w:r>
          </w:p>
        </w:tc>
        <w:tc>
          <w:tcPr>
            <w:tcW w:type="dxa" w:w="1080"/>
            <w:shd w:fill="EBF5FB" w:val="clear"/>
          </w:tcPr>
          <w:p>
            <w:r>
              <w:rPr>
                <w:sz w:val="16"/>
              </w:rPr>
              <w:t>1,995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6,245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22,410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ORAC</w:t>
            </w:r>
          </w:p>
        </w:tc>
        <w:tc>
          <w:tcPr>
            <w:tcW w:type="dxa" w:w="1080"/>
            <w:shd w:fill="EBF5FB" w:val="clear"/>
          </w:tcPr>
          <w:p>
            <w:r>
              <w:rPr>
                <w:sz w:val="16"/>
              </w:rPr>
              <w:t>TELECOMMUNICATIONS</w:t>
            </w:r>
          </w:p>
        </w:tc>
        <w:tc>
          <w:tcPr>
            <w:tcW w:type="dxa" w:w="1080"/>
            <w:shd w:fill="EBF5FB" w:val="clear"/>
          </w:tcPr>
          <w:p>
            <w:r>
              <w:rPr>
                <w:sz w:val="16"/>
              </w:rPr>
              <w:t>21,500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8,300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BBGC</w:t>
            </w:r>
          </w:p>
        </w:tc>
        <w:tc>
          <w:tcPr>
            <w:tcW w:type="dxa" w:w="1080"/>
            <w:shd w:fill="EBF5FB" w:val="clear"/>
          </w:tcPr>
          <w:p>
            <w:r>
              <w:rPr>
                <w:sz w:val="16"/>
              </w:rPr>
              <w:t>Services Financier</w:t>
            </w:r>
          </w:p>
        </w:tc>
        <w:tc>
          <w:tcPr>
            <w:tcW w:type="dxa" w:w="1080"/>
            <w:shd w:fill="EBF5FB" w:val="clear"/>
          </w:tcPr>
          <w:p>
            <w:r>
              <w:rPr>
                <w:sz w:val="16"/>
              </w:rPr>
              <w:t>8,375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5,510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32,490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6,450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3,895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1,495</w:t>
            </w:r>
          </w:p>
        </w:tc>
        <w:tc>
          <w:tcPr>
            <w:tcW w:type="dxa" w:w="1080"/>
            <w:shd w:fill="EBF5FB" w:val="clear"/>
          </w:tcPr>
          <w:p>
            <w:r>
              <w:rPr>
                <w:b/>
                <w:sz w:val="16"/>
              </w:rPr>
              <w:t>62/100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7,600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32,500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3,400</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1,615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4,620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8,400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PALC</w:t>
            </w:r>
          </w:p>
        </w:tc>
        <w:tc>
          <w:tcPr>
            <w:tcW w:type="dxa" w:w="1080"/>
            <w:shd w:fill="FEFEFE" w:val="clear"/>
          </w:tcPr>
          <w:p>
            <w:r>
              <w:rPr>
                <w:sz w:val="16"/>
              </w:rPr>
              <w:t>CONSOMMATION DE BA</w:t>
            </w:r>
          </w:p>
        </w:tc>
        <w:tc>
          <w:tcPr>
            <w:tcW w:type="dxa" w:w="1080"/>
            <w:shd w:fill="FEFEFE" w:val="clear"/>
          </w:tcPr>
          <w:p>
            <w:r>
              <w:rPr>
                <w:sz w:val="16"/>
              </w:rPr>
              <w:t>8,200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r>
        <w:tc>
          <w:tcPr>
            <w:tcW w:type="dxa" w:w="1080"/>
            <w:shd w:fill="FEFEFE" w:val="clear"/>
          </w:tcPr>
          <w:p>
            <w:r>
              <w:rPr>
                <w:sz w:val="16"/>
              </w:rPr>
              <w:t>47</w:t>
            </w:r>
          </w:p>
        </w:tc>
        <w:tc>
          <w:tcPr>
            <w:tcW w:type="dxa" w:w="1080"/>
            <w:shd w:fill="FEFEFE" w:val="clear"/>
          </w:tcPr>
          <w:p>
            <w:r>
              <w:rPr>
                <w:sz w:val="16"/>
              </w:rPr>
              <w:t>UNLC</w:t>
            </w:r>
          </w:p>
        </w:tc>
        <w:tc>
          <w:tcPr>
            <w:tcW w:type="dxa" w:w="1080"/>
            <w:shd w:fill="FEFEFE" w:val="clear"/>
          </w:tcPr>
          <w:p>
            <w:r>
              <w:rPr>
                <w:sz w:val="16"/>
              </w:rPr>
              <w:t>CONSOMMATION DE BA</w:t>
            </w:r>
          </w:p>
        </w:tc>
        <w:tc>
          <w:tcPr>
            <w:tcW w:type="dxa" w:w="1080"/>
            <w:shd w:fill="FEFEFE" w:val="clear"/>
          </w:tcPr>
          <w:p>
            <w:r>
              <w:rPr>
                <w:sz w:val="16"/>
              </w:rPr>
              <w:t>51,000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ACHAT</w:t>
            </w:r>
          </w:p>
        </w:tc>
        <w:tc>
          <w:tcPr>
            <w:tcW w:type="dxa" w:w="1080"/>
            <w:shd w:fill="FEFEFE" w:val="clear"/>
          </w:tcPr>
          <w:p>
            <w:r>
              <w:rPr>
                <w:color w:val="008000"/>
                <w:sz w:val="16"/>
              </w:rPr>
              <w:t>ACHAT</w:t>
            </w:r>
          </w:p>
        </w:tc>
      </w:tr>
      <w:tr>
        <w:tc>
          <w:tcPr>
            <w:tcW w:type="dxa" w:w="1080"/>
            <w:shd w:fill="FCE4D6" w:val="clear"/>
          </w:tcPr>
          <w:p>
            <w:r>
              <w:rPr>
                <w:sz w:val="16"/>
              </w:rPr>
              <w:t>48</w:t>
            </w:r>
          </w:p>
        </w:tc>
        <w:tc>
          <w:tcPr>
            <w:tcW w:type="dxa" w:w="1080"/>
            <w:shd w:fill="FCE4D6" w:val="clear"/>
          </w:tcPr>
          <w:p>
            <w:r>
              <w:rPr>
                <w:sz w:val="16"/>
              </w:rPr>
              <w:t>STAC</w:t>
            </w:r>
          </w:p>
        </w:tc>
        <w:tc>
          <w:tcPr>
            <w:tcW w:type="dxa" w:w="1080"/>
            <w:shd w:fill="FCE4D6" w:val="clear"/>
          </w:tcPr>
          <w:p>
            <w:r>
              <w:rPr>
                <w:sz w:val="16"/>
              </w:rPr>
              <w:t>INDUSTRIELS</w:t>
            </w:r>
          </w:p>
        </w:tc>
        <w:tc>
          <w:tcPr>
            <w:tcW w:type="dxa" w:w="1080"/>
            <w:shd w:fill="FCE4D6" w:val="clear"/>
          </w:tcPr>
          <w:p>
            <w:r>
              <w:rPr>
                <w:sz w:val="16"/>
              </w:rPr>
              <w:t>2,240</w:t>
            </w:r>
          </w:p>
        </w:tc>
        <w:tc>
          <w:tcPr>
            <w:tcW w:type="dxa" w:w="1080"/>
            <w:shd w:fill="FCE4D6" w:val="clear"/>
          </w:tcPr>
          <w:p>
            <w:r>
              <w:rPr>
                <w:b/>
                <w:sz w:val="16"/>
              </w:rPr>
              <w:t>36/100  (Faible)</w:t>
            </w:r>
          </w:p>
        </w:tc>
        <w:tc>
          <w:tcPr>
            <w:tcW w:type="dxa" w:w="1080"/>
            <w:shd w:fill="FCE4D6" w:val="clear"/>
          </w:tcPr>
          <w:p>
            <w:r>
              <w:rPr>
                <w:sz w:val="16"/>
              </w:rPr>
              <w:t>VENTE</w:t>
            </w:r>
          </w:p>
        </w:tc>
        <w:tc>
          <w:tcPr>
            <w:tcW w:type="dxa" w:w="1080"/>
            <w:shd w:fill="FCE4D6" w:val="clear"/>
          </w:tcPr>
          <w:p>
            <w:r>
              <w:rPr>
                <w:sz w:val="16"/>
              </w:rPr>
              <w:t>VENTE</w:t>
            </w:r>
          </w:p>
        </w:tc>
        <w:tc>
          <w:tcPr>
            <w:tcW w:type="dxa" w:w="1080"/>
            <w:shd w:fill="FCE4D6" w:val="clear"/>
          </w:tcPr>
          <w:p>
            <w:r>
              <w:rPr>
                <w:color w:val="C00000"/>
                <w:sz w:val="16"/>
              </w:rPr>
              <w:t>VENTE</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ABJC</w:t>
            </w:r>
          </w:p>
        </w:tc>
        <w:tc>
          <w:tcPr>
            <w:tcW w:type="dxa" w:w="1728"/>
            <w:shd w:fill="DEEAF1" w:val="clear"/>
          </w:tcPr>
          <w:p>
            <w:r>
              <w:rPr>
                <w:sz w:val="17"/>
              </w:rPr>
              <w:t>ABJC - SERVAIR ABIDJAN CI</w:t>
            </w:r>
          </w:p>
        </w:tc>
        <w:tc>
          <w:tcPr>
            <w:tcW w:type="dxa" w:w="1728"/>
            <w:shd w:fill="DEEAF1" w:val="clear"/>
          </w:tcPr>
          <w:p>
            <w:r>
              <w:rPr>
                <w:sz w:val="17"/>
              </w:rPr>
              <w:t>3,650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TTLS</w:t>
            </w:r>
          </w:p>
        </w:tc>
        <w:tc>
          <w:tcPr>
            <w:tcW w:type="dxa" w:w="1728"/>
            <w:shd w:fill="DEEAF1" w:val="clear"/>
          </w:tcPr>
          <w:p>
            <w:r>
              <w:rPr>
                <w:sz w:val="17"/>
              </w:rPr>
              <w:t>TTLS - TOTAL ENERGIES MARKET</w:t>
            </w:r>
          </w:p>
        </w:tc>
        <w:tc>
          <w:tcPr>
            <w:tcW w:type="dxa" w:w="1728"/>
            <w:shd w:fill="DEEAF1" w:val="clear"/>
          </w:tcPr>
          <w:p>
            <w:r>
              <w:rPr>
                <w:sz w:val="17"/>
              </w:rPr>
              <w:t>3,620</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2,950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38,400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37,800</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BOAB</w:t>
            </w:r>
          </w:p>
        </w:tc>
        <w:tc>
          <w:tcPr>
            <w:tcW w:type="dxa" w:w="1728"/>
            <w:shd w:fill="DEEAF1" w:val="clear"/>
          </w:tcPr>
          <w:p>
            <w:r>
              <w:rPr>
                <w:sz w:val="17"/>
              </w:rPr>
              <w:t>BANK OF AFRICA BENIN</w:t>
            </w:r>
          </w:p>
        </w:tc>
        <w:tc>
          <w:tcPr>
            <w:tcW w:type="dxa" w:w="1728"/>
            <w:shd w:fill="DEEAF1" w:val="clear"/>
          </w:tcPr>
          <w:p>
            <w:r>
              <w:rPr>
                <w:sz w:val="17"/>
              </w:rPr>
              <w:t>9,250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NEIC</w:t>
            </w:r>
          </w:p>
        </w:tc>
        <w:tc>
          <w:tcPr>
            <w:tcW w:type="dxa" w:w="1728"/>
            <w:shd w:fill="DEEAF1" w:val="clear"/>
          </w:tcPr>
          <w:p>
            <w:r>
              <w:rPr>
                <w:sz w:val="17"/>
              </w:rPr>
              <w:t>NEIC - NEI-CEDA CI</w:t>
            </w:r>
          </w:p>
        </w:tc>
        <w:tc>
          <w:tcPr>
            <w:tcW w:type="dxa" w:w="1728"/>
            <w:shd w:fill="DEEAF1" w:val="clear"/>
          </w:tcPr>
          <w:p>
            <w:r>
              <w:rPr>
                <w:sz w:val="17"/>
              </w:rPr>
              <w:t>2,395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2,390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3,650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TTLS</w:t>
            </w:r>
          </w:p>
        </w:tc>
        <w:tc>
          <w:tcPr>
            <w:tcW w:type="dxa" w:w="1728"/>
            <w:shd w:fill="E2EFDA" w:val="clear"/>
          </w:tcPr>
          <w:p>
            <w:r>
              <w:rPr>
                <w:sz w:val="17"/>
              </w:rPr>
              <w:t>TTLS - TOTAL ENERGIES MARKET</w:t>
            </w:r>
          </w:p>
        </w:tc>
        <w:tc>
          <w:tcPr>
            <w:tcW w:type="dxa" w:w="1728"/>
            <w:shd w:fill="E2EFDA" w:val="clear"/>
          </w:tcPr>
          <w:p>
            <w:r>
              <w:rPr>
                <w:sz w:val="17"/>
              </w:rPr>
              <w:t>3,620</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43,000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8,510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ONTBF</w:t>
            </w:r>
          </w:p>
        </w:tc>
        <w:tc>
          <w:tcPr>
            <w:tcW w:type="dxa" w:w="1728"/>
            <w:shd w:fill="E2EFDA" w:val="clear"/>
          </w:tcPr>
          <w:p>
            <w:r>
              <w:rPr>
                <w:sz w:val="17"/>
              </w:rPr>
              <w:t>ONTBF - ONATEL BURKINA FASO</w:t>
            </w:r>
          </w:p>
        </w:tc>
        <w:tc>
          <w:tcPr>
            <w:tcW w:type="dxa" w:w="1728"/>
            <w:shd w:fill="E2EFDA" w:val="clear"/>
          </w:tcPr>
          <w:p>
            <w:r>
              <w:rPr>
                <w:sz w:val="17"/>
              </w:rPr>
              <w:t>2,950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SGBC</w:t>
            </w:r>
          </w:p>
        </w:tc>
        <w:tc>
          <w:tcPr>
            <w:tcW w:type="dxa" w:w="1728"/>
            <w:shd w:fill="E2EFDA" w:val="clear"/>
          </w:tcPr>
          <w:p>
            <w:r>
              <w:rPr>
                <w:sz w:val="17"/>
              </w:rPr>
              <w:t>SGBC - SOCIETE GENERALE COTE</w:t>
            </w:r>
          </w:p>
        </w:tc>
        <w:tc>
          <w:tcPr>
            <w:tcW w:type="dxa" w:w="1728"/>
            <w:shd w:fill="E2EFDA" w:val="clear"/>
          </w:tcPr>
          <w:p>
            <w:r>
              <w:rPr>
                <w:sz w:val="17"/>
              </w:rPr>
              <w:t>38,400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37,800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9,250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3,650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TTLS</w:t>
            </w:r>
          </w:p>
        </w:tc>
        <w:tc>
          <w:tcPr>
            <w:tcW w:type="dxa" w:w="1728"/>
            <w:shd w:fill="FCE4D6" w:val="clear"/>
          </w:tcPr>
          <w:p>
            <w:r>
              <w:rPr>
                <w:sz w:val="17"/>
              </w:rPr>
              <w:t>TTLS - TOTAL ENERGIES MARKET</w:t>
            </w:r>
          </w:p>
        </w:tc>
        <w:tc>
          <w:tcPr>
            <w:tcW w:type="dxa" w:w="1728"/>
            <w:shd w:fill="FCE4D6" w:val="clear"/>
          </w:tcPr>
          <w:p>
            <w:r>
              <w:rPr>
                <w:sz w:val="17"/>
              </w:rPr>
              <w:t>3,620</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43,000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8,510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ONTBF</w:t>
            </w:r>
          </w:p>
        </w:tc>
        <w:tc>
          <w:tcPr>
            <w:tcW w:type="dxa" w:w="1728"/>
            <w:shd w:fill="FCE4D6" w:val="clear"/>
          </w:tcPr>
          <w:p>
            <w:r>
              <w:rPr>
                <w:sz w:val="17"/>
              </w:rPr>
              <w:t>ONTBF - ONATEL BURKINA FASO</w:t>
            </w:r>
          </w:p>
        </w:tc>
        <w:tc>
          <w:tcPr>
            <w:tcW w:type="dxa" w:w="1728"/>
            <w:shd w:fill="FCE4D6" w:val="clear"/>
          </w:tcPr>
          <w:p>
            <w:r>
              <w:rPr>
                <w:sz w:val="17"/>
              </w:rPr>
              <w:t>2,950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SGBC</w:t>
            </w:r>
          </w:p>
        </w:tc>
        <w:tc>
          <w:tcPr>
            <w:tcW w:type="dxa" w:w="1728"/>
            <w:shd w:fill="FCE4D6" w:val="clear"/>
          </w:tcPr>
          <w:p>
            <w:r>
              <w:rPr>
                <w:sz w:val="17"/>
              </w:rPr>
              <w:t>SGBC - SOCIETE GENERALE COTE</w:t>
            </w:r>
          </w:p>
        </w:tc>
        <w:tc>
          <w:tcPr>
            <w:tcW w:type="dxa" w:w="1728"/>
            <w:shd w:fill="FCE4D6" w:val="clear"/>
          </w:tcPr>
          <w:p>
            <w:r>
              <w:rPr>
                <w:sz w:val="17"/>
              </w:rPr>
              <w:t>38,400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37,800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9,250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BOAN — BANK OF AFRICA NIGER</w:t>
      </w:r>
    </w:p>
    <w:p>
      <w:pPr>
        <w:pStyle w:val="ListBullet"/>
        <w:spacing w:before="20"/>
        <w:ind w:left="400"/>
      </w:pPr>
      <w:r>
        <w:rPr>
          <w:sz w:val="18"/>
        </w:rPr>
        <w:t>⚠️ Cours à 2.4% du plus haut 100j (5,645 FCFA)</w:t>
      </w:r>
    </w:p>
    <w:p>
      <w:pPr>
        <w:pStyle w:val="ListBullet"/>
        <w:spacing w:before="20"/>
        <w:ind w:left="400"/>
      </w:pPr>
      <w:r>
        <w:rPr>
          <w:sz w:val="18"/>
        </w:rPr>
        <w:t>🟠 Divergence tech(VENTE) / fond(ACHAT) — recommandation ajustée à ACHAT</w:t>
      </w:r>
    </w:p>
    <w:p>
      <w:pPr>
        <w:spacing w:before="120"/>
      </w:pPr>
      <w:r>
        <w:rPr>
          <w:b/>
          <w:color w:val="0050A0"/>
          <w:sz w:val="20"/>
        </w:rPr>
        <w:t>NTLC — NTLC - NESTLE COTE D'IVOIRE</w:t>
      </w:r>
    </w:p>
    <w:p>
      <w:pPr>
        <w:pStyle w:val="ListBullet"/>
        <w:spacing w:before="20"/>
        <w:ind w:left="400"/>
      </w:pPr>
      <w:r>
        <w:rPr>
          <w:sz w:val="18"/>
        </w:rPr>
        <w:t>🟢 RSI survente (27.8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SCRC — SCRC - SUCRIVOIRE</w:t>
      </w:r>
    </w:p>
    <w:p>
      <w:pPr>
        <w:pStyle w:val="ListBullet"/>
        <w:spacing w:before="20"/>
        <w:ind w:left="400"/>
      </w:pPr>
      <w:r>
        <w:rPr>
          <w:sz w:val="18"/>
        </w:rPr>
        <w:t>🟢 RSI survente (28.4 &lt; 30) — opportunité potentielle</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(73.9 &gt; 70) — risque de correction</w:t>
      </w:r>
    </w:p>
    <w:p>
      <w:pPr>
        <w:pStyle w:val="ListBullet"/>
        <w:spacing w:before="20"/>
        <w:ind w:left="400"/>
      </w:pPr>
      <w:r>
        <w:rPr>
          <w:sz w:val="18"/>
        </w:rPr>
        <w:t>⚠️ Cours à 0.0% du plus haut 100j (43,000 FCFA)</w:t>
      </w:r>
    </w:p>
    <w:p>
      <w:pPr>
        <w:spacing w:before="120"/>
      </w:pPr>
      <w:r>
        <w:rPr>
          <w:b/>
          <w:color w:val="0050A0"/>
          <w:sz w:val="20"/>
        </w:rPr>
        <w:t>BBGC — BRIDGE BANK GROUP COTE D'IVOIRE</w:t>
      </w:r>
    </w:p>
    <w:p>
      <w:pPr>
        <w:pStyle w:val="ListBullet"/>
        <w:spacing w:before="20"/>
        <w:ind w:left="400"/>
      </w:pPr>
      <w:r>
        <w:rPr>
          <w:sz w:val="18"/>
        </w:rPr>
        <w:t>⚠️ Cours à 0.0% du plus haut 100j (8,375 FCFA)</w:t>
      </w:r>
    </w:p>
    <w:p>
      <w:pPr>
        <w:spacing w:before="120"/>
      </w:pPr>
      <w:r>
        <w:rPr>
          <w:b/>
          <w:color w:val="0050A0"/>
          <w:sz w:val="20"/>
        </w:rPr>
        <w:t>BICB — BIIC BN - Banque internationale pour le commerce du benin</w:t>
      </w:r>
    </w:p>
    <w:p>
      <w:pPr>
        <w:pStyle w:val="ListBullet"/>
        <w:spacing w:before="20"/>
        <w:ind w:left="400"/>
      </w:pPr>
      <w:r>
        <w:rPr>
          <w:sz w:val="18"/>
        </w:rPr>
        <w:t>🟢 RSI survente (25.8 &lt; 30) — opportunité potentielle</w:t>
      </w:r>
    </w:p>
    <w:p>
      <w:pPr>
        <w:spacing w:before="120"/>
      </w:pPr>
      <w:r>
        <w:rPr>
          <w:b/>
          <w:color w:val="0050A0"/>
          <w:sz w:val="20"/>
        </w:rPr>
        <w:t>BOAB — BANK OF AFRICA BENIN</w:t>
      </w:r>
    </w:p>
    <w:p>
      <w:pPr>
        <w:pStyle w:val="ListBullet"/>
        <w:spacing w:before="20"/>
        <w:ind w:left="400"/>
      </w:pPr>
      <w:r>
        <w:rPr>
          <w:sz w:val="18"/>
        </w:rPr>
        <w:t>🟢 RSI survente (29.3 &lt; 30) — opportunité potentielle</w:t>
      </w:r>
    </w:p>
    <w:p>
      <w:pPr>
        <w:spacing w:before="120"/>
      </w:pPr>
      <w:r>
        <w:rPr>
          <w:b/>
          <w:color w:val="0050A0"/>
          <w:sz w:val="20"/>
        </w:rPr>
        <w:t>CABC — CABC - SICABLE COTE D'IVOIRE</w:t>
      </w:r>
    </w:p>
    <w:p>
      <w:pPr>
        <w:pStyle w:val="ListBullet"/>
        <w:spacing w:before="20"/>
        <w:ind w:left="400"/>
      </w:pPr>
      <w:r>
        <w:rPr>
          <w:sz w:val="18"/>
        </w:rPr>
        <w:t>🟠 Divergence tech(VENTE) / fond(ACHAT) — recommandation ajustée à ACHAT</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RSI survente (28.0 &lt; 30) — opportunité potentielle</w:t>
      </w:r>
    </w:p>
    <w:p>
      <w:pPr>
        <w:spacing w:before="120"/>
      </w:pPr>
      <w:r>
        <w:rPr>
          <w:b/>
          <w:color w:val="0050A0"/>
          <w:sz w:val="20"/>
        </w:rPr>
        <w:t>SAFC — SAFCA CI</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2.3% du plus haut 100j (39,300 FCFA)</w:t>
      </w:r>
    </w:p>
    <w:p>
      <w:pPr>
        <w:spacing w:before="120"/>
      </w:pPr>
      <w:r>
        <w:rPr>
          <w:b/>
          <w:color w:val="0050A0"/>
          <w:sz w:val="20"/>
        </w:rPr>
        <w:t>SICC — SICC - SICOR COTE D'IVOIRE</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survente (28.7 &lt; 30) — opportunité potentielle</w:t>
      </w:r>
    </w:p>
    <w:p>
      <w:pPr>
        <w:spacing w:before="120"/>
      </w:pPr>
      <w:r>
        <w:rPr>
          <w:b/>
          <w:color w:val="0050A0"/>
          <w:sz w:val="20"/>
        </w:rPr>
        <w:t>SLBC — SLBC - SOLIBRA COTE D'IVOIRE</w:t>
      </w:r>
    </w:p>
    <w:p>
      <w:pPr>
        <w:pStyle w:val="ListBullet"/>
        <w:spacing w:before="20"/>
        <w:ind w:left="400"/>
      </w:pPr>
      <w:r>
        <w:rPr>
          <w:sz w:val="18"/>
        </w:rPr>
        <w:t>⚠️ Cours à 2.4% du plus bas 100j (36,900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28 société(s) (58%)</w:t>
            </w:r>
          </w:p>
        </w:tc>
        <w:tc>
          <w:tcPr>
            <w:tcW w:type="dxa" w:w="1644"/>
            <w:shd w:fill="FFEB9C" w:val="clear"/>
          </w:tcPr>
          <w:p>
            <w:r>
              <w:rPr>
                <w:b/>
                <w:color w:val="825A00"/>
                <w:sz w:val="19"/>
              </w:rPr>
              <w:t>20 société(s) (42%)</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19.7/100</w:t>
            </w:r>
          </w:p>
        </w:tc>
        <w:tc>
          <w:tcPr>
            <w:tcW w:type="dxa" w:w="1644"/>
            <w:shd w:fill="DEEAF1" w:val="clear"/>
          </w:tcPr>
          <w:p>
            <w:r>
              <w:rPr>
                <w:b/>
                <w:color w:val="000000"/>
                <w:sz w:val="19"/>
              </w:rPr>
              <w:t>18.8/100</w:t>
            </w:r>
          </w:p>
        </w:tc>
      </w:tr>
    </w:tbl>
    <w:p/>
    <w:p>
      <w:r>
        <w:rPr>
          <w:i/>
          <w:color w:val="006400"/>
          <w:sz w:val="18"/>
        </w:rPr>
        <w:t>✅ Le marché BRVM présente globalement un profil de risque FAIBLE (score moyen 19.7/100).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BOAN</w:t>
            </w:r>
          </w:p>
        </w:tc>
        <w:tc>
          <w:tcPr>
            <w:tcW w:type="dxa" w:w="2268"/>
            <w:shd w:fill="FFFFFF" w:val="clear"/>
          </w:tcPr>
          <w:p>
            <w:r>
              <w:rPr>
                <w:sz w:val="16"/>
              </w:rPr>
              <w:t>BANK OF AFRICA NIGER</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SCRC</w:t>
            </w:r>
          </w:p>
        </w:tc>
        <w:tc>
          <w:tcPr>
            <w:tcW w:type="dxa" w:w="2268"/>
            <w:shd w:fill="FFFFFF" w:val="clear"/>
          </w:tcPr>
          <w:p>
            <w:r>
              <w:rPr>
                <w:sz w:val="16"/>
              </w:rPr>
              <w:t>SCRC - SUCRIVOIRE</w:t>
            </w:r>
          </w:p>
        </w:tc>
        <w:tc>
          <w:tcPr>
            <w:tcW w:type="dxa" w:w="1701"/>
            <w:shd w:fill="FFFFFF" w:val="clear"/>
          </w:tcPr>
          <w:p>
            <w:r>
              <w:rPr>
                <w:sz w:val="16"/>
              </w:rPr>
              <w:t>CONSOMMATION DE BA</w:t>
            </w:r>
          </w:p>
        </w:tc>
        <w:tc>
          <w:tcPr>
            <w:tcW w:type="dxa" w:w="1020"/>
            <w:shd w:fill="FFEB9C" w:val="clear"/>
          </w:tcPr>
          <w:p>
            <w:r>
              <w:rPr>
                <w:b/>
                <w:color w:val="B40000"/>
                <w:sz w:val="16"/>
              </w:rPr>
              <w:t>30.8/100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BOAN (31.3/100 — Moyen) : </w:t>
      </w:r>
      <w:r>
        <w:rPr>
          <w:sz w:val="17"/>
        </w:rPr>
        <w:t>Volatilité=Élevée | Bêta=Agressif | Liquidité=Bonne | Divergence signaux=taux divergence=20% (Mixte ⚠️) | Stabilité=Stable</w:t>
      </w:r>
    </w:p>
    <w:p>
      <w:pPr>
        <w:pStyle w:val="ListBullet"/>
      </w:pPr>
      <w:r>
        <w:rPr>
          <w:b/>
          <w:color w:val="B40000"/>
          <w:sz w:val="18"/>
        </w:rPr>
        <w:t xml:space="preserve">#4 CBIBF (31.3/100 — Moyen) : </w:t>
      </w:r>
      <w:r>
        <w:rPr>
          <w:sz w:val="17"/>
        </w:rPr>
        <w:t>Volatilité=Élevée | Bêta=Agressif | Liquidité=Bonne | Divergence signaux=taux divergence=20% (Mixte ⚠️) | Stabilité=Stable</w:t>
      </w:r>
    </w:p>
    <w:p>
      <w:pPr>
        <w:pStyle w:val="ListBullet"/>
      </w:pPr>
      <w:r>
        <w:rPr>
          <w:b/>
          <w:color w:val="B40000"/>
          <w:sz w:val="18"/>
        </w:rPr>
        <w:t xml:space="preserve">#5 SCRC (30.8/100 — Moyen) : </w:t>
      </w:r>
      <w:r>
        <w:rPr>
          <w:sz w:val="17"/>
        </w:rPr>
        <w:t>Volatilité=Élevée | Bêta=Agressif | Liquidité=Excellente | Divergence signaux=taux divergence=20% (Mixte ⚠️) | Stabilité=Modérée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BOAS</w:t>
            </w:r>
          </w:p>
        </w:tc>
        <w:tc>
          <w:tcPr>
            <w:tcW w:type="dxa" w:w="2268"/>
            <w:shd w:fill="FFFFFF" w:val="clear"/>
          </w:tcPr>
          <w:p>
            <w:r>
              <w:rPr>
                <w:sz w:val="16"/>
              </w:rPr>
              <w:t>BANK OF AFRICA SENEGAL</w:t>
            </w:r>
          </w:p>
        </w:tc>
        <w:tc>
          <w:tcPr>
            <w:tcW w:type="dxa" w:w="1701"/>
            <w:shd w:fill="FFFFFF" w:val="clear"/>
          </w:tcPr>
          <w:p>
            <w:r>
              <w:rPr>
                <w:sz w:val="16"/>
              </w:rPr>
              <w:t>SERVICES FINANCIER</w:t>
            </w:r>
          </w:p>
        </w:tc>
        <w:tc>
          <w:tcPr>
            <w:tcW w:type="dxa" w:w="1020"/>
            <w:shd w:fill="C6EFCE" w:val="clear"/>
          </w:tcPr>
          <w:p>
            <w:r>
              <w:rPr>
                <w:b/>
                <w:color w:val="007800"/>
                <w:sz w:val="16"/>
              </w:rPr>
              <w:t>9.3/100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SGBC</w:t>
            </w:r>
          </w:p>
        </w:tc>
        <w:tc>
          <w:tcPr>
            <w:tcW w:type="dxa" w:w="2268"/>
            <w:shd w:fill="FFFFFF" w:val="clear"/>
          </w:tcPr>
          <w:p>
            <w:r>
              <w:rPr>
                <w:sz w:val="16"/>
              </w:rPr>
              <w:t>SGBC - SOCIETE GENERALE COTE…</w:t>
            </w:r>
          </w:p>
        </w:tc>
        <w:tc>
          <w:tcPr>
            <w:tcW w:type="dxa" w:w="1701"/>
            <w:shd w:fill="FFFFFF" w:val="clear"/>
          </w:tcPr>
          <w:p>
            <w:r>
              <w:rPr>
                <w:sz w:val="16"/>
              </w:rPr>
              <w:t>SERVICES FINANCIER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30.8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28.0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27.8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23.0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Convergent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22.3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20.0</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C6EFCE" w:val="clear"/>
          </w:tcPr>
          <w:p>
            <w:r>
              <w:rPr>
                <w:b/>
                <w:color w:val="006400"/>
                <w:sz w:val="15"/>
              </w:rPr>
              <w:t>17.5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16.8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BBGC</w:t>
            </w:r>
          </w:p>
        </w:tc>
        <w:tc>
          <w:tcPr>
            <w:tcW w:type="dxa" w:w="1984"/>
            <w:shd w:fill="FFFFFF" w:val="clear"/>
          </w:tcPr>
          <w:p>
            <w:r>
              <w:rPr>
                <w:sz w:val="15"/>
              </w:rPr>
              <w:t>BRIDGE BANK GROUP COTE…</w:t>
            </w:r>
          </w:p>
        </w:tc>
        <w:tc>
          <w:tcPr>
            <w:tcW w:type="dxa" w:w="1417"/>
            <w:shd w:fill="FFFFFF" w:val="clear"/>
          </w:tcPr>
          <w:p>
            <w:r>
              <w:rPr>
                <w:sz w:val="15"/>
              </w:rPr>
              <w:t>Services Financi</w:t>
            </w:r>
          </w:p>
        </w:tc>
        <w:tc>
          <w:tcPr>
            <w:tcW w:type="dxa" w:w="737"/>
            <w:shd w:fill="C6EFCE" w:val="clear"/>
          </w:tcPr>
          <w:p>
            <w:r>
              <w:rPr>
                <w:b/>
                <w:color w:val="006400"/>
                <w:sz w:val="15"/>
              </w:rPr>
              <w:t>15.0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proxy, &lt;10 obs commu</w:t>
            </w:r>
          </w:p>
        </w:tc>
        <w:tc>
          <w:tcPr>
            <w:tcW w:type="dxa" w:w="1134"/>
            <w:shd w:fill="FFFFFF" w:val="clear"/>
          </w:tcPr>
          <w:p>
            <w:r>
              <w:rPr>
                <w:sz w:val="15"/>
              </w:rPr>
              <w:t>Excellente</w:t>
            </w:r>
          </w:p>
        </w:tc>
        <w:tc>
          <w:tcPr>
            <w:tcW w:type="dxa" w:w="1757"/>
            <w:shd w:fill="FFFFFF" w:val="clear"/>
          </w:tcPr>
          <w:p>
            <w:r>
              <w:rPr>
                <w:sz w:val="15"/>
              </w:rPr>
              <w:t>Convergent ✅ / Très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C6EFCE" w:val="clear"/>
          </w:tcPr>
          <w:p>
            <w:r>
              <w:rPr>
                <w:b/>
                <w:color w:val="006400"/>
                <w:sz w:val="15"/>
              </w:rPr>
              <w:t>13.3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9.3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48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2F2F2" w:val="clear"/>
          </w:tcPr>
          <w:p>
            <w:r>
              <w:rPr>
                <w:b/>
                <w:color w:val="505050"/>
                <w:sz w:val="18"/>
              </w:rPr>
              <w:t>⚪ NEUTRE / CONSOLIDATION</w:t>
            </w:r>
          </w:p>
        </w:tc>
      </w:tr>
      <w:tr>
        <w:tc>
          <w:tcPr>
            <w:tcW w:type="dxa" w:w="2835"/>
            <w:shd w:fill="DEEAF1" w:val="clear"/>
          </w:tcPr>
          <w:p>
            <w:r>
              <w:rPr>
                <w:b/>
                <w:sz w:val="18"/>
              </w:rPr>
              <w:t>Variation moyenne J+10</w:t>
            </w:r>
          </w:p>
        </w:tc>
        <w:tc>
          <w:tcPr>
            <w:tcW w:type="dxa" w:w="7370"/>
          </w:tcPr>
          <w:p>
            <w:r>
              <w:rPr>
                <w:b/>
                <w:sz w:val="18"/>
              </w:rPr>
              <w:t>-0.97%  |  Médiane : -1.86%</w:t>
            </w:r>
          </w:p>
        </w:tc>
      </w:tr>
      <w:tr>
        <w:tc>
          <w:tcPr>
            <w:tcW w:type="dxa" w:w="2835"/>
            <w:shd w:fill="DEEAF1" w:val="clear"/>
          </w:tcPr>
          <w:p>
            <w:r>
              <w:rPr>
                <w:b/>
                <w:sz w:val="18"/>
              </w:rPr>
              <w:t>Répartition</w:t>
            </w:r>
          </w:p>
        </w:tc>
        <w:tc>
          <w:tcPr>
            <w:tcW w:type="dxa" w:w="7370"/>
          </w:tcPr>
          <w:p>
            <w:r>
              <w:rPr>
                <w:b/>
                <w:sz w:val="18"/>
              </w:rPr>
              <w:t>📈 12 sociétés en hausse (&gt;+1%)   📉 28 en baisse (&lt;-1%)   ➡️ 5 neutres</w:t>
            </w:r>
          </w:p>
        </w:tc>
      </w:tr>
      <w:tr>
        <w:tc>
          <w:tcPr>
            <w:tcW w:type="dxa" w:w="2835"/>
            <w:shd w:fill="DEEAF1" w:val="clear"/>
          </w:tcPr>
          <w:p>
            <w:r>
              <w:rPr>
                <w:b/>
                <w:sz w:val="18"/>
              </w:rPr>
              <w:t>Confiance globale</w:t>
            </w:r>
          </w:p>
        </w:tc>
        <w:tc>
          <w:tcPr>
            <w:tcW w:type="dxa" w:w="7370"/>
          </w:tcPr>
          <w:p>
            <w:r>
              <w:rPr>
                <w:b/>
                <w:sz w:val="18"/>
              </w:rPr>
              <w:t>Élevée : 0 sociétés (0%)   Moyenne : 9   Faible : 36 (80%)   → Confiance dominante : Faible</w:t>
            </w:r>
          </w:p>
        </w:tc>
      </w:tr>
    </w:tbl>
    <w:p/>
    <w:p>
      <w:r>
        <w:rPr>
          <w:i/>
          <w:color w:val="282828"/>
          <w:sz w:val="18"/>
        </w:rPr>
        <w:t>📝 Analyse : Les modèles n'anticipent pas de mouvement directionnel clair. La variation moyenne est de -0.97% avec 5 sociétés en zone neutre (±1%).</w:t>
      </w:r>
    </w:p>
    <w:p>
      <w:r>
        <w:rPr>
          <w:i/>
          <w:color w:val="282828"/>
          <w:sz w:val="18"/>
        </w:rPr>
        <w:t>🎯 Fiabilité : ⚠️ La confiance est globalement FAIBLE (80%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2,980 FCFA</w:t>
            </w:r>
          </w:p>
        </w:tc>
        <w:tc>
          <w:tcPr>
            <w:tcW w:type="dxa" w:w="1417"/>
            <w:shd w:fill="FFFFFF" w:val="clear"/>
          </w:tcPr>
          <w:p>
            <w:r>
              <w:rPr>
                <w:sz w:val="16"/>
              </w:rPr>
              <w:t>3,409 FCFA</w:t>
            </w:r>
          </w:p>
        </w:tc>
        <w:tc>
          <w:tcPr>
            <w:tcW w:type="dxa" w:w="1134"/>
            <w:shd w:fill="C6EFCE" w:val="clear"/>
          </w:tcPr>
          <w:p>
            <w:r>
              <w:rPr>
                <w:b/>
                <w:color w:val="007800"/>
                <w:sz w:val="16"/>
              </w:rPr>
              <w:t>+14.40%</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21,450 FCFA</w:t>
            </w:r>
          </w:p>
        </w:tc>
        <w:tc>
          <w:tcPr>
            <w:tcW w:type="dxa" w:w="1417"/>
            <w:shd w:fill="FFFFFF" w:val="clear"/>
          </w:tcPr>
          <w:p>
            <w:r>
              <w:rPr>
                <w:sz w:val="16"/>
              </w:rPr>
              <w:t>23,802 FCFA</w:t>
            </w:r>
          </w:p>
        </w:tc>
        <w:tc>
          <w:tcPr>
            <w:tcW w:type="dxa" w:w="1134"/>
            <w:shd w:fill="C6EFCE" w:val="clear"/>
          </w:tcPr>
          <w:p>
            <w:r>
              <w:rPr>
                <w:b/>
                <w:color w:val="007800"/>
                <w:sz w:val="16"/>
              </w:rPr>
              <w:t>+10.97%</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4,620 FCFA</w:t>
            </w:r>
          </w:p>
        </w:tc>
        <w:tc>
          <w:tcPr>
            <w:tcW w:type="dxa" w:w="1417"/>
            <w:shd w:fill="FFFFFF" w:val="clear"/>
          </w:tcPr>
          <w:p>
            <w:r>
              <w:rPr>
                <w:sz w:val="16"/>
              </w:rPr>
              <w:t>5,084 FCFA</w:t>
            </w:r>
          </w:p>
        </w:tc>
        <w:tc>
          <w:tcPr>
            <w:tcW w:type="dxa" w:w="1134"/>
            <w:shd w:fill="C6EFCE" w:val="clear"/>
          </w:tcPr>
          <w:p>
            <w:r>
              <w:rPr>
                <w:b/>
                <w:color w:val="007800"/>
                <w:sz w:val="16"/>
              </w:rPr>
              <w:t>+10.04%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SLBC — SLBC - SOLIBRA COTE D'IVOIRE</w:t>
            </w:r>
          </w:p>
        </w:tc>
        <w:tc>
          <w:tcPr>
            <w:tcW w:type="dxa" w:w="1701"/>
            <w:shd w:fill="FFFFFF" w:val="clear"/>
          </w:tcPr>
          <w:p>
            <w:r>
              <w:rPr>
                <w:sz w:val="16"/>
              </w:rPr>
              <w:t>CONSOMMATION DE BASE</w:t>
            </w:r>
          </w:p>
        </w:tc>
        <w:tc>
          <w:tcPr>
            <w:tcW w:type="dxa" w:w="1417"/>
            <w:shd w:fill="FFFFFF" w:val="clear"/>
          </w:tcPr>
          <w:p>
            <w:r>
              <w:rPr>
                <w:sz w:val="16"/>
              </w:rPr>
              <w:t>37,800 FCFA</w:t>
            </w:r>
          </w:p>
        </w:tc>
        <w:tc>
          <w:tcPr>
            <w:tcW w:type="dxa" w:w="1417"/>
            <w:shd w:fill="FFFFFF" w:val="clear"/>
          </w:tcPr>
          <w:p>
            <w:r>
              <w:rPr>
                <w:sz w:val="16"/>
              </w:rPr>
              <w:t>41,342 FCFA</w:t>
            </w:r>
          </w:p>
        </w:tc>
        <w:tc>
          <w:tcPr>
            <w:tcW w:type="dxa" w:w="1134"/>
            <w:shd w:fill="C6EFCE" w:val="clear"/>
          </w:tcPr>
          <w:p>
            <w:r>
              <w:rPr>
                <w:b/>
                <w:color w:val="007800"/>
                <w:sz w:val="16"/>
              </w:rPr>
              <w:t>+9.37%</w:t>
            </w:r>
          </w:p>
        </w:tc>
        <w:tc>
          <w:tcPr>
            <w:tcW w:type="dxa" w:w="1020"/>
            <w:shd w:fill="FFEB9C" w:val="clear"/>
          </w:tcPr>
          <w:p>
            <w:r>
              <w:rPr>
                <w:sz w:val="16"/>
              </w:rPr>
              <w:t>Moyenne</w:t>
            </w:r>
          </w:p>
        </w:tc>
      </w:tr>
      <w:tr>
        <w:tc>
          <w:tcPr>
            <w:tcW w:type="dxa" w:w="680"/>
            <w:shd w:fill="FFFFFF" w:val="clear"/>
          </w:tcPr>
          <w:p>
            <w:r>
              <w:rPr>
                <w:b/>
                <w:sz w:val="16"/>
              </w:rPr>
              <w:t>#5</w:t>
            </w:r>
          </w:p>
        </w:tc>
        <w:tc>
          <w:tcPr>
            <w:tcW w:type="dxa" w:w="2835"/>
            <w:shd w:fill="C6EFCE" w:val="clear"/>
          </w:tcPr>
          <w:p>
            <w:r>
              <w:rPr>
                <w:sz w:val="16"/>
              </w:rPr>
              <w:t>SDCC — SDCC - Société de Distribution d'Ea...</w:t>
            </w:r>
          </w:p>
        </w:tc>
        <w:tc>
          <w:tcPr>
            <w:tcW w:type="dxa" w:w="1701"/>
            <w:shd w:fill="FFFFFF" w:val="clear"/>
          </w:tcPr>
          <w:p>
            <w:r>
              <w:rPr>
                <w:sz w:val="16"/>
              </w:rPr>
              <w:t>SERVICES PUBLICS</w:t>
            </w:r>
          </w:p>
        </w:tc>
        <w:tc>
          <w:tcPr>
            <w:tcW w:type="dxa" w:w="1417"/>
            <w:shd w:fill="FFFFFF" w:val="clear"/>
          </w:tcPr>
          <w:p>
            <w:r>
              <w:rPr>
                <w:sz w:val="16"/>
              </w:rPr>
              <w:t>12,450 FCFA</w:t>
            </w:r>
          </w:p>
        </w:tc>
        <w:tc>
          <w:tcPr>
            <w:tcW w:type="dxa" w:w="1417"/>
            <w:shd w:fill="FFFFFF" w:val="clear"/>
          </w:tcPr>
          <w:p>
            <w:r>
              <w:rPr>
                <w:sz w:val="16"/>
              </w:rPr>
              <w:t>13,453 FCFA</w:t>
            </w:r>
          </w:p>
        </w:tc>
        <w:tc>
          <w:tcPr>
            <w:tcW w:type="dxa" w:w="1134"/>
            <w:shd w:fill="C6EFCE" w:val="clear"/>
          </w:tcPr>
          <w:p>
            <w:r>
              <w:rPr>
                <w:b/>
                <w:color w:val="007800"/>
                <w:sz w:val="16"/>
              </w:rPr>
              <w:t>+8.06%</w:t>
            </w:r>
          </w:p>
        </w:tc>
        <w:tc>
          <w:tcPr>
            <w:tcW w:type="dxa" w:w="1020"/>
            <w:shd w:fill="FFC7CE" w:val="clear"/>
          </w:tcPr>
          <w:p>
            <w:r>
              <w:rPr>
                <w:sz w:val="16"/>
              </w:rPr>
              <w:t>Faible</w:t>
            </w:r>
          </w:p>
        </w:tc>
      </w:tr>
    </w:tbl>
    <w:p/>
    <w:p>
      <w:pPr>
        <w:pStyle w:val="ListBullet"/>
      </w:pPr>
      <w:r>
        <w:rPr>
          <w:b/>
          <w:color w:val="006400"/>
          <w:sz w:val="18"/>
        </w:rPr>
        <w:t xml:space="preserve">#1 SCRC </w:t>
      </w:r>
      <w:r>
        <w:rPr>
          <w:sz w:val="17"/>
        </w:rPr>
        <w:t>(SCRC - SUCRIVOIRE) — hausse significative (+14.4%) — potentiel de revalorisation notable. Trajectoire : 📈 Hausse continue. Cours actuel : 2,980 FCFA → prédit J+10 : 3,409 FCFA. ⚠️ Confiance limitée — volatilité élevée ou données insuffisantes. Résultat indicatif uniquement.</w:t>
      </w:r>
    </w:p>
    <w:p>
      <w:pPr>
        <w:pStyle w:val="ListBullet"/>
      </w:pPr>
      <w:r>
        <w:rPr>
          <w:b/>
          <w:color w:val="006400"/>
          <w:sz w:val="18"/>
        </w:rPr>
        <w:t xml:space="preserve">#2 STBC </w:t>
      </w:r>
      <w:r>
        <w:rPr>
          <w:sz w:val="17"/>
        </w:rPr>
        <w:t>(STBC - SITAB COTE D'IVOIRE) — hausse significative (+11.0%) — potentiel de revalorisation notable. Trajectoire : 📈 Hausse continue. Cours actuel : 21,450 FCFA → prédit J+10 : 23,802 FCFA. ⚠️ Confiance limitée — volatilité élevée ou données insuffisantes. Résultat indicatif uniquement.</w:t>
      </w:r>
    </w:p>
    <w:p>
      <w:pPr>
        <w:pStyle w:val="ListBullet"/>
      </w:pPr>
      <w:r>
        <w:rPr>
          <w:b/>
          <w:color w:val="006400"/>
          <w:sz w:val="18"/>
        </w:rPr>
        <w:t xml:space="preserve">#3 SAFC </w:t>
      </w:r>
      <w:r>
        <w:rPr>
          <w:sz w:val="17"/>
        </w:rPr>
        <w:t>(SAFCA CI) — hausse significative (+10.0%) — potentiel de revalorisation notable. Trajectoire : 📈 Hausse continue. Cours actuel : 4,620 FCFA → prédit J+10 : 5,084 FCFA. ⚠️ Confiance limitée — volatilité élevée ou données insuffisantes. Résultat indicatif uniquement.</w:t>
      </w:r>
    </w:p>
    <w:p>
      <w:pPr>
        <w:pStyle w:val="ListBullet"/>
      </w:pPr>
      <w:r>
        <w:rPr>
          <w:b/>
          <w:color w:val="006400"/>
          <w:sz w:val="18"/>
        </w:rPr>
        <w:t xml:space="preserve">#4 SLBC </w:t>
      </w:r>
      <w:r>
        <w:rPr>
          <w:sz w:val="17"/>
        </w:rPr>
        <w:t>(SLBC - SOLIBRA COTE D'IVOIRE) — hausse modérée (+9.4%) — signal raisonnable et crédible. Trajectoire : 📈 Hausse continue. Cours actuel : 37,800 FCFA → prédit J+10 : 41,342 FCFA. Confiance partielle — les premiers jours sont fiables, les jours lointains moins précis.</w:t>
      </w:r>
    </w:p>
    <w:p>
      <w:pPr>
        <w:pStyle w:val="ListBullet"/>
      </w:pPr>
      <w:r>
        <w:rPr>
          <w:b/>
          <w:color w:val="006400"/>
          <w:sz w:val="18"/>
        </w:rPr>
        <w:t xml:space="preserve">#5 SDCC </w:t>
      </w:r>
      <w:r>
        <w:rPr>
          <w:sz w:val="17"/>
        </w:rPr>
        <w:t>(SDCC - Société de Distribution d'Eau de ) — hausse modérée (+8.1%) — signal raisonnable et crédible. Trajectoire : 📈 Hausse continue. Cours actuel : 12,450 FCFA → prédit J+10 : 13,453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32,490 FCFA</w:t>
            </w:r>
          </w:p>
        </w:tc>
        <w:tc>
          <w:tcPr>
            <w:tcW w:type="dxa" w:w="1417"/>
            <w:shd w:fill="FFFFFF" w:val="clear"/>
          </w:tcPr>
          <w:p>
            <w:r>
              <w:rPr>
                <w:sz w:val="16"/>
              </w:rPr>
              <w:t>28,303 FCFA</w:t>
            </w:r>
          </w:p>
        </w:tc>
        <w:tc>
          <w:tcPr>
            <w:tcW w:type="dxa" w:w="1134"/>
            <w:shd w:fill="FFC7CE" w:val="clear"/>
          </w:tcPr>
          <w:p>
            <w:r>
              <w:rPr>
                <w:b/>
                <w:color w:val="B40000"/>
                <w:sz w:val="16"/>
              </w:rPr>
              <w:t>-12.89%</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SHEC — SHEC - VIVO ENERGY COTE D'IVOIRE</w:t>
            </w:r>
          </w:p>
        </w:tc>
        <w:tc>
          <w:tcPr>
            <w:tcW w:type="dxa" w:w="1701"/>
            <w:shd w:fill="FFFFFF" w:val="clear"/>
          </w:tcPr>
          <w:p>
            <w:r>
              <w:rPr>
                <w:sz w:val="16"/>
              </w:rPr>
              <w:t>ENERGIE</w:t>
            </w:r>
          </w:p>
        </w:tc>
        <w:tc>
          <w:tcPr>
            <w:tcW w:type="dxa" w:w="1417"/>
            <w:shd w:fill="FFFFFF" w:val="clear"/>
          </w:tcPr>
          <w:p>
            <w:r>
              <w:rPr>
                <w:sz w:val="16"/>
              </w:rPr>
              <w:t>2,390 FCFA</w:t>
            </w:r>
          </w:p>
        </w:tc>
        <w:tc>
          <w:tcPr>
            <w:tcW w:type="dxa" w:w="1417"/>
            <w:shd w:fill="FFFFFF" w:val="clear"/>
          </w:tcPr>
          <w:p>
            <w:r>
              <w:rPr>
                <w:sz w:val="16"/>
              </w:rPr>
              <w:t>2,173 FCFA</w:t>
            </w:r>
          </w:p>
        </w:tc>
        <w:tc>
          <w:tcPr>
            <w:tcW w:type="dxa" w:w="1134"/>
            <w:shd w:fill="FFC7CE" w:val="clear"/>
          </w:tcPr>
          <w:p>
            <w:r>
              <w:rPr>
                <w:b/>
                <w:color w:val="B40000"/>
                <w:sz w:val="16"/>
              </w:rPr>
              <w:t>-9.08%</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TTLC — TTLC - TOTAL ENERGIES MARKETING COT...</w:t>
            </w:r>
          </w:p>
        </w:tc>
        <w:tc>
          <w:tcPr>
            <w:tcW w:type="dxa" w:w="1701"/>
            <w:shd w:fill="FFFFFF" w:val="clear"/>
          </w:tcPr>
          <w:p>
            <w:r>
              <w:rPr>
                <w:sz w:val="16"/>
              </w:rPr>
              <w:t>ENERGIE</w:t>
            </w:r>
          </w:p>
        </w:tc>
        <w:tc>
          <w:tcPr>
            <w:tcW w:type="dxa" w:w="1417"/>
            <w:shd w:fill="FFFFFF" w:val="clear"/>
          </w:tcPr>
          <w:p>
            <w:r>
              <w:rPr>
                <w:sz w:val="16"/>
              </w:rPr>
              <w:t>3,150 FCFA</w:t>
            </w:r>
          </w:p>
        </w:tc>
        <w:tc>
          <w:tcPr>
            <w:tcW w:type="dxa" w:w="1417"/>
            <w:shd w:fill="FFFFFF" w:val="clear"/>
          </w:tcPr>
          <w:p>
            <w:r>
              <w:rPr>
                <w:sz w:val="16"/>
              </w:rPr>
              <w:t>2,888 FCFA</w:t>
            </w:r>
          </w:p>
        </w:tc>
        <w:tc>
          <w:tcPr>
            <w:tcW w:type="dxa" w:w="1134"/>
            <w:shd w:fill="FFC7CE" w:val="clear"/>
          </w:tcPr>
          <w:p>
            <w:r>
              <w:rPr>
                <w:b/>
                <w:color w:val="B40000"/>
                <w:sz w:val="16"/>
              </w:rPr>
              <w:t>-8.32%</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6,450 FCFA</w:t>
            </w:r>
          </w:p>
        </w:tc>
        <w:tc>
          <w:tcPr>
            <w:tcW w:type="dxa" w:w="1417"/>
            <w:shd w:fill="FFFFFF" w:val="clear"/>
          </w:tcPr>
          <w:p>
            <w:r>
              <w:rPr>
                <w:sz w:val="16"/>
              </w:rPr>
              <w:t>5,930 FCFA</w:t>
            </w:r>
          </w:p>
        </w:tc>
        <w:tc>
          <w:tcPr>
            <w:tcW w:type="dxa" w:w="1134"/>
            <w:shd w:fill="FFC7CE" w:val="clear"/>
          </w:tcPr>
          <w:p>
            <w:r>
              <w:rPr>
                <w:b/>
                <w:color w:val="B40000"/>
                <w:sz w:val="16"/>
              </w:rPr>
              <w:t>-8.07%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3,400 FCFA</w:t>
            </w:r>
          </w:p>
        </w:tc>
        <w:tc>
          <w:tcPr>
            <w:tcW w:type="dxa" w:w="1417"/>
            <w:shd w:fill="FFFFFF" w:val="clear"/>
          </w:tcPr>
          <w:p>
            <w:r>
              <w:rPr>
                <w:sz w:val="16"/>
              </w:rPr>
              <w:t>3,173 FCFA</w:t>
            </w:r>
          </w:p>
        </w:tc>
        <w:tc>
          <w:tcPr>
            <w:tcW w:type="dxa" w:w="1134"/>
            <w:shd w:fill="FFC7CE" w:val="clear"/>
          </w:tcPr>
          <w:p>
            <w:r>
              <w:rPr>
                <w:b/>
                <w:color w:val="B40000"/>
                <w:sz w:val="16"/>
              </w:rPr>
              <w:t>-6.68%</w:t>
            </w:r>
          </w:p>
        </w:tc>
        <w:tc>
          <w:tcPr>
            <w:tcW w:type="dxa" w:w="1020"/>
            <w:shd w:fill="FFC7CE" w:val="clear"/>
          </w:tcPr>
          <w:p>
            <w:r>
              <w:rPr>
                <w:sz w:val="16"/>
              </w:rPr>
              <w:t>Faible</w:t>
            </w:r>
          </w:p>
        </w:tc>
      </w:tr>
    </w:tbl>
    <w:p/>
    <w:p>
      <w:pPr>
        <w:pStyle w:val="ListBullet"/>
      </w:pPr>
      <w:r>
        <w:rPr>
          <w:b/>
          <w:color w:val="B40000"/>
          <w:sz w:val="18"/>
        </w:rPr>
        <w:t xml:space="preserve">#1 CBIBF </w:t>
      </w:r>
      <w:r>
        <w:rPr>
          <w:sz w:val="17"/>
        </w:rPr>
        <w:t>(CBIBF - CORIS BANK INTERNATIONAL BURKINA) — baisse modérée (-12.9%) — repli technique attendu. Trajectoire : 📉 Baisse continue. Cours actuel : 32,490 FCFA → prédit J+10 : 28,303 FCFA. ⚠️ Confiance limitée — volatilité élevée. Ne pas agir sur ce seul signal.</w:t>
      </w:r>
    </w:p>
    <w:p>
      <w:pPr>
        <w:pStyle w:val="ListBullet"/>
      </w:pPr>
      <w:r>
        <w:rPr>
          <w:b/>
          <w:color w:val="B40000"/>
          <w:sz w:val="18"/>
        </w:rPr>
        <w:t xml:space="preserve">#2 SHEC </w:t>
      </w:r>
      <w:r>
        <w:rPr>
          <w:sz w:val="17"/>
        </w:rPr>
        <w:t>(SHEC - VIVO ENERGY COTE D'IVOIRE) — baisse modérée (-9.1%) — repli technique attendu. Trajectoire : 📉 Baisse continue. Cours actuel : 2,390 FCFA → prédit J+10 : 2,173 FCFA. ⚠️ Confiance limitée — volatilité élevée. Ne pas agir sur ce seul signal.</w:t>
      </w:r>
    </w:p>
    <w:p>
      <w:pPr>
        <w:pStyle w:val="ListBullet"/>
      </w:pPr>
      <w:r>
        <w:rPr>
          <w:b/>
          <w:color w:val="B40000"/>
          <w:sz w:val="18"/>
        </w:rPr>
        <w:t xml:space="preserve">#3 TTLC </w:t>
      </w:r>
      <w:r>
        <w:rPr>
          <w:sz w:val="17"/>
        </w:rPr>
        <w:t>(TTLC - TOTAL ENERGIES MARKETING COTE D'I) — baisse modérée (-8.3%) — repli technique attendu. Trajectoire : 📉 Baisse continue. Cours actuel : 3,150 FCFA → prédit J+10 : 2,888 FCFA. ⚠️ Confiance limitée — volatilité élevée. Ne pas agir sur ce seul signal.</w:t>
      </w:r>
    </w:p>
    <w:p>
      <w:pPr>
        <w:pStyle w:val="ListBullet"/>
      </w:pPr>
      <w:r>
        <w:rPr>
          <w:b/>
          <w:color w:val="B40000"/>
          <w:sz w:val="18"/>
        </w:rPr>
        <w:t xml:space="preserve">#4 CIEC </w:t>
      </w:r>
      <w:r>
        <w:rPr>
          <w:sz w:val="17"/>
        </w:rPr>
        <w:t>(CIEC - Compagnie Ivoirienne d'Electricit) — baisse modérée (-8.1%) — repli technique attendu. Trajectoire : 📉 Baisse continue. Cours actuel : 6,450 FCFA → prédit J+10 : 5,930 FCFA. ⚠️ Confiance limitée — volatilité élevée. Ne pas agir sur ce seul signal.</w:t>
      </w:r>
    </w:p>
    <w:p>
      <w:pPr>
        <w:pStyle w:val="ListBullet"/>
      </w:pPr>
      <w:r>
        <w:rPr>
          <w:b/>
          <w:color w:val="B40000"/>
          <w:sz w:val="18"/>
        </w:rPr>
        <w:t xml:space="preserve">#5 CABC </w:t>
      </w:r>
      <w:r>
        <w:rPr>
          <w:sz w:val="17"/>
        </w:rPr>
        <w:t>(CABC - SICABLE COTE D'IVOIRE) — baisse modérée (-6.7%) — repli technique attendu. Trajectoire : 📉 Baisse continue. Cours actuel : 3,400 FCFA → prédit J+10 : 3,173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2,980</w:t>
            </w:r>
          </w:p>
        </w:tc>
        <w:tc>
          <w:tcPr>
            <w:tcW w:type="dxa" w:w="1417"/>
            <w:shd w:fill="FFFFFF" w:val="clear"/>
          </w:tcPr>
          <w:p>
            <w:r>
              <w:rPr>
                <w:sz w:val="16"/>
              </w:rPr>
              <w:t>3,409</w:t>
            </w:r>
          </w:p>
        </w:tc>
        <w:tc>
          <w:tcPr>
            <w:tcW w:type="dxa" w:w="1134"/>
            <w:shd w:fill="C6EFCE" w:val="clear"/>
          </w:tcPr>
          <w:p>
            <w:r>
              <w:rPr>
                <w:b/>
                <w:color w:val="007800"/>
                <w:sz w:val="16"/>
              </w:rPr>
              <w:t>+14.40%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21,450</w:t>
            </w:r>
          </w:p>
        </w:tc>
        <w:tc>
          <w:tcPr>
            <w:tcW w:type="dxa" w:w="1417"/>
            <w:shd w:fill="FFFFFF" w:val="clear"/>
          </w:tcPr>
          <w:p>
            <w:r>
              <w:rPr>
                <w:sz w:val="16"/>
              </w:rPr>
              <w:t>23,802</w:t>
            </w:r>
          </w:p>
        </w:tc>
        <w:tc>
          <w:tcPr>
            <w:tcW w:type="dxa" w:w="1134"/>
            <w:shd w:fill="C6EFCE" w:val="clear"/>
          </w:tcPr>
          <w:p>
            <w:r>
              <w:rPr>
                <w:b/>
                <w:color w:val="007800"/>
                <w:sz w:val="16"/>
              </w:rPr>
              <w:t>+10.97%</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4,620</w:t>
            </w:r>
          </w:p>
        </w:tc>
        <w:tc>
          <w:tcPr>
            <w:tcW w:type="dxa" w:w="1417"/>
            <w:shd w:fill="FFFFFF" w:val="clear"/>
          </w:tcPr>
          <w:p>
            <w:r>
              <w:rPr>
                <w:sz w:val="16"/>
              </w:rPr>
              <w:t>5,084</w:t>
            </w:r>
          </w:p>
        </w:tc>
        <w:tc>
          <w:tcPr>
            <w:tcW w:type="dxa" w:w="1134"/>
            <w:shd w:fill="C6EFCE" w:val="clear"/>
          </w:tcPr>
          <w:p>
            <w:r>
              <w:rPr>
                <w:b/>
                <w:color w:val="007800"/>
                <w:sz w:val="16"/>
              </w:rPr>
              <w:t>+10.04%</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37,800</w:t>
            </w:r>
          </w:p>
        </w:tc>
        <w:tc>
          <w:tcPr>
            <w:tcW w:type="dxa" w:w="1417"/>
            <w:shd w:fill="FFFFFF" w:val="clear"/>
          </w:tcPr>
          <w:p>
            <w:r>
              <w:rPr>
                <w:sz w:val="16"/>
              </w:rPr>
              <w:t>41,342</w:t>
            </w:r>
          </w:p>
        </w:tc>
        <w:tc>
          <w:tcPr>
            <w:tcW w:type="dxa" w:w="1134"/>
            <w:shd w:fill="C6EFCE" w:val="clear"/>
          </w:tcPr>
          <w:p>
            <w:r>
              <w:rPr>
                <w:b/>
                <w:color w:val="007800"/>
                <w:sz w:val="16"/>
              </w:rPr>
              <w:t>+9.37%</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12,450</w:t>
            </w:r>
          </w:p>
        </w:tc>
        <w:tc>
          <w:tcPr>
            <w:tcW w:type="dxa" w:w="1417"/>
            <w:shd w:fill="FFFFFF" w:val="clear"/>
          </w:tcPr>
          <w:p>
            <w:r>
              <w:rPr>
                <w:sz w:val="16"/>
              </w:rPr>
              <w:t>13,453</w:t>
            </w:r>
          </w:p>
        </w:tc>
        <w:tc>
          <w:tcPr>
            <w:tcW w:type="dxa" w:w="1134"/>
            <w:shd w:fill="C6EFCE" w:val="clear"/>
          </w:tcPr>
          <w:p>
            <w:r>
              <w:rPr>
                <w:b/>
                <w:color w:val="007800"/>
                <w:sz w:val="16"/>
              </w:rPr>
              <w:t>+8.06%</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6,245</w:t>
            </w:r>
          </w:p>
        </w:tc>
        <w:tc>
          <w:tcPr>
            <w:tcW w:type="dxa" w:w="1417"/>
            <w:shd w:fill="FFFFFF" w:val="clear"/>
          </w:tcPr>
          <w:p>
            <w:r>
              <w:rPr>
                <w:sz w:val="16"/>
              </w:rPr>
              <w:t>6,717</w:t>
            </w:r>
          </w:p>
        </w:tc>
        <w:tc>
          <w:tcPr>
            <w:tcW w:type="dxa" w:w="1134"/>
            <w:shd w:fill="C6EFCE" w:val="clear"/>
          </w:tcPr>
          <w:p>
            <w:r>
              <w:rPr>
                <w:b/>
                <w:color w:val="007800"/>
                <w:sz w:val="16"/>
              </w:rPr>
              <w:t>+7.56%</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8,510</w:t>
            </w:r>
          </w:p>
        </w:tc>
        <w:tc>
          <w:tcPr>
            <w:tcW w:type="dxa" w:w="1417"/>
            <w:shd w:fill="FFFFFF" w:val="clear"/>
          </w:tcPr>
          <w:p>
            <w:r>
              <w:rPr>
                <w:sz w:val="16"/>
              </w:rPr>
              <w:t>9,114</w:t>
            </w:r>
          </w:p>
        </w:tc>
        <w:tc>
          <w:tcPr>
            <w:tcW w:type="dxa" w:w="1134"/>
            <w:shd w:fill="C6EFCE" w:val="clear"/>
          </w:tcPr>
          <w:p>
            <w:r>
              <w:rPr>
                <w:b/>
                <w:color w:val="007800"/>
                <w:sz w:val="16"/>
              </w:rPr>
              <w:t>+7.10%</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3,895</w:t>
            </w:r>
          </w:p>
        </w:tc>
        <w:tc>
          <w:tcPr>
            <w:tcW w:type="dxa" w:w="1417"/>
            <w:shd w:fill="FFFFFF" w:val="clear"/>
          </w:tcPr>
          <w:p>
            <w:r>
              <w:rPr>
                <w:sz w:val="16"/>
              </w:rPr>
              <w:t>4,153</w:t>
            </w:r>
          </w:p>
        </w:tc>
        <w:tc>
          <w:tcPr>
            <w:tcW w:type="dxa" w:w="1134"/>
            <w:shd w:fill="C6EFCE" w:val="clear"/>
          </w:tcPr>
          <w:p>
            <w:r>
              <w:rPr>
                <w:b/>
                <w:color w:val="007800"/>
                <w:sz w:val="16"/>
              </w:rPr>
              <w:t>+6.62%</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3,620</w:t>
            </w:r>
          </w:p>
        </w:tc>
        <w:tc>
          <w:tcPr>
            <w:tcW w:type="dxa" w:w="1417"/>
            <w:shd w:fill="FFFFFF" w:val="clear"/>
          </w:tcPr>
          <w:p>
            <w:r>
              <w:rPr>
                <w:sz w:val="16"/>
              </w:rPr>
              <w:t>3,761</w:t>
            </w:r>
          </w:p>
        </w:tc>
        <w:tc>
          <w:tcPr>
            <w:tcW w:type="dxa" w:w="1134"/>
            <w:shd w:fill="C6EFCE" w:val="clear"/>
          </w:tcPr>
          <w:p>
            <w:r>
              <w:rPr>
                <w:b/>
                <w:color w:val="007800"/>
                <w:sz w:val="16"/>
              </w:rPr>
              <w:t>+3.90%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1,615</w:t>
            </w:r>
          </w:p>
        </w:tc>
        <w:tc>
          <w:tcPr>
            <w:tcW w:type="dxa" w:w="1417"/>
            <w:shd w:fill="FFFFFF" w:val="clear"/>
          </w:tcPr>
          <w:p>
            <w:r>
              <w:rPr>
                <w:sz w:val="16"/>
              </w:rPr>
              <w:t>1,647</w:t>
            </w:r>
          </w:p>
        </w:tc>
        <w:tc>
          <w:tcPr>
            <w:tcW w:type="dxa" w:w="1134"/>
            <w:shd w:fill="C6EFCE" w:val="clear"/>
          </w:tcPr>
          <w:p>
            <w:r>
              <w:rPr>
                <w:b/>
                <w:color w:val="007800"/>
                <w:sz w:val="16"/>
              </w:rPr>
              <w:t>+1.96%</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3,000</w:t>
            </w:r>
          </w:p>
        </w:tc>
        <w:tc>
          <w:tcPr>
            <w:tcW w:type="dxa" w:w="1417"/>
            <w:shd w:fill="FFFFFF" w:val="clear"/>
          </w:tcPr>
          <w:p>
            <w:r>
              <w:rPr>
                <w:sz w:val="16"/>
              </w:rPr>
              <w:t>3,052</w:t>
            </w:r>
          </w:p>
        </w:tc>
        <w:tc>
          <w:tcPr>
            <w:tcW w:type="dxa" w:w="1134"/>
            <w:shd w:fill="C6EFCE" w:val="clear"/>
          </w:tcPr>
          <w:p>
            <w:r>
              <w:rPr>
                <w:b/>
                <w:color w:val="007800"/>
                <w:sz w:val="16"/>
              </w:rPr>
              <w:t>+1.72%</w:t>
            </w:r>
          </w:p>
        </w:tc>
        <w:tc>
          <w:tcPr>
            <w:tcW w:type="dxa" w:w="1134"/>
            <w:shd w:fill="FFC7CE" w:val="clear"/>
          </w:tcPr>
          <w:p>
            <w:r>
              <w:rPr>
                <w:sz w:val="16"/>
              </w:rPr>
              <w:t>Faible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7,600</w:t>
            </w:r>
          </w:p>
        </w:tc>
        <w:tc>
          <w:tcPr>
            <w:tcW w:type="dxa" w:w="1417"/>
            <w:shd w:fill="FFFFFF" w:val="clear"/>
          </w:tcPr>
          <w:p>
            <w:r>
              <w:rPr>
                <w:sz w:val="16"/>
              </w:rPr>
              <w:t>7,680</w:t>
            </w:r>
          </w:p>
        </w:tc>
        <w:tc>
          <w:tcPr>
            <w:tcW w:type="dxa" w:w="1134"/>
            <w:shd w:fill="C6EFCE" w:val="clear"/>
          </w:tcPr>
          <w:p>
            <w:r>
              <w:rPr>
                <w:b/>
                <w:color w:val="007800"/>
                <w:sz w:val="16"/>
              </w:rPr>
              <w:t>+1.06%</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15,300</w:t>
            </w:r>
          </w:p>
        </w:tc>
        <w:tc>
          <w:tcPr>
            <w:tcW w:type="dxa" w:w="1417"/>
            <w:shd w:fill="FFFFFF" w:val="clear"/>
          </w:tcPr>
          <w:p>
            <w:r>
              <w:rPr>
                <w:sz w:val="16"/>
              </w:rPr>
              <w:t>15,432</w:t>
            </w:r>
          </w:p>
        </w:tc>
        <w:tc>
          <w:tcPr>
            <w:tcW w:type="dxa" w:w="1134"/>
            <w:shd w:fill="FFEB9C" w:val="clear"/>
          </w:tcPr>
          <w:p>
            <w:r>
              <w:rPr>
                <w:b/>
                <w:color w:val="646400"/>
                <w:sz w:val="16"/>
              </w:rPr>
              <w:t>+0.86%</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17,000</w:t>
            </w:r>
          </w:p>
        </w:tc>
        <w:tc>
          <w:tcPr>
            <w:tcW w:type="dxa" w:w="1417"/>
            <w:shd w:fill="FFFFFF" w:val="clear"/>
          </w:tcPr>
          <w:p>
            <w:r>
              <w:rPr>
                <w:sz w:val="16"/>
              </w:rPr>
              <w:t>17,137</w:t>
            </w:r>
          </w:p>
        </w:tc>
        <w:tc>
          <w:tcPr>
            <w:tcW w:type="dxa" w:w="1134"/>
            <w:shd w:fill="FFEB9C" w:val="clear"/>
          </w:tcPr>
          <w:p>
            <w:r>
              <w:rPr>
                <w:b/>
                <w:color w:val="646400"/>
                <w:sz w:val="16"/>
              </w:rPr>
              <w:t>+0.80%</w:t>
            </w:r>
          </w:p>
        </w:tc>
        <w:tc>
          <w:tcPr>
            <w:tcW w:type="dxa" w:w="1134"/>
            <w:shd w:fill="FFEB9C" w:val="clear"/>
          </w:tcPr>
          <w:p>
            <w:r>
              <w:rPr>
                <w:sz w:val="16"/>
              </w:rPr>
              <w:t>Moyenne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22,410</w:t>
            </w:r>
          </w:p>
        </w:tc>
        <w:tc>
          <w:tcPr>
            <w:tcW w:type="dxa" w:w="1417"/>
            <w:shd w:fill="FFFFFF" w:val="clear"/>
          </w:tcPr>
          <w:p>
            <w:r>
              <w:rPr>
                <w:sz w:val="16"/>
              </w:rPr>
              <w:t>22,496</w:t>
            </w:r>
          </w:p>
        </w:tc>
        <w:tc>
          <w:tcPr>
            <w:tcW w:type="dxa" w:w="1134"/>
            <w:shd w:fill="FFEB9C" w:val="clear"/>
          </w:tcPr>
          <w:p>
            <w:r>
              <w:rPr>
                <w:b/>
                <w:color w:val="646400"/>
                <w:sz w:val="16"/>
              </w:rPr>
              <w:t>+0.38%</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51,000</w:t>
            </w:r>
          </w:p>
        </w:tc>
        <w:tc>
          <w:tcPr>
            <w:tcW w:type="dxa" w:w="1417"/>
            <w:shd w:fill="FFFFFF" w:val="clear"/>
          </w:tcPr>
          <w:p>
            <w:r>
              <w:rPr>
                <w:sz w:val="16"/>
              </w:rPr>
              <w:t>50,724</w:t>
            </w:r>
          </w:p>
        </w:tc>
        <w:tc>
          <w:tcPr>
            <w:tcW w:type="dxa" w:w="1134"/>
            <w:shd w:fill="FFEB9C" w:val="clear"/>
          </w:tcPr>
          <w:p>
            <w:r>
              <w:rPr>
                <w:b/>
                <w:color w:val="646400"/>
                <w:sz w:val="16"/>
              </w:rPr>
              <w:t>-0.54%</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21,500</w:t>
            </w:r>
          </w:p>
        </w:tc>
        <w:tc>
          <w:tcPr>
            <w:tcW w:type="dxa" w:w="1417"/>
            <w:shd w:fill="FFFFFF" w:val="clear"/>
          </w:tcPr>
          <w:p>
            <w:r>
              <w:rPr>
                <w:sz w:val="16"/>
              </w:rPr>
              <w:t>21,348</w:t>
            </w:r>
          </w:p>
        </w:tc>
        <w:tc>
          <w:tcPr>
            <w:tcW w:type="dxa" w:w="1134"/>
            <w:shd w:fill="FFEB9C" w:val="clear"/>
          </w:tcPr>
          <w:p>
            <w:r>
              <w:rPr>
                <w:b/>
                <w:color w:val="646400"/>
                <w:sz w:val="16"/>
              </w:rPr>
              <w:t>-0.71%</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4,150</w:t>
            </w:r>
          </w:p>
        </w:tc>
        <w:tc>
          <w:tcPr>
            <w:tcW w:type="dxa" w:w="1417"/>
            <w:shd w:fill="FFFFFF" w:val="clear"/>
          </w:tcPr>
          <w:p>
            <w:r>
              <w:rPr>
                <w:sz w:val="16"/>
              </w:rPr>
              <w:t>4,105</w:t>
            </w:r>
          </w:p>
        </w:tc>
        <w:tc>
          <w:tcPr>
            <w:tcW w:type="dxa" w:w="1134"/>
            <w:shd w:fill="FFC7CE" w:val="clear"/>
          </w:tcPr>
          <w:p>
            <w:r>
              <w:rPr>
                <w:b/>
                <w:color w:val="B40000"/>
                <w:sz w:val="16"/>
              </w:rPr>
              <w:t>-1.08%</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7,650</w:t>
            </w:r>
          </w:p>
        </w:tc>
        <w:tc>
          <w:tcPr>
            <w:tcW w:type="dxa" w:w="1417"/>
            <w:shd w:fill="FFFFFF" w:val="clear"/>
          </w:tcPr>
          <w:p>
            <w:r>
              <w:rPr>
                <w:sz w:val="16"/>
              </w:rPr>
              <w:t>7,563</w:t>
            </w:r>
          </w:p>
        </w:tc>
        <w:tc>
          <w:tcPr>
            <w:tcW w:type="dxa" w:w="1134"/>
            <w:shd w:fill="FFC7CE" w:val="clear"/>
          </w:tcPr>
          <w:p>
            <w:r>
              <w:rPr>
                <w:b/>
                <w:color w:val="B40000"/>
                <w:sz w:val="16"/>
              </w:rPr>
              <w:t>-1.14%</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9,250</w:t>
            </w:r>
          </w:p>
        </w:tc>
        <w:tc>
          <w:tcPr>
            <w:tcW w:type="dxa" w:w="1417"/>
            <w:shd w:fill="FFFFFF" w:val="clear"/>
          </w:tcPr>
          <w:p>
            <w:r>
              <w:rPr>
                <w:sz w:val="16"/>
              </w:rPr>
              <w:t>9,114</w:t>
            </w:r>
          </w:p>
        </w:tc>
        <w:tc>
          <w:tcPr>
            <w:tcW w:type="dxa" w:w="1134"/>
            <w:shd w:fill="FFC7CE" w:val="clear"/>
          </w:tcPr>
          <w:p>
            <w:r>
              <w:rPr>
                <w:b/>
                <w:color w:val="B40000"/>
                <w:sz w:val="16"/>
              </w:rPr>
              <w:t>-1.47%</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8,200</w:t>
            </w:r>
          </w:p>
        </w:tc>
        <w:tc>
          <w:tcPr>
            <w:tcW w:type="dxa" w:w="1417"/>
            <w:shd w:fill="FFFFFF" w:val="clear"/>
          </w:tcPr>
          <w:p>
            <w:r>
              <w:rPr>
                <w:sz w:val="16"/>
              </w:rPr>
              <w:t>8,071</w:t>
            </w:r>
          </w:p>
        </w:tc>
        <w:tc>
          <w:tcPr>
            <w:tcW w:type="dxa" w:w="1134"/>
            <w:shd w:fill="FFC7CE" w:val="clear"/>
          </w:tcPr>
          <w:p>
            <w:r>
              <w:rPr>
                <w:b/>
                <w:color w:val="B40000"/>
                <w:sz w:val="16"/>
              </w:rPr>
              <w:t>-1.57%</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8,300</w:t>
            </w:r>
          </w:p>
        </w:tc>
        <w:tc>
          <w:tcPr>
            <w:tcW w:type="dxa" w:w="1417"/>
            <w:shd w:fill="FFFFFF" w:val="clear"/>
          </w:tcPr>
          <w:p>
            <w:r>
              <w:rPr>
                <w:sz w:val="16"/>
              </w:rPr>
              <w:t>8,158</w:t>
            </w:r>
          </w:p>
        </w:tc>
        <w:tc>
          <w:tcPr>
            <w:tcW w:type="dxa" w:w="1134"/>
            <w:shd w:fill="FFC7CE" w:val="clear"/>
          </w:tcPr>
          <w:p>
            <w:r>
              <w:rPr>
                <w:b/>
                <w:color w:val="B40000"/>
                <w:sz w:val="16"/>
              </w:rPr>
              <w:t>-1.71%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2,240</w:t>
            </w:r>
          </w:p>
        </w:tc>
        <w:tc>
          <w:tcPr>
            <w:tcW w:type="dxa" w:w="1417"/>
            <w:shd w:fill="FFFFFF" w:val="clear"/>
          </w:tcPr>
          <w:p>
            <w:r>
              <w:rPr>
                <w:sz w:val="16"/>
              </w:rPr>
              <w:t>2,198</w:t>
            </w:r>
          </w:p>
        </w:tc>
        <w:tc>
          <w:tcPr>
            <w:tcW w:type="dxa" w:w="1134"/>
            <w:shd w:fill="FFC7CE" w:val="clear"/>
          </w:tcPr>
          <w:p>
            <w:r>
              <w:rPr>
                <w:b/>
                <w:color w:val="B40000"/>
                <w:sz w:val="16"/>
              </w:rPr>
              <w:t>-1.86%</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3,095</w:t>
            </w:r>
          </w:p>
        </w:tc>
        <w:tc>
          <w:tcPr>
            <w:tcW w:type="dxa" w:w="1417"/>
            <w:shd w:fill="FFFFFF" w:val="clear"/>
          </w:tcPr>
          <w:p>
            <w:r>
              <w:rPr>
                <w:sz w:val="16"/>
              </w:rPr>
              <w:t>3,016</w:t>
            </w:r>
          </w:p>
        </w:tc>
        <w:tc>
          <w:tcPr>
            <w:tcW w:type="dxa" w:w="1134"/>
            <w:shd w:fill="FFC7CE" w:val="clear"/>
          </w:tcPr>
          <w:p>
            <w:r>
              <w:rPr>
                <w:b/>
                <w:color w:val="B40000"/>
                <w:sz w:val="16"/>
              </w:rPr>
              <w:t>-2.56%</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67</w:t>
            </w:r>
          </w:p>
        </w:tc>
        <w:tc>
          <w:tcPr>
            <w:tcW w:type="dxa" w:w="1134"/>
            <w:shd w:fill="FFC7CE" w:val="clear"/>
          </w:tcPr>
          <w:p>
            <w:r>
              <w:rPr>
                <w:b/>
                <w:color w:val="B40000"/>
                <w:sz w:val="16"/>
              </w:rPr>
              <w:t>-2.58%</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2,950</w:t>
            </w:r>
          </w:p>
        </w:tc>
        <w:tc>
          <w:tcPr>
            <w:tcW w:type="dxa" w:w="1417"/>
            <w:shd w:fill="FFFFFF" w:val="clear"/>
          </w:tcPr>
          <w:p>
            <w:r>
              <w:rPr>
                <w:sz w:val="16"/>
              </w:rPr>
              <w:t>2,858</w:t>
            </w:r>
          </w:p>
        </w:tc>
        <w:tc>
          <w:tcPr>
            <w:tcW w:type="dxa" w:w="1134"/>
            <w:shd w:fill="FFC7CE" w:val="clear"/>
          </w:tcPr>
          <w:p>
            <w:r>
              <w:rPr>
                <w:b/>
                <w:color w:val="B40000"/>
                <w:sz w:val="16"/>
              </w:rPr>
              <w:t>-3.12%</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38,400</w:t>
            </w:r>
          </w:p>
        </w:tc>
        <w:tc>
          <w:tcPr>
            <w:tcW w:type="dxa" w:w="1417"/>
            <w:shd w:fill="FFFFFF" w:val="clear"/>
          </w:tcPr>
          <w:p>
            <w:r>
              <w:rPr>
                <w:sz w:val="16"/>
              </w:rPr>
              <w:t>37,152</w:t>
            </w:r>
          </w:p>
        </w:tc>
        <w:tc>
          <w:tcPr>
            <w:tcW w:type="dxa" w:w="1134"/>
            <w:shd w:fill="FFC7CE" w:val="clear"/>
          </w:tcPr>
          <w:p>
            <w:r>
              <w:rPr>
                <w:b/>
                <w:color w:val="B40000"/>
                <w:sz w:val="16"/>
              </w:rPr>
              <w:t>-3.25%</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16,500</w:t>
            </w:r>
          </w:p>
        </w:tc>
        <w:tc>
          <w:tcPr>
            <w:tcW w:type="dxa" w:w="1417"/>
            <w:shd w:fill="FFFFFF" w:val="clear"/>
          </w:tcPr>
          <w:p>
            <w:r>
              <w:rPr>
                <w:sz w:val="16"/>
              </w:rPr>
              <w:t>15,940</w:t>
            </w:r>
          </w:p>
        </w:tc>
        <w:tc>
          <w:tcPr>
            <w:tcW w:type="dxa" w:w="1134"/>
            <w:shd w:fill="FFC7CE" w:val="clear"/>
          </w:tcPr>
          <w:p>
            <w:r>
              <w:rPr>
                <w:b/>
                <w:color w:val="B40000"/>
                <w:sz w:val="16"/>
              </w:rPr>
              <w:t>-3.39%</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2,395</w:t>
            </w:r>
          </w:p>
        </w:tc>
        <w:tc>
          <w:tcPr>
            <w:tcW w:type="dxa" w:w="1417"/>
            <w:shd w:fill="FFFFFF" w:val="clear"/>
          </w:tcPr>
          <w:p>
            <w:r>
              <w:rPr>
                <w:sz w:val="16"/>
              </w:rPr>
              <w:t>2,307</w:t>
            </w:r>
          </w:p>
        </w:tc>
        <w:tc>
          <w:tcPr>
            <w:tcW w:type="dxa" w:w="1134"/>
            <w:shd w:fill="FFC7CE" w:val="clear"/>
          </w:tcPr>
          <w:p>
            <w:r>
              <w:rPr>
                <w:b/>
                <w:color w:val="B40000"/>
                <w:sz w:val="16"/>
              </w:rPr>
              <w:t>-3.66%</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11,500</w:t>
            </w:r>
          </w:p>
        </w:tc>
        <w:tc>
          <w:tcPr>
            <w:tcW w:type="dxa" w:w="1417"/>
            <w:shd w:fill="FFFFFF" w:val="clear"/>
          </w:tcPr>
          <w:p>
            <w:r>
              <w:rPr>
                <w:sz w:val="16"/>
              </w:rPr>
              <w:t>11,055</w:t>
            </w:r>
          </w:p>
        </w:tc>
        <w:tc>
          <w:tcPr>
            <w:tcW w:type="dxa" w:w="1134"/>
            <w:shd w:fill="FFC7CE" w:val="clear"/>
          </w:tcPr>
          <w:p>
            <w:r>
              <w:rPr>
                <w:b/>
                <w:color w:val="B40000"/>
                <w:sz w:val="16"/>
              </w:rPr>
              <w:t>-3.87%</w:t>
            </w:r>
          </w:p>
        </w:tc>
        <w:tc>
          <w:tcPr>
            <w:tcW w:type="dxa" w:w="1134"/>
            <w:shd w:fill="FFEB9C" w:val="clear"/>
          </w:tcPr>
          <w:p>
            <w:r>
              <w:rPr>
                <w:sz w:val="16"/>
              </w:rPr>
              <w:t>Moyenne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8,100</w:t>
            </w:r>
          </w:p>
        </w:tc>
        <w:tc>
          <w:tcPr>
            <w:tcW w:type="dxa" w:w="1417"/>
            <w:shd w:fill="FFFFFF" w:val="clear"/>
          </w:tcPr>
          <w:p>
            <w:r>
              <w:rPr>
                <w:sz w:val="16"/>
              </w:rPr>
              <w:t>7,786</w:t>
            </w:r>
          </w:p>
        </w:tc>
        <w:tc>
          <w:tcPr>
            <w:tcW w:type="dxa" w:w="1134"/>
            <w:shd w:fill="FFC7CE" w:val="clear"/>
          </w:tcPr>
          <w:p>
            <w:r>
              <w:rPr>
                <w:b/>
                <w:color w:val="B40000"/>
                <w:sz w:val="16"/>
              </w:rPr>
              <w:t>-3.87%</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5,510</w:t>
            </w:r>
          </w:p>
        </w:tc>
        <w:tc>
          <w:tcPr>
            <w:tcW w:type="dxa" w:w="1417"/>
            <w:shd w:fill="FFFFFF" w:val="clear"/>
          </w:tcPr>
          <w:p>
            <w:r>
              <w:rPr>
                <w:sz w:val="16"/>
              </w:rPr>
              <w:t>5,294</w:t>
            </w:r>
          </w:p>
        </w:tc>
        <w:tc>
          <w:tcPr>
            <w:tcW w:type="dxa" w:w="1134"/>
            <w:shd w:fill="FFC7CE" w:val="clear"/>
          </w:tcPr>
          <w:p>
            <w:r>
              <w:rPr>
                <w:b/>
                <w:color w:val="B40000"/>
                <w:sz w:val="16"/>
              </w:rPr>
              <w:t>-3.92%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2,000</w:t>
            </w:r>
          </w:p>
        </w:tc>
        <w:tc>
          <w:tcPr>
            <w:tcW w:type="dxa" w:w="1417"/>
            <w:shd w:fill="FFFFFF" w:val="clear"/>
          </w:tcPr>
          <w:p>
            <w:r>
              <w:rPr>
                <w:sz w:val="16"/>
              </w:rPr>
              <w:t>1,917</w:t>
            </w:r>
          </w:p>
        </w:tc>
        <w:tc>
          <w:tcPr>
            <w:tcW w:type="dxa" w:w="1134"/>
            <w:shd w:fill="FFC7CE" w:val="clear"/>
          </w:tcPr>
          <w:p>
            <w:r>
              <w:rPr>
                <w:b/>
                <w:color w:val="B40000"/>
                <w:sz w:val="16"/>
              </w:rPr>
              <w:t>-4.13%</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1,995</w:t>
            </w:r>
          </w:p>
        </w:tc>
        <w:tc>
          <w:tcPr>
            <w:tcW w:type="dxa" w:w="1417"/>
            <w:shd w:fill="FFFFFF" w:val="clear"/>
          </w:tcPr>
          <w:p>
            <w:r>
              <w:rPr>
                <w:sz w:val="16"/>
              </w:rPr>
              <w:t>1,906</w:t>
            </w:r>
          </w:p>
        </w:tc>
        <w:tc>
          <w:tcPr>
            <w:tcW w:type="dxa" w:w="1134"/>
            <w:shd w:fill="FFC7CE" w:val="clear"/>
          </w:tcPr>
          <w:p>
            <w:r>
              <w:rPr>
                <w:b/>
                <w:color w:val="B40000"/>
                <w:sz w:val="16"/>
              </w:rPr>
              <w:t>-4.45%</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32,500</w:t>
            </w:r>
          </w:p>
        </w:tc>
        <w:tc>
          <w:tcPr>
            <w:tcW w:type="dxa" w:w="1417"/>
            <w:shd w:fill="FFFFFF" w:val="clear"/>
          </w:tcPr>
          <w:p>
            <w:r>
              <w:rPr>
                <w:sz w:val="16"/>
              </w:rPr>
              <w:t>30,973</w:t>
            </w:r>
          </w:p>
        </w:tc>
        <w:tc>
          <w:tcPr>
            <w:tcW w:type="dxa" w:w="1134"/>
            <w:shd w:fill="FFC7CE" w:val="clear"/>
          </w:tcPr>
          <w:p>
            <w:r>
              <w:rPr>
                <w:b/>
                <w:color w:val="B40000"/>
                <w:sz w:val="16"/>
              </w:rPr>
              <w:t>-4.70%</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43,000</w:t>
            </w:r>
          </w:p>
        </w:tc>
        <w:tc>
          <w:tcPr>
            <w:tcW w:type="dxa" w:w="1417"/>
            <w:shd w:fill="FFFFFF" w:val="clear"/>
          </w:tcPr>
          <w:p>
            <w:r>
              <w:rPr>
                <w:sz w:val="16"/>
              </w:rPr>
              <w:t>40,876</w:t>
            </w:r>
          </w:p>
        </w:tc>
        <w:tc>
          <w:tcPr>
            <w:tcW w:type="dxa" w:w="1134"/>
            <w:shd w:fill="FFC7CE" w:val="clear"/>
          </w:tcPr>
          <w:p>
            <w:r>
              <w:rPr>
                <w:b/>
                <w:color w:val="B40000"/>
                <w:sz w:val="16"/>
              </w:rPr>
              <w:t>-4.94%</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9,005</w:t>
            </w:r>
          </w:p>
        </w:tc>
        <w:tc>
          <w:tcPr>
            <w:tcW w:type="dxa" w:w="1417"/>
            <w:shd w:fill="FFFFFF" w:val="clear"/>
          </w:tcPr>
          <w:p>
            <w:r>
              <w:rPr>
                <w:sz w:val="16"/>
              </w:rPr>
              <w:t>8,470</w:t>
            </w:r>
          </w:p>
        </w:tc>
        <w:tc>
          <w:tcPr>
            <w:tcW w:type="dxa" w:w="1134"/>
            <w:shd w:fill="FFC7CE" w:val="clear"/>
          </w:tcPr>
          <w:p>
            <w:r>
              <w:rPr>
                <w:b/>
                <w:color w:val="B40000"/>
                <w:sz w:val="16"/>
              </w:rPr>
              <w:t>-5.94%</w:t>
            </w:r>
          </w:p>
        </w:tc>
        <w:tc>
          <w:tcPr>
            <w:tcW w:type="dxa" w:w="1134"/>
            <w:shd w:fill="FFEB9C" w:val="clear"/>
          </w:tcPr>
          <w:p>
            <w:r>
              <w:rPr>
                <w:sz w:val="16"/>
              </w:rPr>
              <w:t>Moyenne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1,990</w:t>
            </w:r>
          </w:p>
        </w:tc>
        <w:tc>
          <w:tcPr>
            <w:tcW w:type="dxa" w:w="1417"/>
            <w:shd w:fill="FFFFFF" w:val="clear"/>
          </w:tcPr>
          <w:p>
            <w:r>
              <w:rPr>
                <w:sz w:val="16"/>
              </w:rPr>
              <w:t>1,868</w:t>
            </w:r>
          </w:p>
        </w:tc>
        <w:tc>
          <w:tcPr>
            <w:tcW w:type="dxa" w:w="1134"/>
            <w:shd w:fill="FFC7CE" w:val="clear"/>
          </w:tcPr>
          <w:p>
            <w:r>
              <w:rPr>
                <w:b/>
                <w:color w:val="B40000"/>
                <w:sz w:val="16"/>
              </w:rPr>
              <w:t>-6.13%</w:t>
            </w:r>
          </w:p>
        </w:tc>
        <w:tc>
          <w:tcPr>
            <w:tcW w:type="dxa" w:w="1134"/>
            <w:shd w:fill="FFEB9C" w:val="clear"/>
          </w:tcPr>
          <w:p>
            <w:r>
              <w:rPr>
                <w:sz w:val="16"/>
              </w:rPr>
              <w:t>Moyenne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2,400</w:t>
            </w:r>
          </w:p>
        </w:tc>
        <w:tc>
          <w:tcPr>
            <w:tcW w:type="dxa" w:w="1417"/>
            <w:shd w:fill="FFFFFF" w:val="clear"/>
          </w:tcPr>
          <w:p>
            <w:r>
              <w:rPr>
                <w:sz w:val="16"/>
              </w:rPr>
              <w:t>2,252</w:t>
            </w:r>
          </w:p>
        </w:tc>
        <w:tc>
          <w:tcPr>
            <w:tcW w:type="dxa" w:w="1134"/>
            <w:shd w:fill="FFC7CE" w:val="clear"/>
          </w:tcPr>
          <w:p>
            <w:r>
              <w:rPr>
                <w:b/>
                <w:color w:val="B40000"/>
                <w:sz w:val="16"/>
              </w:rPr>
              <w:t>-6.18%</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3,650</w:t>
            </w:r>
          </w:p>
        </w:tc>
        <w:tc>
          <w:tcPr>
            <w:tcW w:type="dxa" w:w="1417"/>
            <w:shd w:fill="FFFFFF" w:val="clear"/>
          </w:tcPr>
          <w:p>
            <w:r>
              <w:rPr>
                <w:sz w:val="16"/>
              </w:rPr>
              <w:t>3,413</w:t>
            </w:r>
          </w:p>
        </w:tc>
        <w:tc>
          <w:tcPr>
            <w:tcW w:type="dxa" w:w="1134"/>
            <w:shd w:fill="FFC7CE" w:val="clear"/>
          </w:tcPr>
          <w:p>
            <w:r>
              <w:rPr>
                <w:b/>
                <w:color w:val="B40000"/>
                <w:sz w:val="16"/>
              </w:rPr>
              <w:t>-6.49%</w:t>
            </w:r>
          </w:p>
        </w:tc>
        <w:tc>
          <w:tcPr>
            <w:tcW w:type="dxa" w:w="1134"/>
            <w:shd w:fill="FFC7CE" w:val="clear"/>
          </w:tcPr>
          <w:p>
            <w:r>
              <w:rPr>
                <w:sz w:val="16"/>
              </w:rPr>
              <w:t>Faible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3,400</w:t>
            </w:r>
          </w:p>
        </w:tc>
        <w:tc>
          <w:tcPr>
            <w:tcW w:type="dxa" w:w="1417"/>
            <w:shd w:fill="FFFFFF" w:val="clear"/>
          </w:tcPr>
          <w:p>
            <w:r>
              <w:rPr>
                <w:sz w:val="16"/>
              </w:rPr>
              <w:t>3,173</w:t>
            </w:r>
          </w:p>
        </w:tc>
        <w:tc>
          <w:tcPr>
            <w:tcW w:type="dxa" w:w="1134"/>
            <w:shd w:fill="FFC7CE" w:val="clear"/>
          </w:tcPr>
          <w:p>
            <w:r>
              <w:rPr>
                <w:b/>
                <w:color w:val="B40000"/>
                <w:sz w:val="16"/>
              </w:rPr>
              <w:t>-6.68%</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6,450</w:t>
            </w:r>
          </w:p>
        </w:tc>
        <w:tc>
          <w:tcPr>
            <w:tcW w:type="dxa" w:w="1417"/>
            <w:shd w:fill="FFFFFF" w:val="clear"/>
          </w:tcPr>
          <w:p>
            <w:r>
              <w:rPr>
                <w:sz w:val="16"/>
              </w:rPr>
              <w:t>5,930</w:t>
            </w:r>
          </w:p>
        </w:tc>
        <w:tc>
          <w:tcPr>
            <w:tcW w:type="dxa" w:w="1134"/>
            <w:shd w:fill="FFC7CE" w:val="clear"/>
          </w:tcPr>
          <w:p>
            <w:r>
              <w:rPr>
                <w:b/>
                <w:color w:val="B40000"/>
                <w:sz w:val="16"/>
              </w:rPr>
              <w:t>-8.07%</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3,150</w:t>
            </w:r>
          </w:p>
        </w:tc>
        <w:tc>
          <w:tcPr>
            <w:tcW w:type="dxa" w:w="1417"/>
            <w:shd w:fill="FFFFFF" w:val="clear"/>
          </w:tcPr>
          <w:p>
            <w:r>
              <w:rPr>
                <w:sz w:val="16"/>
              </w:rPr>
              <w:t>2,888</w:t>
            </w:r>
          </w:p>
        </w:tc>
        <w:tc>
          <w:tcPr>
            <w:tcW w:type="dxa" w:w="1134"/>
            <w:shd w:fill="FFC7CE" w:val="clear"/>
          </w:tcPr>
          <w:p>
            <w:r>
              <w:rPr>
                <w:b/>
                <w:color w:val="B40000"/>
                <w:sz w:val="16"/>
              </w:rPr>
              <w:t>-8.32%</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2,390</w:t>
            </w:r>
          </w:p>
        </w:tc>
        <w:tc>
          <w:tcPr>
            <w:tcW w:type="dxa" w:w="1417"/>
            <w:shd w:fill="FFFFFF" w:val="clear"/>
          </w:tcPr>
          <w:p>
            <w:r>
              <w:rPr>
                <w:sz w:val="16"/>
              </w:rPr>
              <w:t>2,173</w:t>
            </w:r>
          </w:p>
        </w:tc>
        <w:tc>
          <w:tcPr>
            <w:tcW w:type="dxa" w:w="1134"/>
            <w:shd w:fill="FFC7CE" w:val="clear"/>
          </w:tcPr>
          <w:p>
            <w:r>
              <w:rPr>
                <w:b/>
                <w:color w:val="B40000"/>
                <w:sz w:val="16"/>
              </w:rPr>
              <w:t>-9.08%</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32,490</w:t>
            </w:r>
          </w:p>
        </w:tc>
        <w:tc>
          <w:tcPr>
            <w:tcW w:type="dxa" w:w="1417"/>
            <w:shd w:fill="FFFFFF" w:val="clear"/>
          </w:tcPr>
          <w:p>
            <w:r>
              <w:rPr>
                <w:sz w:val="16"/>
              </w:rPr>
              <w:t>28,303</w:t>
            </w:r>
          </w:p>
        </w:tc>
        <w:tc>
          <w:tcPr>
            <w:tcW w:type="dxa" w:w="1134"/>
            <w:shd w:fill="FFC7CE" w:val="clear"/>
          </w:tcPr>
          <w:p>
            <w:r>
              <w:rPr>
                <w:b/>
                <w:color w:val="B40000"/>
                <w:sz w:val="16"/>
              </w:rPr>
              <w:t>-12.89%</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48.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BBGC - BRIDGE BANK GROUP COTE D'IVOIRE</w:t>
      </w:r>
    </w:p>
    <w:p>
      <w:pPr>
        <w:ind w:left="400"/>
      </w:pPr>
      <w:r>
        <w:t>3. BICB - BIIC BN - Banque internationale pour le commerce du benin</w:t>
      </w:r>
    </w:p>
    <w:p>
      <w:pPr>
        <w:ind w:left="400"/>
      </w:pPr>
      <w:r>
        <w:t>4. BICC - BICI CI - Banque internationale pour le commerce et l'industrie de la Côte d'Ivoire</w:t>
      </w:r>
    </w:p>
    <w:p>
      <w:pPr>
        <w:ind w:left="400"/>
      </w:pPr>
      <w:r>
        <w:t>5. BNBC - BNBC - BERNABE CI</w:t>
      </w:r>
    </w:p>
    <w:p>
      <w:pPr>
        <w:ind w:left="400"/>
      </w:pPr>
      <w:r>
        <w:t>6. BOAB - BANK OF AFRICA BENIN</w:t>
      </w:r>
    </w:p>
    <w:p>
      <w:pPr>
        <w:ind w:left="400"/>
      </w:pPr>
      <w:r>
        <w:t>7. BOABF - BANK OF AFRICA BURKINA FASO</w:t>
      </w:r>
    </w:p>
    <w:p>
      <w:pPr>
        <w:ind w:left="400"/>
      </w:pPr>
      <w:r>
        <w:t>8. BOAC - BANK OF AFRICA COTE D'IVOIRE</w:t>
      </w:r>
    </w:p>
    <w:p>
      <w:pPr>
        <w:ind w:left="400"/>
      </w:pPr>
      <w:r>
        <w:t>9. BOAM - BANK OF AFRICA MALI</w:t>
      </w:r>
    </w:p>
    <w:p>
      <w:pPr>
        <w:ind w:left="400"/>
      </w:pPr>
      <w:r>
        <w:t>10. BOAN - BANK OF AFRICA NIGER</w:t>
      </w:r>
    </w:p>
    <w:p>
      <w:pPr>
        <w:ind w:left="400"/>
      </w:pPr>
      <w:r>
        <w:t>11. BOAS - BANK OF AFRICA SENEGAL</w:t>
      </w:r>
    </w:p>
    <w:p>
      <w:pPr>
        <w:ind w:left="400"/>
      </w:pPr>
      <w:r>
        <w:t>12. CABC - CABC - SICABLE COTE D'IVOIRE</w:t>
      </w:r>
    </w:p>
    <w:p>
      <w:pPr>
        <w:ind w:left="400"/>
      </w:pPr>
      <w:r>
        <w:t>13. CBIBF - CBIBF - CORIS BANK INTERNATIONAL BURKINA FASO</w:t>
      </w:r>
    </w:p>
    <w:p>
      <w:pPr>
        <w:ind w:left="400"/>
      </w:pPr>
      <w:r>
        <w:t>14. CFAC - CFAC - CFAO MOTORS CI</w:t>
      </w:r>
    </w:p>
    <w:p>
      <w:pPr>
        <w:ind w:left="400"/>
      </w:pPr>
      <w:r>
        <w:t>15. CIEC - CIEC - Compagnie Ivoirienne d'Electricité</w:t>
      </w:r>
    </w:p>
    <w:p>
      <w:pPr>
        <w:ind w:left="400"/>
      </w:pPr>
      <w:r>
        <w:t>16. ECOC - ECOC - ECOBANK COTE D'IVOIRE</w:t>
      </w:r>
    </w:p>
    <w:p>
      <w:pPr>
        <w:ind w:left="400"/>
      </w:pPr>
      <w:r>
        <w:t>17. ETIT - ETIT - Ecobank Transnational Incorporated Togo</w:t>
      </w:r>
    </w:p>
    <w:p>
      <w:pPr>
        <w:ind w:left="400"/>
      </w:pPr>
      <w:r>
        <w:t>18. FTSC - FTSC - FILTISAC COTE D'IVOIRE</w:t>
      </w:r>
    </w:p>
    <w:p>
      <w:pPr>
        <w:ind w:left="400"/>
      </w:pPr>
      <w:r>
        <w:t>19. LNBB - LNBB - LOTERIE NATIONALE DU BENIN</w:t>
      </w:r>
    </w:p>
    <w:p>
      <w:pPr>
        <w:ind w:left="400"/>
      </w:pPr>
      <w:r>
        <w:t>20. NEIC - NEIC - NEI-CEDA CI</w:t>
      </w:r>
    </w:p>
    <w:p>
      <w:pPr>
        <w:ind w:left="400"/>
      </w:pPr>
      <w:r>
        <w:t>21. NSBC - NSBC - NSIA BANQUE COTE D'IVOIRE</w:t>
      </w:r>
    </w:p>
    <w:p>
      <w:pPr>
        <w:ind w:left="400"/>
      </w:pPr>
      <w:r>
        <w:t>22. NTLC - NTLC - NESTLE COTE D'IVOIRE</w:t>
      </w:r>
    </w:p>
    <w:p>
      <w:pPr>
        <w:ind w:left="400"/>
      </w:pPr>
      <w:r>
        <w:t>23. ONTBF - ONTBF - ONATEL BURKINA FASO</w:t>
      </w:r>
    </w:p>
    <w:p>
      <w:pPr>
        <w:ind w:left="400"/>
      </w:pPr>
      <w:r>
        <w:t>24. ORAC - ORAC - ORANGE COTE D'IVOIRE</w:t>
      </w:r>
    </w:p>
    <w:p>
      <w:pPr>
        <w:ind w:left="400"/>
      </w:pPr>
      <w:r>
        <w:t>25. ORGT - ORGT - ORAGROUP TOGO</w:t>
      </w:r>
    </w:p>
    <w:p>
      <w:pPr>
        <w:ind w:left="400"/>
      </w:pPr>
      <w:r>
        <w:t>26. PALC - PALC - PALM COTE D'IVOIRE</w:t>
      </w:r>
    </w:p>
    <w:p>
      <w:pPr>
        <w:ind w:left="400"/>
      </w:pPr>
      <w:r>
        <w:t>27. PRSC - PRSC - TRACTAFRIC MOTORS CI</w:t>
      </w:r>
    </w:p>
    <w:p>
      <w:pPr>
        <w:ind w:left="400"/>
      </w:pPr>
      <w:r>
        <w:t>28. SAFC - SAFCA CI</w:t>
      </w:r>
    </w:p>
    <w:p>
      <w:pPr>
        <w:ind w:left="400"/>
      </w:pPr>
      <w:r>
        <w:t>29. SCRC - SCRC - SUCRIVOIRE</w:t>
      </w:r>
    </w:p>
    <w:p>
      <w:pPr>
        <w:ind w:left="400"/>
      </w:pPr>
      <w:r>
        <w:t>30. SDCC - SDCC - Société de Distribution d'Eau de Côte d'Ivoire</w:t>
      </w:r>
    </w:p>
    <w:p>
      <w:pPr>
        <w:ind w:left="400"/>
      </w:pPr>
      <w:r>
        <w:t>31. SDSC - SDSC - AFRICA GLOBAL LOGISTICS CI</w:t>
      </w:r>
    </w:p>
    <w:p>
      <w:pPr>
        <w:ind w:left="400"/>
      </w:pPr>
      <w:r>
        <w:t>32. SEMC - SEMC - EVIOSYS PACKAGING SIEM CI</w:t>
      </w:r>
    </w:p>
    <w:p>
      <w:pPr>
        <w:ind w:left="400"/>
      </w:pPr>
      <w:r>
        <w:t>33. SGBC - SGBC - SOCIETE GENERALE COTE D'IVOIRE</w:t>
      </w:r>
    </w:p>
    <w:p>
      <w:pPr>
        <w:ind w:left="400"/>
      </w:pPr>
      <w:r>
        <w:t>34. SHEC - SHEC - VIVO ENERGY COTE D'IVOIRE</w:t>
      </w:r>
    </w:p>
    <w:p>
      <w:pPr>
        <w:ind w:left="400"/>
      </w:pPr>
      <w:r>
        <w:t>35. SIBC - SIBC - SOCIETE IVOIRIENNE DE BANQUE</w:t>
      </w:r>
    </w:p>
    <w:p>
      <w:pPr>
        <w:ind w:left="400"/>
      </w:pPr>
      <w:r>
        <w:t>36. SICC - SICC - SICOR COTE D'IVOIRE</w:t>
      </w:r>
    </w:p>
    <w:p>
      <w:pPr>
        <w:ind w:left="400"/>
      </w:pPr>
      <w:r>
        <w:t>37. SIVC - SIVC - ERIUM CI (Ex AIR LIQUIDECI)</w:t>
      </w:r>
    </w:p>
    <w:p>
      <w:pPr>
        <w:ind w:left="400"/>
      </w:pPr>
      <w:r>
        <w:t>38. SLBC - SLBC - SOLIBRA COTE D'IVOIRE</w:t>
      </w:r>
    </w:p>
    <w:p>
      <w:pPr>
        <w:ind w:left="400"/>
      </w:pPr>
      <w:r>
        <w:t>39. SMBC - SMBC - Société Multinationale de Bitumes COTE D'IVOIRE</w:t>
      </w:r>
    </w:p>
    <w:p>
      <w:pPr>
        <w:ind w:left="400"/>
      </w:pPr>
      <w:r>
        <w:t>40. SNTS - SNTS - SONATEL SN</w:t>
      </w:r>
    </w:p>
    <w:p>
      <w:pPr>
        <w:ind w:left="400"/>
      </w:pPr>
      <w:r>
        <w:t>41. SOGC - SOGC - Société des caoutchoucs de Grand-Béréby</w:t>
      </w:r>
    </w:p>
    <w:p>
      <w:pPr>
        <w:ind w:left="400"/>
      </w:pPr>
      <w:r>
        <w:t>42. SPHC - SPHC - Société Africaine de Plantation d'Hévéas de Côte d'Ivoire</w:t>
      </w:r>
    </w:p>
    <w:p>
      <w:pPr>
        <w:ind w:left="400"/>
      </w:pPr>
      <w:r>
        <w:t>43. STAC - STAC - SETAO COTE D'IVOIRE</w:t>
      </w:r>
    </w:p>
    <w:p>
      <w:pPr>
        <w:ind w:left="400"/>
      </w:pPr>
      <w:r>
        <w:t>44. STBC - STBC - SITAB COTE D'IVOIRE</w:t>
      </w:r>
    </w:p>
    <w:p>
      <w:pPr>
        <w:ind w:left="400"/>
      </w:pPr>
      <w:r>
        <w:t>45. TTLC - TTLC - TOTAL ENERGIES MARKETING COTE D'IVOIRE</w:t>
      </w:r>
    </w:p>
    <w:p>
      <w:pPr>
        <w:ind w:left="400"/>
      </w:pPr>
      <w:r>
        <w:t>46. TTLS - TTLS - TOTAL ENERGIES MARKETING SENEGAL</w:t>
      </w:r>
    </w:p>
    <w:p>
      <w:pPr>
        <w:ind w:left="400"/>
      </w:pPr>
      <w:r>
        <w:t>47. UNLC - UNLC - UNILEVER COTE D'IVOIRE</w:t>
      </w:r>
    </w:p>
    <w:p>
      <w:pPr>
        <w:ind w:left="400"/>
      </w:pPr>
      <w:r>
        <w:t>48.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39.83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3,484 titres</w:t>
            </w:r>
          </w:p>
        </w:tc>
        <w:tc>
          <w:tcPr>
            <w:tcW w:type="dxa" w:w="2268"/>
            <w:shd w:fill="FFF2CC" w:val="clear"/>
          </w:tcPr>
          <w:p>
            <w:r>
              <w:rPr>
                <w:b/>
                <w:color w:val="503200"/>
                <w:sz w:val="16"/>
              </w:rPr>
              <w:t xml:space="preserve">Cours actuel : </w:t>
            </w:r>
            <w:r>
              <w:rPr>
                <w:color w:val="000000"/>
                <w:sz w:val="17"/>
              </w:rPr>
              <w:t>3,650 FCFA</w:t>
            </w:r>
          </w:p>
          <w:p>
            <w:r>
              <w:rPr>
                <w:b/>
                <w:color w:val="503200"/>
                <w:sz w:val="16"/>
              </w:rPr>
              <w:t xml:space="preserve">Var. 100 jours : </w:t>
            </w:r>
            <w:r>
              <w:rPr>
                <w:b/>
                <w:color w:val="007800"/>
                <w:sz w:val="17"/>
              </w:rPr>
              <w:t>+17.93%</w:t>
            </w:r>
          </w:p>
          <w:p>
            <w:r>
              <w:rPr>
                <w:b/>
                <w:color w:val="503200"/>
                <w:sz w:val="16"/>
              </w:rPr>
              <w:t xml:space="preserve">Plus haut 100j : </w:t>
            </w:r>
            <w:r>
              <w:rPr>
                <w:color w:val="000000"/>
                <w:sz w:val="17"/>
              </w:rPr>
              <w:t>4,095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43.8%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11.27% (Moyenne) — μ=3,319 FCFA, σ=374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β=0.2694 (Défensif) — Cov=0.000018, Var(idx)=0.000068, ρ=0.083,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3,484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σ_j=2.76%/j (Stable) — Vol. annualisée≈43.8%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3,507</w:t>
            </w:r>
          </w:p>
        </w:tc>
        <w:tc>
          <w:tcPr>
            <w:tcW w:type="dxa" w:w="1440"/>
            <w:shd w:fill="FAFAFA" w:val="clear"/>
          </w:tcPr>
          <w:p>
            <w:r>
              <w:rPr>
                <w:b/>
                <w:sz w:val="17"/>
              </w:rPr>
              <w:t>3,664</w:t>
            </w:r>
          </w:p>
        </w:tc>
        <w:tc>
          <w:tcPr>
            <w:tcW w:type="dxa" w:w="1440"/>
            <w:shd w:fill="FAFAFA" w:val="clear"/>
          </w:tcPr>
          <w:p>
            <w:r>
              <w:rPr>
                <w:sz w:val="17"/>
              </w:rPr>
              <w:t>3,822</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3,393</w:t>
            </w:r>
          </w:p>
        </w:tc>
        <w:tc>
          <w:tcPr>
            <w:tcW w:type="dxa" w:w="1440"/>
            <w:shd w:fill="FAFAFA" w:val="clear"/>
          </w:tcPr>
          <w:p>
            <w:r>
              <w:rPr>
                <w:b/>
                <w:sz w:val="17"/>
              </w:rPr>
              <w:t>3,612</w:t>
            </w:r>
          </w:p>
        </w:tc>
        <w:tc>
          <w:tcPr>
            <w:tcW w:type="dxa" w:w="1440"/>
            <w:shd w:fill="FAFAFA" w:val="clear"/>
          </w:tcPr>
          <w:p>
            <w:r>
              <w:rPr>
                <w:sz w:val="17"/>
              </w:rPr>
              <w:t>3,832</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3,320</w:t>
            </w:r>
          </w:p>
        </w:tc>
        <w:tc>
          <w:tcPr>
            <w:tcW w:type="dxa" w:w="1440"/>
            <w:shd w:fill="FAFAFA" w:val="clear"/>
          </w:tcPr>
          <w:p>
            <w:r>
              <w:rPr>
                <w:b/>
                <w:sz w:val="17"/>
              </w:rPr>
              <w:t>3,586</w:t>
            </w:r>
          </w:p>
        </w:tc>
        <w:tc>
          <w:tcPr>
            <w:tcW w:type="dxa" w:w="1440"/>
            <w:shd w:fill="FAFAFA" w:val="clear"/>
          </w:tcPr>
          <w:p>
            <w:r>
              <w:rPr>
                <w:sz w:val="17"/>
              </w:rPr>
              <w:t>3,853</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3,255</w:t>
            </w:r>
          </w:p>
        </w:tc>
        <w:tc>
          <w:tcPr>
            <w:tcW w:type="dxa" w:w="1440"/>
            <w:shd w:fill="FFDCE0" w:val="clear"/>
          </w:tcPr>
          <w:p>
            <w:r>
              <w:rPr>
                <w:b/>
                <w:sz w:val="17"/>
              </w:rPr>
              <w:t>3,561</w:t>
            </w:r>
          </w:p>
        </w:tc>
        <w:tc>
          <w:tcPr>
            <w:tcW w:type="dxa" w:w="1440"/>
            <w:shd w:fill="FFDCE0" w:val="clear"/>
          </w:tcPr>
          <w:p>
            <w:r>
              <w:rPr>
                <w:sz w:val="17"/>
              </w:rPr>
              <w:t>3,866</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3,195</w:t>
            </w:r>
          </w:p>
        </w:tc>
        <w:tc>
          <w:tcPr>
            <w:tcW w:type="dxa" w:w="1440"/>
            <w:shd w:fill="FFDCE0" w:val="clear"/>
          </w:tcPr>
          <w:p>
            <w:r>
              <w:rPr>
                <w:b/>
                <w:sz w:val="17"/>
              </w:rPr>
              <w:t>3,534</w:t>
            </w:r>
          </w:p>
        </w:tc>
        <w:tc>
          <w:tcPr>
            <w:tcW w:type="dxa" w:w="1440"/>
            <w:shd w:fill="FFDCE0" w:val="clear"/>
          </w:tcPr>
          <w:p>
            <w:r>
              <w:rPr>
                <w:sz w:val="17"/>
              </w:rPr>
              <w:t>3,873</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3,139</w:t>
            </w:r>
          </w:p>
        </w:tc>
        <w:tc>
          <w:tcPr>
            <w:tcW w:type="dxa" w:w="1440"/>
            <w:shd w:fill="FFDCE0" w:val="clear"/>
          </w:tcPr>
          <w:p>
            <w:r>
              <w:rPr>
                <w:b/>
                <w:sz w:val="17"/>
              </w:rPr>
              <w:t>3,508</w:t>
            </w:r>
          </w:p>
        </w:tc>
        <w:tc>
          <w:tcPr>
            <w:tcW w:type="dxa" w:w="1440"/>
            <w:shd w:fill="FFDCE0" w:val="clear"/>
          </w:tcPr>
          <w:p>
            <w:r>
              <w:rPr>
                <w:sz w:val="17"/>
              </w:rPr>
              <w:t>3,876</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3,087</w:t>
            </w:r>
          </w:p>
        </w:tc>
        <w:tc>
          <w:tcPr>
            <w:tcW w:type="dxa" w:w="1440"/>
            <w:shd w:fill="FFDCE0" w:val="clear"/>
          </w:tcPr>
          <w:p>
            <w:r>
              <w:rPr>
                <w:b/>
                <w:sz w:val="17"/>
              </w:rPr>
              <w:t>3,482</w:t>
            </w:r>
          </w:p>
        </w:tc>
        <w:tc>
          <w:tcPr>
            <w:tcW w:type="dxa" w:w="1440"/>
            <w:shd w:fill="FFDCE0" w:val="clear"/>
          </w:tcPr>
          <w:p>
            <w:r>
              <w:rPr>
                <w:sz w:val="17"/>
              </w:rPr>
              <w:t>3,878</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3,038</w:t>
            </w:r>
          </w:p>
        </w:tc>
        <w:tc>
          <w:tcPr>
            <w:tcW w:type="dxa" w:w="1440"/>
            <w:shd w:fill="FFDCE0" w:val="clear"/>
          </w:tcPr>
          <w:p>
            <w:r>
              <w:rPr>
                <w:b/>
                <w:sz w:val="17"/>
              </w:rPr>
              <w:t>3,458</w:t>
            </w:r>
          </w:p>
        </w:tc>
        <w:tc>
          <w:tcPr>
            <w:tcW w:type="dxa" w:w="1440"/>
            <w:shd w:fill="FFDCE0" w:val="clear"/>
          </w:tcPr>
          <w:p>
            <w:r>
              <w:rPr>
                <w:sz w:val="17"/>
              </w:rPr>
              <w:t>3,878</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2,993</w:t>
            </w:r>
          </w:p>
        </w:tc>
        <w:tc>
          <w:tcPr>
            <w:tcW w:type="dxa" w:w="1440"/>
            <w:shd w:fill="FFDCE0" w:val="clear"/>
          </w:tcPr>
          <w:p>
            <w:r>
              <w:rPr>
                <w:b/>
                <w:sz w:val="17"/>
              </w:rPr>
              <w:t>3,435</w:t>
            </w:r>
          </w:p>
        </w:tc>
        <w:tc>
          <w:tcPr>
            <w:tcW w:type="dxa" w:w="1440"/>
            <w:shd w:fill="FFDCE0" w:val="clear"/>
          </w:tcPr>
          <w:p>
            <w:r>
              <w:rPr>
                <w:sz w:val="17"/>
              </w:rPr>
              <w:t>3,878</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2,950</w:t>
            </w:r>
          </w:p>
        </w:tc>
        <w:tc>
          <w:tcPr>
            <w:tcW w:type="dxa" w:w="1440"/>
            <w:shd w:fill="FFDCE0" w:val="clear"/>
          </w:tcPr>
          <w:p>
            <w:r>
              <w:rPr>
                <w:b/>
                <w:sz w:val="17"/>
              </w:rPr>
              <w:t>3,413</w:t>
            </w:r>
          </w:p>
        </w:tc>
        <w:tc>
          <w:tcPr>
            <w:tcW w:type="dxa" w:w="1440"/>
            <w:shd w:fill="FFDCE0" w:val="clear"/>
          </w:tcPr>
          <w:p>
            <w:r>
              <w:rPr>
                <w:sz w:val="17"/>
              </w:rPr>
              <w:t>3,877</w:t>
            </w:r>
          </w:p>
        </w:tc>
        <w:tc>
          <w:tcPr>
            <w:tcW w:type="dxa" w:w="1440"/>
            <w:shd w:fill="FFDCE0" w:val="clear"/>
          </w:tcPr>
          <w:p>
            <w:r>
              <w:rPr>
                <w:b/>
                <w:color w:val="C00000"/>
                <w:sz w:val="17"/>
              </w:rPr>
              <w:t>-6.5%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SERVAIR ABIDJAN (ABJC)**</w:t>
        <w:br/>
        <w:t>*Bourse Régionale des Valeurs Mobilières (BRVM) — Secteur : Services aéroportuaires*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39,83 milliards FCFA, ABJC se situe dans la catégorie des valeurs moyennes de la cote BRVM, ce qui traduit une liquidité limitée mais une certaine stabilité institutionnelle. Le BPA de 124 FCFA/action indique que chaque titre génère un bénéfice net unitaire modeste, ce qui, rapporté au cours actuel de 3 650 FCFA, aboutit à un PER de 29,5x — soit un niveau très supérieur à la moyenne du marché BRVM (généralement comprise entre 8x et 12x), signe que les investisseurs anticipent une croissance future ou que le titre est surévalué. Le ratio P/B de 7,72x confirme cette prime excessive : le marché valorise l'action près de huit fois sa valeur comptable, ce qui est très exigeant pour une entreprise de services aéroportuaires. Enfin, l'EV/EBITDA de 15,1x, supérieur au seuil de 15x, renforce le diagnostic d'une valorisation tendue par rapport à la capacité opérationnelle de génération de cash-flows.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affiche une performance positive de +17,93%, mais la dernière séance (J-1) enregistre un net repli de -7,12%, signalant une correction brutale après une phase de hausse. Le titre a évolué dans un range de 2 800 FCFA (plus bas) à 4 095 FCFA (plus haut), soit une amplitude de près de 46%, ce qui témoigne d'une forte volatilité intra-période. La tendance générale reste haussière sur la période, portée par un cours actuel (3 650 FCFA) supérieur à la moyenne (3 319 FCFA) et à la médiane (3 188 FCFA). L'écart entre moyenne et médiane (131 FCFA) révèle une distribution asymétrique avec quelques séances de forte hausse tirant la moyenne vers le haut, confirmée par un skewness positif de 0,695 (plus de journées sous la moyenne). L'écart-type de 376 FCFA et le coefficient de variation de 11,3% indiquent une dispersion modérée du cours, tandis que le kurtosis de -0,777 (mésokurtique) suggère une distribution proche de la normale, sans risque extrême de pics. La volatilité annualisée de 43,8% classe le titre dans la catégorie des valeurs à volatilité élevée (&gt;30%), ce qui implique un risque significatif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(3 943 FCFA) est nettement supérieure à la MM50 (3 505 FCFA), et le cours actuel (3 650 FCFA) se situe entre ces deux moyennes, sous la MM20 mais au-dessus de la MM50. Cette configuration indique une tendance haussière de fond (MM20 &gt; MM50) mais un affaiblissement récent du momentum, justifiant la décision "Achat" sur la base du croisement haussier des moyennes.</w:t>
      </w:r>
    </w:p>
    <w:p>
      <w:pPr>
        <w:spacing w:after="120" w:line="276" w:lineRule="auto"/>
      </w:pPr>
      <w:r>
        <w:t>**Bandes de Bollinger** : Le cours (3 650 FCFA) se situe sous la borne inférieure (3 730,24 FCFA), ce qui est inhabituel et signale une pression vendeuse intense. La largeur des bandes (borne supérieure à 4 155,76 FCFA) traduit une volatilité élevée. La décision "Achat" s'explique par la position du cours sous la borne inférieure, souvent interprétée comme une opportunité de rebond technique.</w:t>
      </w:r>
    </w:p>
    <w:p>
      <w:pPr>
        <w:spacing w:after="120" w:line="276" w:lineRule="auto"/>
      </w:pPr>
      <w:r>
        <w:t>**MACD** : La valeur du MACD (81,021) est inférieure à son signal (139,401), générant une divergence baissière et un momentum négatif. Cette configuration justifie la décision "Vente" à court terme, le MACD ayant récemment croisé son signal à la baisse.</w:t>
      </w:r>
    </w:p>
    <w:p>
      <w:pPr>
        <w:spacing w:after="120" w:line="276" w:lineRule="auto"/>
      </w:pPr>
      <w:r>
        <w:t>**RSI** : À 31,351, le RSI est proche de la zone de survente (seuil de 30), ce qui indique que le titre est survendu et pourrait connaître un rebond technique. La décision "Neutre" reflète cette position charnière, entre risque de poursuite de la baisse et opportunité d'achat.</w:t>
      </w:r>
    </w:p>
    <w:p>
      <w:pPr>
        <w:spacing w:after="120" w:line="276" w:lineRule="auto"/>
      </w:pPr>
      <w:r>
        <w:t>**Stochastique** : Le %K (0,0) est au plus bas absolu, tandis que le %D (14,689) reste faible, signalant une forte survente. La décision "Achat" est justifiée par cette configuration extrême, souvent précurseur d'un retournement haussier.</w:t>
      </w:r>
    </w:p>
    <w:p>
      <w:pPr>
        <w:spacing w:after="120" w:line="276" w:lineRule="auto"/>
      </w:pPr>
      <w:r>
        <w:t>**Conclusion technique** : Les indicateurs sont divergents : les moyennes mobiles et les bandes de Bollinger suggèrent un achat (survente), tandis que le MACD confirme une vente (momentum baissier). Le RSI neutre et le stochastique en survente extrême plaident pour un rebond imminent. Globalement, le titre se trouve dans une zone de survente technique, mais la pression vendeuse reste forte, nécessitant une confirmation avant tout achat.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Servair Abidjan (exercice clos le 31 décembre 2025) affichent un chiffre d'affaires de 13,298 milliards FCFA, en croissance de +6,67% par rapport à 2024, porté par la dynamique du trafic aéroportuaire et la diversification vers les activités non aériennes. Le résultat net s'établit à 1,351 milliard FCFA, en baisse de -12,1% (contre 1,515 milliard en 2024), principalement en raison d'une charge d'impôt en forte hausse (+46,7% à 839,75 millions FCFA). La rentabilité reste solide avec un ROE de 26,18% (excellent, &gt;15%) et un ROA de 14,64%, tandis que la marge nette se maintient à 10,16%. La structure financière est saine : capitaux propres de 5,159 milliards FCFA, autonomie financière de 55,92%, et une trésorerie nette de 4,035 milliards FCFA. Le BFR est négatif (257,45 millions FCFA), ce qui est favorable, mais le délai client de 70,10 jours reste élevé et constitue un risque de trésorerie. Le ratio d'endettement de 44,08% et la capacité de remboursement de 0,04 an témoignent d'un faible levier financier. Les rapports trimestriels récents (T1 2026, publié le 30 avril 2026) montrent une croissance modérée du CA (+1,9% à 3,237 milliards FCFA) mais une forte dégradation de la rentabilité : résultat net en chute de -35,6% à 222,6 millions FCFA, impacté par les ajustements de redevances aéroportuaires et les tensions géopolitiques au Moyen-Orient. Sur la base de ce T1 2026, on estime que l'exercice 2026 pourrait enregistrer une nouvelle contraction du résultat net, malgré la poursuite de la croissance du chiffre d'affaires. La recommandation fondamentale est de **conserver** le titre : la solidité financière et la position dominante sur le marché aéroportuaire ivoirien sont des atouts, mais la dégradation récente de la rentabilité et les risques réglementaires (litige avec la BCEAO, bien que résolu selon les rapports) incitent à la prudence.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apparaît nettement surévaluée : un PER de 29,5x (contre 8-12x pour le marché BRVM), un P/B de 7,72x et un EV/EBITDA de 15,1x traduisent une prime excessive qui ne semble pas justifiée par les fondamentaux actuels, d'autant que le résultat net est en baisse. Le comportement du cours sur 100 jours est haussier (+17,93%) mais la correction récente (-7,12% en J-1) et la volatilité élevée (43,8%) signalent une fragilité, avec un skewness positif et un kurtosis mésokurtique indiquant une distribution relativement normale mais asymétrique. Les signaux techniques sont divergents : les moyennes mobiles et les bandes de Bollinger plaident pour un achat (survente), mais le MACD confirme une vente (momentum baissier), tandis que le RSI neutre et le stochastique en survente extrême suggèrent un rebond imminent. Les fondamentaux sont mitigés : croissance du CA en 2025 (+6,67%) mais baisse du résultat net (-12,1%), et les rapports T1 2026 (publiés le 30 avril 2026) montrent une dégradation accrue de la rentabilité (-35,6% de résultat net), ce qui pèse sur les perspectives. Les prédictions IA pour les 10 prochains jours (3664 → 3534 FCFA) anticipent une légère baisse, en ligne avec le momentum baissier du MACD et la correction récente. Compte tenu de la divergence entre une valorisation tendue, des signaux techniques mitigés, des fondamentaux en dégradation et des prédictions baissières, la recommandation finale est **CONSERVER** avec un niveau de confiance **Moyen** et un risque global **Élevé**. L'horizon d'investissement optimal est le **moyen terme (3-12 mois)**, en attendant une clarification sur la trajectoire bénéficiaire et une correction de la valorisation.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BBGC - BRIDGE BANK GROUP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BBGC</w:t>
            </w:r>
          </w:p>
          <w:p>
            <w:r>
              <w:rPr>
                <w:b/>
                <w:color w:val="323250"/>
                <w:sz w:val="16"/>
              </w:rPr>
              <w:t xml:space="preserve">Société : </w:t>
            </w:r>
            <w:r>
              <w:rPr>
                <w:color w:val="000000"/>
                <w:sz w:val="16"/>
              </w:rPr>
              <w:t>BRIDGE BANK GROUP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418.75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13,734 titres</w:t>
            </w:r>
          </w:p>
        </w:tc>
        <w:tc>
          <w:tcPr>
            <w:tcW w:type="dxa" w:w="2268"/>
            <w:shd w:fill="FFF2CC" w:val="clear"/>
          </w:tcPr>
          <w:p>
            <w:r>
              <w:rPr>
                <w:b/>
                <w:color w:val="503200"/>
                <w:sz w:val="16"/>
              </w:rPr>
              <w:t xml:space="preserve">Cours actuel : </w:t>
            </w:r>
            <w:r>
              <w:rPr>
                <w:color w:val="000000"/>
                <w:sz w:val="17"/>
              </w:rPr>
              <w:t>8,375 FCFA</w:t>
            </w:r>
          </w:p>
          <w:p>
            <w:r>
              <w:rPr>
                <w:b/>
                <w:color w:val="503200"/>
                <w:sz w:val="16"/>
              </w:rPr>
              <w:t xml:space="preserve">Var. 100 jours : </w:t>
            </w:r>
            <w:r>
              <w:rPr>
                <w:b/>
                <w:color w:val="007800"/>
                <w:sz w:val="17"/>
              </w:rPr>
              <w:t>+15.44%</w:t>
            </w:r>
          </w:p>
          <w:p>
            <w:r>
              <w:rPr>
                <w:b/>
                <w:color w:val="503200"/>
                <w:sz w:val="16"/>
              </w:rPr>
              <w:t xml:space="preserve">Plus haut 100j : </w:t>
            </w:r>
            <w:r>
              <w:rPr>
                <w:color w:val="000000"/>
                <w:sz w:val="17"/>
              </w:rPr>
              <w:t>8,375 FCFA</w:t>
            </w:r>
          </w:p>
          <w:p>
            <w:r>
              <w:rPr>
                <w:b/>
                <w:color w:val="503200"/>
                <w:sz w:val="16"/>
              </w:rPr>
              <w:t xml:space="preserve">Plus bas 100j : </w:t>
            </w:r>
            <w:r>
              <w:rPr>
                <w:color w:val="000000"/>
                <w:sz w:val="17"/>
              </w:rPr>
              <w:t>7,255 FCFA</w:t>
            </w:r>
          </w:p>
          <w:p>
            <w:r>
              <w:rPr>
                <w:b/>
                <w:color w:val="503200"/>
                <w:sz w:val="16"/>
              </w:rPr>
              <w:t xml:space="preserve">Volatilité ann. : </w:t>
            </w:r>
            <w:r>
              <w:rPr>
                <w:color w:val="000000"/>
                <w:sz w:val="17"/>
              </w:rPr>
              <w:t>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15.0/100 → Faible</w:t>
      </w:r>
    </w:p>
    <w:p>
      <w:pPr>
        <w:spacing w:before="40" w:after="80"/>
      </w:pPr>
      <w:r>
        <w:rPr>
          <w:rFonts w:ascii="Courier New" w:hAnsi="Courier New"/>
          <w:color w:val="006400"/>
          <w:sz w:val="18"/>
        </w:rPr>
        <w:t>███░░░░░░░░░░░░░░░░░  15.0/100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5.86% (Moyenne) — μ=7,808 FCFA, σ=457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FFFF" w:val="clear"/>
          </w:tcPr>
          <w:p>
            <w:r>
              <w:rPr>
                <w:b/>
                <w:sz w:val="15"/>
              </w:rPr>
              <w:t>β≈0.59 (proxy, &lt;10 obs communes) — Données BRVM insuffisantes pour le bêta réel</w:t>
            </w:r>
          </w:p>
        </w:tc>
        <w:tc>
          <w:tcPr>
            <w:tcW w:type="dxa" w:w="1984"/>
            <w:shd w:fill="F7F7F7" w:val="clear"/>
          </w:tcPr>
          <w:p>
            <w:r>
              <w:rPr>
                <w:i/>
                <w:color w:val="505078"/>
                <w:sz w:val="14"/>
              </w:rPr>
              <w:t>β = Cov(r_titre, r_indice) / Var(r_indice)</w:t>
            </w:r>
          </w:p>
        </w:tc>
        <w:tc>
          <w:tcPr>
            <w:tcW w:type="dxa" w:w="1984"/>
            <w:shd w:fill="FFFFFF" w:val="clear"/>
          </w:tcPr>
          <w:p>
            <w:r>
              <w:rPr>
                <w:sz w:val="15"/>
              </w:rPr>
              <w:t>β≈0.59 (proxy, &lt;10 obs communes) — Données BRVM insuffisantes pour le bêta réel</w:t>
            </w:r>
          </w:p>
        </w:tc>
      </w:tr>
      <w:tr>
        <w:tc>
          <w:tcPr>
            <w:tcW w:type="dxa" w:w="2835"/>
            <w:shd w:fill="EEF2F7" w:val="clear"/>
          </w:tcPr>
          <w:p>
            <w:r>
              <w:rPr>
                <w:b/>
                <w:sz w:val="15"/>
              </w:rPr>
              <w:t>💧 Liquidité du titre (20%)</w:t>
            </w:r>
          </w:p>
        </w:tc>
        <w:tc>
          <w:tcPr>
            <w:tcW w:type="dxa" w:w="3118"/>
            <w:shd w:fill="C6EFCE" w:val="clear"/>
          </w:tcPr>
          <w:p>
            <w:r>
              <w:rPr>
                <w:b/>
                <w:sz w:val="15"/>
              </w:rPr>
              <w:t>13,734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Achat=0 / Vente=0 / Total=0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C6EFCE" w:val="clear"/>
          </w:tcPr>
          <w:p>
            <w:r>
              <w:rPr>
                <w:b/>
                <w:sz w:val="15"/>
              </w:rPr>
              <w:t>σ_j=0.00%/j (Très stable) — Vol. annualisée≈0.0%</w:t>
            </w:r>
          </w:p>
        </w:tc>
        <w:tc>
          <w:tcPr>
            <w:tcW w:type="dxa" w:w="1984"/>
            <w:shd w:fill="F7F7F7" w:val="clear"/>
          </w:tcPr>
          <w:p>
            <w:r>
              <w:rPr>
                <w:i/>
                <w:color w:val="505078"/>
                <w:sz w:val="14"/>
              </w:rPr>
              <w:t>σ des rendements journaliers × 100</w:t>
            </w:r>
          </w:p>
        </w:tc>
        <w:tc>
          <w:tcPr>
            <w:tcW w:type="dxa" w:w="1984"/>
            <w:shd w:fill="C6EFCE" w:val="clear"/>
          </w:tcPr>
          <w:p>
            <w:r>
              <w:rPr>
                <w:sz w:val="15"/>
              </w:rPr>
              <w:t>✅ &lt;1%/j — rendements très réguliers</w:t>
            </w:r>
          </w:p>
        </w:tc>
      </w:tr>
    </w:tbl>
    <w:p/>
    <w:p>
      <w:pPr>
        <w:spacing w:before="80" w:after="40"/>
      </w:pPr>
      <w:r>
        <w:rPr>
          <w:b/>
        </w:rPr>
        <w:t xml:space="preserve">Signaux techniques : </w:t>
      </w:r>
      <w:r>
        <w:rPr>
          <w:color w:val="A07800"/>
          <w:sz w:val="18"/>
        </w:rPr>
        <w:t xml:space="preserve">🟡 MM  </w:t>
      </w:r>
      <w:r>
        <w:rPr>
          <w:color w:val="A07800"/>
          <w:sz w:val="18"/>
        </w:rPr>
        <w:t xml:space="preserve">🟡 Bollinger  </w:t>
      </w:r>
      <w:r>
        <w:rPr>
          <w:color w:val="A078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spacing w:after="120" w:line="276" w:lineRule="auto"/>
      </w:pPr>
      <w:r>
        <w:t># RAPPORT D'ANALYSE — ACTION BBGC (BRIDGE BANK GROUP COTE D'IVOIRE)</w:t>
        <w:br/>
        <w:t>**Marché : BRVM | Secteur : Banque | Date d'analyse :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BBGC s'établit à **418,75 milliards FCFA**, un niveau qui positionne la banque parmi les valeurs les plus importantes de la cote BRVM, ce qui traduit une forte attractivité institutionnelle depuis son introduction. Les ratios de valorisation boursière (BPA, PER, P/B, EV/EBITDA) ne sont pas calculables en l'état, faute de données structurées disponibles sur les bénéfices par action et les capitaux propres comptables dans la base. Toutefois, en s'appuyant sur le résultat net semestriel de **15,2 milliards FCFA** (S1 2026) et sur un nombre d'actions estimé à 50 millions (20% du capital représentant 10 millions d'actions lors de l'OPV), on peut estimer un BPA annualisé indicatif de l'ordre de **600 FCFA**, soit un PER implicite proche de **14x** au cours actuel de 8 375 FCFA — un niveau supérieur à la moyenne BRVM (~8-12x), ce qui suggère que le marché intègre déjà une prime de croissance. Le P/B et l'EV/EBITDA ne peuvent être estimés faute de capitaux propres et d'EBITDA communiqués. L'investisseur doit donc retenir que la valorisation actuelle repose largement sur les anticipations de croissance future plutôt que sur les multiples historiques.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BBGC affiche une **variation totale de +15,44%**, avec une dernière séance particulièrement dynamique (+7,44% en J-1), signe d'un momentum acheteur très récent. Le cours actuel de **8 375 FCFA** correspond exactement au plus haut de la période, tandis que le plus bas s'établit à **7 255 FCFA**, délimitant un range de trading de 1 120 FCFA (soit environ 15,4% d'amplitude). La tendance générale est donc clairement **haussière**, avec une accélération en fin de période qui place le titre au sommet de son canal. Les statistiques descriptives révèlent une **moyenne (7 808 FCFA)** très proche de la **médiane (7 795 FCFA)**, confirmant une distribution symétrique (skewness de 0,044), sans biais directionnel marqué sur la période. L'**écart-type de 560 FCFA** avec un **coefficient de variation de 7,2%** indique une dispersion modérée du cours autour de sa moyenne, ce qui est rassurant pour un titre récemment introduit. Le **kurtosis de -1,500** (distribution platykurtique) signale une faible concentration des variations et un risque de pics extrêmes limité, tandis que le **mode à 7 255 FCFA** rappelle que le niveau le plus fréquemment traité se situe bien en dessous du cours actuel. La volatilité annualisée affichée à 0,0% n'est pas exploitable en l'état (donnée non significative), mais au regard du CV de 7,2% sur 100 jours, le titre peut être qualifié de **volatilité modérée à faible**, ce qui est cohérent avec un profil bancaire défensif.</w:t>
      </w:r>
    </w:p>
    <w:p>
      <w:pPr>
        <w:spacing w:after="120" w:line="276" w:lineRule="auto"/>
      </w:pPr>
      <w:r>
        <w:t>---</w:t>
      </w:r>
    </w:p>
    <w:p>
      <w:pPr>
        <w:spacing w:after="120" w:line="276" w:lineRule="auto"/>
      </w:pPr>
      <w:r>
        <w:t>## PARTIE 2 : ANALYSE TECHNIQUE DÉTAILLÉE</w:t>
      </w:r>
    </w:p>
    <w:p>
      <w:pPr>
        <w:spacing w:after="120" w:line="276" w:lineRule="auto"/>
      </w:pPr>
      <w:r>
        <w:t>**Moyennes Mobiles (MM20 / MM50) :** Les valeurs des moyennes mobiles ne sont pas disponibles (nan), ce qui empêche toute interprétation de la position relative du cours par rapport à ses tendances de court et moyen terme. Aucune décision technique ne peut donc être justifiée sur cet indicateur, et il convient de se référer aux autres signaux pour évaluer la dynamique.</w:t>
      </w:r>
    </w:p>
    <w:p>
      <w:pPr>
        <w:spacing w:after="120" w:line="276" w:lineRule="auto"/>
      </w:pPr>
      <w:r>
        <w:t>**Bandes de Bollinger :** Les bornes supérieure et inférieure ne sont pas calculables (nan), mais le cours actuel de 8 375 FCFA coïncide avec le plus haut de la période, ce qui suggère que le titre évolue probablement en haut de ses bandes, en zone de surchauffe potentielle. Sans les bornes, la décision reste neutre, mais la prudence est de mise après un gain de +7,44% en une seule séance.</w:t>
      </w:r>
    </w:p>
    <w:p>
      <w:pPr>
        <w:spacing w:after="120" w:line="276" w:lineRule="auto"/>
      </w:pPr>
      <w:r>
        <w:t>**MACD :** Les valeurs du MACD et de son signal sont indisponibles (nan), rendant impossible l'analyse de la divergence et du momentum. Aucune décision ne peut être formulée sur cet indicateur, bien que la forte hausse récente plaide pour un momentum haussier à court terme.</w:t>
      </w:r>
    </w:p>
    <w:p>
      <w:pPr>
        <w:spacing w:after="120" w:line="276" w:lineRule="auto"/>
      </w:pPr>
      <w:r>
        <w:t>**RSI :** La valeur du RSI n'est pas fournie (nan), empêchant toute qualification de zone de surachat (&gt;70) ou de survente (&lt;30). Compte tenu de la progression de +15,44% sur 100 jours et du bond de +7,44% en J-1, le RSI se situerait vraisemblablement en zone haute, proche ou au-dessus de 70, ce qui inciterait à la vigilance.</w:t>
      </w:r>
    </w:p>
    <w:p>
      <w:pPr>
        <w:spacing w:after="120" w:line="276" w:lineRule="auto"/>
      </w:pPr>
      <w:r>
        <w:t>**Stochastique :** Les valeurs %K et %D sont indisponibles (nan), rendant impossible l'analyse des croisements et de la position relative. Aucune décision ne peut être tirée de cet indicateur.</w:t>
      </w:r>
    </w:p>
    <w:p>
      <w:pPr>
        <w:spacing w:after="120" w:line="276" w:lineRule="auto"/>
      </w:pPr>
      <w:r>
        <w:t>**Conclusion technique :** L'ensemble des indicateurs techniques étant indisponibles (nan), l'analyse technique ne peut s'appuyer que sur l'observation directe du cours. Le titre affiche une dynamique haussière forte, clôturant au plus haut de sa période de 100 jours avec une accélération récente marquée (+7,44% en J-1). Cette configuration suggère un momentum acheteur puissant, mais aussi un risque de correction à court terme après une telle progression. En l'absence de signaux techniques confirmés, la prudence recommande d'attendre une consolidation ou un repli vers la moyenne (7 808 FCFA) avant tout renforcement.</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annuelles n'étant pas disponibles dans la base, l'analyse fondamentale s'appuie exclusivement sur les **rapports officiels du premier semestre 2026 (période close le 30 juin 2026)**, analysés par DEEPSEEK et GEMINI-VISION le 28 septembre 2026. Sur ce semestre, BBGCI affiche un **Produit Net Bancaire (PNB) de 37,7 milliards FCFA**, en progression de **+25%** par rapport aux 30,2 milliards FCFA du S1 2025, portée par une croissance spectaculaire des crédits à la clientèle (**823,9 Mds FCFA, +28%**) et des dépôts clientèle (**1 318,3 Mds FCFA, +46%**). Le **résultat net bondit de +46% à 15,2 milliards FCFA** (contre 10,4 Mds au S1 2025), avec une **marge nette de 40,3%** (en amélioration de 6 points vs 34,4%) et un **coefficient d'exploitation de 40,3%** (contre 43,3%), largement inférieur au seuil de 60% qui caractérise une banque efficace — signe d'un effet ciseau positif (PNB +25% vs frais généraux +16%). Le **coût du risque s'élève à 4,3 Mds FCFA (+14%)**, progression contenue par rapport à la croissance des crédits (+28%), ce qui témoigne d'un portefeuille de qualité. Le **résultat brut d'exploitation atteint 22,5 Mds FCFA (+31%)** et le **résultat avant impôt 18,2 Mds FCFA**. La structure bilancielle est saine : les dépôts (+46%) progressent plus vite que les crédits (+28%), renforçant la liquidité et la base de ressources. Sur la base de ce rapport S1 2026, on peut **estimer** que l'exercice 2026 complet devrait afficher un résultat net de l'ordre de **30 milliards FCFA** (en supposant une stabilité au S2), ce qui conforterait un BPA annualisé proche de 600 FCFA. Les perspectives sont porteuses : avis favorable de la Commission Bancaire pour une **succursale au Burkina Faso** (mai 2026), développement du réseau (Riviera Palmeraie, Bassam, Korhogo), création d'une Direction des PME et d'une Direction Organisation &amp; Excellence Opérationnelle dans le cadre de la stratégie 2026-2030. Les risques identifiés incluent l'environnement économique et géopolitique incertain, la hausse du coût du risque (+14%) et le risque d'exécution lié à l'expansion régionale. La recommandation fondamentale est donc **ACHAT (spéculatif)**, justifiée par une croissance exceptionnelle, une efficacité opérationnelle en amélioration et une OPV sursouscrite à 6 750 FCFA/action — réserve faite de l'absence d'information sur la politique de dividende.</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conduit à un diagnostic globalement favorable mais nuancé. **Sur le plan de la valorisation (Partie 0)**, la capitalisation de 418,75 Mds FCFA et le PER implicite estimé à ~14x suggèrent que le marché intègre déjà une prime de croissance, sans que l'on puisse conclure à une sous-évaluation flagrante. **Le comportement du cours (Partie 1)** est nettement haussier (+15,44% sur 100 jours, +7,44% en J-1), avec une distribution symétrique (skewness 0,044) et un kurtosis platykurtique (-1,500) indiquant un risque de pics extrêmes limité — mais le titre clôture au plus haut, ce qui expose à un risque de correction. **Les signaux techniques (Partie 2)** sont indisponibles (MM, Bollinger, MACD, RSI, Stochastique tous en nan), ce qui empêche toute confirmation ou infirmation de la dynamique par les indicateurs classiques — une lacune qui impose la prudence. **Les fondamentaux (Partie 3)** sont en revanche très solides : PNB +25%, résultat net +46%, coefficient d'exploitation de 40,3%, marge nette de 40,3%, dépôts +46% — des performances qui justifient une prime de valorisation et soutiennent une perspective de croissance à moyen terme. **Les prédictions IA (J+1 à J+10)** ne sont pas disponibles, ce qui ne permet pas de confirmer ou contredire les autres signaux. Sur la base de cette synthèse, la recommandation finale est **ACHAT**, avec un **niveau de confiance moyen** (en raison de l'absence de signaux techniques et de prédictions) et un **niveau de risque moyen** (titre récemment introduit, volatilité modérée, exposition aux risques d'exécution). L'**horizon d'investissement optimal est le moyen terme (3 à 12 mois)**, le temps que la société confirme ses fondamentaux au S2 2026 et que la liquidité du titre s'améliore sur le marché secondaire de la BRVM.</w:t>
      </w:r>
    </w:p>
    <w:p/>
    <w:p/>
    <w:p>
      <w:pPr>
        <w:pStyle w:val="Heading3"/>
      </w:pPr>
      <w:r>
        <w:rPr>
          <w:color w:val="005A32"/>
        </w:rPr>
        <w:t>📋 RAPPORTS &amp; COMMUNIQUÉS OFFICIELS</w:t>
      </w:r>
    </w:p>
    <w:p>
      <w:r>
        <w:rPr>
          <w:i/>
          <w:color w:val="646464"/>
          <w:sz w:val="18"/>
        </w:rPr>
        <w:t>1 rapport(s)/communiqué(s) disponible(s) (affichage des 1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"Forte croissance du PNB et du r\u00e9sultat net, am\u00e9lioration de l'efficacit\u00e9 op\u00e9rationnelle et succ\u00e8s de l'IPO soutiennent la valeur. La dynamique commerciale et l'expansion r\u00e9gionale devraient se poursuivre."}</w:t>
      </w:r>
    </w:p>
    <w:p>
      <w:pPr>
        <w:spacing w:before="40"/>
        <w:ind w:left="400"/>
      </w:pPr>
      <w:r>
        <w:rPr>
          <w:sz w:val="18"/>
        </w:rPr>
        <w:t>BBGCI a réalisé un premier semestre 2026 solide avec une forte croissance de ses crédits (+28% à 823,9 Mds FCFA) et de ses dépôts (+46% à 1 318,3 Mds FCFA). Le Produit Net Bancaire progresse de 25% à 37,7 Mds FCFA, tandis que le résultat net bondit de 46% à 15,2 Mds FCFA. L'efficacité opérationnelle s'améliore avec un coefficient d'exploitation de 40,3% contre 43,3% un an plus tôt. La banque a obtenu l'avis favorable de la Commission Bancaire pour une succursale au Burkina Faso et a réussi son introduction en bourse avec une sursouscription. Les fondamentaux renforcés et la stratégie 2026-2030 soutiennent des perspectives favorables pour le second semestre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{'variation_pnb': '+25%', 'cout_du_risque': '-4,3 milliards FCFA', 'frais_generaux': '-15,2 milliards FCFA', 'depots_clientele': '1 318,3 milliards FCFA', 'variation_depots': '+46%', 'credits_clientele': '823,9 milliards FCFA', 'variation_credits': '+28%', 'produit_net_bancaire': '37,7 milliards FCFA', 'resultat_avant_impot': '18,2 milliards FCFA', 'variation_resultat_net': '+46%', 'coefficient_exploitation': '40,3%', 'resultat_brut_exploitation': '22,5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Crédits à la clientèle en hausse de 28% à 823,9 milliards FCFA.</w:t>
      </w:r>
    </w:p>
    <w:p>
      <w:pPr>
        <w:pStyle w:val="ListBullet"/>
        <w:spacing w:before="20" w:after="20"/>
        <w:ind w:left="700"/>
      </w:pPr>
      <w:r>
        <w:rPr>
          <w:sz w:val="18"/>
        </w:rPr>
        <w:t>Dépôts clientèle en progression de 46% à 1 318,3 milliards FCFA.</w:t>
      </w:r>
    </w:p>
    <w:p>
      <w:pPr>
        <w:pStyle w:val="ListBullet"/>
        <w:spacing w:before="20" w:after="20"/>
        <w:ind w:left="700"/>
      </w:pPr>
      <w:r>
        <w:rPr>
          <w:sz w:val="18"/>
        </w:rPr>
        <w:t>Produit Net Bancaire en croissance de 25% à 37,7 milliards FCFA.</w:t>
      </w:r>
    </w:p>
    <w:p>
      <w:pPr>
        <w:pStyle w:val="ListBullet"/>
        <w:spacing w:before="20" w:after="20"/>
        <w:ind w:left="700"/>
      </w:pPr>
      <w:r>
        <w:rPr>
          <w:sz w:val="18"/>
        </w:rPr>
        <w:t>Résultat net en augmentation de 46% à 15,2 milliards FCFA.</w:t>
      </w:r>
    </w:p>
    <w:p>
      <w:pPr>
        <w:pStyle w:val="ListBullet"/>
        <w:spacing w:before="20" w:after="20"/>
        <w:ind w:left="700"/>
      </w:pPr>
      <w:r>
        <w:rPr>
          <w:sz w:val="18"/>
        </w:rPr>
        <w:t>Coefficient d'exploitation amélioré à 40,3% contre 43,3% un an auparavant.</w:t>
      </w:r>
    </w:p>
    <w:p>
      <w:pPr>
        <w:pStyle w:val="ListBullet"/>
        <w:spacing w:before="20" w:after="20"/>
        <w:ind w:left="700"/>
      </w:pPr>
      <w:r>
        <w:rPr>
          <w:sz w:val="18"/>
        </w:rPr>
        <w:t>Coût du risque contenu à 4,3 milliards FCFA (+14%) pour des crédits en hausse de 28%.</w:t>
      </w:r>
    </w:p>
    <w:p>
      <w:pPr>
        <w:spacing w:before="40"/>
        <w:ind w:left="400"/>
      </w:pPr>
      <w:r>
        <w:rPr>
          <w:b/>
          <w:color w:val="C05000"/>
          <w:sz w:val="18"/>
        </w:rPr>
        <w:t xml:space="preserve">⚠️ Risques : </w:t>
      </w:r>
      <w:r>
        <w:rPr>
          <w:sz w:val="18"/>
        </w:rPr>
        <w:t>["Hausse du co\u00fbt du risque (+14%) dans un contexte de forte croissance des cr\u00e9dits (+28%).", "Risques d'ex\u00e9cution li\u00e9s \u00e0 l'expansion r\u00e9gionale (Burkina Faso) et au d\u00e9ploiement de la strat\u00e9gie 2026-2030.", "Sensibilit\u00e9 \u00e0 l'environnement \u00e9conomiqu</w:t>
      </w:r>
    </w:p>
    <w:p>
      <w:pPr>
        <w:spacing w:before="40"/>
        <w:ind w:left="400"/>
      </w:pPr>
      <w:r>
        <w:rPr>
          <w:b/>
          <w:color w:val="0064A0"/>
          <w:sz w:val="18"/>
        </w:rPr>
        <w:t xml:space="preserve">🔮 Perspectives : </w:t>
      </w:r>
      <w:r>
        <w:rPr>
          <w:sz w:val="18"/>
        </w:rPr>
        <w:t>BBGCI prévoit de consolider sa dynamique de croissance au second semestre 2026, en poursuivant sa stratégie 2026-2030, la transformation digitale et l'expansion régionale. La banque reste attentive aux évolutions de l'environnement et renforce ses dispositifs de gouvernance et de maîtrise des risque</w:t>
      </w:r>
    </w:p>
    <w:p/>
    <w:p>
      <w:r>
        <w:t>════════════════════════════════════════════════════════════════════════════════</w:t>
      </w:r>
    </w:p>
    <w:p>
      <w:r>
        <w:br w:type="page"/>
      </w:r>
    </w:p>
    <w:p>
      <w:pPr>
        <w:pStyle w:val="Heading2"/>
        <w:spacing w:before="360"/>
      </w:pPr>
      <w:r>
        <w:rPr>
          <w:color w:val="0066CC"/>
        </w:rPr>
        <w:t>3.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13,646 titres</w:t>
            </w:r>
          </w:p>
        </w:tc>
        <w:tc>
          <w:tcPr>
            <w:tcW w:type="dxa" w:w="2268"/>
            <w:shd w:fill="FFF2CC" w:val="clear"/>
          </w:tcPr>
          <w:p>
            <w:r>
              <w:rPr>
                <w:b/>
                <w:color w:val="503200"/>
                <w:sz w:val="16"/>
              </w:rPr>
              <w:t xml:space="preserve">Cours actuel : </w:t>
            </w:r>
            <w:r>
              <w:rPr>
                <w:color w:val="000000"/>
                <w:sz w:val="17"/>
              </w:rPr>
              <w:t>8,510 FCFA</w:t>
            </w:r>
          </w:p>
          <w:p>
            <w:r>
              <w:rPr>
                <w:b/>
                <w:color w:val="503200"/>
                <w:sz w:val="16"/>
              </w:rPr>
              <w:t xml:space="preserve">Var. 100 jours : </w:t>
            </w:r>
            <w:r>
              <w:rPr>
                <w:b/>
                <w:color w:val="007800"/>
                <w:sz w:val="17"/>
              </w:rPr>
              <w:t>+62.10%</w:t>
            </w:r>
          </w:p>
          <w:p>
            <w:r>
              <w:rPr>
                <w:b/>
                <w:color w:val="503200"/>
                <w:sz w:val="16"/>
              </w:rPr>
              <w:t xml:space="preserve">Plus haut 100j : </w:t>
            </w:r>
            <w:r>
              <w:rPr>
                <w:color w:val="000000"/>
                <w:sz w:val="17"/>
              </w:rPr>
              <w:t>10,790 FCFA</w:t>
            </w:r>
          </w:p>
          <w:p>
            <w:r>
              <w:rPr>
                <w:b/>
                <w:color w:val="503200"/>
                <w:sz w:val="16"/>
              </w:rPr>
              <w:t xml:space="preserve">Plus bas 100j : </w:t>
            </w:r>
            <w:r>
              <w:rPr>
                <w:color w:val="000000"/>
                <w:sz w:val="17"/>
              </w:rPr>
              <w:t>5,105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24.40% (Élevée) — μ=7,140 FCFA, σ=1,742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β=0.8288 (Neutre (suit le marché)) — Cov=0.000056, Var(idx)=0.000068, ρ=0.256,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C6EFCE" w:val="clear"/>
          </w:tcPr>
          <w:p>
            <w:r>
              <w:rPr>
                <w:b/>
                <w:sz w:val="15"/>
              </w:rPr>
              <w:t>13,646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2026-09-29</w:t>
            </w:r>
          </w:p>
        </w:tc>
        <w:tc>
          <w:tcPr>
            <w:tcW w:type="dxa" w:w="1440"/>
            <w:shd w:fill="C6EFCE" w:val="clear"/>
          </w:tcPr>
          <w:p>
            <w:r>
              <w:rPr>
                <w:sz w:val="17"/>
              </w:rPr>
              <w:t>8,358</w:t>
            </w:r>
          </w:p>
        </w:tc>
        <w:tc>
          <w:tcPr>
            <w:tcW w:type="dxa" w:w="1440"/>
            <w:shd w:fill="C6EFCE" w:val="clear"/>
          </w:tcPr>
          <w:p>
            <w:r>
              <w:rPr>
                <w:b/>
                <w:sz w:val="17"/>
              </w:rPr>
              <w:t>8,890</w:t>
            </w:r>
          </w:p>
        </w:tc>
        <w:tc>
          <w:tcPr>
            <w:tcW w:type="dxa" w:w="1440"/>
            <w:shd w:fill="C6EFCE" w:val="clear"/>
          </w:tcPr>
          <w:p>
            <w:r>
              <w:rPr>
                <w:sz w:val="17"/>
              </w:rPr>
              <w:t>9,421</w:t>
            </w:r>
          </w:p>
        </w:tc>
        <w:tc>
          <w:tcPr>
            <w:tcW w:type="dxa" w:w="1440"/>
            <w:shd w:fill="C6EFCE" w:val="clear"/>
          </w:tcPr>
          <w:p>
            <w:r>
              <w:rPr>
                <w:b/>
                <w:color w:val="008000"/>
                <w:sz w:val="17"/>
              </w:rPr>
              <w:t>+4.5%</w:t>
            </w:r>
          </w:p>
        </w:tc>
      </w:tr>
      <w:tr>
        <w:tc>
          <w:tcPr>
            <w:tcW w:type="dxa" w:w="1440"/>
            <w:shd w:fill="C6EFCE" w:val="clear"/>
          </w:tcPr>
          <w:p>
            <w:r>
              <w:rPr>
                <w:sz w:val="17"/>
              </w:rPr>
              <w:t>J+2  ⭐</w:t>
            </w:r>
          </w:p>
        </w:tc>
        <w:tc>
          <w:tcPr>
            <w:tcW w:type="dxa" w:w="1440"/>
            <w:shd w:fill="C6EFCE" w:val="clear"/>
          </w:tcPr>
          <w:p>
            <w:r>
              <w:rPr>
                <w:sz w:val="17"/>
              </w:rPr>
              <w:t>2026-09-30</w:t>
            </w:r>
          </w:p>
        </w:tc>
        <w:tc>
          <w:tcPr>
            <w:tcW w:type="dxa" w:w="1440"/>
            <w:shd w:fill="C6EFCE" w:val="clear"/>
          </w:tcPr>
          <w:p>
            <w:r>
              <w:rPr>
                <w:sz w:val="17"/>
              </w:rPr>
              <w:t>8,142</w:t>
            </w:r>
          </w:p>
        </w:tc>
        <w:tc>
          <w:tcPr>
            <w:tcW w:type="dxa" w:w="1440"/>
            <w:shd w:fill="C6EFCE" w:val="clear"/>
          </w:tcPr>
          <w:p>
            <w:r>
              <w:rPr>
                <w:b/>
                <w:sz w:val="17"/>
              </w:rPr>
              <w:t>8,894</w:t>
            </w:r>
          </w:p>
        </w:tc>
        <w:tc>
          <w:tcPr>
            <w:tcW w:type="dxa" w:w="1440"/>
            <w:shd w:fill="C6EFCE" w:val="clear"/>
          </w:tcPr>
          <w:p>
            <w:r>
              <w:rPr>
                <w:sz w:val="17"/>
              </w:rPr>
              <w:t>9,646</w:t>
            </w:r>
          </w:p>
        </w:tc>
        <w:tc>
          <w:tcPr>
            <w:tcW w:type="dxa" w:w="1440"/>
            <w:shd w:fill="C6EFCE" w:val="clear"/>
          </w:tcPr>
          <w:p>
            <w:r>
              <w:rPr>
                <w:b/>
                <w:color w:val="008000"/>
                <w:sz w:val="17"/>
              </w:rPr>
              <w:t>+4.5%</w:t>
            </w:r>
          </w:p>
        </w:tc>
      </w:tr>
      <w:tr>
        <w:tc>
          <w:tcPr>
            <w:tcW w:type="dxa" w:w="1440"/>
            <w:shd w:fill="C6EFCE" w:val="clear"/>
          </w:tcPr>
          <w:p>
            <w:r>
              <w:rPr>
                <w:sz w:val="17"/>
              </w:rPr>
              <w:t>J+3  ⭐</w:t>
            </w:r>
          </w:p>
        </w:tc>
        <w:tc>
          <w:tcPr>
            <w:tcW w:type="dxa" w:w="1440"/>
            <w:shd w:fill="C6EFCE" w:val="clear"/>
          </w:tcPr>
          <w:p>
            <w:r>
              <w:rPr>
                <w:sz w:val="17"/>
              </w:rPr>
              <w:t>2026-10-01</w:t>
            </w:r>
          </w:p>
        </w:tc>
        <w:tc>
          <w:tcPr>
            <w:tcW w:type="dxa" w:w="1440"/>
            <w:shd w:fill="C6EFCE" w:val="clear"/>
          </w:tcPr>
          <w:p>
            <w:r>
              <w:rPr>
                <w:sz w:val="17"/>
              </w:rPr>
              <w:t>8,000</w:t>
            </w:r>
          </w:p>
        </w:tc>
        <w:tc>
          <w:tcPr>
            <w:tcW w:type="dxa" w:w="1440"/>
            <w:shd w:fill="C6EFCE" w:val="clear"/>
          </w:tcPr>
          <w:p>
            <w:r>
              <w:rPr>
                <w:b/>
                <w:sz w:val="17"/>
              </w:rPr>
              <w:t>8,924</w:t>
            </w:r>
          </w:p>
        </w:tc>
        <w:tc>
          <w:tcPr>
            <w:tcW w:type="dxa" w:w="1440"/>
            <w:shd w:fill="C6EFCE" w:val="clear"/>
          </w:tcPr>
          <w:p>
            <w:r>
              <w:rPr>
                <w:sz w:val="17"/>
              </w:rPr>
              <w:t>9,848</w:t>
            </w:r>
          </w:p>
        </w:tc>
        <w:tc>
          <w:tcPr>
            <w:tcW w:type="dxa" w:w="1440"/>
            <w:shd w:fill="C6EFCE" w:val="clear"/>
          </w:tcPr>
          <w:p>
            <w:r>
              <w:rPr>
                <w:b/>
                <w:color w:val="008000"/>
                <w:sz w:val="17"/>
              </w:rPr>
              <w:t>+4.9%</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7,888</w:t>
            </w:r>
          </w:p>
        </w:tc>
        <w:tc>
          <w:tcPr>
            <w:tcW w:type="dxa" w:w="1440"/>
            <w:shd w:fill="C6EFCE" w:val="clear"/>
          </w:tcPr>
          <w:p>
            <w:r>
              <w:rPr>
                <w:b/>
                <w:sz w:val="17"/>
              </w:rPr>
              <w:t>8,959</w:t>
            </w:r>
          </w:p>
        </w:tc>
        <w:tc>
          <w:tcPr>
            <w:tcW w:type="dxa" w:w="1440"/>
            <w:shd w:fill="C6EFCE" w:val="clear"/>
          </w:tcPr>
          <w:p>
            <w:r>
              <w:rPr>
                <w:sz w:val="17"/>
              </w:rPr>
              <w:t>10,030</w:t>
            </w:r>
          </w:p>
        </w:tc>
        <w:tc>
          <w:tcPr>
            <w:tcW w:type="dxa" w:w="1440"/>
            <w:shd w:fill="C6EFCE" w:val="clear"/>
          </w:tcPr>
          <w:p>
            <w:r>
              <w:rPr>
                <w:b/>
                <w:color w:val="008000"/>
                <w:sz w:val="17"/>
              </w:rPr>
              <w:t>+5.3%</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7,791</w:t>
            </w:r>
          </w:p>
        </w:tc>
        <w:tc>
          <w:tcPr>
            <w:tcW w:type="dxa" w:w="1440"/>
            <w:shd w:fill="C6EFCE" w:val="clear"/>
          </w:tcPr>
          <w:p>
            <w:r>
              <w:rPr>
                <w:b/>
                <w:sz w:val="17"/>
              </w:rPr>
              <w:t>8,993</w:t>
            </w:r>
          </w:p>
        </w:tc>
        <w:tc>
          <w:tcPr>
            <w:tcW w:type="dxa" w:w="1440"/>
            <w:shd w:fill="C6EFCE" w:val="clear"/>
          </w:tcPr>
          <w:p>
            <w:r>
              <w:rPr>
                <w:sz w:val="17"/>
              </w:rPr>
              <w:t>10,195</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7,702</w:t>
            </w:r>
          </w:p>
        </w:tc>
        <w:tc>
          <w:tcPr>
            <w:tcW w:type="dxa" w:w="1440"/>
            <w:shd w:fill="C6EFCE" w:val="clear"/>
          </w:tcPr>
          <w:p>
            <w:r>
              <w:rPr>
                <w:b/>
                <w:sz w:val="17"/>
              </w:rPr>
              <w:t>9,024</w:t>
            </w:r>
          </w:p>
        </w:tc>
        <w:tc>
          <w:tcPr>
            <w:tcW w:type="dxa" w:w="1440"/>
            <w:shd w:fill="C6EFCE" w:val="clear"/>
          </w:tcPr>
          <w:p>
            <w:r>
              <w:rPr>
                <w:sz w:val="17"/>
              </w:rPr>
              <w:t>10,345</w:t>
            </w:r>
          </w:p>
        </w:tc>
        <w:tc>
          <w:tcPr>
            <w:tcW w:type="dxa" w:w="1440"/>
            <w:shd w:fill="C6EFCE" w:val="clear"/>
          </w:tcPr>
          <w:p>
            <w:r>
              <w:rPr>
                <w:b/>
                <w:color w:val="008000"/>
                <w:sz w:val="17"/>
              </w:rPr>
              <w:t>+6.0%</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7,620</w:t>
            </w:r>
          </w:p>
        </w:tc>
        <w:tc>
          <w:tcPr>
            <w:tcW w:type="dxa" w:w="1440"/>
            <w:shd w:fill="C6EFCE" w:val="clear"/>
          </w:tcPr>
          <w:p>
            <w:r>
              <w:rPr>
                <w:b/>
                <w:sz w:val="17"/>
              </w:rPr>
              <w:t>9,051</w:t>
            </w:r>
          </w:p>
        </w:tc>
        <w:tc>
          <w:tcPr>
            <w:tcW w:type="dxa" w:w="1440"/>
            <w:shd w:fill="C6EFCE" w:val="clear"/>
          </w:tcPr>
          <w:p>
            <w:r>
              <w:rPr>
                <w:sz w:val="17"/>
              </w:rPr>
              <w:t>10,482</w:t>
            </w:r>
          </w:p>
        </w:tc>
        <w:tc>
          <w:tcPr>
            <w:tcW w:type="dxa" w:w="1440"/>
            <w:shd w:fill="C6EFCE" w:val="clear"/>
          </w:tcPr>
          <w:p>
            <w:r>
              <w:rPr>
                <w:b/>
                <w:color w:val="008000"/>
                <w:sz w:val="17"/>
              </w:rPr>
              <w:t>+6.4%</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7,541</w:t>
            </w:r>
          </w:p>
        </w:tc>
        <w:tc>
          <w:tcPr>
            <w:tcW w:type="dxa" w:w="1440"/>
            <w:shd w:fill="C6EFCE" w:val="clear"/>
          </w:tcPr>
          <w:p>
            <w:r>
              <w:rPr>
                <w:b/>
                <w:sz w:val="17"/>
              </w:rPr>
              <w:t>9,075</w:t>
            </w:r>
          </w:p>
        </w:tc>
        <w:tc>
          <w:tcPr>
            <w:tcW w:type="dxa" w:w="1440"/>
            <w:shd w:fill="C6EFCE" w:val="clear"/>
          </w:tcPr>
          <w:p>
            <w:r>
              <w:rPr>
                <w:sz w:val="17"/>
              </w:rPr>
              <w:t>10,609</w:t>
            </w:r>
          </w:p>
        </w:tc>
        <w:tc>
          <w:tcPr>
            <w:tcW w:type="dxa" w:w="1440"/>
            <w:shd w:fill="C6EFCE" w:val="clear"/>
          </w:tcPr>
          <w:p>
            <w:r>
              <w:rPr>
                <w:b/>
                <w:color w:val="008000"/>
                <w:sz w:val="17"/>
              </w:rPr>
              <w:t>+6.6%</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7,465</w:t>
            </w:r>
          </w:p>
        </w:tc>
        <w:tc>
          <w:tcPr>
            <w:tcW w:type="dxa" w:w="1440"/>
            <w:shd w:fill="C6EFCE" w:val="clear"/>
          </w:tcPr>
          <w:p>
            <w:r>
              <w:rPr>
                <w:b/>
                <w:sz w:val="17"/>
              </w:rPr>
              <w:t>9,096</w:t>
            </w:r>
          </w:p>
        </w:tc>
        <w:tc>
          <w:tcPr>
            <w:tcW w:type="dxa" w:w="1440"/>
            <w:shd w:fill="C6EFCE" w:val="clear"/>
          </w:tcPr>
          <w:p>
            <w:r>
              <w:rPr>
                <w:sz w:val="17"/>
              </w:rPr>
              <w:t>10,727</w:t>
            </w:r>
          </w:p>
        </w:tc>
        <w:tc>
          <w:tcPr>
            <w:tcW w:type="dxa" w:w="1440"/>
            <w:shd w:fill="C6EFCE" w:val="clear"/>
          </w:tcPr>
          <w:p>
            <w:r>
              <w:rPr>
                <w:b/>
                <w:color w:val="008000"/>
                <w:sz w:val="17"/>
              </w:rPr>
              <w:t>+6.9%</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7,391</w:t>
            </w:r>
          </w:p>
        </w:tc>
        <w:tc>
          <w:tcPr>
            <w:tcW w:type="dxa" w:w="1440"/>
            <w:shd w:fill="C6EFCE" w:val="clear"/>
          </w:tcPr>
          <w:p>
            <w:r>
              <w:rPr>
                <w:b/>
                <w:sz w:val="17"/>
              </w:rPr>
              <w:t>9,114</w:t>
            </w:r>
          </w:p>
        </w:tc>
        <w:tc>
          <w:tcPr>
            <w:tcW w:type="dxa" w:w="1440"/>
            <w:shd w:fill="C6EFCE" w:val="clear"/>
          </w:tcPr>
          <w:p>
            <w:r>
              <w:rPr>
                <w:sz w:val="17"/>
              </w:rPr>
              <w:t>10,837</w:t>
            </w:r>
          </w:p>
        </w:tc>
        <w:tc>
          <w:tcPr>
            <w:tcW w:type="dxa" w:w="1440"/>
            <w:shd w:fill="C6EFCE" w:val="clear"/>
          </w:tcPr>
          <w:p>
            <w:r>
              <w:rPr>
                <w:b/>
                <w:color w:val="008000"/>
                <w:sz w:val="17"/>
              </w:rPr>
              <w:t>+7.1%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491,54 milliards FCFA, la BICB s'impose comme l'une des valeurs bancaires de référence de la cote BRVM, ce qui traduit la confiance du marché envers le premier établissement bancaire béninois. Le BPA de 627 FCFA par action signifie que chaque titre génère près de 627 FCFA de bénéfice net, un niveau élevé qui témoigne de la forte rentabilité de la banque. Le PER de 13,6x se situe légèrement au-dessus de la moyenne BRVM (8-12x), indiquant que les investisseurs acceptent de payer une prime modérée pour cette valeur de qualité, sans pour autant tomber dans une surévaluation manifeste. Le P/B de 3,64x confirme cette prime de croissance : le marché valorise la banque à plus de 3,6 fois sa valeur comptable, ce qui est cohérent avec un ROE de 26,8% largement supérieur au coût des fonds propres. En revanche, l'EV/EBITDA de 24,1x apparaît très exigeant (&gt;15x), signalant que la valeur d'entreprise intègre déjà une bonne partie des anticipations de croissance — un point de vigilance pour les investisseurs value.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la BICB a enregistré une progression spectaculaire de +62,10%, passant d'un plus bas de 5 105 FCFA à un plus haut de 10 790 FCFA, pour un cours actuel de 8 510 FCFA (stable sur la dernière séance, variation J-1 de 0,00%). Le range de trading particulièrement large (5 685 FCFA d'amplitude) témoigne d'une forte dynamique haussière entrecoupée de corrections significatives, le titre ayant reflué de son sommet de 10 790 FCFA vers 8 510 FCFA. La moyenne de 7 140 FCFA se situe nettement au-dessus de la médiane de 6 480 FCFA, ce qui confirme une asymétrie positive (skewness de 0,586) : les journées de forte hausse, bien que moins nombreuses, ont tiré la moyenne vers le haut, tandis que la majorité des séances s'est déroulée sous cette moyenne. L'écart-type de 1 751 FCFA avec un coefficient de variation de 24,5% indique une dispersion modérée à élevée du cours autour de sa tendance. Le kurtosis de -0,915 (mésokurtique) suggère une distribution proche de la normale, sans risque excessif de pics extrêmes, ce qui est rassurant pour la gestion du risque. Enfin, la volatilité annualisée de 42,2% classe le titre dans la catégorie des valeurs à volatilité élevée (&gt;30%), ce qui est typique des petites capitalisations bancaires de la BRVM et implique une prime de risque significative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9 815,25 FCFA et la MM50 à 8 618,00 FCFA, toutes deux supérieures au cours actuel de 8 510 FCFA. Le cours évolue donc sous ses deux moyennes mobiles, ce qui constitue un signal baissier de court terme. Toutefois, la MM20 reste au-dessus de la MM50, préservant la structure haussière de fond. La décision affichée est "Achat", probablement basée sur la convergence des moyennes à moyen terme, mais la position du cours sous ces niveaux invite à la prudence.</w:t>
      </w:r>
    </w:p>
    <w:p>
      <w:pPr>
        <w:spacing w:after="120" w:line="276" w:lineRule="auto"/>
      </w:pPr>
      <w:r>
        <w:t>**Bandes de Bollinger** : La borne supérieure se situe à 11 504,83 FCFA et la borne inférieure à 8 125,67 FCFA, avec un cours actuel de 8 510 FCFA. Le titre évolue donc dans la partie basse du canal, à seulement 4,7% au-dessus de la borne inférieure, ce qui suggère une pression vendeuse récente. La largeur des bandes (3 379 FCFA) reflète une volatilité élevée. La décision "Neutre" est cohérente : le cours n'est ni en zone de survente extrême ni en zone de surachat.</w:t>
      </w:r>
    </w:p>
    <w:p>
      <w:pPr>
        <w:spacing w:after="120" w:line="276" w:lineRule="auto"/>
      </w:pPr>
      <w:r>
        <w:t>**MACD** : La valeur du MACD est de -12,97 contre un signal à 314,745, affichant une divergence baissière marquée (MACD nettement sous son signal). Le momentum est clairement négatif, ce qui justifie la décision "Vente". Ce croisement baissier du MACD sous sa ligne de signal constitue un avertissement sur la poursuite de la correction à court terme.</w:t>
      </w:r>
    </w:p>
    <w:p>
      <w:pPr>
        <w:spacing w:after="120" w:line="276" w:lineRule="auto"/>
      </w:pPr>
      <w:r>
        <w:t>**RSI** : Le RSI s'établit à 25,75, un niveau inférieur au seuil de survente de 30. Cela indique que le titre est techniquement survendu et pourrait être sujet à un rebond technique. La décision "Achat" est cohérente avec cette lecture contrariante : historiquement, un RSI sous 30 précède souvent une reprise.</w:t>
      </w:r>
    </w:p>
    <w:p>
      <w:pPr>
        <w:spacing w:after="120" w:line="276" w:lineRule="auto"/>
      </w:pPr>
      <w:r>
        <w:t>**Stochastique** : Le %K est à 22,43 et le %D à 14,96, tous deux en zone de survente (&lt;20 pour le %D). Le croisement du %K au-dessus du %D n'est pas encore confirmé, mais la proximité des deux lignes suggère une possible inflexion haussière imminente. La décision "Neutre" reflète cette incertitude.</w:t>
      </w:r>
    </w:p>
    <w:p>
      <w:pPr>
        <w:spacing w:after="120" w:line="276" w:lineRule="auto"/>
      </w:pPr>
      <w:r>
        <w:t>**Conclusion technique** : Les indicateurs présentent un tableau contrasté. Les signaux baissiers dominent à court terme (cours sous MM20/MM50, MACD négatif), mais les oscillateurs (RSI à 25,75, Stochastique en survente) plaident pour un rebond technique imminent. La divergence entre indicateurs de tendance et oscillateurs suggère une phase de consolidation, avec un potentiel de rebond à moyen terme si le support de 8 125 FCFA (borne inférieure de Bollinger) tient.</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En 2025, la BICB a réalisé un Produit Net Bancaire (PNB) de 52,805 milliards FCFA, en croissance de 16,49% sur un an, confirmant la vigueur de son activité d'intermédiation. Le résultat net s'élève à 36,237 milliards FCFA, avec une marge nette exceptionnelle de 68,62% — un niveau élevé qui s'explique en partie par un coût du risque négatif (reprise de provisions de +5,075 milliards FCFA), un élément non récurrent à surveiller. Le ROE atteint 26,82% (&gt;15%, excellent) et le ROA 1,96%, témoignant d'une rentabilité solide malgré la croissance du bilan. Le coefficient d'exploitation de 31,12% est excellent (&lt;60%), confirmant l'efficacité opérationnelle de la banque. Le ratio crédits nets/dépôts de 97,5% (1 151,5 Mds de crédits pour 1 181,0 Mds de dépôts) indique une transformation tendue, avec une marge de manœuvre limitée pour financer de nouveaux crédits sans collecte supplémentaire de dépôts. Le coût du risque de 9,61% (provisions/charges financières) reste un point de vigilance, reflétant un risque de crédit significatif.</w:t>
      </w:r>
    </w:p>
    <w:p>
      <w:pPr>
        <w:spacing w:after="120" w:line="276" w:lineRule="auto"/>
      </w:pPr>
      <w:r>
        <w:t>**Estimations basées sur les rapports trimestriels** : Le rapport du T1 2026 (publié en 2026) révèle un PNB de 14,6 milliards FCFA (+35%) et un résultat net de 8,0 milliards FCFA (+48%), marquant une accélération notable. Le rapport du S1 2026 (publié en 2026) confirme cette dynamique avec un PNB de 31,882 milliards FCFA (+19%) et un résultat net de 18,368 milliards FCFA (+11%), malgré un coût du risque redevenu une charge de 3,579 milliards FCFA (contre un produit net de 2,376 milliards au S1 2025). Sur la base de ces tendances, on peut estimer que l'exercice 2026 devrait afficher un PNB supérieur à 60 milliards FCFA et un résultat net en croissance modérée (5-10%), la normalisation du coût du risque compensant partiellement la forte croissance du PNB. Le rapport du T3 2025 (publié en 2025) indiquait déjà un PNB cumulé de 35,945 milliards FCFA (+26%) mais un résultat net en recul de 9% à 13,128 milliards FCFA, confirmant la pression des provisions.</w:t>
      </w:r>
    </w:p>
    <w:p>
      <w:pPr>
        <w:spacing w:after="120" w:line="276" w:lineRule="auto"/>
      </w:pPr>
      <w:r>
        <w:t>**Recommandation fondamentale** : La BICB présente des fondamentaux solides (ROE élevé, coefficient d'exploitation excellent, croissance du PNB soutenue) mais fait face à des défis croissants : normalisation du coût du risque, tension sur la liquidité (ratio crédits/dépôts de 97,5%), et absence d'information sur la politique de dividende. La solidité financière (capitaux propres de 135,118 milliards FCFA, solvabilité de 19,64%) offre une marge de manœuvre, mais la qualité de la croissance (crédits +37,3% en 2025) doit être surveillée. La recommandation fondamentale est **CONSERVER**, avec un biais positif si la banque parvient à maîtriser son coût du risque en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BICB apparaît modérément exigeante : le PER de 13,6x (au-dessus de la moyenne BRVM) et l'EV/EBITDA de 24,1x intègrent déjà une prime de croissance, tandis que le P/B de 3,64x reflète la qualité des fonds propres. Le comportement du cours sur 100 jours est haussier (+62,10%) mais marqué par une correction récente depuis le sommet de 10 790 FCFA, avec une volatilité élevée (42,2%) et une asymétrie positive (skewness de 0,586) qui suggère que les hausses, bien que moins fréquentes, ont été amples. Les signaux techniques sont mitigés : la tendance de fond reste haussière (MM20 &gt; MM50), mais le cours évolue sous ses moyennes mobiles et le MACD est baissier, tandis que le RSI (25,75) et le Stochastique (14,96) en zone de survente plaident pour un rebond technique imminent. Les fondamentaux sont solides (ROE de 26,8%, coefficient d'exploitation de 31,1%, PNB en croissance de 16,5% en 2025), mais la normalisation du coût du risque et la tension sur la liquidité constituent des risques à surveiller. Les prédictions IA (J+1 à J+10) anticipent une reprise progressive du cours vers 8 890-8 993 FCFA, ce qui confirme le scénario d'un rebond technique après la correction. Sur la base de cette synthèse, la recommandation finale est **CONSERVER**, avec un niveau de confiance **Moyen** et un risque global **Élevé** (volatilité de 42,2%, coût du risque significatif). L'horizon d'investissement optimal est le **moyen terme (3-12 mois)**, en attendant la confirmation de la maîtrise du coût du risque et la publication des résultats annuels 2026. Un investisseur déjà positionné peut conserver le titre en profitant du rebond technique anticipé, tandis qu'un nouvel entrant attendra une confirmation de la tendance haussière au-dessus de la MM20 (9 815 FCFA) avant d'envisager une position acheteuse.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9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PNB (+19 %) et du r\u00e9sultat brut d'exploitation (+31 %) traduit une rentabilit\u00e9 op\u00e9rationnelle solide, malgr\u00e9 un co\u00fbt du risque normalis\u00e9 apr\u00e8s des reprises exceptionnelles en 2025. Le r\u00e9sultat net reste en croissance de 11 % et le renforcement de la couverture des risques conforte la qualit\u00e9 des fondamentaux."}</w:t>
      </w:r>
    </w:p>
    <w:p>
      <w:pPr>
        <w:spacing w:before="40"/>
        <w:ind w:left="400"/>
      </w:pPr>
      <w:r>
        <w:rPr>
          <w:sz w:val="18"/>
        </w:rPr>
        <w:t>Au premier semestre 2026, BIIC affiche un Produit Net Bancaire de 31,9 milliards FCFA en progression de 19 % sur un an, porté par la dynamique commerciale et la bonne tenue des marges. La maîtrise des charges d'exploitation, en repli de 4 % à 9,0 milliards FCFA, permet au résultat brut d'exploitation de bondir de 31 % à 22,9 milliards FCFA. Le coût du risque redevient une charge de 3,6 milliards FCFA, contre un produit net de 2,4 milliards FCFA au S1 2025 qui intégrait d'importantes reprises de provisions. Malgré ce effet de base défavorable, le résultat net progresse de 11 % pour s'établir à 18,4 milliards FCFA, avec une rentabilité nette très élevée rapportée au PNB. Au bilan, le total s'é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'-3 579 millions FCFA (vs +2 376 millions FCFA au S1 2025)', 'depots_clientele': '1 173 652 millions FCFA (-1 % vs déc.-25)', 'dotations_nettes': '6 100 millions FCFA (-13 %)', 'charges_exploitation': '-8 971 millions FCFA (-4 %)', 'produit_net_bancaire': '31 882 millions FCFA (+19 %)', 'resultat_avant_impot': '19 331 millions FCFA (-3 %)', 'titres_au_cout_amorti': '483 801 millions FCFA (-5 %)', 'credits_nets_clientele': '1 162 656 millions FCFA (+1 % vs déc.-25)', 'resultat_brut_exploitation': '22 910 millions FCFA (+31 %)', 'taux_de_couverture_credits_bruts': '1,65 %'}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 58 % (résultat net / PNB)</w:t>
            </w:r>
          </w:p>
        </w:tc>
        <w:tc>
          <w:tcPr>
            <w:tcW w:type="dxa" w:w="2160"/>
          </w:tcPr>
          <w:p>
            <w:pPr>
              <w:ind w:left="100"/>
            </w:pPr>
            <w:r/>
            <w:r>
              <w:rPr>
                <w:b/>
                <w:sz w:val="16"/>
              </w:rPr>
              <w:t>total_actif</w:t>
              <w:br/>
            </w:r>
            <w:r>
              <w:rPr>
                <w:sz w:val="18"/>
              </w:rPr>
              <w:t>1 870 566 millions FCFA</w:t>
            </w:r>
          </w:p>
        </w:tc>
      </w:tr>
      <w:tr>
        <w:tc>
          <w:tcPr>
            <w:tcW w:type="dxa" w:w="2160"/>
          </w:tcPr>
          <w:p>
            <w:r/>
            <w:r>
              <w:rPr>
                <w:b/>
                <w:sz w:val="16"/>
              </w:rPr>
              <w:t>resultat_net</w:t>
              <w:br/>
            </w:r>
            <w:r>
              <w:rPr>
                <w:sz w:val="18"/>
              </w:rPr>
              <w:t>18 368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31 882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31,9 milliards FCFA au S1 2026, en hausse de 19 % par rapport au S1 2025 (26,9 milliards FCFA).</w:t>
      </w:r>
    </w:p>
    <w:p>
      <w:pPr>
        <w:pStyle w:val="ListBullet"/>
        <w:spacing w:before="20" w:after="20"/>
        <w:ind w:left="700"/>
      </w:pPr>
      <w:r>
        <w:rPr>
          <w:sz w:val="18"/>
        </w:rPr>
        <w:t>Charges d'exploitation en recul de 4 % à 8,97 milliards FCFA, illustrant une discipline de coûts soutenue.</w:t>
      </w:r>
    </w:p>
    <w:p>
      <w:pPr>
        <w:pStyle w:val="ListBullet"/>
        <w:spacing w:before="20" w:after="20"/>
        <w:ind w:left="700"/>
      </w:pPr>
      <w:r>
        <w:rPr>
          <w:sz w:val="18"/>
        </w:rPr>
        <w:t>Résultat brut d'exploitation de 22,9 milliards FCFA, en progression de 31 %, soit une marge brute d'exploitation très confortable.</w:t>
      </w:r>
    </w:p>
    <w:p>
      <w:pPr>
        <w:pStyle w:val="ListBullet"/>
        <w:spacing w:before="20" w:after="20"/>
        <w:ind w:left="700"/>
      </w:pPr>
      <w:r>
        <w:rPr>
          <w:sz w:val="18"/>
        </w:rPr>
        <w:t>Coût du risque de -3,6 milliards FCFA contre un produit de 2,4 milliards FCFA au S1 2025, sous l'effet du niveau exceptionnel de reprises de l'an passé.</w:t>
      </w:r>
    </w:p>
    <w:p>
      <w:pPr>
        <w:pStyle w:val="ListBullet"/>
        <w:spacing w:before="20" w:after="20"/>
        <w:ind w:left="700"/>
      </w:pPr>
      <w:r>
        <w:rPr>
          <w:sz w:val="18"/>
        </w:rPr>
        <w:t>Résultat net de 18,4 milliards FCFA, en hausse de 11 % sur un an (16,6 milliards FCFA au S1 2025).</w:t>
      </w:r>
    </w:p>
    <w:p>
      <w:pPr>
        <w:pStyle w:val="ListBullet"/>
        <w:spacing w:before="20" w:after="20"/>
        <w:ind w:left="700"/>
      </w:pPr>
      <w:r>
        <w:rPr>
          <w:sz w:val="18"/>
        </w:rPr>
        <w:t>Dotations nettes en recul de 13 % à 6,1 milliards FCFA, avec un taux de couverture des crédits bruts porté à 1,65 % (19,5 milliards FCFA de dépréciations).</w:t>
      </w:r>
    </w:p>
    <w:p>
      <w:pPr>
        <w:spacing w:before="40"/>
        <w:ind w:left="400"/>
      </w:pPr>
      <w:r>
        <w:rPr>
          <w:b/>
          <w:color w:val="C05000"/>
          <w:sz w:val="18"/>
        </w:rPr>
        <w:t xml:space="preserve">⚠️ Risques : </w:t>
      </w:r>
      <w:r>
        <w:rPr>
          <w:sz w:val="18"/>
        </w:rPr>
        <w:t>["Normalisation du co\u00fbt du risque : retour \u00e0 une charge de 3,6 milliards FCFA, avec un r\u00e9sultat avant imp\u00f4t en l\u00e9ger repli (-3 %), la qualit\u00e9 des actifs restant un point de vigilance.", "L\u00e9ger retrait des d\u00e9p\u00f4ts client\u00e8le (-1 %) qui pourrait contrain</w:t>
      </w:r>
    </w:p>
    <w:p>
      <w:pPr>
        <w:spacing w:before="40"/>
        <w:ind w:left="400"/>
      </w:pPr>
      <w:r>
        <w:rPr>
          <w:b/>
          <w:color w:val="0064A0"/>
          <w:sz w:val="18"/>
        </w:rPr>
        <w:t xml:space="preserve">🔮 Perspectives : </w:t>
      </w:r>
      <w:r>
        <w:rPr>
          <w:sz w:val="18"/>
        </w:rPr>
        <w:t xml:space="preserve">La Direction Générale se déclare confiante dans sa capacité à atteindre les objectifs de l'exercice 2026, en poursuivant l'exécution disciplinée de son plan de développement. La Banque entend maintenir une gestion prudente des risques, une allocation rigoureuse des ressources et la consolidation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
      <w:r>
        <w:t>════════════════════════════════════════════════════════════════════════════════</w:t>
      </w:r>
    </w:p>
    <w:p>
      <w:r>
        <w:br w:type="page"/>
      </w:r>
    </w:p>
    <w:p>
      <w:pPr>
        <w:pStyle w:val="Heading2"/>
        <w:spacing w:before="360"/>
      </w:pPr>
      <w:r>
        <w:rPr>
          <w:color w:val="0066CC"/>
        </w:rPr>
        <w:t>4.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541.67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692 titres</w:t>
            </w:r>
          </w:p>
        </w:tc>
        <w:tc>
          <w:tcPr>
            <w:tcW w:type="dxa" w:w="2268"/>
            <w:shd w:fill="FFF2CC" w:val="clear"/>
          </w:tcPr>
          <w:p>
            <w:r>
              <w:rPr>
                <w:b/>
                <w:color w:val="503200"/>
                <w:sz w:val="16"/>
              </w:rPr>
              <w:t xml:space="preserve">Cours actuel : </w:t>
            </w:r>
            <w:r>
              <w:rPr>
                <w:color w:val="000000"/>
                <w:sz w:val="17"/>
              </w:rPr>
              <w:t>32,500 FCFA</w:t>
            </w:r>
          </w:p>
          <w:p>
            <w:r>
              <w:rPr>
                <w:b/>
                <w:color w:val="503200"/>
                <w:sz w:val="16"/>
              </w:rPr>
              <w:t xml:space="preserve">Var. 100 jours : </w:t>
            </w:r>
            <w:r>
              <w:rPr>
                <w:b/>
                <w:color w:val="007800"/>
                <w:sz w:val="17"/>
              </w:rPr>
              <w:t>+32.95%</w:t>
            </w:r>
          </w:p>
          <w:p>
            <w:r>
              <w:rPr>
                <w:b/>
                <w:color w:val="503200"/>
                <w:sz w:val="16"/>
              </w:rPr>
              <w:t xml:space="preserve">Plus haut 100j : </w:t>
            </w:r>
            <w:r>
              <w:rPr>
                <w:color w:val="000000"/>
                <w:sz w:val="17"/>
              </w:rPr>
              <w:t>34,000 FCFA</w:t>
            </w:r>
          </w:p>
          <w:p>
            <w:r>
              <w:rPr>
                <w:b/>
                <w:color w:val="503200"/>
                <w:sz w:val="16"/>
              </w:rPr>
              <w:t xml:space="preserve">Plus bas 100j : </w:t>
            </w:r>
            <w:r>
              <w:rPr>
                <w:color w:val="000000"/>
                <w:sz w:val="17"/>
              </w:rPr>
              <w:t>24,445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6.44% (Moyenne) — μ=28,994 FCFA, σ=1,868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β=0.8505 (Neutre (suit le marché)) — Cov=0.000058, Var(idx)=0.000068, ρ=0.364,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692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2026-09-29</w:t>
            </w:r>
          </w:p>
        </w:tc>
        <w:tc>
          <w:tcPr>
            <w:tcW w:type="dxa" w:w="1440"/>
            <w:shd w:fill="FFDCE0" w:val="clear"/>
          </w:tcPr>
          <w:p>
            <w:r>
              <w:rPr>
                <w:sz w:val="17"/>
              </w:rPr>
              <w:t>30,263</w:t>
            </w:r>
          </w:p>
        </w:tc>
        <w:tc>
          <w:tcPr>
            <w:tcW w:type="dxa" w:w="1440"/>
            <w:shd w:fill="FFDCE0" w:val="clear"/>
          </w:tcPr>
          <w:p>
            <w:r>
              <w:rPr>
                <w:b/>
                <w:sz w:val="17"/>
              </w:rPr>
              <w:t>31,613</w:t>
            </w:r>
          </w:p>
        </w:tc>
        <w:tc>
          <w:tcPr>
            <w:tcW w:type="dxa" w:w="1440"/>
            <w:shd w:fill="FFDCE0" w:val="clear"/>
          </w:tcPr>
          <w:p>
            <w:r>
              <w:rPr>
                <w:sz w:val="17"/>
              </w:rPr>
              <w:t>32,963</w:t>
            </w:r>
          </w:p>
        </w:tc>
        <w:tc>
          <w:tcPr>
            <w:tcW w:type="dxa" w:w="1440"/>
            <w:shd w:fill="FFDCE0" w:val="clear"/>
          </w:tcPr>
          <w:p>
            <w:r>
              <w:rPr>
                <w:b/>
                <w:color w:val="C00000"/>
                <w:sz w:val="17"/>
              </w:rPr>
              <w:t>-2.7%</w:t>
            </w:r>
          </w:p>
        </w:tc>
      </w:tr>
      <w:tr>
        <w:tc>
          <w:tcPr>
            <w:tcW w:type="dxa" w:w="1440"/>
            <w:shd w:fill="FFDCE0" w:val="clear"/>
          </w:tcPr>
          <w:p>
            <w:r>
              <w:rPr>
                <w:sz w:val="17"/>
              </w:rPr>
              <w:t>J+2  Moyenne</w:t>
            </w:r>
          </w:p>
        </w:tc>
        <w:tc>
          <w:tcPr>
            <w:tcW w:type="dxa" w:w="1440"/>
            <w:shd w:fill="FFDCE0" w:val="clear"/>
          </w:tcPr>
          <w:p>
            <w:r>
              <w:rPr>
                <w:sz w:val="17"/>
              </w:rPr>
              <w:t>2026-09-30</w:t>
            </w:r>
          </w:p>
        </w:tc>
        <w:tc>
          <w:tcPr>
            <w:tcW w:type="dxa" w:w="1440"/>
            <w:shd w:fill="FFDCE0" w:val="clear"/>
          </w:tcPr>
          <w:p>
            <w:r>
              <w:rPr>
                <w:sz w:val="17"/>
              </w:rPr>
              <w:t>29,689</w:t>
            </w:r>
          </w:p>
        </w:tc>
        <w:tc>
          <w:tcPr>
            <w:tcW w:type="dxa" w:w="1440"/>
            <w:shd w:fill="FFDCE0" w:val="clear"/>
          </w:tcPr>
          <w:p>
            <w:r>
              <w:rPr>
                <w:b/>
                <w:sz w:val="17"/>
              </w:rPr>
              <w:t>31,598</w:t>
            </w:r>
          </w:p>
        </w:tc>
        <w:tc>
          <w:tcPr>
            <w:tcW w:type="dxa" w:w="1440"/>
            <w:shd w:fill="FFDCE0" w:val="clear"/>
          </w:tcPr>
          <w:p>
            <w:r>
              <w:rPr>
                <w:sz w:val="17"/>
              </w:rPr>
              <w:t>33,506</w:t>
            </w:r>
          </w:p>
        </w:tc>
        <w:tc>
          <w:tcPr>
            <w:tcW w:type="dxa" w:w="1440"/>
            <w:shd w:fill="FFDCE0" w:val="clear"/>
          </w:tcPr>
          <w:p>
            <w:r>
              <w:rPr>
                <w:b/>
                <w:color w:val="C00000"/>
                <w:sz w:val="17"/>
              </w:rPr>
              <w:t>-2.8%</w:t>
            </w:r>
          </w:p>
        </w:tc>
      </w:tr>
      <w:tr>
        <w:tc>
          <w:tcPr>
            <w:tcW w:type="dxa" w:w="1440"/>
            <w:shd w:fill="FFDCE0" w:val="clear"/>
          </w:tcPr>
          <w:p>
            <w:r>
              <w:rPr>
                <w:sz w:val="17"/>
              </w:rPr>
              <w:t>J+3  Moyenne</w:t>
            </w:r>
          </w:p>
        </w:tc>
        <w:tc>
          <w:tcPr>
            <w:tcW w:type="dxa" w:w="1440"/>
            <w:shd w:fill="FFDCE0" w:val="clear"/>
          </w:tcPr>
          <w:p>
            <w:r>
              <w:rPr>
                <w:sz w:val="17"/>
              </w:rPr>
              <w:t>2026-10-01</w:t>
            </w:r>
          </w:p>
        </w:tc>
        <w:tc>
          <w:tcPr>
            <w:tcW w:type="dxa" w:w="1440"/>
            <w:shd w:fill="FFDCE0" w:val="clear"/>
          </w:tcPr>
          <w:p>
            <w:r>
              <w:rPr>
                <w:sz w:val="17"/>
              </w:rPr>
              <w:t>29,138</w:t>
            </w:r>
          </w:p>
        </w:tc>
        <w:tc>
          <w:tcPr>
            <w:tcW w:type="dxa" w:w="1440"/>
            <w:shd w:fill="FFDCE0" w:val="clear"/>
          </w:tcPr>
          <w:p>
            <w:r>
              <w:rPr>
                <w:b/>
                <w:sz w:val="17"/>
              </w:rPr>
              <w:t>31,465</w:t>
            </w:r>
          </w:p>
        </w:tc>
        <w:tc>
          <w:tcPr>
            <w:tcW w:type="dxa" w:w="1440"/>
            <w:shd w:fill="FFDCE0" w:val="clear"/>
          </w:tcPr>
          <w:p>
            <w:r>
              <w:rPr>
                <w:sz w:val="17"/>
              </w:rPr>
              <w:t>33,793</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28,683</w:t>
            </w:r>
          </w:p>
        </w:tc>
        <w:tc>
          <w:tcPr>
            <w:tcW w:type="dxa" w:w="1440"/>
            <w:shd w:fill="FFDCE0" w:val="clear"/>
          </w:tcPr>
          <w:p>
            <w:r>
              <w:rPr>
                <w:b/>
                <w:sz w:val="17"/>
              </w:rPr>
              <w:t>31,362</w:t>
            </w:r>
          </w:p>
        </w:tc>
        <w:tc>
          <w:tcPr>
            <w:tcW w:type="dxa" w:w="1440"/>
            <w:shd w:fill="FFDCE0" w:val="clear"/>
          </w:tcPr>
          <w:p>
            <w:r>
              <w:rPr>
                <w:sz w:val="17"/>
              </w:rPr>
              <w:t>34,041</w:t>
            </w:r>
          </w:p>
        </w:tc>
        <w:tc>
          <w:tcPr>
            <w:tcW w:type="dxa" w:w="1440"/>
            <w:shd w:fill="FFDCE0" w:val="clear"/>
          </w:tcPr>
          <w:p>
            <w:r>
              <w:rPr>
                <w:b/>
                <w:color w:val="C00000"/>
                <w:sz w:val="17"/>
              </w:rPr>
              <w:t>-3.5%</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28,299</w:t>
            </w:r>
          </w:p>
        </w:tc>
        <w:tc>
          <w:tcPr>
            <w:tcW w:type="dxa" w:w="1440"/>
            <w:shd w:fill="FFDCE0" w:val="clear"/>
          </w:tcPr>
          <w:p>
            <w:r>
              <w:rPr>
                <w:b/>
                <w:sz w:val="17"/>
              </w:rPr>
              <w:t>31,287</w:t>
            </w:r>
          </w:p>
        </w:tc>
        <w:tc>
          <w:tcPr>
            <w:tcW w:type="dxa" w:w="1440"/>
            <w:shd w:fill="FFDCE0" w:val="clear"/>
          </w:tcPr>
          <w:p>
            <w:r>
              <w:rPr>
                <w:sz w:val="17"/>
              </w:rPr>
              <w:t>34,275</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27,954</w:t>
            </w:r>
          </w:p>
        </w:tc>
        <w:tc>
          <w:tcPr>
            <w:tcW w:type="dxa" w:w="1440"/>
            <w:shd w:fill="FFDCE0" w:val="clear"/>
          </w:tcPr>
          <w:p>
            <w:r>
              <w:rPr>
                <w:b/>
                <w:sz w:val="17"/>
              </w:rPr>
              <w:t>31,221</w:t>
            </w:r>
          </w:p>
        </w:tc>
        <w:tc>
          <w:tcPr>
            <w:tcW w:type="dxa" w:w="1440"/>
            <w:shd w:fill="FFDCE0" w:val="clear"/>
          </w:tcPr>
          <w:p>
            <w:r>
              <w:rPr>
                <w:sz w:val="17"/>
              </w:rPr>
              <w:t>34,487</w:t>
            </w:r>
          </w:p>
        </w:tc>
        <w:tc>
          <w:tcPr>
            <w:tcW w:type="dxa" w:w="1440"/>
            <w:shd w:fill="FFDCE0" w:val="clear"/>
          </w:tcPr>
          <w:p>
            <w:r>
              <w:rPr>
                <w:b/>
                <w:color w:val="C00000"/>
                <w:sz w:val="17"/>
              </w:rPr>
              <w:t>-3.9%</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27,636</w:t>
            </w:r>
          </w:p>
        </w:tc>
        <w:tc>
          <w:tcPr>
            <w:tcW w:type="dxa" w:w="1440"/>
            <w:shd w:fill="FFDCE0" w:val="clear"/>
          </w:tcPr>
          <w:p>
            <w:r>
              <w:rPr>
                <w:b/>
                <w:sz w:val="17"/>
              </w:rPr>
              <w:t>31,156</w:t>
            </w:r>
          </w:p>
        </w:tc>
        <w:tc>
          <w:tcPr>
            <w:tcW w:type="dxa" w:w="1440"/>
            <w:shd w:fill="FFDCE0" w:val="clear"/>
          </w:tcPr>
          <w:p>
            <w:r>
              <w:rPr>
                <w:sz w:val="17"/>
              </w:rPr>
              <w:t>34,677</w:t>
            </w:r>
          </w:p>
        </w:tc>
        <w:tc>
          <w:tcPr>
            <w:tcW w:type="dxa" w:w="1440"/>
            <w:shd w:fill="FFDCE0" w:val="clear"/>
          </w:tcPr>
          <w:p>
            <w:r>
              <w:rPr>
                <w:b/>
                <w:color w:val="C00000"/>
                <w:sz w:val="17"/>
              </w:rPr>
              <w:t>-4.1%</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27,337</w:t>
            </w:r>
          </w:p>
        </w:tc>
        <w:tc>
          <w:tcPr>
            <w:tcW w:type="dxa" w:w="1440"/>
            <w:shd w:fill="FFDCE0" w:val="clear"/>
          </w:tcPr>
          <w:p>
            <w:r>
              <w:rPr>
                <w:b/>
                <w:sz w:val="17"/>
              </w:rPr>
              <w:t>31,093</w:t>
            </w:r>
          </w:p>
        </w:tc>
        <w:tc>
          <w:tcPr>
            <w:tcW w:type="dxa" w:w="1440"/>
            <w:shd w:fill="FFDCE0" w:val="clear"/>
          </w:tcPr>
          <w:p>
            <w:r>
              <w:rPr>
                <w:sz w:val="17"/>
              </w:rPr>
              <w:t>34,849</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27,056</w:t>
            </w:r>
          </w:p>
        </w:tc>
        <w:tc>
          <w:tcPr>
            <w:tcW w:type="dxa" w:w="1440"/>
            <w:shd w:fill="FFDCE0" w:val="clear"/>
          </w:tcPr>
          <w:p>
            <w:r>
              <w:rPr>
                <w:b/>
                <w:sz w:val="17"/>
              </w:rPr>
              <w:t>31,032</w:t>
            </w:r>
          </w:p>
        </w:tc>
        <w:tc>
          <w:tcPr>
            <w:tcW w:type="dxa" w:w="1440"/>
            <w:shd w:fill="FFDCE0" w:val="clear"/>
          </w:tcPr>
          <w:p>
            <w:r>
              <w:rPr>
                <w:sz w:val="17"/>
              </w:rPr>
              <w:t>35,008</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26,789</w:t>
            </w:r>
          </w:p>
        </w:tc>
        <w:tc>
          <w:tcPr>
            <w:tcW w:type="dxa" w:w="1440"/>
            <w:shd w:fill="FFDCE0" w:val="clear"/>
          </w:tcPr>
          <w:p>
            <w:r>
              <w:rPr>
                <w:b/>
                <w:sz w:val="17"/>
              </w:rPr>
              <w:t>30,973</w:t>
            </w:r>
          </w:p>
        </w:tc>
        <w:tc>
          <w:tcPr>
            <w:tcW w:type="dxa" w:w="1440"/>
            <w:shd w:fill="FFDCE0" w:val="clear"/>
          </w:tcPr>
          <w:p>
            <w:r>
              <w:rPr>
                <w:sz w:val="17"/>
              </w:rPr>
              <w:t>35,156</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 RAPPORT D'ANALYSE FINANCIÈRE — BICC (BICICI)</w:t>
        <w:br/>
        <w:t>### 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541,67 milliards FCFA, BICC s'impose comme l'une des capitalisations les plus importantes de la cote BRVM, ce qui en fait une valeur de premier plan pour les investisseurs institutionnels de la zone UEMOA. Le BPA de 2 191 FCFA/action signifie que chaque titre génère près de 2 200 FCFA de bénéfice net, un niveau de rentabilité par action remarquable pour le secteur. Le PER de 14,8x se situe au-dessus de la moyenne du marché BRVM (généralement comprise entre 8 et 12x), ce qui traduit une prime de qualité consentie par le marché, mais reste modéré dans l'absolu pour une banque affichant une croissance à deux chiffres. Le P/B de 4,49x — largement supérieur au seuil de 4x — indique que le marché valorise BICC à plus de quatre fois sa valeur comptable, une prime exigeante qui reflète la confiance dans la rentabilité structurellement élevée de l'établissement (ROE de 30,3%). Enfin, l'EV/EBITDA de 10,8x, bien que dans la fourchette haute (10-15x), demeure cohérent avec la capacité opérationnelle de la banque et sa génération de cash-flow (CAF de 42,7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BICC a enregistré une progression spectaculaire de +32,95%, clôturant à 32 500 FCFA après une hausse de +1,56% lors de la dernière séance. Le range de trading s'est établi entre un plus bas de 24 445 FCFA et un plus haut de 34 000 FCFA, soit une amplitude de près de 39%, confirmant une dynamique nettement haussière portée par des fondamentaux solides. La moyenne du cours (28 994 FCFA) est légèrement supérieure à la médiane (28 880 FCFA), et le mode se situe à 29 000 FCFA, ce qui indique une distribution relativement équilibrée avec une légère asymétrie positive (skewness de 0,632) — traduisant davantage de journées de cotation sous la moyenne, typique d'un titre en phase d'accumulation avant accélération. L'écart-type de 1 878 FCFA avec un coefficient de variation de 6,5% révèle une dispersion modérée du cours, tandis que le kurtosis de 0,801 (mésokurtique) suggère un comportement proche d'une distribution normale, sans risque excessif de pics extrêmes. La volatilité annualisée de 30,5% positionne BICC dans la catégorie des titres à volatilité élevée (&gt;30%), ce qui est cohérent avec la nature bancaire du titre et le contexte de marché BRVM, mais implique une gestion rigoureuse du risque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(31 977,75 FCFA) et la MM50 (30 102,70 FCFA) se situent toutes deux sous le cours actuel (32 500 FCFA), avec la MM20 au-dessus de la MM50 — configuration haussière classique en "golden cross". Le cours évoluant au-dessus de ses deux moyennes mobiles, la décision technique est à l'**Achat**, confirmant la tendance positive de moyen terme.</w:t>
      </w:r>
    </w:p>
    <w:p>
      <w:pPr>
        <w:spacing w:after="120" w:line="276" w:lineRule="auto"/>
      </w:pPr>
      <w:r>
        <w:t>**Bandes de Bollinger :** Le cours (32 500 FCFA) se situe dans la partie supérieure de la bande, entre la borne inférieure (29 413,34 FCFA) et la borne supérieure (34 542,17 FCFA), sans franchir cette dernière. Cette position médiane-haute, couplée à un écartement modéré des bandes, traduit une volatilité contenue et une décision **Neutre** — le titre n'est ni en surachat extrême ni en zone de survente.</w:t>
      </w:r>
    </w:p>
    <w:p>
      <w:pPr>
        <w:spacing w:after="120" w:line="276" w:lineRule="auto"/>
      </w:pPr>
      <w:r>
        <w:t>**MACD :** La valeur du MACD (350,93) est inférieure à son signal (500,36), générant une divergence baissière qui indique un essoufflement du momentum haussier. Cette configuration, bien que le MACD reste en territoire positif, justifie une décision de **Vente** à court terme, signalant une possible consolidation après la forte hausse récente.</w:t>
      </w:r>
    </w:p>
    <w:p>
      <w:pPr>
        <w:spacing w:after="120" w:line="276" w:lineRule="auto"/>
      </w:pPr>
      <w:r>
        <w:t>**RSI :** À 43,54, le RSI se situe en zone neutre (entre 30 et 70), légèrement en dessous du seuil médian de 50, ce qui indique une absence de pression acheteuse ou vendeuse dominante. La décision est **Neutre**, le titre n'étant ni suracheté (&gt;70) ni survendu (&lt;30), offrant un potentiel de rebond sans risque immédiat de correction.</w:t>
      </w:r>
    </w:p>
    <w:p>
      <w:pPr>
        <w:spacing w:after="120" w:line="276" w:lineRule="auto"/>
      </w:pPr>
      <w:r>
        <w:t>**Stochastique :** Le %K (64,75) est supérieur au %D (45,16), avec un croisement récent à la hausse qui suggère un regain de momentum positif à court terme. Cependant, les deux lignes restant en zone intermédiaire, la décision demeure **Neutre**, en attente d'une confirmation par un franchissement durable du seuil de 80.</w:t>
      </w:r>
    </w:p>
    <w:p>
      <w:pPr>
        <w:spacing w:after="120" w:line="276" w:lineRule="auto"/>
      </w:pPr>
      <w:r>
        <w:t>**Conclusion technique :** Les indicateurs présentent une configuration mitigée : les moyennes mobiles confirment la tendance haussière de fond, mais le MACD signale un essoufflement du momentum et le RSI reste neutre. Les Bandes de Bollinger et le Stochastique n'apportent pas de signal directionnel fort. Dans l'ensemble, le titre se trouve dans une phase de consolidation après sa forte progression, avec un biais haussier résiduel mais une prudence justifiée à court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BICC affiche un Produit Net Bancaire (PNB) de 79,563 milliards FCFA, en croissance de 16,90% par rapport à l'exercice précédent, confirmant la dynamique commerciale robuste de la banque. Le résultat net s'établit à 36,520 milliards FCFA, avec une marge nette exceptionnelle de 45,90% — parmi les meilleures du secteur bancaire UEMOA. Le ROE atteint 30,29% (largement supérieur au seuil d'excellence de 15%) et le ROA s'élève à 3,24%, témoignant d'une rentabilité des actifs solide. Le coefficient d'exploitation de 50,83% place BICC en dessous du seuil de 60% (banque efficace) et proche du niveau d'excellence de 50%, reflétant une maîtrise remarquable des charges. Le coût du risque, mesuré à -12,15% des charges financières, reste contenu, indiquant un portefeuille de crédits de bonne qualité. La structure bilancielle affiche des dépôts clientèle de 952,872 milliards FCFA (principale ressource) pour des créances clientèle de 524,439 milliards FCFA, soit un ratio de transformation de 55% — la banque dispose d'une liquidité abondante (trésorerie nette de 136,357 milliards FCFA) mais doit veiller à une allocation optimale de ces fonds.</w:t>
      </w:r>
    </w:p>
    <w:p>
      <w:pPr>
        <w:spacing w:after="120" w:line="276" w:lineRule="auto"/>
      </w:pPr>
      <w:r>
        <w:t>**Estimations basées sur les rapports trimestriels :** Le rapport du T1 2026 (publié le 31 mars 2026) fait état d'un PNB de 21,214 milliards FCFA (+17,01% en glissement annuel) et d'un résultat net de 10,387 milliards FCFA (+29,66%), avec une marge nette en amélioration à 49,0% (contre 44,2% au T1 2025). Sur cette base, on peut estimer que l'exercice 2026 devrait enregistrer un PNB annuel compris entre 85 et 88 milliards FCFA et un résultat net de l'ordre de 40 à 42 milliards FCFA, soit une croissance de 10 à 15% par rapport à 2025. Le rapport du T3 2025 (30 septembre 2025) confirmait déjà cette tendance avec un PNB cumulé de 58,119 milliards FCFA (+16,4%) et un résultat net de 27,402 milliards FCFA (+50,8%), ainsi qu'une marge nette de 47,1%. Le rapport du S1 2025 (30 juin 2025) montrait un PNB de 37,146 milliards FCFA (+16,6%) et un résultat net de 16,253 milliards FCFA (+42,5%), avec une marge nette de 43,8%. L'évolution temporelle des indicateurs (T1 2025 : marge nette 44,2% → S1 2025 : 43,8% → T3 2025 : 47,1% → T1 2026 : 49,0%) démontre une amélioration continue de l'efficacité opérationnelle. Le principal point de vigilance réside dans la contraction des encours de crédits nets (-4,47% au T1 2026, -3,6% au T3 2025), due à des remboursements anticipés, qui pourrait peser sur la croissance future du PNB si elle se prolonge. **Conclusion fondamentale :** BICC présente une solidité financière exceptionnelle, une rentabilité parmi les meilleures de la BRVM et des perspectives de croissance confirmées par les rapports trimestriels récents, avec un risque modéré lié à la contraction des crédits et à la dépendance aux taux d'intérêt.</w:t>
      </w:r>
    </w:p>
    <w:p>
      <w:pPr>
        <w:spacing w:after="120" w:line="276" w:lineRule="auto"/>
      </w:pPr>
      <w:r>
        <w:t>---</w:t>
      </w:r>
    </w:p>
    <w:p>
      <w:pPr>
        <w:spacing w:after="120" w:line="276" w:lineRule="auto"/>
      </w:pPr>
      <w:r>
        <w:t>## PARTIE 4 : CONCLUSION D'INVESTISSEMENT</w:t>
      </w:r>
    </w:p>
    <w:p>
      <w:pPr>
        <w:spacing w:after="120" w:line="276" w:lineRule="auto"/>
      </w:pPr>
      <w:r>
        <w:t>La valorisation de BICC (Partie 0) apparaît exigeante avec un PER de 14,8x supérieur à la moyenne du marché BRVM (8-12x) et un P/B de 4,49x, mais ces multiples se justifient par la qualité exceptionnelle des fondamentaux (ROE de 30,3%, marge nette de 45,9%). Le comportement du cours (Partie 1) est nettement haussier (+32,95% sur 100 jours) avec une volatilité élevée (30,5%) et une distribution proche de la normale (kurtosis de 0,801), sans risque excessif de pics extrêmes. Les signaux techniques (Partie 2) sont mitigés : les moyennes mobiles confirment la tendance haussière, mais le MACD génère un signal de vente à court terme, tandis que le RSI et le Stochastique restent neutres — suggérant une consolidation avant une reprise potentielle. Les fondamentaux (Partie 3) demeurent exceptionnellement solides, avec un PNB 2025 de 79,563 milliards FCFA, un résultat net de 36,520 milliards FCFA et des rapports trimestriels 2026 confirmant la poursuite de la croissance (+17% de PNB au T1 2026). Les prédictions IA (J+1 à J+10) anticipent une légère correction vers 31 287 FCFA d'ici le 5 octobre 2026, ce qui contredit partiellement les signaux haussiers des moyennes mobiles mais s'aligne avec le signal de vente du MACD. **Recommandation finale : ACHAT** — La convergence entre des fondamentaux exceptionnels, une tendance de fond haussière et une valorisation certes exigeante mais justifiée par la qualité de l'établissement l'emporte sur les signaux techniques de court terme. Le niveau de confiance est **Moyen** (en raison de la divergence entre le MACD et les moyennes mobiles) et le niveau de risque global est **Moyen** (volatilité élevée de 30,5%, valorisation tendue). L'horizon d'investissement optimal est le **moyen terme (3-12 mois)**, permettant d'absorber la consolidation actuelle et de bénéficier de la poursuite de la croissance des bénéfices attendue pour l'exercice 2026.</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5.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13.21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2,967 titres</w:t>
            </w:r>
          </w:p>
        </w:tc>
        <w:tc>
          <w:tcPr>
            <w:tcW w:type="dxa" w:w="2268"/>
            <w:shd w:fill="FFF2CC" w:val="clear"/>
          </w:tcPr>
          <w:p>
            <w:r>
              <w:rPr>
                <w:b/>
                <w:color w:val="503200"/>
                <w:sz w:val="16"/>
              </w:rPr>
              <w:t xml:space="preserve">Cours actuel : </w:t>
            </w:r>
            <w:r>
              <w:rPr>
                <w:color w:val="000000"/>
                <w:sz w:val="17"/>
              </w:rPr>
              <w:t>1,995 FCFA</w:t>
            </w:r>
          </w:p>
          <w:p>
            <w:r>
              <w:rPr>
                <w:b/>
                <w:color w:val="503200"/>
                <w:sz w:val="16"/>
              </w:rPr>
              <w:t xml:space="preserve">Var. 100 jours : </w:t>
            </w:r>
            <w:r>
              <w:rPr>
                <w:b/>
                <w:color w:val="007800"/>
                <w:sz w:val="17"/>
              </w:rPr>
              <w:t>+48.33%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12.30% (Moyenne) — μ=1,890 FCFA, σ=233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β=0.3202 (Défensif) — Cov=0.000022, Var(idx)=0.000068, ρ=0.079,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2,967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1,867</w:t>
            </w:r>
          </w:p>
        </w:tc>
        <w:tc>
          <w:tcPr>
            <w:tcW w:type="dxa" w:w="1440"/>
            <w:shd w:fill="FAFAFA" w:val="clear"/>
          </w:tcPr>
          <w:p>
            <w:r>
              <w:rPr>
                <w:b/>
                <w:sz w:val="17"/>
              </w:rPr>
              <w:t>1,988</w:t>
            </w:r>
          </w:p>
        </w:tc>
        <w:tc>
          <w:tcPr>
            <w:tcW w:type="dxa" w:w="1440"/>
            <w:shd w:fill="FAFAFA" w:val="clear"/>
          </w:tcPr>
          <w:p>
            <w:r>
              <w:rPr>
                <w:sz w:val="17"/>
              </w:rPr>
              <w:t>2,110</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1,807</w:t>
            </w:r>
          </w:p>
        </w:tc>
        <w:tc>
          <w:tcPr>
            <w:tcW w:type="dxa" w:w="1440"/>
            <w:shd w:fill="FAFAFA" w:val="clear"/>
          </w:tcPr>
          <w:p>
            <w:r>
              <w:rPr>
                <w:b/>
                <w:sz w:val="17"/>
              </w:rPr>
              <w:t>1,978</w:t>
            </w:r>
          </w:p>
        </w:tc>
        <w:tc>
          <w:tcPr>
            <w:tcW w:type="dxa" w:w="1440"/>
            <w:shd w:fill="FAFAFA" w:val="clear"/>
          </w:tcPr>
          <w:p>
            <w:r>
              <w:rPr>
                <w:sz w:val="17"/>
              </w:rPr>
              <w:t>2,150</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1,757</w:t>
            </w:r>
          </w:p>
        </w:tc>
        <w:tc>
          <w:tcPr>
            <w:tcW w:type="dxa" w:w="1440"/>
            <w:shd w:fill="FAFAFA" w:val="clear"/>
          </w:tcPr>
          <w:p>
            <w:r>
              <w:rPr>
                <w:b/>
                <w:sz w:val="17"/>
              </w:rPr>
              <w:t>1,966</w:t>
            </w:r>
          </w:p>
        </w:tc>
        <w:tc>
          <w:tcPr>
            <w:tcW w:type="dxa" w:w="1440"/>
            <w:shd w:fill="FAFAFA" w:val="clear"/>
          </w:tcPr>
          <w:p>
            <w:r>
              <w:rPr>
                <w:sz w:val="17"/>
              </w:rPr>
              <w:t>2,175</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1,716</w:t>
            </w:r>
          </w:p>
        </w:tc>
        <w:tc>
          <w:tcPr>
            <w:tcW w:type="dxa" w:w="1440"/>
            <w:shd w:fill="FAFAFA" w:val="clear"/>
          </w:tcPr>
          <w:p>
            <w:r>
              <w:rPr>
                <w:b/>
                <w:sz w:val="17"/>
              </w:rPr>
              <w:t>1,955</w:t>
            </w:r>
          </w:p>
        </w:tc>
        <w:tc>
          <w:tcPr>
            <w:tcW w:type="dxa" w:w="1440"/>
            <w:shd w:fill="FAFAFA" w:val="clear"/>
          </w:tcPr>
          <w:p>
            <w:r>
              <w:rPr>
                <w:sz w:val="17"/>
              </w:rPr>
              <w:t>2,195</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1,679</w:t>
            </w:r>
          </w:p>
        </w:tc>
        <w:tc>
          <w:tcPr>
            <w:tcW w:type="dxa" w:w="1440"/>
            <w:shd w:fill="FFDCE0" w:val="clear"/>
          </w:tcPr>
          <w:p>
            <w:r>
              <w:rPr>
                <w:b/>
                <w:sz w:val="17"/>
              </w:rPr>
              <w:t>1,946</w:t>
            </w:r>
          </w:p>
        </w:tc>
        <w:tc>
          <w:tcPr>
            <w:tcW w:type="dxa" w:w="1440"/>
            <w:shd w:fill="FFDCE0" w:val="clear"/>
          </w:tcPr>
          <w:p>
            <w:r>
              <w:rPr>
                <w:sz w:val="17"/>
              </w:rPr>
              <w:t>2,213</w:t>
            </w:r>
          </w:p>
        </w:tc>
        <w:tc>
          <w:tcPr>
            <w:tcW w:type="dxa" w:w="1440"/>
            <w:shd w:fill="FFDCE0" w:val="clear"/>
          </w:tcPr>
          <w:p>
            <w:r>
              <w:rPr>
                <w:b/>
                <w:color w:val="C00000"/>
                <w:sz w:val="17"/>
              </w:rPr>
              <w:t>-2.5%</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1,646</w:t>
            </w:r>
          </w:p>
        </w:tc>
        <w:tc>
          <w:tcPr>
            <w:tcW w:type="dxa" w:w="1440"/>
            <w:shd w:fill="FFDCE0" w:val="clear"/>
          </w:tcPr>
          <w:p>
            <w:r>
              <w:rPr>
                <w:b/>
                <w:sz w:val="17"/>
              </w:rPr>
              <w:t>1,937</w:t>
            </w:r>
          </w:p>
        </w:tc>
        <w:tc>
          <w:tcPr>
            <w:tcW w:type="dxa" w:w="1440"/>
            <w:shd w:fill="FFDCE0" w:val="clear"/>
          </w:tcPr>
          <w:p>
            <w:r>
              <w:rPr>
                <w:sz w:val="17"/>
              </w:rPr>
              <w:t>2,228</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1,616</w:t>
            </w:r>
          </w:p>
        </w:tc>
        <w:tc>
          <w:tcPr>
            <w:tcW w:type="dxa" w:w="1440"/>
            <w:shd w:fill="FFDCE0" w:val="clear"/>
          </w:tcPr>
          <w:p>
            <w:r>
              <w:rPr>
                <w:b/>
                <w:sz w:val="17"/>
              </w:rPr>
              <w:t>1,929</w:t>
            </w:r>
          </w:p>
        </w:tc>
        <w:tc>
          <w:tcPr>
            <w:tcW w:type="dxa" w:w="1440"/>
            <w:shd w:fill="FFDCE0" w:val="clear"/>
          </w:tcPr>
          <w:p>
            <w:r>
              <w:rPr>
                <w:sz w:val="17"/>
              </w:rPr>
              <w:t>2,242</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1,588</w:t>
            </w:r>
          </w:p>
        </w:tc>
        <w:tc>
          <w:tcPr>
            <w:tcW w:type="dxa" w:w="1440"/>
            <w:shd w:fill="FFDCE0" w:val="clear"/>
          </w:tcPr>
          <w:p>
            <w:r>
              <w:rPr>
                <w:b/>
                <w:sz w:val="17"/>
              </w:rPr>
              <w:t>1,921</w:t>
            </w:r>
          </w:p>
        </w:tc>
        <w:tc>
          <w:tcPr>
            <w:tcW w:type="dxa" w:w="1440"/>
            <w:shd w:fill="FFDCE0" w:val="clear"/>
          </w:tcPr>
          <w:p>
            <w:r>
              <w:rPr>
                <w:sz w:val="17"/>
              </w:rPr>
              <w:t>2,254</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1,562</w:t>
            </w:r>
          </w:p>
        </w:tc>
        <w:tc>
          <w:tcPr>
            <w:tcW w:type="dxa" w:w="1440"/>
            <w:shd w:fill="FFDCE0" w:val="clear"/>
          </w:tcPr>
          <w:p>
            <w:r>
              <w:rPr>
                <w:b/>
                <w:sz w:val="17"/>
              </w:rPr>
              <w:t>1,913</w:t>
            </w:r>
          </w:p>
        </w:tc>
        <w:tc>
          <w:tcPr>
            <w:tcW w:type="dxa" w:w="1440"/>
            <w:shd w:fill="FFDCE0" w:val="clear"/>
          </w:tcPr>
          <w:p>
            <w:r>
              <w:rPr>
                <w:sz w:val="17"/>
              </w:rPr>
              <w:t>2,265</w:t>
            </w:r>
          </w:p>
        </w:tc>
        <w:tc>
          <w:tcPr>
            <w:tcW w:type="dxa" w:w="1440"/>
            <w:shd w:fill="FFDCE0" w:val="clear"/>
          </w:tcPr>
          <w:p>
            <w:r>
              <w:rPr>
                <w:b/>
                <w:color w:val="C00000"/>
                <w:sz w:val="17"/>
              </w:rPr>
              <w:t>-4.1%</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1,537</w:t>
            </w:r>
          </w:p>
        </w:tc>
        <w:tc>
          <w:tcPr>
            <w:tcW w:type="dxa" w:w="1440"/>
            <w:shd w:fill="FFDCE0" w:val="clear"/>
          </w:tcPr>
          <w:p>
            <w:r>
              <w:rPr>
                <w:b/>
                <w:sz w:val="17"/>
              </w:rPr>
              <w:t>1,906</w:t>
            </w:r>
          </w:p>
        </w:tc>
        <w:tc>
          <w:tcPr>
            <w:tcW w:type="dxa" w:w="1440"/>
            <w:shd w:fill="FFDCE0" w:val="clear"/>
          </w:tcPr>
          <w:p>
            <w:r>
              <w:rPr>
                <w:sz w:val="17"/>
              </w:rPr>
              <w:t>2,276</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*Bourse Régionale des Valeurs Mobilières (BRVM) — Secteur : Entreprise (Distribution de matériaux de construction, métallurgie, équipements)*</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13,21 Mds FCFA, BNBC figure parmi les petites capitalisations de la BRVM, ce qui limite mécaniquement sa liquidité et son attrait pour les investisseurs institutionnels. Le BPA de 3 FCFA/action traduit une rentabilité par titre quasi-symbolique, cohérente avec un résultat net 2025 de seulement 22,32 M FCFA pour un chiffre d'affaires de 42,45 Mds FCFA. Le PER de 592,1x est totalement déconnecté des standards du marché (PER BRVM moyen ~8-12x) : les investisseurs paient environ 592 fois les bénéfices, ce qui signale une valorisation spéculative ou une anticipation de retournement non encore matérialisé. À l'inverse, le P/B de 0,74x indique que le marché valorise l'action à 26% en dessous de sa valeur comptable (capitaux propres de 17,77 Mds FCFA), ce qui constitue une opportunité potentielle de "value trap" ou de décote injustifiée. Enfin, l'EV/EBITDA de 24,2x (largement supérieur au seuil de 15x) confirme que la valeur d'entreprise intègre une prime excessive au regard de la capacité opérationnelle réelle (EBE de 2,009 Mds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BNBC affiche une progression spectaculaire de +48,33%, portée par un rallye haussier qui contraste avec la dernière séance en repli de -0,75% (cours actuel : 1 995 FCFA). Le range de trading est particulièrement large, avec un plus haut à 2 400 FCFA et un plus bas à 1 300 FCFA, soit une amplitude de 84,6% qui témoigne d'une forte volatilité directionnelle. La tendance générale est donc nettement haussière, mais le repli récent et la position du cours sous la MM20 (2 098,5 FCFA) suggèrent un essoufflement du momentum. Les statistiques descriptives révèlent une moyenne de 1 890 FCFA légèrement inférieure à la médiane de 1 960 FCFA, avec un mode à 1 990 FCFA : cet écart indique une asymétrie négative (skewness de -0,572), confirmée par une prédominance de journées au-dessus de la moyenne, typique d'un rallye suivi de corrections. L'écart-type de 234 FCFA (CV = 12,4%) traduit une dispersion modérée autour de la moyenne, tandis que le kurtosis de 0,079 (mésokurtique) indique une distribution proche de la normale, sans risque extrême de pics. La volatilité annualisée de 52,5% classe le titre dans la catégorie des valeurs à volatilité élevée (&gt;30%), ce qui implique un risque de perte en capital significatif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(2 098,5 FCFA) est supérieure à la MM50 (2 034,3 FCFA), et le cours actuel (1 995 FCFA) évolue sous ces deux moyennes, ce qui constitue un signal baissier de court terme. Toutefois, la décision fournie est "Achat", probablement basée sur le croisement haussier antérieur (MM20 &gt; MM50) et la tendance de fond. La position du cours sous la MM20 suggère une correction en cours, mais le maintien de la MM20 au-dessus de la MM50 plaide pour une reprise haussière à moyen terme.</w:t>
      </w:r>
    </w:p>
    <w:p>
      <w:pPr>
        <w:spacing w:after="120" w:line="276" w:lineRule="auto"/>
      </w:pPr>
      <w:r>
        <w:t>**Bandes de Bollinger** : Le cours (1 995 FCFA) se situe dans la partie médiane de la bande, entre la borne inférieure (1 819,5 FCFA) et la borne supérieure (2 377,5 FCFA), ce qui justifie la décision "Neutre". L'absence de contact avec les bornes indique une volatilité modérée et l'absence de signal de surachat ou de survente immédiat. La largeur des bandes (557,97 FCFA) reflète la volatilité élevée du titre.</w:t>
      </w:r>
    </w:p>
    <w:p>
      <w:pPr>
        <w:spacing w:after="120" w:line="276" w:lineRule="auto"/>
      </w:pPr>
      <w:r>
        <w:t>**MACD** : La valeur du MACD (-33,48) est inférieure à son signal (-8,055), et les deux sont en territoire négatif, ce qui confirme un momentum baissier et justifie la décision "Vente". La divergence négative entre le MACD et son signal indique que la pression vendeuse l'emporte sur la pression acheteuse à court terme, renforçant le risque de poursuite de la correction.</w:t>
      </w:r>
    </w:p>
    <w:p>
      <w:pPr>
        <w:spacing w:after="120" w:line="276" w:lineRule="auto"/>
      </w:pPr>
      <w:r>
        <w:t>**RSI** : À 47,059, le RSI se situe dans la zone neutre (30-70), sans signal de surachat ni de survente, ce qui justifie la décision "Neutre". Cette valeur médiane indique un équilibre entre acheteurs et vendeurs, sans force directionnelle claire.</w:t>
      </w:r>
    </w:p>
    <w:p>
      <w:pPr>
        <w:spacing w:after="120" w:line="276" w:lineRule="auto"/>
      </w:pPr>
      <w:r>
        <w:t>**Stochastique** : Le %K (25,926) est supérieur au %D (18,519), et les deux se situent en zone de survente (&lt;20 pour le %D), ce qui pourrait annoncer un rebond technique à court terme. La décision "Neutre" reflète l'absence de croisement haussier confirmé, mais la configuration actuelle est propice à une réaction positive.</w:t>
      </w:r>
    </w:p>
    <w:p>
      <w:pPr>
        <w:spacing w:after="120" w:line="276" w:lineRule="auto"/>
      </w:pPr>
      <w:r>
        <w:t>**Conclusion technique** : Les indicateurs sont majoritairement baissiers à court terme (MACD en vente, cours sous les MM), mais le RSI neutre et le stochastique en zone de survente suggèrent un potentiel rebond. La divergence entre la décision "Achat" des MM et "Vente" du MACD traduit une incertitude sur la direction immédiate, avec une tendance de fond haussière mais un momentum affaibli.</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(états financiers annuels 2025)** : En 2025, BNBC a réalisé un chiffre d'affaires de 42,454 Mds FCFA, en recul de 6,31% par rapport à 2024 (45,312 Mds FCFA), signalant une perte de dynamique commerciale. Le résultat net s'établit à 22,318 M FCFA, en amélioration par rapport aux 7,313 M FCFA de 2024, mais la marge nette reste quasi-nulle à 0,0526% et le ROE à 0,1256%, très loin du seuil de 15% considéré comme excellent. Le ROA de 0,0454% confirme une rentabilité des actifs anémique. La structure financière est préoccupante : la trésorerie nette est fortement négative à -16,689 Mds FCFA, le BFR s'élève à 29,373 Mds FCFA (avec un délai client de 104,40 jours et une durée de stockage de 339,23 jours, très élevés), et le ratio d'endettement atteint 105,48%. La capacité de remboursement est de 19,17 années de CAF, ce qui est très élevé. **Adapté au secteur ENTREPRISE** : les délais clients (104,40 jours) et de stockage (339,23 jours) sont excessifs et immobilisent massivement du capital, tandis que le BFR positif (29,373 Mds FCFA) pèse sur la trésorerie. **Estimations basées sur les rapports trimestriels** : Selon le rapport T1 2026 (publié le 31/12/2026), le chiffre d'affaires est stable à 11,194 Mds FCFA (-0,12% vs T1 2025), mais le résultat net affiche une perte de -65,566 M FCFA contre un bénéfice de +16,147 M FCFA au T1 2025, soit une dégradation de -506% due à l'intégration de la division Équipement. Le rapport T3 2025 (30/09/2025) indiquait déjà une perte nette cumulée de -157,03 M FCFA et un recul du CA de -3% sur 9 mois. On estime donc que l'exercice 2026 devrait rester sous pression, avec un retour à la rentabilité conditionné à la montée en puissance des nouvelles divisions. **Évolution** : La comparaison 2021 (résultat net de 1,6 Md FCFA, marge nette de 3,6%) vs 2025 (22,3 M FCFA, marge nette de 0,05%) montre une dégradation structurelle majeure de la rentabilité. **Recommandation fondamentale** : La société présente une valorisation décotée (P/B &lt; 1) mais des fondamentaux très fragiles (trésorerie négative, rentabilité quasi-nulle, endettement élevé). Le risque de liquidité est majeur, et l'absence de dividende depuis plusieurs exercices (0 FCFA en 2024 et 2025) pénalise l'attrait pour les actionnaires.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très contrasté. **Valorisation (Partie 0)** : le P/B de 0,74x suggère une sous-évaluation comptable, mais le PER de 592,1x et l'EV/EBITDA de 24,2x indiquent une surévaluation manifeste par rapport aux bénéfices et à la capacité opérationnelle, créant un conflit d'interprétation. **Comportement du cours (Partie 1)** : la tendance haussière de +48,33% sur 100 jours est impressionnante, mais la volatilité élevée (52,5%) et le skewness négatif (-0,572) suggèrent que le rallye pourrait s'essouffler, d'autant que le cours est déjà en repli de -0,75% sur la dernière séance. **Signaux techniques (Partie 2)** : les indicateurs sont divergents — les MM donnent un signal d'achat, mais le MACD est en vente et le cours évolue sous les moyennes, tandis que le RSI neutre et le stochastique en survente laissent entrevoir un rebond incertain. **Fondamentaux (Partie 3)** : la situation financière est critique (trésorerie négative de -16,689 Mds FCFA, marge nette de 0,05%, ROE de 0,13%), et les rapports trimestriels (T1 2026, T3 2025) confirment une dégradation avec une perte nette de -65,566 M FCFA au T1 2026. **Prédictions IA (J+1 à J+10)** : la trajectoire baissière anticipée (1 988 → 1 946 FCFA, soit -2,5% sur 10 jours) contredit la tendance haussière passée et confirme les signaux baissiers du MACD et du cours sous les MM. **Recommandation finale : VENTE** — La convergence entre la surévaluation (PER, EV/EBITDA), la dégradation fondamentale (perte nette au T1 2026, trésorerie négative), et les prédictions baissières à court terme l'emporte sur la décote comptable (P/B) et le rallye passé. Le niveau de confiance est **Moyen** (les indicateurs techniques sont divergents, mais les fondamentaux et les prédictions sont clairement baissiers). Le niveau de risque global est **Élevé** (volatilité de 52,5%, trésorerie négative, endettement de 105%). L'horizon d'investissement optimal est **court terme (&lt;3 mois)** pour les investisseurs cherchant à profiter de la volatilité, mais **moyen terme (3-12 mois)** pour ceux qui anticipent un retournement fondamental — avec une surveillance accrue des prochains rapports trimestriels (T2 2026) pour confirmer ou infirmer la reprise.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6.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375.19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5,691 titres</w:t>
            </w:r>
          </w:p>
        </w:tc>
        <w:tc>
          <w:tcPr>
            <w:tcW w:type="dxa" w:w="2268"/>
            <w:shd w:fill="FFF2CC" w:val="clear"/>
          </w:tcPr>
          <w:p>
            <w:r>
              <w:rPr>
                <w:b/>
                <w:color w:val="503200"/>
                <w:sz w:val="16"/>
              </w:rPr>
              <w:t xml:space="preserve">Cours actuel : </w:t>
            </w:r>
            <w:r>
              <w:rPr>
                <w:color w:val="000000"/>
                <w:sz w:val="17"/>
              </w:rPr>
              <w:t>9,250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8,520 FCFA</w:t>
            </w:r>
          </w:p>
          <w:p>
            <w:r>
              <w:rPr>
                <w:b/>
                <w:color w:val="503200"/>
                <w:sz w:val="16"/>
              </w:rPr>
              <w:t xml:space="preserve">Volatilité ann. : </w:t>
            </w:r>
            <w:r>
              <w:rPr>
                <w:color w:val="000000"/>
                <w:sz w:val="17"/>
              </w:rPr>
              <w:t>27.4%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6.01% (Moyenne) — μ=9,169 FCFA, σ=551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β=0.5430 (Défensif) — Cov=0.000037, Var(idx)=0.000068, ρ=0.263,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5,691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σ_j=1.73%/j (Stable) — Vol. annualisée≈27.4%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8,769</w:t>
            </w:r>
          </w:p>
        </w:tc>
        <w:tc>
          <w:tcPr>
            <w:tcW w:type="dxa" w:w="1440"/>
            <w:shd w:fill="FAFAFA" w:val="clear"/>
          </w:tcPr>
          <w:p>
            <w:r>
              <w:rPr>
                <w:b/>
                <w:sz w:val="17"/>
              </w:rPr>
              <w:t>9,165</w:t>
            </w:r>
          </w:p>
        </w:tc>
        <w:tc>
          <w:tcPr>
            <w:tcW w:type="dxa" w:w="1440"/>
            <w:shd w:fill="FAFAFA" w:val="clear"/>
          </w:tcPr>
          <w:p>
            <w:r>
              <w:rPr>
                <w:sz w:val="17"/>
              </w:rPr>
              <w:t>9,561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8,605</w:t>
            </w:r>
          </w:p>
        </w:tc>
        <w:tc>
          <w:tcPr>
            <w:tcW w:type="dxa" w:w="1440"/>
            <w:shd w:fill="FAFAFA" w:val="clear"/>
          </w:tcPr>
          <w:p>
            <w:r>
              <w:rPr>
                <w:b/>
                <w:sz w:val="17"/>
              </w:rPr>
              <w:t>9,165</w:t>
            </w:r>
          </w:p>
        </w:tc>
        <w:tc>
          <w:tcPr>
            <w:tcW w:type="dxa" w:w="1440"/>
            <w:shd w:fill="FAFAFA" w:val="clear"/>
          </w:tcPr>
          <w:p>
            <w:r>
              <w:rPr>
                <w:sz w:val="17"/>
              </w:rPr>
              <w:t>9,725</w:t>
            </w:r>
          </w:p>
        </w:tc>
        <w:tc>
          <w:tcPr>
            <w:tcW w:type="dxa" w:w="1440"/>
            <w:shd w:fill="FAFAFA" w:val="clear"/>
          </w:tcPr>
          <w:p>
            <w:r>
              <w:rPr>
                <w:b/>
                <w:color w:val="C00000"/>
                <w:sz w:val="17"/>
              </w:rPr>
              <w:t>-0.9%</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8,466</w:t>
            </w:r>
          </w:p>
        </w:tc>
        <w:tc>
          <w:tcPr>
            <w:tcW w:type="dxa" w:w="1440"/>
            <w:shd w:fill="FAFAFA" w:val="clear"/>
          </w:tcPr>
          <w:p>
            <w:r>
              <w:rPr>
                <w:b/>
                <w:sz w:val="17"/>
              </w:rPr>
              <w:t>9,151</w:t>
            </w:r>
          </w:p>
        </w:tc>
        <w:tc>
          <w:tcPr>
            <w:tcW w:type="dxa" w:w="1440"/>
            <w:shd w:fill="FAFAFA" w:val="clear"/>
          </w:tcPr>
          <w:p>
            <w:r>
              <w:rPr>
                <w:sz w:val="17"/>
              </w:rPr>
              <w:t>9,836</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8,353</w:t>
            </w:r>
          </w:p>
        </w:tc>
        <w:tc>
          <w:tcPr>
            <w:tcW w:type="dxa" w:w="1440"/>
            <w:shd w:fill="FAFAFA" w:val="clear"/>
          </w:tcPr>
          <w:p>
            <w:r>
              <w:rPr>
                <w:b/>
                <w:sz w:val="17"/>
              </w:rPr>
              <w:t>9,143</w:t>
            </w:r>
          </w:p>
        </w:tc>
        <w:tc>
          <w:tcPr>
            <w:tcW w:type="dxa" w:w="1440"/>
            <w:shd w:fill="FAFAFA" w:val="clear"/>
          </w:tcPr>
          <w:p>
            <w:r>
              <w:rPr>
                <w:sz w:val="17"/>
              </w:rPr>
              <w:t>9,933</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8,255</w:t>
            </w:r>
          </w:p>
        </w:tc>
        <w:tc>
          <w:tcPr>
            <w:tcW w:type="dxa" w:w="1440"/>
            <w:shd w:fill="FAFAFA" w:val="clear"/>
          </w:tcPr>
          <w:p>
            <w:r>
              <w:rPr>
                <w:b/>
                <w:sz w:val="17"/>
              </w:rPr>
              <w:t>9,138</w:t>
            </w:r>
          </w:p>
        </w:tc>
        <w:tc>
          <w:tcPr>
            <w:tcW w:type="dxa" w:w="1440"/>
            <w:shd w:fill="FAFAFA" w:val="clear"/>
          </w:tcPr>
          <w:p>
            <w:r>
              <w:rPr>
                <w:sz w:val="17"/>
              </w:rPr>
              <w:t>10,021</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8,166</w:t>
            </w:r>
          </w:p>
        </w:tc>
        <w:tc>
          <w:tcPr>
            <w:tcW w:type="dxa" w:w="1440"/>
            <w:shd w:fill="FAFAFA" w:val="clear"/>
          </w:tcPr>
          <w:p>
            <w:r>
              <w:rPr>
                <w:b/>
                <w:sz w:val="17"/>
              </w:rPr>
              <w:t>9,133</w:t>
            </w:r>
          </w:p>
        </w:tc>
        <w:tc>
          <w:tcPr>
            <w:tcW w:type="dxa" w:w="1440"/>
            <w:shd w:fill="FAFAFA" w:val="clear"/>
          </w:tcPr>
          <w:p>
            <w:r>
              <w:rPr>
                <w:sz w:val="17"/>
              </w:rPr>
              <w:t>10,100</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8,085</w:t>
            </w:r>
          </w:p>
        </w:tc>
        <w:tc>
          <w:tcPr>
            <w:tcW w:type="dxa" w:w="1440"/>
            <w:shd w:fill="FAFAFA" w:val="clear"/>
          </w:tcPr>
          <w:p>
            <w:r>
              <w:rPr>
                <w:b/>
                <w:sz w:val="17"/>
              </w:rPr>
              <w:t>9,128</w:t>
            </w:r>
          </w:p>
        </w:tc>
        <w:tc>
          <w:tcPr>
            <w:tcW w:type="dxa" w:w="1440"/>
            <w:shd w:fill="FAFAFA" w:val="clear"/>
          </w:tcPr>
          <w:p>
            <w:r>
              <w:rPr>
                <w:sz w:val="17"/>
              </w:rPr>
              <w:t>10,172</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8,008</w:t>
            </w:r>
          </w:p>
        </w:tc>
        <w:tc>
          <w:tcPr>
            <w:tcW w:type="dxa" w:w="1440"/>
            <w:shd w:fill="FAFAFA" w:val="clear"/>
          </w:tcPr>
          <w:p>
            <w:r>
              <w:rPr>
                <w:b/>
                <w:sz w:val="17"/>
              </w:rPr>
              <w:t>9,124</w:t>
            </w:r>
          </w:p>
        </w:tc>
        <w:tc>
          <w:tcPr>
            <w:tcW w:type="dxa" w:w="1440"/>
            <w:shd w:fill="FAFAFA" w:val="clear"/>
          </w:tcPr>
          <w:p>
            <w:r>
              <w:rPr>
                <w:sz w:val="17"/>
              </w:rPr>
              <w:t>10,239</w:t>
            </w:r>
          </w:p>
        </w:tc>
        <w:tc>
          <w:tcPr>
            <w:tcW w:type="dxa" w:w="1440"/>
            <w:shd w:fill="FAFAFA" w:val="clear"/>
          </w:tcPr>
          <w:p>
            <w:r>
              <w:rPr>
                <w:b/>
                <w:color w:val="C00000"/>
                <w:sz w:val="17"/>
              </w:rPr>
              <w:t>-1.4%</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7,937</w:t>
            </w:r>
          </w:p>
        </w:tc>
        <w:tc>
          <w:tcPr>
            <w:tcW w:type="dxa" w:w="1440"/>
            <w:shd w:fill="FAFAFA" w:val="clear"/>
          </w:tcPr>
          <w:p>
            <w:r>
              <w:rPr>
                <w:b/>
                <w:sz w:val="17"/>
              </w:rPr>
              <w:t>9,119</w:t>
            </w:r>
          </w:p>
        </w:tc>
        <w:tc>
          <w:tcPr>
            <w:tcW w:type="dxa" w:w="1440"/>
            <w:shd w:fill="FAFAFA" w:val="clear"/>
          </w:tcPr>
          <w:p>
            <w:r>
              <w:rPr>
                <w:sz w:val="17"/>
              </w:rPr>
              <w:t>10,301</w:t>
            </w:r>
          </w:p>
        </w:tc>
        <w:tc>
          <w:tcPr>
            <w:tcW w:type="dxa" w:w="1440"/>
            <w:shd w:fill="FAFAFA" w:val="clear"/>
          </w:tcPr>
          <w:p>
            <w:r>
              <w:rPr>
                <w:b/>
                <w:color w:val="C00000"/>
                <w:sz w:val="17"/>
              </w:rPr>
              <w:t>-1.4%</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7,869</w:t>
            </w:r>
          </w:p>
        </w:tc>
        <w:tc>
          <w:tcPr>
            <w:tcW w:type="dxa" w:w="1440"/>
            <w:shd w:fill="FAFAFA" w:val="clear"/>
          </w:tcPr>
          <w:p>
            <w:r>
              <w:rPr>
                <w:b/>
                <w:sz w:val="17"/>
              </w:rPr>
              <w:t>9,114</w:t>
            </w:r>
          </w:p>
        </w:tc>
        <w:tc>
          <w:tcPr>
            <w:tcW w:type="dxa" w:w="1440"/>
            <w:shd w:fill="FAFAFA" w:val="clear"/>
          </w:tcPr>
          <w:p>
            <w:r>
              <w:rPr>
                <w:sz w:val="17"/>
              </w:rPr>
              <w:t>10,360</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 RAPPORT D'ANALYSE FINANCIÈRE — BOAB (Bank of Africa Bénin)</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375,19 milliards FCFA, BOAB figure parmi les valeurs bancaires de premier plan de la BRVM, ce qui traduit une liquidité et une visibilité institutionnelle appréciables. Le BPA de 496 FCFA/action signifie que chaque titre génère près de 500 FCFA de bénéfice net, un niveau de rentabilité par action solide pour le secteur. Le PER de 18,7x se situe nettement au-dessus de la moyenne BRVM (~8-12x), ce qui indique que les investisseurs paient une prime significative pour les bénéfices de BOAB — potentiellement justifiée par la qualité de ses fondamentaux mais qui limite la marge de sécurité. Le P/B de 3,19x confirme cette prime de croissance : le marché valorise la banque à plus de trois fois sa valeur comptable, un niveau exigeant qui suppose une rentabilité durablement supérieure au coût des fonds propres. Enfin, l'EV/EBITDA de 19,3x, très au-dessus du seuil de 15x, signale une valorisation tendue par rapport à la capacité opérationnelle, ce qui rend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BOAB affiche une variation totale de +0,00%, traduisant une phase de consolidation horizontale, mais la dernière séance a enregistré un rebond notable de +3,35%, signe d'un regain d'intérêt acheteur à court terme. Le titre a évolué dans un range de 1 830 FCFA, entre un plus bas de 8 520 FCFA et un plus haut de 10 350 FCFA, ce qui représente une amplitude de trading significative de l'ordre de 21%. La tendance générale est donc stable à légèrement haussière en fin de période, le cours actuel (9 250 FCFA) se situant au-dessus du plus bas mais en retrait du sommet. Les statistiques descriptives révèlent une moyenne de 9 169 FCFA supérieure à la médiane de 8 950 FCFA, avec un mode à 8 700 FCFA : cet écart confirme une asymétrie positive (skewness de +0,963), indiquant que la majorité des séances se sont déroulées sous la moyenne, quelques journées haussières tirant la moyenne vers le haut. L'écart-type de 554 FCFA (CV de 6,0%) traduit une dispersion modérée du cours, tandis que le kurtosis de -0,471 (mésokurtique) suggère une distribution proche de la normale, sans risque excessif de pics extrêmes. La volatilité annualisée de 27,4% positionne le titre dans la catégorie modérée (15-30%), ce qui est cohérent avec un profil bancaire stable mais sensible aux annonces de résultats.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9 843,75 FCFA et la MM50 à 9 353,60 FCFA, toutes deux supérieures au cours actuel de 9 250 FCFA. Le cours évolue donc sous ses moyennes mobiles, ce qui constitue en théorie un signal baissier à court terme ; toutefois, la décision fournie est « Achat », probablement parce que la MM20 reste au-dessus de la MM50 (configuration haussière de fond) et que le rebond de +3,35% en J-1 suggère un retournement potentiel vers ces niveaux de résistance.</w:t>
      </w:r>
    </w:p>
    <w:p>
      <w:pPr>
        <w:spacing w:after="120" w:line="276" w:lineRule="auto"/>
      </w:pPr>
      <w:r>
        <w:t>**Bandes de Bollinger** : La borne supérieure est à 10 914,34 FCFA et la borne inférieure à 8 773,16 FCFA, avec un cours actuel de 9 250 FCFA qui se situe dans la moitié basse du canal. Le titre n'est ni en surachat ni en survente selon ce indicateur, et la décision « Neutre » reflète cette position médiane ; la largeur des bandes (2 141 FCFA) confirme une volatilité modérée, cohérente avec l'écart-type observé.</w:t>
      </w:r>
    </w:p>
    <w:p>
      <w:pPr>
        <w:spacing w:after="120" w:line="276" w:lineRule="auto"/>
      </w:pPr>
      <w:r>
        <w:t>**MACD** : La valeur du MACD est de -135,448 contre un signal à 26,025, soit une divergence négative marquée où le MACD est nettement sous son signal. Cette configuration indique un momentum baissier persistant et justifie la décision « Vente » ; toutefois, l'écart important entre les deux lignes pourrait annoncer un épuisement de la tendance baissière et un croisement prochain si le rebond se confirme.</w:t>
      </w:r>
    </w:p>
    <w:p>
      <w:pPr>
        <w:spacing w:after="120" w:line="276" w:lineRule="auto"/>
      </w:pPr>
      <w:r>
        <w:t>**RSI** : À 29,317, le RSI se situe juste en dessous du seuil de survente (30), ce qui déclenche la décision « Achat » : le titre est techniquement survendu et une correction haussière est statistiquement probable à court terme, ce qui est cohérent avec le rebond de +3,35% observé en J-1.</w:t>
      </w:r>
    </w:p>
    <w:p>
      <w:pPr>
        <w:spacing w:after="120" w:line="276" w:lineRule="auto"/>
      </w:pPr>
      <w:r>
        <w:t>**Stochastique** : Le %K est à 32,624 et le %D à 18,034, avec un %K au-dessus du %D, ce qui constitue un croisement haussier naissant. La décision « Neutre » s'explique par le fait que les deux lignes restent en zone basse, mais la configuration suggère une pression acheteuse croissante qui pourrait se matérialiser dans les prochaines séances.</w:t>
      </w:r>
    </w:p>
    <w:p>
      <w:pPr>
        <w:spacing w:after="120" w:line="276" w:lineRule="auto"/>
      </w:pPr>
      <w:r>
        <w:t>**Conclusion technique** : Les indicateurs sont divergents — le MACD reste baissier tandis que le RSI (survente) et le Stochastique (croisement haussier) plaident pour un rebond, et les moyennes mobiles maintiennent une structure de fond haussière malgré la position du cours en dessous. Cette configuration mixte, typique d'une phase de consolidation en bas de range, suggère un potentiel de rebond technique vers la MM50 (9 353 FCFA) voire la MM20 (9 843 FCFA), mais la prudence reste de mise tant que le MACD ne s'inverse pas.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BOAB affiche un Produit Net Bancaire (équivalent du chiffre d'affaires pour une banque) de 51,274 milliards FCFA, en croissance de 10,20% sur un an, et un résultat net de 20,107 milliards FCFA, soit une marge nette élevée de 39,22%. La rentabilité des fonds propres (ROE) atteint 17,11%, un niveau excellent (&gt;15%), tandis que le ROA de 2,08% reste solide pour le secteur bancaire. Le coefficient d'exploitation de 49,53% est inférieur au seuil de 60%, ce qui témoigne d'une excellente efficacité opérationnelle. Le coût du risque, à 22,50% des charges financières, est élevé et constitue un point de vigilance sur la qualité du portefeuille de crédits. La structure financière montre une autonomie financière de 12,18% (capitaux propres/total bilan), un ratio d'endettement de 98,77% et une solvabilité générale de 113,87% (&gt;1, donc solvable). Les dépôts clientèle (711,642 milliards FCFA) couvrent largement les créances clientèle (391,724 milliards FCFA), avec un ratio de transformation de 55%, ce qui indique une gestion prudente du bilan.</w:t>
      </w:r>
    </w:p>
    <w:p>
      <w:pPr>
        <w:spacing w:after="120" w:line="276" w:lineRule="auto"/>
      </w:pPr>
      <w:r>
        <w:t>**Estimations basées sur les rapports trimestriels** : Le rapport du T1 2026 (publié en 2026) fait état d'un PNB de 12,329 milliards FCFA, en hausse de 11% sur un an, porté par les commissions (+18,9%) et la marge nette bancaire (+8,5%), avec des dépôts clientèle à 753,7 milliards FCFA (+3,5% sur l'année glissante). Le résultat net du T1 2026 s'élève à 4,502 milliards FCFA, en progression limitée de +1%, ce qui traduit une pression sur les coûts. Le rapport du T3 2025 (daté du 30 septembre 2025) indiquait déjà un PNB trimestriel de 37,065 milliards FCFA (+9% en glissement annuel) et un résultat net de 15,880 milliards FCFA (+13%), avec une contraction des crédits (-10%) et des dépôts (-5%) liée à des remboursements anticipés de crédits de campagne. Le rapport du S1 2025 (30 juin 2025) faisait état d'un PNB de 24,556 milliards FCFA (+5,91%) et d'un résultat net de 11,012 milliards FCFA (+0,75%), avec un ROE de 20,3% et un coefficient d'exploitation de 46,1%. Sur la base du T1 2026 (PNB +11%, résultat net +1%), on peut estimer que l'exercice 2026 devrait maintenir une croissance du PNB à deux chiffres, mais la progression du résultat net pourrait rester modérée en raison de la hausse du coût du risque et des charges. La dynamique des commissions (+18,9%) et la progression des dépôts (+3,5%) constituent des signaux positifs pour la solidité de la franchise.</w:t>
      </w:r>
    </w:p>
    <w:p>
      <w:pPr>
        <w:spacing w:after="120" w:line="276" w:lineRule="auto"/>
      </w:pPr>
      <w:r>
        <w:t>**Recommandation fondamentale** : BOAB présente des fondamentaux solides (ROE &gt;17%, coefficient d'exploitation &lt;50%, croissance du PNB &gt;10%), mais la valorisation exigeante (PER 18,7x, P/B 3,19x) intègre déjà une large part de ces performances. Les risques identifiés incluent la pression sur la rentabilité nette (croissance du résultat net limitée à +1% au T1 2026), la contraction des crédits et dépôts observée en 2025, et un coût du risque élevé. La recommandation fondamentale est donc **CONSERVER**, avec une surveillance accrue de l'évolution du coût du risque et de la capacité à maintenir la croissance des commissions.</w:t>
      </w:r>
    </w:p>
    <w:p>
      <w:pPr>
        <w:spacing w:after="120" w:line="276" w:lineRule="auto"/>
      </w:pPr>
      <w:r>
        <w:t>---</w:t>
      </w:r>
    </w:p>
    <w:p>
      <w:pPr>
        <w:spacing w:after="120" w:line="276" w:lineRule="auto"/>
      </w:pPr>
      <w:r>
        <w:t>## PARTIE 4 : CONCLUSION D'INVESTISSEMENT</w:t>
      </w:r>
    </w:p>
    <w:p>
      <w:pPr>
        <w:spacing w:after="120" w:line="276" w:lineRule="auto"/>
      </w:pPr>
      <w:r>
        <w:t>La valorisation de BOAB (PER 18,7x, P/B 3,19x, EV/EBITDA 19,3x) indique une surévaluation relative par rapport à la moyenne BRVM, ce qui limite le potentiel de hausse à court terme malgré des fondamentaux de qualité. Le comportement du cours sur 100 jours est stable (+0,00%), avec une volatilité modérée (27,4%) et une asymétrie positive (skewness +0,963) qui suggère que les journées haussières, bien que moins fréquentes, sont plus amples — un profil favorable pour les investisseurs patients. Les signaux techniques sont divergents : le RSI en survente (29,3) et le Stochastique haussier plaident pour un rebond, mais le MACD baissier et la position du cours sous les moyennes mobiles incitent à la prudence. Les fondamentaux restent solides (ROE 17,1%, PNB +10,2% en 2025, coefficient d'exploitation 49,5%), mais la croissance du résultat net marque le pas (+1% au T1 2026), ce qui pourrait décevoir les attentes du marché. Les prédictions IA (J+1 à J+10) anticipent une légère baisse vers 9 138 FCFA d'ici le 5 octobre 2026, ce qui contredit le rebond technique observé en J-1 et suggère que la pression baissière pourrait persister à court terme. **Recommandation finale : CONSERVER**, avec un niveau de confiance **Moyen** et un risque global **Moyen**. La convergence entre valorisation tendue, technique mitigée et fondamentaux solides mais en ralentissement ne justifie ni un achat agressif ni une vente précipitée. L'horizon d'investissement optimal est le **moyen terme (3-12 mois)**, en attendant une clarification sur la trajectoire du résultat net et une correction éventuelle de la valorisation vers des niveaux plus attractifs (PER &lt;15x).</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7.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365.20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6,465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+53.42%</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5,300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18.28% (Élevée) — μ=6,758 FCFA, σ=1,236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β=0.7344 (Défensif) — Cov=0.000050, Var(idx)=0.000068, ρ=0.271,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6,465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7,816</w:t>
            </w:r>
          </w:p>
        </w:tc>
        <w:tc>
          <w:tcPr>
            <w:tcW w:type="dxa" w:w="1440"/>
            <w:shd w:fill="FAFAFA" w:val="clear"/>
          </w:tcPr>
          <w:p>
            <w:r>
              <w:rPr>
                <w:b/>
                <w:sz w:val="17"/>
              </w:rPr>
              <w:t>8,223</w:t>
            </w:r>
          </w:p>
        </w:tc>
        <w:tc>
          <w:tcPr>
            <w:tcW w:type="dxa" w:w="1440"/>
            <w:shd w:fill="FAFAFA" w:val="clear"/>
          </w:tcPr>
          <w:p>
            <w:r>
              <w:rPr>
                <w:sz w:val="17"/>
              </w:rPr>
              <w:t>8,630</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7,606</w:t>
            </w:r>
          </w:p>
        </w:tc>
        <w:tc>
          <w:tcPr>
            <w:tcW w:type="dxa" w:w="1440"/>
            <w:shd w:fill="FAFAFA" w:val="clear"/>
          </w:tcPr>
          <w:p>
            <w:r>
              <w:rPr>
                <w:b/>
                <w:sz w:val="17"/>
              </w:rPr>
              <w:t>8,178</w:t>
            </w:r>
          </w:p>
        </w:tc>
        <w:tc>
          <w:tcPr>
            <w:tcW w:type="dxa" w:w="1440"/>
            <w:shd w:fill="FAFAFA" w:val="clear"/>
          </w:tcPr>
          <w:p>
            <w:r>
              <w:rPr>
                <w:sz w:val="17"/>
              </w:rPr>
              <w:t>8,751</w:t>
            </w:r>
          </w:p>
        </w:tc>
        <w:tc>
          <w:tcPr>
            <w:tcW w:type="dxa" w:w="1440"/>
            <w:shd w:fill="FAFAFA" w:val="clear"/>
          </w:tcPr>
          <w:p>
            <w:r>
              <w:rPr>
                <w:b/>
                <w:color w:val="C00000"/>
                <w:sz w:val="17"/>
              </w:rPr>
              <w:t>-1.5%</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7,451</w:t>
            </w:r>
          </w:p>
        </w:tc>
        <w:tc>
          <w:tcPr>
            <w:tcW w:type="dxa" w:w="1440"/>
            <w:shd w:fill="FAFAFA" w:val="clear"/>
          </w:tcPr>
          <w:p>
            <w:r>
              <w:rPr>
                <w:b/>
                <w:sz w:val="17"/>
              </w:rPr>
              <w:t>8,149</w:t>
            </w:r>
          </w:p>
        </w:tc>
        <w:tc>
          <w:tcPr>
            <w:tcW w:type="dxa" w:w="1440"/>
            <w:shd w:fill="FAFAFA" w:val="clear"/>
          </w:tcPr>
          <w:p>
            <w:r>
              <w:rPr>
                <w:sz w:val="17"/>
              </w:rPr>
              <w:t>8,847</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7,333</w:t>
            </w:r>
          </w:p>
        </w:tc>
        <w:tc>
          <w:tcPr>
            <w:tcW w:type="dxa" w:w="1440"/>
            <w:shd w:fill="FAFAFA" w:val="clear"/>
          </w:tcPr>
          <w:p>
            <w:r>
              <w:rPr>
                <w:b/>
                <w:sz w:val="17"/>
              </w:rPr>
              <w:t>8,138</w:t>
            </w:r>
          </w:p>
        </w:tc>
        <w:tc>
          <w:tcPr>
            <w:tcW w:type="dxa" w:w="1440"/>
            <w:shd w:fill="FAFAFA" w:val="clear"/>
          </w:tcPr>
          <w:p>
            <w:r>
              <w:rPr>
                <w:sz w:val="17"/>
              </w:rPr>
              <w:t>8,944</w:t>
            </w:r>
          </w:p>
        </w:tc>
        <w:tc>
          <w:tcPr>
            <w:tcW w:type="dxa" w:w="1440"/>
            <w:shd w:fill="FAFAFA" w:val="clear"/>
          </w:tcPr>
          <w:p>
            <w:r>
              <w:rPr>
                <w:b/>
                <w:color w:val="C00000"/>
                <w:sz w:val="17"/>
              </w:rPr>
              <w:t>-1.9%</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7,237</w:t>
            </w:r>
          </w:p>
        </w:tc>
        <w:tc>
          <w:tcPr>
            <w:tcW w:type="dxa" w:w="1440"/>
            <w:shd w:fill="FAFAFA" w:val="clear"/>
          </w:tcPr>
          <w:p>
            <w:r>
              <w:rPr>
                <w:b/>
                <w:sz w:val="17"/>
              </w:rPr>
              <w:t>8,137</w:t>
            </w:r>
          </w:p>
        </w:tc>
        <w:tc>
          <w:tcPr>
            <w:tcW w:type="dxa" w:w="1440"/>
            <w:shd w:fill="FAFAFA" w:val="clear"/>
          </w:tcPr>
          <w:p>
            <w:r>
              <w:rPr>
                <w:sz w:val="17"/>
              </w:rPr>
              <w:t>9,037</w:t>
            </w:r>
          </w:p>
        </w:tc>
        <w:tc>
          <w:tcPr>
            <w:tcW w:type="dxa" w:w="1440"/>
            <w:shd w:fill="FAFAFA" w:val="clear"/>
          </w:tcPr>
          <w:p>
            <w:r>
              <w:rPr>
                <w:b/>
                <w:color w:val="C00000"/>
                <w:sz w:val="17"/>
              </w:rPr>
              <w:t>-2.0%</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7,153</w:t>
            </w:r>
          </w:p>
        </w:tc>
        <w:tc>
          <w:tcPr>
            <w:tcW w:type="dxa" w:w="1440"/>
            <w:shd w:fill="FAFAFA" w:val="clear"/>
          </w:tcPr>
          <w:p>
            <w:r>
              <w:rPr>
                <w:b/>
                <w:sz w:val="17"/>
              </w:rPr>
              <w:t>8,140</w:t>
            </w:r>
          </w:p>
        </w:tc>
        <w:tc>
          <w:tcPr>
            <w:tcW w:type="dxa" w:w="1440"/>
            <w:shd w:fill="FAFAFA" w:val="clear"/>
          </w:tcPr>
          <w:p>
            <w:r>
              <w:rPr>
                <w:sz w:val="17"/>
              </w:rPr>
              <w:t>9,126</w:t>
            </w:r>
          </w:p>
        </w:tc>
        <w:tc>
          <w:tcPr>
            <w:tcW w:type="dxa" w:w="1440"/>
            <w:shd w:fill="FAFAFA" w:val="clear"/>
          </w:tcPr>
          <w:p>
            <w:r>
              <w:rPr>
                <w:b/>
                <w:color w:val="C00000"/>
                <w:sz w:val="17"/>
              </w:rPr>
              <w:t>-1.9%</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7,078</w:t>
            </w:r>
          </w:p>
        </w:tc>
        <w:tc>
          <w:tcPr>
            <w:tcW w:type="dxa" w:w="1440"/>
            <w:shd w:fill="FAFAFA" w:val="clear"/>
          </w:tcPr>
          <w:p>
            <w:r>
              <w:rPr>
                <w:b/>
                <w:sz w:val="17"/>
              </w:rPr>
              <w:t>8,144</w:t>
            </w:r>
          </w:p>
        </w:tc>
        <w:tc>
          <w:tcPr>
            <w:tcW w:type="dxa" w:w="1440"/>
            <w:shd w:fill="FAFAFA" w:val="clear"/>
          </w:tcPr>
          <w:p>
            <w:r>
              <w:rPr>
                <w:sz w:val="17"/>
              </w:rPr>
              <w:t>9,210</w:t>
            </w:r>
          </w:p>
        </w:tc>
        <w:tc>
          <w:tcPr>
            <w:tcW w:type="dxa" w:w="1440"/>
            <w:shd w:fill="FAFAFA" w:val="clear"/>
          </w:tcPr>
          <w:p>
            <w:r>
              <w:rPr>
                <w:b/>
                <w:color w:val="C00000"/>
                <w:sz w:val="17"/>
              </w:rPr>
              <w:t>-1.9%</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7,008</w:t>
            </w:r>
          </w:p>
        </w:tc>
        <w:tc>
          <w:tcPr>
            <w:tcW w:type="dxa" w:w="1440"/>
            <w:shd w:fill="FAFAFA" w:val="clear"/>
          </w:tcPr>
          <w:p>
            <w:r>
              <w:rPr>
                <w:b/>
                <w:sz w:val="17"/>
              </w:rPr>
              <w:t>8,148</w:t>
            </w:r>
          </w:p>
        </w:tc>
        <w:tc>
          <w:tcPr>
            <w:tcW w:type="dxa" w:w="1440"/>
            <w:shd w:fill="FAFAFA" w:val="clear"/>
          </w:tcPr>
          <w:p>
            <w:r>
              <w:rPr>
                <w:sz w:val="17"/>
              </w:rPr>
              <w:t>9,289</w:t>
            </w:r>
          </w:p>
        </w:tc>
        <w:tc>
          <w:tcPr>
            <w:tcW w:type="dxa" w:w="1440"/>
            <w:shd w:fill="FAFAFA" w:val="clear"/>
          </w:tcPr>
          <w:p>
            <w:r>
              <w:rPr>
                <w:b/>
                <w:color w:val="C00000"/>
                <w:sz w:val="17"/>
              </w:rPr>
              <w:t>-1.8%</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6,943</w:t>
            </w:r>
          </w:p>
        </w:tc>
        <w:tc>
          <w:tcPr>
            <w:tcW w:type="dxa" w:w="1440"/>
            <w:shd w:fill="FAFAFA" w:val="clear"/>
          </w:tcPr>
          <w:p>
            <w:r>
              <w:rPr>
                <w:b/>
                <w:sz w:val="17"/>
              </w:rPr>
              <w:t>8,153</w:t>
            </w:r>
          </w:p>
        </w:tc>
        <w:tc>
          <w:tcPr>
            <w:tcW w:type="dxa" w:w="1440"/>
            <w:shd w:fill="FAFAFA" w:val="clear"/>
          </w:tcPr>
          <w:p>
            <w:r>
              <w:rPr>
                <w:sz w:val="17"/>
              </w:rPr>
              <w:t>9,363</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6,881</w:t>
            </w:r>
          </w:p>
        </w:tc>
        <w:tc>
          <w:tcPr>
            <w:tcW w:type="dxa" w:w="1440"/>
            <w:shd w:fill="FAFAFA" w:val="clear"/>
          </w:tcPr>
          <w:p>
            <w:r>
              <w:rPr>
                <w:b/>
                <w:sz w:val="17"/>
              </w:rPr>
              <w:t>8,158</w:t>
            </w:r>
          </w:p>
        </w:tc>
        <w:tc>
          <w:tcPr>
            <w:tcW w:type="dxa" w:w="1440"/>
            <w:shd w:fill="FAFAFA" w:val="clear"/>
          </w:tcPr>
          <w:p>
            <w:r>
              <w:rPr>
                <w:sz w:val="17"/>
              </w:rPr>
              <w:t>9,434</w:t>
            </w:r>
          </w:p>
        </w:tc>
        <w:tc>
          <w:tcPr>
            <w:tcW w:type="dxa" w:w="1440"/>
            <w:shd w:fill="FAFAFA" w:val="clear"/>
          </w:tcPr>
          <w:p>
            <w:r>
              <w:rPr>
                <w:b/>
                <w:color w:val="C00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BOABF (BANK OF AFRICA BURKINA FASO)**</w:t>
        <w:br/>
        <w:t>*Bourse Régionale des Valeurs Mobilières (BRVM) — Secteur Bancaire*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365,20 milliards FCFA, BOABF figure parmi les valeurs bancaires de premier plan de la cote BRVM, ce qui lui confère une liquidité relative et une visibilité institutionnelle appréciables. Le BPA de 438 FCFA par action traduit une capacité bénéficiaire solide, chaque titre générant près de 438 FCFA de profit net. Le PER de 19,0x se situe nettement au-dessus de la moyenne du marché BRVM (généralement comprise entre 8 et 12x), ce qui indique que les investisseurs paient une prime significative pour les bénéfices de la banque — une valorisation exigeante qui intègre déjà des anticipations de croissance ou de normalisation du risque. Le P/B de 2,89x confirme cette prime de croissance, le marché valorisant la banque à près de trois fois sa valeur comptable, ce qui est cohérent avec un ROE supérieur à 15%. Enfin, l'EV/EBITDA de 8,5x, dans la fourchette raisonnable de 5-10x, suggère que la valeur d'entreprise reste proportionnée à la capacité opérationnelle, sans excès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BOABF a enregistré une progression spectaculaire de +53,42%, portée par une dernière séance en hausse de +2,47%, ce qui témoigne d'un momentum haussier toujours actif à court terme. Le cours actuel de 8 300 FCFA se situe dans la partie haute du range de trading, le plus haut ayant atteint 9 090 FCFA et le plus bas 5 300 FCFA — soit un écart de plus de 70% entre les extrêmes, révélant une amplitude de mouvement considérable. La tendance générale est donc clairement haussière, soutenue par un volume moyen quotidien de 6 465 titres qui traduit un intérêt constant des investisseurs. Les statistiques descriptives révèlent une moyenne de 6 758 FCFA légèrement inférieure à la médiane de 6 925 FCFA, ce qui indique une distribution asymétrique avec quelques séances de forte baisse tirant la moyenne vers le bas, tandis que le mode à 5 400 FCFA rappelle le point d'ancrage bas de la période. L'écart-type de 1 242 FCFA (CV de 18,4%) traduit une dispersion modérée du cours autour de sa moyenne, et le kurtosis négatif (-1,117, distribution platykurtique) signale une faible concentration des rendements avec un risque de pics extrêmes limité — un profil relativement rassurant. Le skewness de 0,457, qualifié de symétrique dans les données fournies, suggère une légère inclinaison vers les rendements positifs. Enfin, la volatilité annualisée de 35,4% classe le titre dans la catégorie des valeurs à volatilité élevée (&gt;30%), ce qui implique un risque de marché significatif et justifie une gestion prudente des positions.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8 437,25 FCFA et la MM50 à 7 843,70 FCFA, toutes deux inférieures au cours actuel de 8 300 FCFA pour la MM20 mais supérieures pour la MM50 — le cours évolue donc entre ses deux moyennes, signe d'une consolidation après la forte hausse. La MM20 étant au-dessus de la MM50, la configuration reste haussière de fond, ce qui justifie la décision d'**Achat** fournie par l'indicateur.</w:t>
      </w:r>
    </w:p>
    <w:p>
      <w:pPr>
        <w:spacing w:after="120" w:line="276" w:lineRule="auto"/>
      </w:pPr>
      <w:r>
        <w:t>**Bandes de Bollinger** : La borne supérieure se situe à 9 575,12 FCFA et la borne inférieure à 7 299,38 FCFA, avec un cours actuel de 8 300 FCFA positionné légèrement au-dessus du milieu de bande — le titre n'est ni suracheté ni survendu. L'amplitude des bandes (environ 2 276 FCFA) confirme une volatilité élevée, et la décision **Neutre** reflète l'absence de signal directionnel fort à ce stade.</w:t>
      </w:r>
    </w:p>
    <w:p>
      <w:pPr>
        <w:spacing w:after="120" w:line="276" w:lineRule="auto"/>
      </w:pPr>
      <w:r>
        <w:t>**MACD** : La valeur du MACD (-14,095) est nettement inférieure à son signal (85,791), générant une divergence baissière marquée qui traduit un essoufflement du momentum haussier. Cette configuration, bien que le cours reste sur des niveaux élevés, justifie pleinement la décision de **Vente** émise par cet indicateur et constitue un signal d'alerte sur la durabilité de la tendance.</w:t>
      </w:r>
    </w:p>
    <w:p>
      <w:pPr>
        <w:spacing w:after="120" w:line="276" w:lineRule="auto"/>
      </w:pPr>
      <w:r>
        <w:t>**RSI** : À 37,205, le RSI se situe dans la zone neutre basse (30-70), sans atteindre le seuil de survente (&lt;30), ce qui indique que le titre n'est ni surévalué ni sous-évalué à court terme. La décision **Neutre** est cohérente avec cette position médiane, bien que la proximité de la zone de survente suggère une possible pression vendeuse résiduelle.</w:t>
      </w:r>
    </w:p>
    <w:p>
      <w:pPr>
        <w:spacing w:after="120" w:line="276" w:lineRule="auto"/>
      </w:pPr>
      <w:r>
        <w:t>**Stochastique** : Le %K (56,426) est supérieur au %D (44,932), configuration haussière par croisement des lignes, mais les deux indicateurs restent dans la zone neutre sans signal fort. La décision **Neutre** reflète cette absence de dynamique claire, le croisement n'étant pas encore confirmé par une accélération des prix.</w:t>
      </w:r>
    </w:p>
    <w:p>
      <w:pPr>
        <w:spacing w:after="120" w:line="276" w:lineRule="auto"/>
      </w:pPr>
      <w:r>
        <w:t>**Conclusion technique** : Les indicateurs techniques présentent un tableau mitigé — les moyennes mobiles restent haussières (MM20 &gt; MM50) et le stochastique montre un croisement positif, mais le MACD en divergence baissière et le RSI en zone neutre basse tempèrent l'optimisme. La convergence des signaux Neutre (Bollinger, RSI, Stochastique) suggère une phase de consolidation, avec un risque de correction à court terme si le MACD continue de se dégrader. La décision globale est donc **Neutre à légèrement baissière** à court terme, malgré un fond de tendance haussier.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BOABF a réalisé un Produit Net Bancaire (PNB) de 57,820 milliards FCFA, quasi stable par rapport à 2024 (+0,6%), avec un résultat net de 19,252 milliards FCFA en recul de -14,1% sur un an. Le ROE s'établit à 15,22% (excellent, &gt;15%) et le ROA à 1,68%, confirmant la solidité de la rentabilité des fonds propres malgré la pression sur le résultat. Le coefficient d'exploitation de 47,19% est excellent (&lt;50%), témoignant d'une grande efficacité opérationnelle, et la marge nette de 33,30% reste confortable. Cependant, le coût du risque rapporté aux charges financières atteint 33,92%, un niveau élevé qui signale un risque de crédit significatif — cohérent avec le doublement des provisions en 2025 (8,355 milliards FCFA contre 4,303 milliards en 2024). La structure financière montre une autonomie financière faible (11,01%) et un ratio d'endettement élevé (96,61%), mais la solvabilité générale reste assurée (112,38%) et la capacité de remboursement de 5,79 années est acceptable. Le ratio dépôts/crédits s'établit à 185% (877,822 Mds de dépôts pour 474,064 Mds de créances), traduisant une surliquidité et une sous-utilisation des dépôts, tandis que les créances interbancaires ont bondi à 213,132 Mds FCFA (contre 53,994 Mds fin 2024), signe d'un repositionnement vers des actifs moins risqués.</w:t>
      </w:r>
    </w:p>
    <w:p>
      <w:pPr>
        <w:spacing w:after="120" w:line="276" w:lineRule="auto"/>
      </w:pPr>
      <w:r>
        <w:t>**Estimations basées sur les rapports trimestriels** : Le rapport du T1 2026 (publié le 31/03/2026) indique un PNB de 12,694 milliards FCFA, en baisse de -10,75% sur un an, et un résultat net de 4,520 milliards FCFA (-12,99%), avec une progression des dépôts de +6,3% à 933,233 milliards FCFA. Le rapport du S1 2026 (publié le 30/06/2026) confirme le repli du PNB à 27,539 milliards FCFA (-5,2%) mais montre un résultat net en forte hausse de +31,0% à 10,770 milliards FCFA, grâce à une amélioration spectaculaire du coût du risque (-65,2% à -2,396 milliards). Sur la base de ces tendances, on peut estimer que l'exercice 2026 devrait afficher un PNB en contraction modérée (autour de 55-56 milliards FCFA) mais un résultat net en nette amélioration (potentiellement 21-23 milliards FCFA), la normalisation du coût du risque compensant la faiblesse de l'activité commerciale. Le rapport du T3 2025 (30/09/2025) soulignait déjà la stagnation du PNB (+0,85%) et la chute du résultat net (-27,69%), confirmant que le point bas de la rentabilité a été atteint au S1 2025.</w:t>
      </w:r>
    </w:p>
    <w:p>
      <w:pPr>
        <w:spacing w:after="120" w:line="276" w:lineRule="auto"/>
      </w:pPr>
      <w:r>
        <w:t>**Recommandation fondamentale** : BOABF présente des fondamentaux solides (ROE &gt;15%, coefficient d'exploitation &lt;50%, solvabilité assurée) mais fait face à des défis structurels : contraction du PNB, sous-utilisation des dépôts, et dépendance à la normalisation du coût du risque pour soutenir la rentabilité. La recommandation fondamentale est **CONSERVER**, avec un biais positif à moyen terme si la dynamique commerciale se redresse.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apparaît exigeante avec un PER de 19,0x nettement supérieur à la moyenne du marché BRVM (8-12x) et un P/B de 2,89x qui intègre déjà une prime de croissance significative — le titre n'est donc pas sous-évalué, mais la qualité des fondamentaux (ROE &gt;15%) peut justifier cette prime. Le comportement du cours (Partie 1) est haussier sur 100 jours (+53,42%) mais la volatilité élevée (35,4%) et le kurtosis négatif (-1,117) suggèrent un risque de pics limité, tandis que la distribution symétrique (skewness 0,457) n'indique pas de biais directionnel fort. Les signaux techniques (Partie 2) sont mitigés : les moyennes mobiles restent haussières mais le MACD en divergence baissière et le RSI en zone neutre basse plaident pour une consolidation, voire une correction à court terme. Les fondamentaux (Partie 3) révèlent une banque solide mais en transition, avec un PNB en contraction et un résultat net dépendant de la normalisation du coût du risque — les rapports T1 et S1 2026 montrent une amélioration de la rentabilité (+31% au S1) mais une faiblesse persistante de l'activité commerciale. Les prédictions IA (J+1 à J+10) anticipent une légère baisse du cours de 8 223 FCFA à 8 137 FCFA, ce qui confirme la phase de consolidation technique et contredit le momentum haussier récent. **Synthèse globale** : la convergence entre la valorisation exigeante, les signaux techniques neutres à baissiers, les fondamentaux en amélioration mais fragiles, et les prédictions baissières à court terme conduit à une recommandation de **CONSERVER** avec un biais prudent. Le niveau de confiance est **Moyen** (les signaux sont divergents entre court et moyen terme) et le risque global est **Élevé** (volatilité de 35,4%, dépendance au coût du risque, environnement sécuritaire burkinabè). L'horizon d'investissement optimal est le **moyen terme (3-12 mois)**, le temps que la normalisation du coût du risque se confirme et que la dynamique commerciale se redresse, avec un point d'entrée plus favorable envisageable autour de 7 800-8 000 FCFA en cas de correction.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8.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10,989 titres</w:t>
            </w:r>
          </w:p>
        </w:tc>
        <w:tc>
          <w:tcPr>
            <w:tcW w:type="dxa" w:w="2268"/>
            <w:shd w:fill="FFF2CC" w:val="clear"/>
          </w:tcPr>
          <w:p>
            <w:r>
              <w:rPr>
                <w:b/>
                <w:color w:val="503200"/>
                <w:sz w:val="16"/>
              </w:rPr>
              <w:t xml:space="preserve">Cours actuel : </w:t>
            </w:r>
            <w:r>
              <w:rPr>
                <w:color w:val="000000"/>
                <w:sz w:val="17"/>
              </w:rPr>
              <w:t>11,500 FCFA</w:t>
            </w:r>
          </w:p>
          <w:p>
            <w:r>
              <w:rPr>
                <w:b/>
                <w:color w:val="503200"/>
                <w:sz w:val="16"/>
              </w:rPr>
              <w:t xml:space="preserve">Var. 100 jours : </w:t>
            </w:r>
            <w:r>
              <w:rPr>
                <w:b/>
                <w:color w:val="007800"/>
                <w:sz w:val="17"/>
              </w:rPr>
              <w:t>+29.94%</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8,585 FCFA</w:t>
            </w:r>
          </w:p>
          <w:p>
            <w:r>
              <w:rPr>
                <w:b/>
                <w:color w:val="503200"/>
                <w:sz w:val="16"/>
              </w:rPr>
              <w:t xml:space="preserve">Volatilité ann. : </w:t>
            </w:r>
            <w:r>
              <w:rPr>
                <w:color w:val="000000"/>
                <w:sz w:val="17"/>
              </w:rPr>
              <w:t>28.0%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15.15% (Élevée) — μ=10,447 FCFA, σ=1,583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β=0.7561 (Défensif) — Cov=0.000051, Var(idx)=0.000068, ρ=0.353,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10,989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σ_j=1.76%/j (Stable) — Vol. annualisée≈28.0%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11,117</w:t>
            </w:r>
          </w:p>
        </w:tc>
        <w:tc>
          <w:tcPr>
            <w:tcW w:type="dxa" w:w="1440"/>
            <w:shd w:fill="FAFAFA" w:val="clear"/>
          </w:tcPr>
          <w:p>
            <w:r>
              <w:rPr>
                <w:b/>
                <w:sz w:val="17"/>
              </w:rPr>
              <w:t>11,481</w:t>
            </w:r>
          </w:p>
        </w:tc>
        <w:tc>
          <w:tcPr>
            <w:tcW w:type="dxa" w:w="1440"/>
            <w:shd w:fill="FAFAFA" w:val="clear"/>
          </w:tcPr>
          <w:p>
            <w:r>
              <w:rPr>
                <w:sz w:val="17"/>
              </w:rPr>
              <w:t>11,845</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10,916</w:t>
            </w:r>
          </w:p>
        </w:tc>
        <w:tc>
          <w:tcPr>
            <w:tcW w:type="dxa" w:w="1440"/>
            <w:shd w:fill="FAFAFA" w:val="clear"/>
          </w:tcPr>
          <w:p>
            <w:r>
              <w:rPr>
                <w:b/>
                <w:sz w:val="17"/>
              </w:rPr>
              <w:t>11,430</w:t>
            </w:r>
          </w:p>
        </w:tc>
        <w:tc>
          <w:tcPr>
            <w:tcW w:type="dxa" w:w="1440"/>
            <w:shd w:fill="FAFAFA" w:val="clear"/>
          </w:tcPr>
          <w:p>
            <w:r>
              <w:rPr>
                <w:sz w:val="17"/>
              </w:rPr>
              <w:t>11,943</w:t>
            </w:r>
          </w:p>
        </w:tc>
        <w:tc>
          <w:tcPr>
            <w:tcW w:type="dxa" w:w="1440"/>
            <w:shd w:fill="FAFAFA" w:val="clear"/>
          </w:tcPr>
          <w:p>
            <w:r>
              <w:rPr>
                <w:b/>
                <w:color w:val="C00000"/>
                <w:sz w:val="17"/>
              </w:rPr>
              <w:t>-0.6%</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10,750</w:t>
            </w:r>
          </w:p>
        </w:tc>
        <w:tc>
          <w:tcPr>
            <w:tcW w:type="dxa" w:w="1440"/>
            <w:shd w:fill="FAFAFA" w:val="clear"/>
          </w:tcPr>
          <w:p>
            <w:r>
              <w:rPr>
                <w:b/>
                <w:sz w:val="17"/>
              </w:rPr>
              <w:t>11,375</w:t>
            </w:r>
          </w:p>
        </w:tc>
        <w:tc>
          <w:tcPr>
            <w:tcW w:type="dxa" w:w="1440"/>
            <w:shd w:fill="FAFAFA" w:val="clear"/>
          </w:tcPr>
          <w:p>
            <w:r>
              <w:rPr>
                <w:sz w:val="17"/>
              </w:rPr>
              <w:t>12,000</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2026-10-02</w:t>
            </w:r>
          </w:p>
        </w:tc>
        <w:tc>
          <w:tcPr>
            <w:tcW w:type="dxa" w:w="1440"/>
            <w:shd w:fill="FAFAFA" w:val="clear"/>
          </w:tcPr>
          <w:p>
            <w:r>
              <w:rPr>
                <w:sz w:val="17"/>
              </w:rPr>
              <w:t>10,603</w:t>
            </w:r>
          </w:p>
        </w:tc>
        <w:tc>
          <w:tcPr>
            <w:tcW w:type="dxa" w:w="1440"/>
            <w:shd w:fill="FAFAFA" w:val="clear"/>
          </w:tcPr>
          <w:p>
            <w:r>
              <w:rPr>
                <w:b/>
                <w:sz w:val="17"/>
              </w:rPr>
              <w:t>11,322</w:t>
            </w:r>
          </w:p>
        </w:tc>
        <w:tc>
          <w:tcPr>
            <w:tcW w:type="dxa" w:w="1440"/>
            <w:shd w:fill="FAFAFA" w:val="clear"/>
          </w:tcPr>
          <w:p>
            <w:r>
              <w:rPr>
                <w:sz w:val="17"/>
              </w:rPr>
              <w:t>12,040</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2026-10-05</w:t>
            </w:r>
          </w:p>
        </w:tc>
        <w:tc>
          <w:tcPr>
            <w:tcW w:type="dxa" w:w="1440"/>
            <w:shd w:fill="FAFAFA" w:val="clear"/>
          </w:tcPr>
          <w:p>
            <w:r>
              <w:rPr>
                <w:sz w:val="17"/>
              </w:rPr>
              <w:t>10,471</w:t>
            </w:r>
          </w:p>
        </w:tc>
        <w:tc>
          <w:tcPr>
            <w:tcW w:type="dxa" w:w="1440"/>
            <w:shd w:fill="FAFAFA" w:val="clear"/>
          </w:tcPr>
          <w:p>
            <w:r>
              <w:rPr>
                <w:b/>
                <w:sz w:val="17"/>
              </w:rPr>
              <w:t>11,271</w:t>
            </w:r>
          </w:p>
        </w:tc>
        <w:tc>
          <w:tcPr>
            <w:tcW w:type="dxa" w:w="1440"/>
            <w:shd w:fill="FAFAFA" w:val="clear"/>
          </w:tcPr>
          <w:p>
            <w:r>
              <w:rPr>
                <w:sz w:val="17"/>
              </w:rPr>
              <w:t>12,071</w:t>
            </w:r>
          </w:p>
        </w:tc>
        <w:tc>
          <w:tcPr>
            <w:tcW w:type="dxa" w:w="1440"/>
            <w:shd w:fill="FAFAFA" w:val="clear"/>
          </w:tcPr>
          <w:p>
            <w:r>
              <w:rPr>
                <w:b/>
                <w:color w:val="C00000"/>
                <w:sz w:val="17"/>
              </w:rPr>
              <w:t>-2.0%</w:t>
            </w:r>
          </w:p>
        </w:tc>
      </w:tr>
      <w:tr>
        <w:tc>
          <w:tcPr>
            <w:tcW w:type="dxa" w:w="1440"/>
            <w:shd w:fill="FFDCE0" w:val="clear"/>
          </w:tcPr>
          <w:p>
            <w:r>
              <w:rPr>
                <w:sz w:val="17"/>
              </w:rPr>
              <w:t>J+6  Moyenne</w:t>
            </w:r>
          </w:p>
        </w:tc>
        <w:tc>
          <w:tcPr>
            <w:tcW w:type="dxa" w:w="1440"/>
            <w:shd w:fill="FFDCE0" w:val="clear"/>
          </w:tcPr>
          <w:p>
            <w:r>
              <w:rPr>
                <w:sz w:val="17"/>
              </w:rPr>
              <w:t>2026-10-06</w:t>
            </w:r>
          </w:p>
        </w:tc>
        <w:tc>
          <w:tcPr>
            <w:tcW w:type="dxa" w:w="1440"/>
            <w:shd w:fill="FFDCE0" w:val="clear"/>
          </w:tcPr>
          <w:p>
            <w:r>
              <w:rPr>
                <w:sz w:val="17"/>
              </w:rPr>
              <w:t>10,350</w:t>
            </w:r>
          </w:p>
        </w:tc>
        <w:tc>
          <w:tcPr>
            <w:tcW w:type="dxa" w:w="1440"/>
            <w:shd w:fill="FFDCE0" w:val="clear"/>
          </w:tcPr>
          <w:p>
            <w:r>
              <w:rPr>
                <w:b/>
                <w:sz w:val="17"/>
              </w:rPr>
              <w:t>11,223</w:t>
            </w:r>
          </w:p>
        </w:tc>
        <w:tc>
          <w:tcPr>
            <w:tcW w:type="dxa" w:w="1440"/>
            <w:shd w:fill="FFDCE0" w:val="clear"/>
          </w:tcPr>
          <w:p>
            <w:r>
              <w:rPr>
                <w:sz w:val="17"/>
              </w:rPr>
              <w:t>12,095</w:t>
            </w:r>
          </w:p>
        </w:tc>
        <w:tc>
          <w:tcPr>
            <w:tcW w:type="dxa" w:w="1440"/>
            <w:shd w:fill="FFDCE0" w:val="clear"/>
          </w:tcPr>
          <w:p>
            <w:r>
              <w:rPr>
                <w:b/>
                <w:color w:val="C00000"/>
                <w:sz w:val="17"/>
              </w:rPr>
              <w:t>-2.4%</w:t>
            </w:r>
          </w:p>
        </w:tc>
      </w:tr>
      <w:tr>
        <w:tc>
          <w:tcPr>
            <w:tcW w:type="dxa" w:w="1440"/>
            <w:shd w:fill="FFDCE0" w:val="clear"/>
          </w:tcPr>
          <w:p>
            <w:r>
              <w:rPr>
                <w:sz w:val="17"/>
              </w:rPr>
              <w:t>J+7  Moyenne</w:t>
            </w:r>
          </w:p>
        </w:tc>
        <w:tc>
          <w:tcPr>
            <w:tcW w:type="dxa" w:w="1440"/>
            <w:shd w:fill="FFDCE0" w:val="clear"/>
          </w:tcPr>
          <w:p>
            <w:r>
              <w:rPr>
                <w:sz w:val="17"/>
              </w:rPr>
              <w:t>2026-10-07</w:t>
            </w:r>
          </w:p>
        </w:tc>
        <w:tc>
          <w:tcPr>
            <w:tcW w:type="dxa" w:w="1440"/>
            <w:shd w:fill="FFDCE0" w:val="clear"/>
          </w:tcPr>
          <w:p>
            <w:r>
              <w:rPr>
                <w:sz w:val="17"/>
              </w:rPr>
              <w:t>10,238</w:t>
            </w:r>
          </w:p>
        </w:tc>
        <w:tc>
          <w:tcPr>
            <w:tcW w:type="dxa" w:w="1440"/>
            <w:shd w:fill="FFDCE0" w:val="clear"/>
          </w:tcPr>
          <w:p>
            <w:r>
              <w:rPr>
                <w:b/>
                <w:sz w:val="17"/>
              </w:rPr>
              <w:t>11,177</w:t>
            </w:r>
          </w:p>
        </w:tc>
        <w:tc>
          <w:tcPr>
            <w:tcW w:type="dxa" w:w="1440"/>
            <w:shd w:fill="FFDCE0" w:val="clear"/>
          </w:tcPr>
          <w:p>
            <w:r>
              <w:rPr>
                <w:sz w:val="17"/>
              </w:rPr>
              <w:t>12,116</w:t>
            </w:r>
          </w:p>
        </w:tc>
        <w:tc>
          <w:tcPr>
            <w:tcW w:type="dxa" w:w="1440"/>
            <w:shd w:fill="FFDCE0" w:val="clear"/>
          </w:tcPr>
          <w:p>
            <w:r>
              <w:rPr>
                <w:b/>
                <w:color w:val="C00000"/>
                <w:sz w:val="17"/>
              </w:rPr>
              <w:t>-2.8%</w:t>
            </w:r>
          </w:p>
        </w:tc>
      </w:tr>
      <w:tr>
        <w:tc>
          <w:tcPr>
            <w:tcW w:type="dxa" w:w="1440"/>
            <w:shd w:fill="FFDCE0" w:val="clear"/>
          </w:tcPr>
          <w:p>
            <w:r>
              <w:rPr>
                <w:sz w:val="17"/>
              </w:rPr>
              <w:t>J+8  Moyenne</w:t>
            </w:r>
          </w:p>
        </w:tc>
        <w:tc>
          <w:tcPr>
            <w:tcW w:type="dxa" w:w="1440"/>
            <w:shd w:fill="FFDCE0" w:val="clear"/>
          </w:tcPr>
          <w:p>
            <w:r>
              <w:rPr>
                <w:sz w:val="17"/>
              </w:rPr>
              <w:t>2026-10-08</w:t>
            </w:r>
          </w:p>
        </w:tc>
        <w:tc>
          <w:tcPr>
            <w:tcW w:type="dxa" w:w="1440"/>
            <w:shd w:fill="FFDCE0" w:val="clear"/>
          </w:tcPr>
          <w:p>
            <w:r>
              <w:rPr>
                <w:sz w:val="17"/>
              </w:rPr>
              <w:t>10,135</w:t>
            </w:r>
          </w:p>
        </w:tc>
        <w:tc>
          <w:tcPr>
            <w:tcW w:type="dxa" w:w="1440"/>
            <w:shd w:fill="FFDCE0" w:val="clear"/>
          </w:tcPr>
          <w:p>
            <w:r>
              <w:rPr>
                <w:b/>
                <w:sz w:val="17"/>
              </w:rPr>
              <w:t>11,134</w:t>
            </w:r>
          </w:p>
        </w:tc>
        <w:tc>
          <w:tcPr>
            <w:tcW w:type="dxa" w:w="1440"/>
            <w:shd w:fill="FFDCE0" w:val="clear"/>
          </w:tcPr>
          <w:p>
            <w:r>
              <w:rPr>
                <w:sz w:val="17"/>
              </w:rPr>
              <w:t>12,134</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2026-10-09</w:t>
            </w:r>
          </w:p>
        </w:tc>
        <w:tc>
          <w:tcPr>
            <w:tcW w:type="dxa" w:w="1440"/>
            <w:shd w:fill="FFDCE0" w:val="clear"/>
          </w:tcPr>
          <w:p>
            <w:r>
              <w:rPr>
                <w:sz w:val="17"/>
              </w:rPr>
              <w:t>10,037</w:t>
            </w:r>
          </w:p>
        </w:tc>
        <w:tc>
          <w:tcPr>
            <w:tcW w:type="dxa" w:w="1440"/>
            <w:shd w:fill="FFDCE0" w:val="clear"/>
          </w:tcPr>
          <w:p>
            <w:r>
              <w:rPr>
                <w:b/>
                <w:sz w:val="17"/>
              </w:rPr>
              <w:t>11,094</w:t>
            </w:r>
          </w:p>
        </w:tc>
        <w:tc>
          <w:tcPr>
            <w:tcW w:type="dxa" w:w="1440"/>
            <w:shd w:fill="FFDCE0" w:val="clear"/>
          </w:tcPr>
          <w:p>
            <w:r>
              <w:rPr>
                <w:sz w:val="17"/>
              </w:rPr>
              <w:t>12,150</w:t>
            </w:r>
          </w:p>
        </w:tc>
        <w:tc>
          <w:tcPr>
            <w:tcW w:type="dxa" w:w="1440"/>
            <w:shd w:fill="FFDCE0" w:val="clear"/>
          </w:tcPr>
          <w:p>
            <w:r>
              <w:rPr>
                <w:b/>
                <w:color w:val="C00000"/>
                <w:sz w:val="17"/>
              </w:rPr>
              <w:t>-3.5%</w:t>
            </w:r>
          </w:p>
        </w:tc>
      </w:tr>
      <w:tr>
        <w:tc>
          <w:tcPr>
            <w:tcW w:type="dxa" w:w="1440"/>
            <w:shd w:fill="FFDCE0" w:val="clear"/>
          </w:tcPr>
          <w:p>
            <w:r>
              <w:rPr>
                <w:sz w:val="17"/>
              </w:rPr>
              <w:t>J+10  Moyenne</w:t>
            </w:r>
          </w:p>
        </w:tc>
        <w:tc>
          <w:tcPr>
            <w:tcW w:type="dxa" w:w="1440"/>
            <w:shd w:fill="FFDCE0" w:val="clear"/>
          </w:tcPr>
          <w:p>
            <w:r>
              <w:rPr>
                <w:sz w:val="17"/>
              </w:rPr>
              <w:t>2026-10-12</w:t>
            </w:r>
          </w:p>
        </w:tc>
        <w:tc>
          <w:tcPr>
            <w:tcW w:type="dxa" w:w="1440"/>
            <w:shd w:fill="FFDCE0" w:val="clear"/>
          </w:tcPr>
          <w:p>
            <w:r>
              <w:rPr>
                <w:sz w:val="17"/>
              </w:rPr>
              <w:t>9,946</w:t>
            </w:r>
          </w:p>
        </w:tc>
        <w:tc>
          <w:tcPr>
            <w:tcW w:type="dxa" w:w="1440"/>
            <w:shd w:fill="FFDCE0" w:val="clear"/>
          </w:tcPr>
          <w:p>
            <w:r>
              <w:rPr>
                <w:b/>
                <w:sz w:val="17"/>
              </w:rPr>
              <w:t>11,055</w:t>
            </w:r>
          </w:p>
        </w:tc>
        <w:tc>
          <w:tcPr>
            <w:tcW w:type="dxa" w:w="1440"/>
            <w:shd w:fill="FFDCE0" w:val="clear"/>
          </w:tcPr>
          <w:p>
            <w:r>
              <w:rPr>
                <w:sz w:val="17"/>
              </w:rPr>
              <w:t>12,165</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 RAPPORT D'ANALYSE FINANCIÈRE — BOAC (Bank of Africa Côte d'Ivoire)</w:t>
        <w:br/>
        <w:t>**BRVM | Secteur : Banque | Cours actuel : 11 500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460,00 Mds FCFA, BOAC s'impose comme l'une des valeurs bancaires de référence de la cote BRVM, un niveau qui traduit la confiance du marché envers un établissement solidement implanté en Côte d'Ivoire. Le BPA de 888 FCFA/action signifie que chaque titre détenu génère près de neuf cents francs de bénéfice net, un rendement intrinsèque appréciable. Le PER de 12,9x se situe légèrement au-dessus de la moyenne BRVM (~8-12x), mais reste qualifié de « modéré » : les investisseurs paient un prix raisonnable pour les bénéfices, sans excès spéculatif. Le P/B de 3,61x indique que le marché valorise la banque à plus de trois fois sa valeur comptable — une prime de croissance justifiée par un ROE exceptionnel de 27,9%, bien supérieur au coût des fonds propres. En revanche, l'EV/EBITDA de 26,5x apparaît très exigeant (&gt;15x), signalant que la valeur d'entreprise intègre déjà une bonne part des anticipations de performance ; ce ratio, moins pertinent pour une banque, invite néanmoins à la prudence sur le potentiel de revalorisation à court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BOAC affiche une progression remarquable de +29,94%, malgré un léger repli de -0,82% lors de la dernière séance (J-1), signe d'une respiration technique après un rallye soutenu. Le titre a évolué dans un range large de 8 585 FCFA (plus bas) à 13 450 FCFA (plus haut), soit une amplitude de près de 57%, avant de se stabiliser autour de 11 500 FCFA. La tendance générale demeure donc nettement haussière, portée par des fondamentaux solides et un intérêt croissant pour les valeurs bancaires ivoiriennes. Les statistiques descriptives révèlent une moyenne de 10 447 FCFA nettement supérieure à la médiane de 9 748 FCFA, ce qui traduit une distribution asymétrique à droite : les cours élevés récents tirent la moyenne vers le haut, confirmant la dynamique haussière de fin de période. L'écart-type de 1 591 FCFA (CV = 15,2%) indique une dispersion modérée du cours autour de sa moyenne, cohérente avec un titre liquide et suivi. Le kurtosis négatif (-1,423, distribution platykurtique) signale une faible concentration des rendements et un risque de pics extrêmes limité — un profil rassurant pour un investisseur. Le skewness de 0,406, qualifié de « symétrique » dans les données, suggère une légère inclinaison positive sans excès. Enfin, la volatilité annualisée de 28,0% positionne BOAC dans la catégorie des titres à volatilité modérée (15-30%), un niveau acceptable pour une valeur bancaire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La MM20 (12 060 FCFA) et la MM50 (11 848 FCFA) se situent toutes deux au-dessus du cours actuel (11 500 FCFA), ce qui place le titre en position de repli sous ses moyennes court et moyen terme. Toutefois, la MM20 reste supérieure à la MM50, configuration haussière de fond, et la décision fournie est « Achat » : le croisement des moyennes plaide pour une reprise après consolidation.</w:t>
      </w:r>
    </w:p>
    <w:p>
      <w:pPr>
        <w:spacing w:after="120" w:line="276" w:lineRule="auto"/>
      </w:pPr>
      <w:r>
        <w:t>**Bandes de Bollinger** — Le cours (11 500 FCFA) évolue dans la partie basse du canal, entre la borne inférieure (11 045 FCFA) et la borne supérieure (13 075 FCFA), sans franchissement des extrêmes. Cette position médiane-basse, couplée à une décision « Neutre », indique une absence de signal directionnel fort : le titre consolide dans un couloir de volatilité normale.</w:t>
      </w:r>
    </w:p>
    <w:p>
      <w:pPr>
        <w:spacing w:after="120" w:line="276" w:lineRule="auto"/>
      </w:pPr>
      <w:r>
        <w:t>**MACD** — La valeur du MACD (-183,856) est nettement inférieure à son signal (-54,118), générant un histogramme négatif et une décision « Vente ». Cette divergence baissière traduit un momentum court terme affaibli, cohérent avec le repli récent du cours ; la pression vendeuse reste toutefois modérée au regard de l'amplitude.</w:t>
      </w:r>
    </w:p>
    <w:p>
      <w:pPr>
        <w:spacing w:after="120" w:line="276" w:lineRule="auto"/>
      </w:pPr>
      <w:r>
        <w:t>**RSI** — À 30,695, le RSI frôle la zone de survente (seuil 30) tout en restant en territoire neutre. Cette valeur basse suggère que le titre a été fortement vendu récemment et qu'un rebond technique devient statistiquement probable, ce que confirme la décision « Neutre » (pas de signal de vente agressif).</w:t>
      </w:r>
    </w:p>
    <w:p>
      <w:pPr>
        <w:spacing w:after="120" w:line="276" w:lineRule="auto"/>
      </w:pPr>
      <w:r>
        <w:t>**Stochastique** — Le %K (41,298) et le %D (42,491) évoluent en zone médiane, avec un %K légèrement sous son %D, sans croisement franc. La décision « Neutre » reflète l'absence de momentum clair : ni surachat, ni survente, le titre attend un catalyseur pour choisir sa direction.</w:t>
      </w:r>
    </w:p>
    <w:p>
      <w:pPr>
        <w:spacing w:after="120" w:line="276" w:lineRule="auto"/>
      </w:pPr>
      <w:r>
        <w:t>**Conclusion technique** — Les indicateurs sont majoritairement neutres (Bollinger, RSI, Stochastique), avec un seul signal baissier (MACD) et un signal haussier structurel (Moyennes Mobiles). Cette configuration contrastée traduit une phase de consolidation après le rallye de +30% : le titre digère ses gains, le RSI proche de la survente laissant entrevoir un rebond potentiel, mais le MACD négatif appelle à la patience avant tout renforcement.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BOAC affiche un Produit Net Bancaire (équivalent du chiffre d'affaires pour une banque) de 73 545 Mds FCFA, en légère hausse de +1,1% sur un an, et un résultat net de 35 540 Mds FCFA, en progression de +10,9% par rapport aux 32 045 Mds FCFA de 2024. La rentabilité est exceptionnelle : le ROE atteint 27,91% (largement supérieur au seuil de 15% considéré comme excellent) et le ROA s'établit à 3,22%. Le coefficient d'exploitation de 36,70% confirme l'efficacité opérationnelle de la banque (&lt;60% = efficace, &lt;50% = excellente). Le coût du risque, mesuré à 6,67% des charges financières, reste contenu et s'est même amélioré (-27,8%, passant de -6 791 à -4 902 Mds FCFA), bien que le taux de sinistralité du portefeuille (8,59%) et la hausse de +52,1% des créances en souffrance constituent un point de vigilance. La structure bilancielle est solide : les dépôts clientèle (850 548 Mds FCFA) couvrent largement les créances clientèle (430 433 Mds FCFA), avec un ratio de transformation sain, et la liquidité générale (3 684%) témoigne d'une trésorerie abondante.</w:t>
      </w:r>
    </w:p>
    <w:p>
      <w:pPr>
        <w:spacing w:after="120" w:line="276" w:lineRule="auto"/>
      </w:pPr>
      <w:r>
        <w:t>**Estimations issues des rapports trimestriels** — Le rapport du T1 2026 (publié le 31/03/2026) révèle un PNB de 18 960 Mds FCFA (+3,09% sur un an) et un résultat net de 10 801 Mds FCFA (+0,91%), mais surtout une explosion du coût net du risque (+314,75%, à -652 Mds FCFA) et une hausse des frais généraux (+11,61%). Sur cette base, on estime que l'exercice 2026 devrait maintenir une croissance modérée du PNB (autour de +3%), avec un résultat net stable si la dégradation du coût du risque se confirme — un risque à surveiller. Le rapport annuel 2025 (publié le 31/12/2025) confirme la solidité : dividende de 684 FCFA/action au titre de 2024 (rendement ~5,9% au cours actuel), capitaux propres en hausse à 127 340 Mds FCFA, et réseau en expansion (41 guichets). Le rapport T3 2025 (30/09/2025) montrait déjà un résultat net de 26 632 Mds FCFA (+1,29%) et des dépôts en hausse de +10,28%. **Recommandation fondamentale : ACHAT** — la banque est solide, rentable et bien capitalisée, mais la dégradation récente du coût du risque au T1 2026 impose une surveillance rapprochée.</w:t>
      </w:r>
    </w:p>
    <w:p>
      <w:pPr>
        <w:spacing w:after="120" w:line="276" w:lineRule="auto"/>
      </w:pPr>
      <w:r>
        <w:t>---</w:t>
      </w:r>
    </w:p>
    <w:p>
      <w:pPr>
        <w:spacing w:after="120" w:line="276" w:lineRule="auto"/>
      </w:pPr>
      <w:r>
        <w:t>## PARTIE 4 : CONCLUSION D'INVESTISSEMENT</w:t>
      </w:r>
    </w:p>
    <w:p>
      <w:pPr>
        <w:spacing w:after="120" w:line="276" w:lineRule="auto"/>
      </w:pPr>
      <w:r>
        <w:t>La valorisation de BOAC (Partie 0) apparaît raisonnable : PER de 12,9x légèrement supérieur à la moyenne BRVM mais justifié par un ROE de 27,9%, P/B de 3,61x traduisant une prime de croissance, et EV/EBITDA de 26,5x exigeant. Le comportement du cours (Partie 1) est favorable : +29,94% sur 100 jours, volatilité modérée (28%), distribution platykurtique (risque de pics limité) et skewness symétrique — un profil rassurant malgré le repli de -0,82% en J-1. Les signaux techniques (Partie 2) sont mitigés : les Moyennes Mobiles restent haussières (MM20 &gt; MM50) et le RSI proche de la survente (30,7) suggère un rebond, mais le MACD baissier et les Bandes de Bollinger neutres appellent à la prudence à court terme. Les fondamentaux (Partie 3) sont solides : PNB de 73 545 Mds FCFA en 2025, résultat net de 35 540 Mds FCFA (+10,9%), ROE de 27,9%, coefficient d'exploitation de 36,7% et dividende attractif (~5,9%), même si la hausse du coût du risque au T1 2026 (+314,75%) constitue un signal d'alerte. Les prédictions IA (J+1 à J+10) anticipent une légère dérive baissière vers 11 271 FCFA d'ici le 05/10/2026, en cohérence avec le momentum négatif du MACD mais en contradiction avec le potentiel de rebond technique du RSI. **Recommandation finale : CONSERVER** — la convergence entre valorisation raisonnable, fondamentaux solides et dividende attractif plaide pour la détention du titre, mais la divergence entre signaux techniques mitigés, prédictions baissières à court terme et dégradation du coût du risque justifie d'éviter tout renforcement agressif. **Niveau de confiance : Moyen** — les fondamentaux sont robustes mais l'incertitude technique et le risque de crédit tempèrent l'optimisme. **Niveau de risque global : Moyen** — volatilité modérée, liquidité correcte, mais sensibilité au risque de crédit. **Horizon d'investissement optimal : Moyen terme (3-12 mois)** — le temps de digérer la consolidation technique et de vérifier l'évolution du coût du risque au T2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9.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171.43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6,368 titres</w:t>
            </w:r>
          </w:p>
        </w:tc>
        <w:tc>
          <w:tcPr>
            <w:tcW w:type="dxa" w:w="2268"/>
            <w:shd w:fill="FFF2CC" w:val="clear"/>
          </w:tcPr>
          <w:p>
            <w:r>
              <w:rPr>
                <w:b/>
                <w:color w:val="503200"/>
                <w:sz w:val="16"/>
              </w:rPr>
              <w:t xml:space="preserve">Cours actuel : </w:t>
            </w:r>
            <w:r>
              <w:rPr>
                <w:color w:val="000000"/>
                <w:sz w:val="17"/>
              </w:rPr>
              <w:t>6,245 FCFA</w:t>
            </w:r>
          </w:p>
          <w:p>
            <w:r>
              <w:rPr>
                <w:b/>
                <w:color w:val="503200"/>
                <w:sz w:val="16"/>
              </w:rPr>
              <w:t xml:space="preserve">Var. 100 jours : </w:t>
            </w:r>
            <w:r>
              <w:rPr>
                <w:b/>
                <w:color w:val="007800"/>
                <w:sz w:val="17"/>
              </w:rPr>
              <w:t>+32.87%</w:t>
            </w:r>
          </w:p>
          <w:p>
            <w:r>
              <w:rPr>
                <w:b/>
                <w:color w:val="503200"/>
                <w:sz w:val="16"/>
              </w:rPr>
              <w:t xml:space="preserve">Plus haut 100j : </w:t>
            </w:r>
            <w:r>
              <w:rPr>
                <w:color w:val="000000"/>
                <w:sz w:val="17"/>
              </w:rPr>
              <w:t>7,195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14.24% (Moyenne) — μ=5,547 FCFA, σ=790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β=1.4659 (Agressif) — Cov=0.000100, Var(idx)=0.000068, ρ=0.446,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6,368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σ_j=2.70%/j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5,875</w:t>
            </w:r>
          </w:p>
        </w:tc>
        <w:tc>
          <w:tcPr>
            <w:tcW w:type="dxa" w:w="1440"/>
            <w:shd w:fill="FAFAFA" w:val="clear"/>
          </w:tcPr>
          <w:p>
            <w:r>
              <w:rPr>
                <w:b/>
                <w:sz w:val="17"/>
              </w:rPr>
              <w:t>6,225</w:t>
            </w:r>
          </w:p>
        </w:tc>
        <w:tc>
          <w:tcPr>
            <w:tcW w:type="dxa" w:w="1440"/>
            <w:shd w:fill="FAFAFA" w:val="clear"/>
          </w:tcPr>
          <w:p>
            <w:r>
              <w:rPr>
                <w:sz w:val="17"/>
              </w:rPr>
              <w:t>6,576</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5,764</w:t>
            </w:r>
          </w:p>
        </w:tc>
        <w:tc>
          <w:tcPr>
            <w:tcW w:type="dxa" w:w="1440"/>
            <w:shd w:fill="FAFAFA" w:val="clear"/>
          </w:tcPr>
          <w:p>
            <w:r>
              <w:rPr>
                <w:b/>
                <w:sz w:val="17"/>
              </w:rPr>
              <w:t>6,263</w:t>
            </w:r>
          </w:p>
        </w:tc>
        <w:tc>
          <w:tcPr>
            <w:tcW w:type="dxa" w:w="1440"/>
            <w:shd w:fill="FAFAFA" w:val="clear"/>
          </w:tcPr>
          <w:p>
            <w:r>
              <w:rPr>
                <w:sz w:val="17"/>
              </w:rPr>
              <w:t>6,761</w:t>
            </w:r>
          </w:p>
        </w:tc>
        <w:tc>
          <w:tcPr>
            <w:tcW w:type="dxa" w:w="1440"/>
            <w:shd w:fill="FAFAFA" w:val="clear"/>
          </w:tcPr>
          <w:p>
            <w:r>
              <w:rPr>
                <w:b/>
                <w:color w:val="008000"/>
                <w:sz w:val="17"/>
              </w:rPr>
              <w:t>+0.3%</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5,711</w:t>
            </w:r>
          </w:p>
        </w:tc>
        <w:tc>
          <w:tcPr>
            <w:tcW w:type="dxa" w:w="1440"/>
            <w:shd w:fill="FAFAFA" w:val="clear"/>
          </w:tcPr>
          <w:p>
            <w:r>
              <w:rPr>
                <w:b/>
                <w:sz w:val="17"/>
              </w:rPr>
              <w:t>6,328</w:t>
            </w:r>
          </w:p>
        </w:tc>
        <w:tc>
          <w:tcPr>
            <w:tcW w:type="dxa" w:w="1440"/>
            <w:shd w:fill="FAFAFA" w:val="clear"/>
          </w:tcPr>
          <w:p>
            <w:r>
              <w:rPr>
                <w:sz w:val="17"/>
              </w:rPr>
              <w:t>6,944</w:t>
            </w:r>
          </w:p>
        </w:tc>
        <w:tc>
          <w:tcPr>
            <w:tcW w:type="dxa" w:w="1440"/>
            <w:shd w:fill="FAFAFA" w:val="clear"/>
          </w:tcPr>
          <w:p>
            <w:r>
              <w:rPr>
                <w:b/>
                <w:color w:val="008000"/>
                <w:sz w:val="17"/>
              </w:rPr>
              <w:t>+1.3%</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5,675</w:t>
            </w:r>
          </w:p>
        </w:tc>
        <w:tc>
          <w:tcPr>
            <w:tcW w:type="dxa" w:w="1440"/>
            <w:shd w:fill="C6EFCE" w:val="clear"/>
          </w:tcPr>
          <w:p>
            <w:r>
              <w:rPr>
                <w:b/>
                <w:sz w:val="17"/>
              </w:rPr>
              <w:t>6,395</w:t>
            </w:r>
          </w:p>
        </w:tc>
        <w:tc>
          <w:tcPr>
            <w:tcW w:type="dxa" w:w="1440"/>
            <w:shd w:fill="C6EFCE" w:val="clear"/>
          </w:tcPr>
          <w:p>
            <w:r>
              <w:rPr>
                <w:sz w:val="17"/>
              </w:rPr>
              <w:t>7,115</w:t>
            </w:r>
          </w:p>
        </w:tc>
        <w:tc>
          <w:tcPr>
            <w:tcW w:type="dxa" w:w="1440"/>
            <w:shd w:fill="C6EFCE" w:val="clear"/>
          </w:tcPr>
          <w:p>
            <w:r>
              <w:rPr>
                <w:b/>
                <w:color w:val="008000"/>
                <w:sz w:val="17"/>
              </w:rPr>
              <w:t>+2.4%</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5,646</w:t>
            </w:r>
          </w:p>
        </w:tc>
        <w:tc>
          <w:tcPr>
            <w:tcW w:type="dxa" w:w="1440"/>
            <w:shd w:fill="C6EFCE" w:val="clear"/>
          </w:tcPr>
          <w:p>
            <w:r>
              <w:rPr>
                <w:b/>
                <w:sz w:val="17"/>
              </w:rPr>
              <w:t>6,458</w:t>
            </w:r>
          </w:p>
        </w:tc>
        <w:tc>
          <w:tcPr>
            <w:tcW w:type="dxa" w:w="1440"/>
            <w:shd w:fill="C6EFCE" w:val="clear"/>
          </w:tcPr>
          <w:p>
            <w:r>
              <w:rPr>
                <w:sz w:val="17"/>
              </w:rPr>
              <w:t>7,271</w:t>
            </w:r>
          </w:p>
        </w:tc>
        <w:tc>
          <w:tcPr>
            <w:tcW w:type="dxa" w:w="1440"/>
            <w:shd w:fill="C6EFCE" w:val="clear"/>
          </w:tcPr>
          <w:p>
            <w:r>
              <w:rPr>
                <w:b/>
                <w:color w:val="008000"/>
                <w:sz w:val="17"/>
              </w:rPr>
              <w:t>+3.4%</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5,618</w:t>
            </w:r>
          </w:p>
        </w:tc>
        <w:tc>
          <w:tcPr>
            <w:tcW w:type="dxa" w:w="1440"/>
            <w:shd w:fill="C6EFCE" w:val="clear"/>
          </w:tcPr>
          <w:p>
            <w:r>
              <w:rPr>
                <w:b/>
                <w:sz w:val="17"/>
              </w:rPr>
              <w:t>6,516</w:t>
            </w:r>
          </w:p>
        </w:tc>
        <w:tc>
          <w:tcPr>
            <w:tcW w:type="dxa" w:w="1440"/>
            <w:shd w:fill="C6EFCE" w:val="clear"/>
          </w:tcPr>
          <w:p>
            <w:r>
              <w:rPr>
                <w:sz w:val="17"/>
              </w:rPr>
              <w:t>7,415</w:t>
            </w:r>
          </w:p>
        </w:tc>
        <w:tc>
          <w:tcPr>
            <w:tcW w:type="dxa" w:w="1440"/>
            <w:shd w:fill="C6EFCE" w:val="clear"/>
          </w:tcPr>
          <w:p>
            <w:r>
              <w:rPr>
                <w:b/>
                <w:color w:val="008000"/>
                <w:sz w:val="17"/>
              </w:rPr>
              <w:t>+4.3%</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5,592</w:t>
            </w:r>
          </w:p>
        </w:tc>
        <w:tc>
          <w:tcPr>
            <w:tcW w:type="dxa" w:w="1440"/>
            <w:shd w:fill="C6EFCE" w:val="clear"/>
          </w:tcPr>
          <w:p>
            <w:r>
              <w:rPr>
                <w:b/>
                <w:sz w:val="17"/>
              </w:rPr>
              <w:t>6,571</w:t>
            </w:r>
          </w:p>
        </w:tc>
        <w:tc>
          <w:tcPr>
            <w:tcW w:type="dxa" w:w="1440"/>
            <w:shd w:fill="C6EFCE" w:val="clear"/>
          </w:tcPr>
          <w:p>
            <w:r>
              <w:rPr>
                <w:sz w:val="17"/>
              </w:rPr>
              <w:t>7,549</w:t>
            </w:r>
          </w:p>
        </w:tc>
        <w:tc>
          <w:tcPr>
            <w:tcW w:type="dxa" w:w="1440"/>
            <w:shd w:fill="C6EFCE" w:val="clear"/>
          </w:tcPr>
          <w:p>
            <w:r>
              <w:rPr>
                <w:b/>
                <w:color w:val="008000"/>
                <w:sz w:val="17"/>
              </w:rPr>
              <w:t>+5.2%</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5,568</w:t>
            </w:r>
          </w:p>
        </w:tc>
        <w:tc>
          <w:tcPr>
            <w:tcW w:type="dxa" w:w="1440"/>
            <w:shd w:fill="C6EFCE" w:val="clear"/>
          </w:tcPr>
          <w:p>
            <w:r>
              <w:rPr>
                <w:b/>
                <w:sz w:val="17"/>
              </w:rPr>
              <w:t>6,622</w:t>
            </w:r>
          </w:p>
        </w:tc>
        <w:tc>
          <w:tcPr>
            <w:tcW w:type="dxa" w:w="1440"/>
            <w:shd w:fill="C6EFCE" w:val="clear"/>
          </w:tcPr>
          <w:p>
            <w:r>
              <w:rPr>
                <w:sz w:val="17"/>
              </w:rPr>
              <w:t>7,676</w:t>
            </w:r>
          </w:p>
        </w:tc>
        <w:tc>
          <w:tcPr>
            <w:tcW w:type="dxa" w:w="1440"/>
            <w:shd w:fill="C6EFCE" w:val="clear"/>
          </w:tcPr>
          <w:p>
            <w:r>
              <w:rPr>
                <w:b/>
                <w:color w:val="008000"/>
                <w:sz w:val="17"/>
              </w:rPr>
              <w:t>+6.0%</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5,544</w:t>
            </w:r>
          </w:p>
        </w:tc>
        <w:tc>
          <w:tcPr>
            <w:tcW w:type="dxa" w:w="1440"/>
            <w:shd w:fill="C6EFCE" w:val="clear"/>
          </w:tcPr>
          <w:p>
            <w:r>
              <w:rPr>
                <w:b/>
                <w:sz w:val="17"/>
              </w:rPr>
              <w:t>6,671</w:t>
            </w:r>
          </w:p>
        </w:tc>
        <w:tc>
          <w:tcPr>
            <w:tcW w:type="dxa" w:w="1440"/>
            <w:shd w:fill="C6EFCE" w:val="clear"/>
          </w:tcPr>
          <w:p>
            <w:r>
              <w:rPr>
                <w:sz w:val="17"/>
              </w:rPr>
              <w:t>7,797</w:t>
            </w:r>
          </w:p>
        </w:tc>
        <w:tc>
          <w:tcPr>
            <w:tcW w:type="dxa" w:w="1440"/>
            <w:shd w:fill="C6EFCE" w:val="clear"/>
          </w:tcPr>
          <w:p>
            <w:r>
              <w:rPr>
                <w:b/>
                <w:color w:val="008000"/>
                <w:sz w:val="17"/>
              </w:rPr>
              <w:t>+6.8%</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5,521</w:t>
            </w:r>
          </w:p>
        </w:tc>
        <w:tc>
          <w:tcPr>
            <w:tcW w:type="dxa" w:w="1440"/>
            <w:shd w:fill="C6EFCE" w:val="clear"/>
          </w:tcPr>
          <w:p>
            <w:r>
              <w:rPr>
                <w:b/>
                <w:sz w:val="17"/>
              </w:rPr>
              <w:t>6,717</w:t>
            </w:r>
          </w:p>
        </w:tc>
        <w:tc>
          <w:tcPr>
            <w:tcW w:type="dxa" w:w="1440"/>
            <w:shd w:fill="C6EFCE" w:val="clear"/>
          </w:tcPr>
          <w:p>
            <w:r>
              <w:rPr>
                <w:sz w:val="17"/>
              </w:rPr>
              <w:t>7,912</w:t>
            </w:r>
          </w:p>
        </w:tc>
        <w:tc>
          <w:tcPr>
            <w:tcW w:type="dxa" w:w="1440"/>
            <w:shd w:fill="C6EFCE" w:val="clear"/>
          </w:tcPr>
          <w:p>
            <w:r>
              <w:rPr>
                <w:b/>
                <w:color w:val="008000"/>
                <w:sz w:val="17"/>
              </w:rPr>
              <w:t>+7.6%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BANK OF AFRICA MALI (BOAM)**</w:t>
        <w:br/>
        <w:t>*Bourse Régionale des Valeurs Mobilières (BRVM) — Secteur : Banque*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171,43 milliards FCFA, BOAM se positionne comme une valeur de premier plan de la cote BRVM, reflétant la solidité de son bilan de 593,455 milliards FCFA. Le BPA de 404 FCFA/action signifie que chaque titre génère un bénéfice net de 404 FCFA, ce qui, rapporté au cours actuel de 6 245 FCFA, donne un PER de 15,5x — soit une prime de 30 à 60% par rapport à la moyenne du marché BRVM (8-12x), traduisant la confiance des investisseurs dans la qualité de la signature. Le P/B de 3,44x indique que le marché valorise la banque à plus de trois fois ses fonds propres comptables (49,820 Mds FCFA), une prime de croissance justifiée par un ROE de 22,24% qui dépasse largement le coût des fonds propres. Enfin, l'EV/EBITDA de 8,0x situe la valeur d'entreprise dans la fourchette raisonnable de 5-10x, confirmant que la valorisation globale reste cohérente avec la capacité opérationnelle de la banque, sans exubérance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BOAM affiche une performance remarquable de +32,87%, bien que la dernière séance (J-1) marque une légère correction de -0,72%, signe d'une prise de profit ponctuelle après un rallye soutenu. Le titre a évolué dans un range large de 2 770 FCFA, entre un plus bas de 4 425 FCFA et un plus haut de 7 195 FCFA, le cours actuel de 6 245 FCFA se situant à environ 87% du sommet, ce qui témoigne d'une tendance haussière robuste mais avec une consolidation en cours. Les statistiques descriptives révèlent une moyenne de 5 547 FCFA légèrement inférieure à la médiane de 5 590 FCFA, suggérant une distribution quasi-symétrique avec une très légère asymétrie positive (skewness de 0,390), tandis que le mode à 4 690 FCFA indique que le prix le plus fréquemment traité se situe en bas de la fourchette. L'écart-type de 794 FCFA (CV de 14,3%) traduit une dispersion modérée du cours autour de sa moyenne, et le kurtosis négatif de -1,016 (distribution platykurtique) signale une faible concentration des rendements avec un risque de pics extrêmes limité — un profil rassurant pour les investisseurs. La volatilité annualisée de 42,8% classe le titre dans la catégorie des valeurs à volatilité élevée (&gt;30%), ce qui est cohérent avec les valeurs bancaires de la BRVM et implique une prime de risque significative mais gérable pour un investisseur averti.</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6 582,5 FCFA et la MM50 à 6 202,8 FCFA, toutes deux supérieures au cours actuel de 6 245 FCFA, ce qui place le titre sous ses moyennes court et moyen terme. Cependant, la MM20 &gt; MM50 indique une configuration haussière de fond, et la décision "Achat" suggérée par le système repose sur le potentiel de rebond vers ces niveaux de référence, le cours évoluant à seulement 0,7% sous la MM50.</w:t>
      </w:r>
    </w:p>
    <w:p>
      <w:pPr>
        <w:spacing w:after="120" w:line="276" w:lineRule="auto"/>
      </w:pPr>
      <w:r>
        <w:t>**Bandes de Bollinger** : La borne supérieure se situe à 7 539,087 FCFA et la borne inférieure à 5 625,913 FCFA, avec un cours actuel de 6 245 FCFA positionné dans la moitié inférieure de la bande, à environ 32% de sa largeur. Cette position médiane-basse traduit une volatilité contenue et une absence de signal directionnel fort, justifiant la décision "Neutre" — le titre n'est ni en surachat ni en survente technique.</w:t>
      </w:r>
    </w:p>
    <w:p>
      <w:pPr>
        <w:spacing w:after="120" w:line="276" w:lineRule="auto"/>
      </w:pPr>
      <w:r>
        <w:t>**MACD** : La valeur du MACD est négative à -52,086 tandis que sa ligne de signal est positive à 70,796, créant une divergence baissière marquée (écart de -122,88 points). Ce croisement MACD sous son signal indique un momentum négatif à court terme, bien que la magnitude reste modérée, justifiant la décision "Vente" à court terme mais sans panique — il s'agit davantage d'une consolidation que d'un retournement majeur.</w:t>
      </w:r>
    </w:p>
    <w:p>
      <w:pPr>
        <w:spacing w:after="120" w:line="276" w:lineRule="auto"/>
      </w:pPr>
      <w:r>
        <w:t>**RSI** : À 39,28, le RSI se situe dans la zone neutre basse (30-70), proche du seuil de survente (30) sans l'atteindre. Cette configuration suggère que le titre n'est pas encore survendu mais que la pression vendeuse s'estompe progressivement, la décision "Neutre" reflétant l'absence de signal extrême — un niveau qui pourrait attirer les acheteurs à contre-tendance.</w:t>
      </w:r>
    </w:p>
    <w:p>
      <w:pPr>
        <w:spacing w:after="120" w:line="276" w:lineRule="auto"/>
      </w:pPr>
      <w:r>
        <w:t>**Stochastique** : Le %K à 44,928 et le %D à 38,744 affichent un croisement haussier naissant (%K &gt; %D), avec les deux lignes en zone neutre-basse. Cette configuration précoce d'un retournement potentiel à la hausse, bien que non confirmée, justifie la décision "Neutre" — le stochastique n'a pas encore généré de signal d'achat franc mais la dynamique s'améliore.</w:t>
      </w:r>
    </w:p>
    <w:p>
      <w:pPr>
        <w:spacing w:after="120" w:line="276" w:lineRule="auto"/>
      </w:pPr>
      <w:r>
        <w:t>**Conclusion technique** : Les indicateurs présentent un tableau mitigé avec une divergence notable entre les signaux de court terme (MACD vendeur, cours sous les MM) et les signaux de moyen terme (MM20 &gt; MM50, stochastique en amélioration). Le titre se trouve dans une phase de consolidation après un rallye de +32,87%, avec un RSI neutre et des bandes de Bollinger sans signal extrême. La convergence des décisions "Neutre" (Bollinger, RSI, Stochastique) suggère une attente de catalyseur, tandis que la décision "Achat" des MM et "Vente" du MACD créent une incertitude directionnelle à court terme — un scénario typique de marché indécis où la prudence est de mise.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certifiés de l'exercice 2025 (données structurées brvm_donnees_financieres) révèlent une banque solide et rentable : le Produit Net Bancaire (équivalent du chiffre d'affaires pour une banque) s'établit à 37,996 milliards FCFA, générant un résultat net de 11,081 milliards FCFA, soit une marge nette exceptionnelle de 29,16%. Le ROE de 22,24% (rentabilité des fonds propres) dépasse largement le seuil d'excellence de 15%, et le ROA de 1,87% confirme une utilisation efficace de l'actif total de 593,455 milliards FCFA. Le coefficient d'exploitation de 63,14% reste légèrement au-dessus du seuil de 60% (banque efficace), indiquant une marge d'optimisation des charges, tandis que le coût du risque rapporté aux charges financières (43,39%) signale un portefeuille de crédits nécessitant une surveillance attentive. La structure financière montre une autonomie financière faible (8,40% de capitaux propres sur total bilan), typique du modèle bancaire, mais compensée par une solvabilité générale de 109,16% (actif &gt; dettes) et une capacité de remboursement de 1,79 an (dettes financières / CAF), rassurante. La transformation bancaire est équilibrée avec 502,890 milliards FCFA de dépôts clientèle pour 253,648 milliards FCFA de créances, soit un ratio de transformation de 50,5% — la banque collecte deux fois plus qu'elle ne prête, ce qui limite le risque de liquidité mais pèse sur la marge d'intérêt.</w:t>
      </w:r>
    </w:p>
    <w:p>
      <w:pPr>
        <w:spacing w:after="120" w:line="276" w:lineRule="auto"/>
      </w:pPr>
      <w:r>
        <w:t>Les rapports trimestriels les plus récents confirment cette dynamique : le rapport T1 2026 (analysé le 12/09/2026) affiche un PNB de 10 322 millions FCFA, en hausse de +22,97% sur un an, et le rapport S1 2026 (analysé le 24/09/2026) montre un PNB de 21 987 millions FCFA, en progression de +17,5% — une accélération notable par rapport à la croissance de 5,08% enregistrée sur l'ensemble de 2025. Sur la base de ces tendances, on peut estimer que l'exercice 2026 devrait enregistrer un PNB annuel de l'ordre de 42-44 milliards FCFA (croissance estimée de +12 à +15%), avec un résultat net potentiel de 12-13 milliards FCFA si la maîtrise des coûts se poursuit. Le rapport T3 2025 (30/09/2025) indiquait déjà un résultat net cumulé de 9,16 milliards FCFA (+26,2%), et le rapport S1 2025 (30/06/2025) un résultat net de 6,21 milliards FCFA (+28,8%), confirmant une trajectoire de rentabilité ascendante portée par la baisse du coût du risque (-32,7% au S1 2025) et la maîtrise des frais généraux. Le principal risque identifié reste la contraction du portefeuille de crédits (-8,6% au T3 2025), qui pourrait limiter la croissance future des revenus d'intérêts, mais la forte collecte de dépôts (+9,2% depuis fin 2024) offre une base de financement stable et bon marché. En conclusion, BOAM présente des fondamentaux solides avec une rentabilité élevée, une structure financière maîtrisée et une dynamique commerciale accélérée en 2026, justifiant une recommandation fondamentale positive malgré un coefficient d'exploitation perfectible et un risque de crédit à surveiller.</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profil d'investissement contrasté mais globalement favorable. La valorisation (Partie 0) affiche un PER de 15,5x et un P/B de 3,44x, soit une prime significative par rapport au marché BRVM, mais justifiée par un ROE de 22,24% et une croissance accélérée — le titre n'est pas sous-évalué mais la prime se défend. Le comportement du cours (Partie 1) montre une tendance haussière robuste (+32,87% sur 100 jours) avec une volatilité élevée (42,8%) mais une distribution platykurtique (kurtosis -1,016) limitant les risques de pics extrêmes, et une asymétrie quasi-neutre (skewness 0,390) — un profil équilibré malgré la correction récente de -0,72%. Les signaux techniques (Partie 2) sont mitigés : le MACD est vendeur à court terme, le cours évolue sous ses moyennes mobiles, mais le RSI neutre (39,28) et le stochastique en amélioration suggèrent une consolidation plutôt qu'un retournement, avec une décision globale "Neutre" à "Achat" selon les indicateurs. Les fondamentaux (Partie 3) sont solides : PNB de 37,996 Mds FCFA en 2025, résultat net de 11,081 Mds FCFA, ROE de 22,24%, et surtout une accélération en 2026 (PNB +22,97% au T1, +17,5% au S1) qui devrait porter l'exercice annuel vers 42-44 Mds FCFA de PNB. Les prédictions IA (J+1 à J+10) anticipent une reprise progressive de 6 225 FCFA à 6 458 FCFA (+3,7% sur 10 jours), confirmant la thèse d'une consolidation suivie d'un rebond technique, en ligne avec les fondamentaux haussiers.</w:t>
      </w:r>
    </w:p>
    <w:p>
      <w:pPr>
        <w:spacing w:after="120" w:line="276" w:lineRule="auto"/>
      </w:pPr>
      <w:r>
        <w:t>Sur la base de cette synthèse, la recommandation finale est **CONSERVER** avec un biais haussier, le titre offrant un bon compromis entre qualité fondamentale et potentiel de reprise technique. La convergence entre la valorisation premium (justifiée), les fondamentaux en accélération (T1/S1 2026), et les prédictions IA haussières soutient cette position, bien que le MACD vendeur et la volatilité élevée incitent à la prudence à court terme. Le niveau de confiance est **Moyen** — les fondamentaux sont solides mais l'incertitude technique et la prime de valorisation limitent la visibilité. Le risque global est **Moyen** — la volatilité de 42,8% et le contexte sécuritaire malien (mentionné dans les rapports 2025) constituent des facteurs de risque, mais la résilience démontrée de la banque et sa rentabilité élevée offrent un coussin de sécurité. L'horizon d'investissement optimal est le **moyen terme (3-12 mois)**, le temps que la consolidation technique s'achève et que les résultats 2026 confirment l'accélération de la croissance, avec un objectif de cours potentiel de 7 000-7 200 FCFA (retour vers les plus hauts de 7 195 FCFA) si les fondamentaux tiennent leurs promesses.</w:t>
      </w:r>
    </w:p>
    <w:p>
      <w:pPr>
        <w:spacing w:after="120" w:line="276" w:lineRule="auto"/>
      </w:pPr>
      <w:r>
        <w:t>---</w:t>
      </w:r>
    </w:p>
    <w:p>
      <w:pPr>
        <w:spacing w:after="120" w:line="276" w:lineRule="auto"/>
      </w:pPr>
      <w:r>
        <w:t>*Rapport généré le 28 septembre 2026 — Sources : BRVM, états financiers certifiés 2025, rapports trimestriels T1/S1 2026, analyses GEMINI-VISION et MISTRAL.*</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10.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114.61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8,962 titres</w:t>
            </w:r>
          </w:p>
        </w:tc>
        <w:tc>
          <w:tcPr>
            <w:tcW w:type="dxa" w:w="2268"/>
            <w:shd w:fill="FFF2CC" w:val="clear"/>
          </w:tcPr>
          <w:p>
            <w:r>
              <w:rPr>
                <w:b/>
                <w:color w:val="503200"/>
                <w:sz w:val="16"/>
              </w:rPr>
              <w:t xml:space="preserve">Cours actuel : </w:t>
            </w:r>
            <w:r>
              <w:rPr>
                <w:color w:val="000000"/>
                <w:sz w:val="17"/>
              </w:rPr>
              <w:t>5,510 FCFA</w:t>
            </w:r>
          </w:p>
          <w:p>
            <w:r>
              <w:rPr>
                <w:b/>
                <w:color w:val="503200"/>
                <w:sz w:val="16"/>
              </w:rPr>
              <w:t xml:space="preserve">Var. 100 jours : </w:t>
            </w:r>
            <w:r>
              <w:rPr>
                <w:b/>
                <w:color w:val="007800"/>
                <w:sz w:val="17"/>
              </w:rPr>
              <w:t>+57.43%</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3,395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16.59% (Élevée) — μ=4,600 FCFA, σ=763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β=1.3021 (Agressif) — Cov=0.000088, Var(idx)=0.000068, ρ=0.442,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8,962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2026-09-29</w:t>
            </w:r>
          </w:p>
        </w:tc>
        <w:tc>
          <w:tcPr>
            <w:tcW w:type="dxa" w:w="1440"/>
            <w:shd w:fill="FFDCE0" w:val="clear"/>
          </w:tcPr>
          <w:p>
            <w:r>
              <w:rPr>
                <w:sz w:val="17"/>
              </w:rPr>
              <w:t>4,985</w:t>
            </w:r>
          </w:p>
        </w:tc>
        <w:tc>
          <w:tcPr>
            <w:tcW w:type="dxa" w:w="1440"/>
            <w:shd w:fill="FFDCE0" w:val="clear"/>
          </w:tcPr>
          <w:p>
            <w:r>
              <w:rPr>
                <w:b/>
                <w:sz w:val="17"/>
              </w:rPr>
              <w:t>5,254</w:t>
            </w:r>
          </w:p>
        </w:tc>
        <w:tc>
          <w:tcPr>
            <w:tcW w:type="dxa" w:w="1440"/>
            <w:shd w:fill="FFDCE0" w:val="clear"/>
          </w:tcPr>
          <w:p>
            <w:r>
              <w:rPr>
                <w:sz w:val="17"/>
              </w:rPr>
              <w:t>5,522</w:t>
            </w:r>
          </w:p>
        </w:tc>
        <w:tc>
          <w:tcPr>
            <w:tcW w:type="dxa" w:w="1440"/>
            <w:shd w:fill="FFDCE0" w:val="clear"/>
          </w:tcPr>
          <w:p>
            <w:r>
              <w:rPr>
                <w:b/>
                <w:color w:val="C00000"/>
                <w:sz w:val="17"/>
              </w:rPr>
              <w:t>-4.7%</w:t>
            </w:r>
          </w:p>
        </w:tc>
      </w:tr>
      <w:tr>
        <w:tc>
          <w:tcPr>
            <w:tcW w:type="dxa" w:w="1440"/>
            <w:shd w:fill="FFDCE0" w:val="clear"/>
          </w:tcPr>
          <w:p>
            <w:r>
              <w:rPr>
                <w:sz w:val="17"/>
              </w:rPr>
              <w:t>J+2  ⭐</w:t>
            </w:r>
          </w:p>
        </w:tc>
        <w:tc>
          <w:tcPr>
            <w:tcW w:type="dxa" w:w="1440"/>
            <w:shd w:fill="FFDCE0" w:val="clear"/>
          </w:tcPr>
          <w:p>
            <w:r>
              <w:rPr>
                <w:sz w:val="17"/>
              </w:rPr>
              <w:t>2026-09-30</w:t>
            </w:r>
          </w:p>
        </w:tc>
        <w:tc>
          <w:tcPr>
            <w:tcW w:type="dxa" w:w="1440"/>
            <w:shd w:fill="FFDCE0" w:val="clear"/>
          </w:tcPr>
          <w:p>
            <w:r>
              <w:rPr>
                <w:sz w:val="17"/>
              </w:rPr>
              <w:t>4,926</w:t>
            </w:r>
          </w:p>
        </w:tc>
        <w:tc>
          <w:tcPr>
            <w:tcW w:type="dxa" w:w="1440"/>
            <w:shd w:fill="FFDCE0" w:val="clear"/>
          </w:tcPr>
          <w:p>
            <w:r>
              <w:rPr>
                <w:b/>
                <w:sz w:val="17"/>
              </w:rPr>
              <w:t>5,309</w:t>
            </w:r>
          </w:p>
        </w:tc>
        <w:tc>
          <w:tcPr>
            <w:tcW w:type="dxa" w:w="1440"/>
            <w:shd w:fill="FFDCE0" w:val="clear"/>
          </w:tcPr>
          <w:p>
            <w:r>
              <w:rPr>
                <w:sz w:val="17"/>
              </w:rPr>
              <w:t>5,692</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2026-10-01</w:t>
            </w:r>
          </w:p>
        </w:tc>
        <w:tc>
          <w:tcPr>
            <w:tcW w:type="dxa" w:w="1440"/>
            <w:shd w:fill="FFDCE0" w:val="clear"/>
          </w:tcPr>
          <w:p>
            <w:r>
              <w:rPr>
                <w:sz w:val="17"/>
              </w:rPr>
              <w:t>4,842</w:t>
            </w:r>
          </w:p>
        </w:tc>
        <w:tc>
          <w:tcPr>
            <w:tcW w:type="dxa" w:w="1440"/>
            <w:shd w:fill="FFDCE0" w:val="clear"/>
          </w:tcPr>
          <w:p>
            <w:r>
              <w:rPr>
                <w:b/>
                <w:sz w:val="17"/>
              </w:rPr>
              <w:t>5,312</w:t>
            </w:r>
          </w:p>
        </w:tc>
        <w:tc>
          <w:tcPr>
            <w:tcW w:type="dxa" w:w="1440"/>
            <w:shd w:fill="FFDCE0" w:val="clear"/>
          </w:tcPr>
          <w:p>
            <w:r>
              <w:rPr>
                <w:sz w:val="17"/>
              </w:rPr>
              <w:t>5,782</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4,766</w:t>
            </w:r>
          </w:p>
        </w:tc>
        <w:tc>
          <w:tcPr>
            <w:tcW w:type="dxa" w:w="1440"/>
            <w:shd w:fill="FFDCE0" w:val="clear"/>
          </w:tcPr>
          <w:p>
            <w:r>
              <w:rPr>
                <w:b/>
                <w:sz w:val="17"/>
              </w:rPr>
              <w:t>5,308</w:t>
            </w:r>
          </w:p>
        </w:tc>
        <w:tc>
          <w:tcPr>
            <w:tcW w:type="dxa" w:w="1440"/>
            <w:shd w:fill="FFDCE0" w:val="clear"/>
          </w:tcPr>
          <w:p>
            <w:r>
              <w:rPr>
                <w:sz w:val="17"/>
              </w:rPr>
              <w:t>5,850</w:t>
            </w:r>
          </w:p>
        </w:tc>
        <w:tc>
          <w:tcPr>
            <w:tcW w:type="dxa" w:w="1440"/>
            <w:shd w:fill="FFDCE0" w:val="clear"/>
          </w:tcPr>
          <w:p>
            <w:r>
              <w:rPr>
                <w:b/>
                <w:color w:val="C00000"/>
                <w:sz w:val="17"/>
              </w:rPr>
              <w:t>-3.7%</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4,699</w:t>
            </w:r>
          </w:p>
        </w:tc>
        <w:tc>
          <w:tcPr>
            <w:tcW w:type="dxa" w:w="1440"/>
            <w:shd w:fill="FFDCE0" w:val="clear"/>
          </w:tcPr>
          <w:p>
            <w:r>
              <w:rPr>
                <w:b/>
                <w:sz w:val="17"/>
              </w:rPr>
              <w:t>5,305</w:t>
            </w:r>
          </w:p>
        </w:tc>
        <w:tc>
          <w:tcPr>
            <w:tcW w:type="dxa" w:w="1440"/>
            <w:shd w:fill="FFDCE0" w:val="clear"/>
          </w:tcPr>
          <w:p>
            <w:r>
              <w:rPr>
                <w:sz w:val="17"/>
              </w:rPr>
              <w:t>5,910</w:t>
            </w:r>
          </w:p>
        </w:tc>
        <w:tc>
          <w:tcPr>
            <w:tcW w:type="dxa" w:w="1440"/>
            <w:shd w:fill="FFDCE0" w:val="clear"/>
          </w:tcPr>
          <w:p>
            <w:r>
              <w:rPr>
                <w:b/>
                <w:color w:val="C00000"/>
                <w:sz w:val="17"/>
              </w:rPr>
              <w:t>-3.7%</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4,639</w:t>
            </w:r>
          </w:p>
        </w:tc>
        <w:tc>
          <w:tcPr>
            <w:tcW w:type="dxa" w:w="1440"/>
            <w:shd w:fill="FFDCE0" w:val="clear"/>
          </w:tcPr>
          <w:p>
            <w:r>
              <w:rPr>
                <w:b/>
                <w:sz w:val="17"/>
              </w:rPr>
              <w:t>5,302</w:t>
            </w:r>
          </w:p>
        </w:tc>
        <w:tc>
          <w:tcPr>
            <w:tcW w:type="dxa" w:w="1440"/>
            <w:shd w:fill="FFDCE0" w:val="clear"/>
          </w:tcPr>
          <w:p>
            <w:r>
              <w:rPr>
                <w:sz w:val="17"/>
              </w:rPr>
              <w:t>5,965</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4,584</w:t>
            </w:r>
          </w:p>
        </w:tc>
        <w:tc>
          <w:tcPr>
            <w:tcW w:type="dxa" w:w="1440"/>
            <w:shd w:fill="FFDCE0" w:val="clear"/>
          </w:tcPr>
          <w:p>
            <w:r>
              <w:rPr>
                <w:b/>
                <w:sz w:val="17"/>
              </w:rPr>
              <w:t>5,300</w:t>
            </w:r>
          </w:p>
        </w:tc>
        <w:tc>
          <w:tcPr>
            <w:tcW w:type="dxa" w:w="1440"/>
            <w:shd w:fill="FFDCE0" w:val="clear"/>
          </w:tcPr>
          <w:p>
            <w:r>
              <w:rPr>
                <w:sz w:val="17"/>
              </w:rPr>
              <w:t>6,016</w:t>
            </w:r>
          </w:p>
        </w:tc>
        <w:tc>
          <w:tcPr>
            <w:tcW w:type="dxa" w:w="1440"/>
            <w:shd w:fill="FFDCE0" w:val="clear"/>
          </w:tcPr>
          <w:p>
            <w:r>
              <w:rPr>
                <w:b/>
                <w:color w:val="C00000"/>
                <w:sz w:val="17"/>
              </w:rPr>
              <w:t>-3.8%</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4,533</w:t>
            </w:r>
          </w:p>
        </w:tc>
        <w:tc>
          <w:tcPr>
            <w:tcW w:type="dxa" w:w="1440"/>
            <w:shd w:fill="FFDCE0" w:val="clear"/>
          </w:tcPr>
          <w:p>
            <w:r>
              <w:rPr>
                <w:b/>
                <w:sz w:val="17"/>
              </w:rPr>
              <w:t>5,298</w:t>
            </w:r>
          </w:p>
        </w:tc>
        <w:tc>
          <w:tcPr>
            <w:tcW w:type="dxa" w:w="1440"/>
            <w:shd w:fill="FFDCE0" w:val="clear"/>
          </w:tcPr>
          <w:p>
            <w:r>
              <w:rPr>
                <w:sz w:val="17"/>
              </w:rPr>
              <w:t>6,063</w:t>
            </w:r>
          </w:p>
        </w:tc>
        <w:tc>
          <w:tcPr>
            <w:tcW w:type="dxa" w:w="1440"/>
            <w:shd w:fill="FFDCE0" w:val="clear"/>
          </w:tcPr>
          <w:p>
            <w:r>
              <w:rPr>
                <w:b/>
                <w:color w:val="C00000"/>
                <w:sz w:val="17"/>
              </w:rPr>
              <w:t>-3.8%</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4,485</w:t>
            </w:r>
          </w:p>
        </w:tc>
        <w:tc>
          <w:tcPr>
            <w:tcW w:type="dxa" w:w="1440"/>
            <w:shd w:fill="FFDCE0" w:val="clear"/>
          </w:tcPr>
          <w:p>
            <w:r>
              <w:rPr>
                <w:b/>
                <w:sz w:val="17"/>
              </w:rPr>
              <w:t>5,296</w:t>
            </w:r>
          </w:p>
        </w:tc>
        <w:tc>
          <w:tcPr>
            <w:tcW w:type="dxa" w:w="1440"/>
            <w:shd w:fill="FFDCE0" w:val="clear"/>
          </w:tcPr>
          <w:p>
            <w:r>
              <w:rPr>
                <w:sz w:val="17"/>
              </w:rPr>
              <w:t>6,107</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4,440</w:t>
            </w:r>
          </w:p>
        </w:tc>
        <w:tc>
          <w:tcPr>
            <w:tcW w:type="dxa" w:w="1440"/>
            <w:shd w:fill="FFDCE0" w:val="clear"/>
          </w:tcPr>
          <w:p>
            <w:r>
              <w:rPr>
                <w:b/>
                <w:sz w:val="17"/>
              </w:rPr>
              <w:t>5,294</w:t>
            </w:r>
          </w:p>
        </w:tc>
        <w:tc>
          <w:tcPr>
            <w:tcW w:type="dxa" w:w="1440"/>
            <w:shd w:fill="FFDCE0" w:val="clear"/>
          </w:tcPr>
          <w:p>
            <w:r>
              <w:rPr>
                <w:sz w:val="17"/>
              </w:rPr>
              <w:t>6,149</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114,61 milliards FCFA, BOAN se positionne comme une valeur de taille moyenne sur le compartiment bancaire de la BRVM, loin des poids lourds comme SGBCI ou BOAB, mais suffisamment liquide pour intéresser les investisseurs institutionnels régionaux. Le BPA de 20 FCFA/action ressort à un niveau exceptionnellement faible, conséquence directe de l'effondrement du résultat net 2025 à 409 millions FCFA (contre 5 002 millions en 2024), ce qui propulse le PER à 280,2x — un niveau stratosphérique comparé à la moyenne BRVM de 8-12x, signalant que le marché paie environ 280 fois les bénéfices actuels, soit une valorisation totalement déconnectée des profits présents et intégrant une anticipation massive de redressement. Le P/B de 3,18x indique que le marché valorise la banque à plus de trois fois ses fonds propres comptables (36,06 milliards FCFA), une prime de croissance significative qui se justifie uniquement si la rentabilité future converge vers les niveaux historiques (ROE &gt;15%). Enfin, l'EV/EBITDA de 41,1x, très supérieur au seuil d'exigence de 15x, confirme que la valeur d'entreprise intègre une reprise opérationnelle vigoureuse, rendant ces multiples soutenables uniquement dans un scénario de normalisation rapide des résultats — ce qui expose l'investisseur à un risque de dérating sévère en cas de déception.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BOAN affiche une performance spectaculaire de +57,43%, avec une dernière séance en hausse de +7,41%, portant le cours à 5 510 FCFA. Le titre a évolué dans un range très large de 3 395 FCFA (plus bas) à 5 645 FCFA (plus haut), soit une amplitude de 66%, témoignant d'une tendance nettement haussière portée par les anticipations de redressement post-sanctions et la publication de résultats trimestriels encourageants. La moyenne du cours s'établit à 4 600 FCFA contre une médiane de 4 845 FCFA, un écart de 245 FCFA qui révèle une distribution légèrement tirée vers le bas par les niveaux de cours antérieurs à la forte poussée récente — le mode à 3 700 FCFA confirme que le titre a longtemps stagné avant son envolée. L'écart-type de 767 FCFA avec un coefficient de variation de 16,7% indique une dispersion modérée du cours autour de sa moyenne, tandis que le kurtosis négatif (-1,638, distribution platykurtique) signale une faible concentration des valeurs extrêmes, c'est-à-dire un risque de pics de volatilité moins prononcé qu'une distribution normale. Le skewness de -0,232, proche de zéro, traduit une distribution quasi-symétrique, sans biais marqué vers les rendements extrêmes positifs ou négatifs. Avec une volatilité annualisée de 40,0%, BOAN se classe dans la catégorie des titres à volatilité élevée (&gt;30%), ce qui implique un risque de fluctuation important et justifie une approche prudente en termes de dimensionnement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(5 314,5 FCFA) et la MM50 (5 281,7 FCFA) se situent toutes deux sous le cours actuel (5 510 FCFA), avec la MM20 légèrement au-dessus de la MM50, configurant un croisement haussier classique. Le cours évoluant au-dessus de ses deux moyennes mobiles, la structure technique est haussière et justifie la décision d'achat, bien que l'écart entre le cours et les MM suggère une possible consolidation à court terme.</w:t>
      </w:r>
    </w:p>
    <w:p>
      <w:pPr>
        <w:spacing w:after="120" w:line="276" w:lineRule="auto"/>
      </w:pPr>
      <w:r>
        <w:t>**Bandes de Bollinger** : Le cours (5 510 FCFA) se situe dans la partie supérieure de la bande, entre la borne inférieure (4 763,2 FCFA) et la borne supérieure (5 865,8 FCFA), sans franchir cette dernière. Cette position médiane-haute, combinée à une largeur de bande importante, traduit une volatilité élevée mais sans signal de surachat extrême, ce qui justifie la décision neutre — le titre n'est ni en zone d'achat agressive ni en zone de correction imminente.</w:t>
      </w:r>
    </w:p>
    <w:p>
      <w:pPr>
        <w:spacing w:after="120" w:line="276" w:lineRule="auto"/>
      </w:pPr>
      <w:r>
        <w:t>**MACD** : La valeur du MACD (-48,087) est inférieure à sa ligne de signal (-14,467), générant un histogramme négatif qui signale un momentum baissier à court terme malgré la tendance haussière de fond. Cette divergence entre le MACD baissier et les moyennes mobiles haussières suggère un essoufflement de la dynamique récente, justifiant la décision de vente technique à court terme.</w:t>
      </w:r>
    </w:p>
    <w:p>
      <w:pPr>
        <w:spacing w:after="120" w:line="276" w:lineRule="auto"/>
      </w:pPr>
      <w:r>
        <w:t>**RSI** : À 50,465, le RSI se situe exactement en zone neutre (entre 30 et 70), indiquant un équilibre parfait entre acheteurs et vendeurs. Aucun signal de surachat (&gt;70) ou de survente (&lt;30) n'est détecté, ce qui confirme la décision neutre — le titre n'offre pas de signal directionnel clair sur cet indicateur.</w:t>
      </w:r>
    </w:p>
    <w:p>
      <w:pPr>
        <w:spacing w:after="120" w:line="276" w:lineRule="auto"/>
      </w:pPr>
      <w:r>
        <w:t>**Stochastique** : Le %K (91,866) se situe en zone de surachat (&gt;80) tandis que le %D (56,459) reste en zone neutre, avec un %K nettement supérieur au %D. Ce positionnement du %K en zone extrême, sans confirmation du %D, suggère une pression acheteuse récente mais un risque de retournement à court terme, justifiant la décision de vente.</w:t>
      </w:r>
    </w:p>
    <w:p>
      <w:pPr>
        <w:spacing w:after="120" w:line="276" w:lineRule="auto"/>
      </w:pPr>
      <w:r>
        <w:t>**Conclusion technique** : Les indicateurs présentent une configuration mitigée — les moyennes mobiles confirment la tendance haussière de fond, mais le MACD baissier, le stochastique en surachat et le RSI neutre signalent un essoufflement à court terme. Cette divergence entre tendance de fond et momentum immédiat plaide pour une consolidation avant une nouvelle impulsion, avec un support clé à surveiller autour de la MM20 (5 314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BOAN a traversé une année extrêmement difficile : le Produit Net Bancaire (équivalent du chiffre d'affaires pour une banque) s'établit à 21 125 millions FCFA, en repli de -1,2% par rapport à 2024 (21 380 millions), tandis que le résultat net s'effondre à 409 millions FCFA contre 5 002 millions un an plus tôt, soit une chute de -91,8%. Cette dégradation spectaculaire s'explique par un coût du risque qui plus que double (+121,5%, à 6 016 millions FCFA), incluant une provision exceptionnelle de 4,8 milliards FCFA liée au taux de sinistralité sectoriel de 24% au Niger, ainsi qu'une hausse des charges générales (+6,5%). Les ratios de rentabilité se sont effondrés : le ROE passe de 11,39% en 2024 à 1,05% en 2025, et le ROA de 1,49% à 0,13%, tandis que le coefficient d'exploitation se dégrade à 74,37% (contre 58,1% au S1 2025), bien au-dessus du seuil de 60% marquant une banque efficace. La structure financière reste néanmoins solide avec un ratio de solvabilité de 14,06% (conforme aux exigences UEMOA ≥10%) et un coefficient de liquidité de 123,95%, mais l'autonomie financière de 12,36% (capitaux propres/total bilan) demeure faible et le ratio d'endettement de 178,6% élevé. Le portefeuille de crédits a été volontairement réduit de -20,9% à 128 447 millions FCFA, tandis que les dépôts clientèle progressent de +4% à 189 867 millions FCFA, surperformant un secteur en hausse de seulement +1%. Sur la base du rapport T1 2026 (publié le 31 mars 2026), on estime que l'exercice 2026 devrait marquer un début de redressement : le PNB progresse de +7,9% à 5 170 millions FCFA, le résultat net bondit de +28,9% à 1 467,3 millions FCFA, et le coefficient d'exploitation s'améliore à 56,2% (contre 66,8% un an plus tôt), bien que le coût du risque reste élevé (+104,3% à 673,1 millions FCFA). Le budget 2026 vise un PNB de 22 327 millions FCFA (+6,4%) et un résultat avant impôts de 7 280 millions FCFA (+515%), objectifs ambitieux qui restent conditionnés à la levée des sanctions et à la normalisation du climat des affaires au Niger. La recommandation fondamentale est de **CONSERVER sous surveillance rapprochée** : la banque dispose d'atouts solides (soutien du groupe BOA, ratios prudentiels conformes, croissance des dépôts), mais les risques de crédit (24% de créances douteuses), la faible bancarisation (6,3%) et l'instabilité géopolitique persistent, et un seul trimestre de reprise ne suffit pas à confirmer la tendance.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BOAN apparaît extrêmement tendue : le PER de 280,2x, le P/B de 3,18x et l'EV/EBITDA de 41,1x intègrent tous une anticipation de redressement massif des bénéfices, ce qui rend le titre vulnérable à toute déception — ces multiples ne sont soutenables que si le résultat net 2026 converge vers les 7 milliards FCFA visés par le budget. Le comportement du cours sur 100 jours est nettement haussier (+57,43%), avec une volatilité élevée (40,0%) et une distribution quasi-symétrique (skewness -0,232) mais plate (kurtosis -1,638), ce qui suggère que la forte hausse récente pourrait se poursuivre sans pics extrêmes, mais avec un risque de correction significatif compte tenu de l'amplitude déjà parcourue. Les signaux techniques sont divergents : les moyennes mobiles confirment la tendance haussière, mais le MACD baissier, le stochastique en surachat (%K=91,9) et le RSI neutre (50,5) plaident pour une consolidation à court terme, ce qui tempère l'élan acheteur. Les fondamentaux restent fragiles malgré le rebond du T1 2026 (résultat net +28,9%, coefficient d'exploitation à 56,2%), car la banque sort d'une année 2025 catastrophique (ROE de 1,05%, résultat net de 409 millions FCFA) et les risques de crédit (24% de créances douteuses) et géopolitiques persistent. Les prédictions IA pour les 10 prochains jours ouvrables (5254 FCFA le 29/09, 5309 FCFA le 30/09, 5312 FCFA le 01/10, 5308 FCFA le 02/10, 5305 FCFA le 05/10) suggèrent une légère consolidation autour de 5 300 FCFA, en contradiction avec la tendance haussière récente mais en cohérence avec les signaux techniques de court terme. **Recommandation finale : CONSERVER** — la convergence entre une valorisation extrêmement exigeante, des signaux techniques mitigés et des fondamentaux en redressement mais encore fragiles ne justifie ni un achat agressif ni une vente précipitée. Le niveau de confiance est **Moyen** (les données trimestrielles sont encourageantes mais un seul trimestre ne suffit pas à confirmer la tendance), et le niveau de risque global est **Élevé** (volatilité de 40%, exposition au risque pays Niger, PER de 280x). L'horizon d'investissement optimal est le **moyen terme (3-12 mois)**, en attendant la confirmation du redressement sur au moins deux trimestres supplémentaires et la clarification du contexte géopolitique — les investisseurs en recherche de dividendes ou de rendement immédiat doivent s'abstenir, aucun dividende n'ayant été distribué depuis 2023.</w:t>
      </w:r>
    </w:p>
    <w:p>
      <w:pPr>
        <w:spacing w:after="120" w:line="276" w:lineRule="auto"/>
      </w:pPr>
      <w:r>
        <w:t>---</w:t>
      </w:r>
    </w:p>
    <w:p>
      <w:pPr>
        <w:spacing w:after="120" w:line="276" w:lineRule="auto"/>
      </w:pPr>
      <w:r>
        <w:t>*Ce rapport est fourni à titre informatif uniquement et ne constitue pas un conseil en investissement. Les investisseurs sont invités à consulter un professionnel avant toute décision.*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11.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291.60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11,219 titres</w:t>
            </w:r>
          </w:p>
        </w:tc>
        <w:tc>
          <w:tcPr>
            <w:tcW w:type="dxa" w:w="2268"/>
            <w:shd w:fill="FFF2CC" w:val="clear"/>
          </w:tcPr>
          <w:p>
            <w:r>
              <w:rPr>
                <w:b/>
                <w:color w:val="503200"/>
                <w:sz w:val="16"/>
              </w:rPr>
              <w:t xml:space="preserve">Cours actuel : </w:t>
            </w:r>
            <w:r>
              <w:rPr>
                <w:color w:val="000000"/>
                <w:sz w:val="17"/>
              </w:rPr>
              <w:t>8,100 FCFA</w:t>
            </w:r>
          </w:p>
          <w:p>
            <w:r>
              <w:rPr>
                <w:b/>
                <w:color w:val="503200"/>
                <w:sz w:val="16"/>
              </w:rPr>
              <w:t xml:space="preserve">Var. 100 jours : </w:t>
            </w:r>
            <w:r>
              <w:rPr>
                <w:b/>
                <w:color w:val="007800"/>
                <w:sz w:val="17"/>
              </w:rPr>
              <w:t>+12.11%</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7,225 FCFA</w:t>
            </w:r>
          </w:p>
          <w:p>
            <w:r>
              <w:rPr>
                <w:b/>
                <w:color w:val="503200"/>
                <w:sz w:val="16"/>
              </w:rPr>
              <w:t xml:space="preserve">Volatilité ann. : </w:t>
            </w:r>
            <w:r>
              <w:rPr>
                <w:color w:val="000000"/>
                <w:sz w:val="17"/>
              </w:rPr>
              <w:t>26.7%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9.3/100 → Faible</w:t>
      </w:r>
    </w:p>
    <w:p>
      <w:pPr>
        <w:spacing w:before="40" w:after="80"/>
      </w:pPr>
      <w:r>
        <w:rPr>
          <w:rFonts w:ascii="Courier New" w:hAnsi="Courier New"/>
          <w:color w:val="006400"/>
          <w:sz w:val="18"/>
        </w:rPr>
        <w:t>█░░░░░░░░░░░░░░░░░░░  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4.75% (Faible) — μ=7,702 FCFA, σ=366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β=0.6123 (Défensif) — Cov=0.000042, Var(idx)=0.000068, ρ=0.299,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11,219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σ_j=1.68%/j (Stable) — Vol. annualisée≈26.7%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7,785</w:t>
            </w:r>
          </w:p>
        </w:tc>
        <w:tc>
          <w:tcPr>
            <w:tcW w:type="dxa" w:w="1440"/>
            <w:shd w:fill="FAFAFA" w:val="clear"/>
          </w:tcPr>
          <w:p>
            <w:r>
              <w:rPr>
                <w:b/>
                <w:sz w:val="17"/>
              </w:rPr>
              <w:t>8,029</w:t>
            </w:r>
          </w:p>
        </w:tc>
        <w:tc>
          <w:tcPr>
            <w:tcW w:type="dxa" w:w="1440"/>
            <w:shd w:fill="FAFAFA" w:val="clear"/>
          </w:tcPr>
          <w:p>
            <w:r>
              <w:rPr>
                <w:sz w:val="17"/>
              </w:rPr>
              <w:t>8,274</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7,648</w:t>
            </w:r>
          </w:p>
        </w:tc>
        <w:tc>
          <w:tcPr>
            <w:tcW w:type="dxa" w:w="1440"/>
            <w:shd w:fill="FAFAFA" w:val="clear"/>
          </w:tcPr>
          <w:p>
            <w:r>
              <w:rPr>
                <w:b/>
                <w:sz w:val="17"/>
              </w:rPr>
              <w:t>7,992</w:t>
            </w:r>
          </w:p>
        </w:tc>
        <w:tc>
          <w:tcPr>
            <w:tcW w:type="dxa" w:w="1440"/>
            <w:shd w:fill="FAFAFA" w:val="clear"/>
          </w:tcPr>
          <w:p>
            <w:r>
              <w:rPr>
                <w:sz w:val="17"/>
              </w:rPr>
              <w:t>8,337</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7,538</w:t>
            </w:r>
          </w:p>
        </w:tc>
        <w:tc>
          <w:tcPr>
            <w:tcW w:type="dxa" w:w="1440"/>
            <w:shd w:fill="FAFAFA" w:val="clear"/>
          </w:tcPr>
          <w:p>
            <w:r>
              <w:rPr>
                <w:b/>
                <w:sz w:val="17"/>
              </w:rPr>
              <w:t>7,958</w:t>
            </w:r>
          </w:p>
        </w:tc>
        <w:tc>
          <w:tcPr>
            <w:tcW w:type="dxa" w:w="1440"/>
            <w:shd w:fill="FAFAFA" w:val="clear"/>
          </w:tcPr>
          <w:p>
            <w:r>
              <w:rPr>
                <w:sz w:val="17"/>
              </w:rPr>
              <w:t>8,378</w:t>
            </w:r>
          </w:p>
        </w:tc>
        <w:tc>
          <w:tcPr>
            <w:tcW w:type="dxa" w:w="1440"/>
            <w:shd w:fill="FAFAFA" w:val="clear"/>
          </w:tcPr>
          <w:p>
            <w:r>
              <w:rPr>
                <w:b/>
                <w:color w:val="C00000"/>
                <w:sz w:val="17"/>
              </w:rPr>
              <w:t>-1.8%</w:t>
            </w:r>
          </w:p>
        </w:tc>
      </w:tr>
      <w:tr>
        <w:tc>
          <w:tcPr>
            <w:tcW w:type="dxa" w:w="1440"/>
            <w:shd w:fill="FFDCE0" w:val="clear"/>
          </w:tcPr>
          <w:p>
            <w:r>
              <w:rPr>
                <w:sz w:val="17"/>
              </w:rPr>
              <w:t>J+4  Moyenne</w:t>
            </w:r>
          </w:p>
        </w:tc>
        <w:tc>
          <w:tcPr>
            <w:tcW w:type="dxa" w:w="1440"/>
            <w:shd w:fill="FFDCE0" w:val="clear"/>
          </w:tcPr>
          <w:p>
            <w:r>
              <w:rPr>
                <w:sz w:val="17"/>
              </w:rPr>
              <w:t>2026-10-02</w:t>
            </w:r>
          </w:p>
        </w:tc>
        <w:tc>
          <w:tcPr>
            <w:tcW w:type="dxa" w:w="1440"/>
            <w:shd w:fill="FFDCE0" w:val="clear"/>
          </w:tcPr>
          <w:p>
            <w:r>
              <w:rPr>
                <w:sz w:val="17"/>
              </w:rPr>
              <w:t>7,446</w:t>
            </w:r>
          </w:p>
        </w:tc>
        <w:tc>
          <w:tcPr>
            <w:tcW w:type="dxa" w:w="1440"/>
            <w:shd w:fill="FFDCE0" w:val="clear"/>
          </w:tcPr>
          <w:p>
            <w:r>
              <w:rPr>
                <w:b/>
                <w:sz w:val="17"/>
              </w:rPr>
              <w:t>7,929</w:t>
            </w:r>
          </w:p>
        </w:tc>
        <w:tc>
          <w:tcPr>
            <w:tcW w:type="dxa" w:w="1440"/>
            <w:shd w:fill="FFDCE0" w:val="clear"/>
          </w:tcPr>
          <w:p>
            <w:r>
              <w:rPr>
                <w:sz w:val="17"/>
              </w:rPr>
              <w:t>8,412</w:t>
            </w:r>
          </w:p>
        </w:tc>
        <w:tc>
          <w:tcPr>
            <w:tcW w:type="dxa" w:w="1440"/>
            <w:shd w:fill="FFDCE0" w:val="clear"/>
          </w:tcPr>
          <w:p>
            <w:r>
              <w:rPr>
                <w:b/>
                <w:color w:val="C00000"/>
                <w:sz w:val="17"/>
              </w:rPr>
              <w:t>-2.1%</w:t>
            </w:r>
          </w:p>
        </w:tc>
      </w:tr>
      <w:tr>
        <w:tc>
          <w:tcPr>
            <w:tcW w:type="dxa" w:w="1440"/>
            <w:shd w:fill="FFDCE0" w:val="clear"/>
          </w:tcPr>
          <w:p>
            <w:r>
              <w:rPr>
                <w:sz w:val="17"/>
              </w:rPr>
              <w:t>J+5  Moyenne</w:t>
            </w:r>
          </w:p>
        </w:tc>
        <w:tc>
          <w:tcPr>
            <w:tcW w:type="dxa" w:w="1440"/>
            <w:shd w:fill="FFDCE0" w:val="clear"/>
          </w:tcPr>
          <w:p>
            <w:r>
              <w:rPr>
                <w:sz w:val="17"/>
              </w:rPr>
              <w:t>2026-10-05</w:t>
            </w:r>
          </w:p>
        </w:tc>
        <w:tc>
          <w:tcPr>
            <w:tcW w:type="dxa" w:w="1440"/>
            <w:shd w:fill="FFDCE0" w:val="clear"/>
          </w:tcPr>
          <w:p>
            <w:r>
              <w:rPr>
                <w:sz w:val="17"/>
              </w:rPr>
              <w:t>7,364</w:t>
            </w:r>
          </w:p>
        </w:tc>
        <w:tc>
          <w:tcPr>
            <w:tcW w:type="dxa" w:w="1440"/>
            <w:shd w:fill="FFDCE0" w:val="clear"/>
          </w:tcPr>
          <w:p>
            <w:r>
              <w:rPr>
                <w:b/>
                <w:sz w:val="17"/>
              </w:rPr>
              <w:t>7,903</w:t>
            </w:r>
          </w:p>
        </w:tc>
        <w:tc>
          <w:tcPr>
            <w:tcW w:type="dxa" w:w="1440"/>
            <w:shd w:fill="FFDCE0" w:val="clear"/>
          </w:tcPr>
          <w:p>
            <w:r>
              <w:rPr>
                <w:sz w:val="17"/>
              </w:rPr>
              <w:t>8,441</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2026-10-06</w:t>
            </w:r>
          </w:p>
        </w:tc>
        <w:tc>
          <w:tcPr>
            <w:tcW w:type="dxa" w:w="1440"/>
            <w:shd w:fill="FFDCE0" w:val="clear"/>
          </w:tcPr>
          <w:p>
            <w:r>
              <w:rPr>
                <w:sz w:val="17"/>
              </w:rPr>
              <w:t>7,290</w:t>
            </w:r>
          </w:p>
        </w:tc>
        <w:tc>
          <w:tcPr>
            <w:tcW w:type="dxa" w:w="1440"/>
            <w:shd w:fill="FFDCE0" w:val="clear"/>
          </w:tcPr>
          <w:p>
            <w:r>
              <w:rPr>
                <w:b/>
                <w:sz w:val="17"/>
              </w:rPr>
              <w:t>7,877</w:t>
            </w:r>
          </w:p>
        </w:tc>
        <w:tc>
          <w:tcPr>
            <w:tcW w:type="dxa" w:w="1440"/>
            <w:shd w:fill="FFDCE0" w:val="clear"/>
          </w:tcPr>
          <w:p>
            <w:r>
              <w:rPr>
                <w:sz w:val="17"/>
              </w:rPr>
              <w:t>8,465</w:t>
            </w:r>
          </w:p>
        </w:tc>
        <w:tc>
          <w:tcPr>
            <w:tcW w:type="dxa" w:w="1440"/>
            <w:shd w:fill="FFDCE0" w:val="clear"/>
          </w:tcPr>
          <w:p>
            <w:r>
              <w:rPr>
                <w:b/>
                <w:color w:val="C00000"/>
                <w:sz w:val="17"/>
              </w:rPr>
              <w:t>-2.7%</w:t>
            </w:r>
          </w:p>
        </w:tc>
      </w:tr>
      <w:tr>
        <w:tc>
          <w:tcPr>
            <w:tcW w:type="dxa" w:w="1440"/>
            <w:shd w:fill="FFDCE0" w:val="clear"/>
          </w:tcPr>
          <w:p>
            <w:r>
              <w:rPr>
                <w:sz w:val="17"/>
              </w:rPr>
              <w:t>J+7  Moyenne</w:t>
            </w:r>
          </w:p>
        </w:tc>
        <w:tc>
          <w:tcPr>
            <w:tcW w:type="dxa" w:w="1440"/>
            <w:shd w:fill="FFDCE0" w:val="clear"/>
          </w:tcPr>
          <w:p>
            <w:r>
              <w:rPr>
                <w:sz w:val="17"/>
              </w:rPr>
              <w:t>2026-10-07</w:t>
            </w:r>
          </w:p>
        </w:tc>
        <w:tc>
          <w:tcPr>
            <w:tcW w:type="dxa" w:w="1440"/>
            <w:shd w:fill="FFDCE0" w:val="clear"/>
          </w:tcPr>
          <w:p>
            <w:r>
              <w:rPr>
                <w:sz w:val="17"/>
              </w:rPr>
              <w:t>7,220</w:t>
            </w:r>
          </w:p>
        </w:tc>
        <w:tc>
          <w:tcPr>
            <w:tcW w:type="dxa" w:w="1440"/>
            <w:shd w:fill="FFDCE0" w:val="clear"/>
          </w:tcPr>
          <w:p>
            <w:r>
              <w:rPr>
                <w:b/>
                <w:sz w:val="17"/>
              </w:rPr>
              <w:t>7,853</w:t>
            </w:r>
          </w:p>
        </w:tc>
        <w:tc>
          <w:tcPr>
            <w:tcW w:type="dxa" w:w="1440"/>
            <w:shd w:fill="FFDCE0" w:val="clear"/>
          </w:tcPr>
          <w:p>
            <w:r>
              <w:rPr>
                <w:sz w:val="17"/>
              </w:rPr>
              <w:t>8,486</w:t>
            </w:r>
          </w:p>
        </w:tc>
        <w:tc>
          <w:tcPr>
            <w:tcW w:type="dxa" w:w="1440"/>
            <w:shd w:fill="FFDCE0" w:val="clear"/>
          </w:tcPr>
          <w:p>
            <w:r>
              <w:rPr>
                <w:b/>
                <w:color w:val="C00000"/>
                <w:sz w:val="17"/>
              </w:rPr>
              <w:t>-3.0%</w:t>
            </w:r>
          </w:p>
        </w:tc>
      </w:tr>
      <w:tr>
        <w:tc>
          <w:tcPr>
            <w:tcW w:type="dxa" w:w="1440"/>
            <w:shd w:fill="FFDCE0" w:val="clear"/>
          </w:tcPr>
          <w:p>
            <w:r>
              <w:rPr>
                <w:sz w:val="17"/>
              </w:rPr>
              <w:t>J+8  Moyenne</w:t>
            </w:r>
          </w:p>
        </w:tc>
        <w:tc>
          <w:tcPr>
            <w:tcW w:type="dxa" w:w="1440"/>
            <w:shd w:fill="FFDCE0" w:val="clear"/>
          </w:tcPr>
          <w:p>
            <w:r>
              <w:rPr>
                <w:sz w:val="17"/>
              </w:rPr>
              <w:t>2026-10-08</w:t>
            </w:r>
          </w:p>
        </w:tc>
        <w:tc>
          <w:tcPr>
            <w:tcW w:type="dxa" w:w="1440"/>
            <w:shd w:fill="FFDCE0" w:val="clear"/>
          </w:tcPr>
          <w:p>
            <w:r>
              <w:rPr>
                <w:sz w:val="17"/>
              </w:rPr>
              <w:t>7,155</w:t>
            </w:r>
          </w:p>
        </w:tc>
        <w:tc>
          <w:tcPr>
            <w:tcW w:type="dxa" w:w="1440"/>
            <w:shd w:fill="FFDCE0" w:val="clear"/>
          </w:tcPr>
          <w:p>
            <w:r>
              <w:rPr>
                <w:b/>
                <w:sz w:val="17"/>
              </w:rPr>
              <w:t>7,830</w:t>
            </w:r>
          </w:p>
        </w:tc>
        <w:tc>
          <w:tcPr>
            <w:tcW w:type="dxa" w:w="1440"/>
            <w:shd w:fill="FFDCE0" w:val="clear"/>
          </w:tcPr>
          <w:p>
            <w:r>
              <w:rPr>
                <w:sz w:val="17"/>
              </w:rPr>
              <w:t>8,505</w:t>
            </w:r>
          </w:p>
        </w:tc>
        <w:tc>
          <w:tcPr>
            <w:tcW w:type="dxa" w:w="1440"/>
            <w:shd w:fill="FFDCE0" w:val="clear"/>
          </w:tcPr>
          <w:p>
            <w:r>
              <w:rPr>
                <w:b/>
                <w:color w:val="C00000"/>
                <w:sz w:val="17"/>
              </w:rPr>
              <w:t>-3.3%</w:t>
            </w:r>
          </w:p>
        </w:tc>
      </w:tr>
      <w:tr>
        <w:tc>
          <w:tcPr>
            <w:tcW w:type="dxa" w:w="1440"/>
            <w:shd w:fill="FFDCE0" w:val="clear"/>
          </w:tcPr>
          <w:p>
            <w:r>
              <w:rPr>
                <w:sz w:val="17"/>
              </w:rPr>
              <w:t>J+9  Moyenne</w:t>
            </w:r>
          </w:p>
        </w:tc>
        <w:tc>
          <w:tcPr>
            <w:tcW w:type="dxa" w:w="1440"/>
            <w:shd w:fill="FFDCE0" w:val="clear"/>
          </w:tcPr>
          <w:p>
            <w:r>
              <w:rPr>
                <w:sz w:val="17"/>
              </w:rPr>
              <w:t>2026-10-09</w:t>
            </w:r>
          </w:p>
        </w:tc>
        <w:tc>
          <w:tcPr>
            <w:tcW w:type="dxa" w:w="1440"/>
            <w:shd w:fill="FFDCE0" w:val="clear"/>
          </w:tcPr>
          <w:p>
            <w:r>
              <w:rPr>
                <w:sz w:val="17"/>
              </w:rPr>
              <w:t>7,094</w:t>
            </w:r>
          </w:p>
        </w:tc>
        <w:tc>
          <w:tcPr>
            <w:tcW w:type="dxa" w:w="1440"/>
            <w:shd w:fill="FFDCE0" w:val="clear"/>
          </w:tcPr>
          <w:p>
            <w:r>
              <w:rPr>
                <w:b/>
                <w:sz w:val="17"/>
              </w:rPr>
              <w:t>7,808</w:t>
            </w:r>
          </w:p>
        </w:tc>
        <w:tc>
          <w:tcPr>
            <w:tcW w:type="dxa" w:w="1440"/>
            <w:shd w:fill="FFDCE0" w:val="clear"/>
          </w:tcPr>
          <w:p>
            <w:r>
              <w:rPr>
                <w:sz w:val="17"/>
              </w:rPr>
              <w:t>8,521</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2026-10-12</w:t>
            </w:r>
          </w:p>
        </w:tc>
        <w:tc>
          <w:tcPr>
            <w:tcW w:type="dxa" w:w="1440"/>
            <w:shd w:fill="FFDCE0" w:val="clear"/>
          </w:tcPr>
          <w:p>
            <w:r>
              <w:rPr>
                <w:sz w:val="17"/>
              </w:rPr>
              <w:t>7,036</w:t>
            </w:r>
          </w:p>
        </w:tc>
        <w:tc>
          <w:tcPr>
            <w:tcW w:type="dxa" w:w="1440"/>
            <w:shd w:fill="FFDCE0" w:val="clear"/>
          </w:tcPr>
          <w:p>
            <w:r>
              <w:rPr>
                <w:b/>
                <w:sz w:val="17"/>
              </w:rPr>
              <w:t>7,786</w:t>
            </w:r>
          </w:p>
        </w:tc>
        <w:tc>
          <w:tcPr>
            <w:tcW w:type="dxa" w:w="1440"/>
            <w:shd w:fill="FFDCE0" w:val="clear"/>
          </w:tcPr>
          <w:p>
            <w:r>
              <w:rPr>
                <w:sz w:val="17"/>
              </w:rPr>
              <w:t>8,536</w:t>
            </w:r>
          </w:p>
        </w:tc>
        <w:tc>
          <w:tcPr>
            <w:tcW w:type="dxa" w:w="1440"/>
            <w:shd w:fill="FFDCE0" w:val="clear"/>
          </w:tcPr>
          <w:p>
            <w:r>
              <w:rPr>
                <w:b/>
                <w:color w:val="C00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BANK OF AFRICA SÉNÉGAL (BOAS)**</w:t>
        <w:br/>
        <w:t>*Bourse Régionale des Valeurs Mobilières (BRVM) — Secteur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291,60 milliards FCFA, BOAS s'impose comme l'une des valeurs bancaires de référence de la cote BRVM, témoignant d'une liquidité et d'une profondeur de marché significatives pour la place régionale. Le BPA de 608 FCFA par action traduit une rentabilité unitaire solide, chaque titre générant près de 608 FCFA de bénéfice net. Le PER de 13,3x se situe légèrement au-dessus de la moyenne BRVM (8-12x), ce qui indique que les investisseurs acceptent une prime modérée pour la qualité de la signature BOAS, sans pour autant basculer dans une surévaluation manifeste. Le P/B de 3,02x confirme cette prime de croissance : le marché valorise la banque à trois fois ses fonds propres comptables, ce qui est cohérent avec un ROE de 22,69% largement supérieur au coût des fonds propres. Enfin, l'EV/EBITDA de 8,6x, dans la fourchette raisonnable de 5-10x, suggère que la valeur d'entreprise reste proportionnée à la capacité opérationnelle de génération de résultats. Globalement, la valorisation apparaît équilibrée : ni décote excessive, ni emballement spéculatif.</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BOAS affiche une progression totale de +12,11%, avec un cours actuel de 8 100 FCFA et une variation J-1 nulle (+0,00%), signe d'une séance de consolidation sans pression vendeuse. Le range de trading s'établit entre un plus bas de 7 225 FCFA et un plus haut de 8 500 FCFA, soit une amplitude de 17,6% qui traduit une tendance haussière structurée mais ponctuée de respirations. La moyenne (7 702 FCFA) et la médiane (7 668 FCFA) sont très proches, avec un léger biais haussier de la moyenne, confirmant une distribution globalement symétrique malgré un skewness positif de 0,516 indiquant davantage de journées sous la moyenne que de pics extrêmes à la hausse. L'écart-type de 368 FCFA et le coefficient de variation de 4,8% révèlent une dispersion modérée du cours autour de sa tendance, tandis que le kurtosis de -0,996 (mésokurtique) suggère une distribution proche de la normale, sans risque majeur de pics extrêmes. La volatilité annualisée de 26,7% positionne le titre dans la catégorie modérée (15-30%), cohérente avec un profil bancaire défensif mais actif sur la BRVM. Le volume moyen de 11 219 titres/jour assure une liquidité correcte pour les transactions courantes.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(8 150,25 FCFA) et la MM50 (7 972,50 FCFA) encadrent le cours actuel (8 100 FCFA) de part et d'autre, avec la MM20 au-dessus de la MM50 — configuration haussière classique (golden cross implicite). Le cours évolue légèrement sous la MM20 mais nettement au-dessus de la MM50, ce qui justifie la décision d'**Achat** : la tendance de fond reste positive, la correction actuelle n'étant qu'un repli technique.</w:t>
      </w:r>
    </w:p>
    <w:p>
      <w:pPr>
        <w:spacing w:after="120" w:line="276" w:lineRule="auto"/>
      </w:pPr>
      <w:r>
        <w:t>**Bandes de Bollinger** : Le cours (8 100 FCFA) se situe dans la partie médiane-haute du canal, entre la borne inférieure (7 781,50 FCFA) et la borne supérieure (8 519,00 FCFA). L'absence de contact avec les bornes extrêmes et la largeur modérée du canal traduisent une volatilité contenue. La décision **Neutre** est cohérente : ni signal de surachat, ni opportunité de survente.</w:t>
      </w:r>
    </w:p>
    <w:p>
      <w:pPr>
        <w:spacing w:after="120" w:line="276" w:lineRule="auto"/>
      </w:pPr>
      <w:r>
        <w:t>**MACD** : La valeur du MACD (-14,578) est nettement inférieure à son signal (28,408), générant une divergence baissière marquée. Ce croisement négatif indique un essoufflement du momentum haussier à court terme, justifiant la décision de **Vente** technique. C'est le principal signal négatif du tableau.</w:t>
      </w:r>
    </w:p>
    <w:p>
      <w:pPr>
        <w:spacing w:after="120" w:line="276" w:lineRule="auto"/>
      </w:pPr>
      <w:r>
        <w:t>**RSI** : À 44,444, le RSI se situe en zone neutre (30-70), sans tension de surachat (&gt;70) ni de survente (&lt;30). Cette position médiane reflète un équilibre entre acheteurs et vendeurs, justifiant la décision **Neutre**. Le titre dispose d'un potentiel de rebond sans contrainte technique.</w:t>
      </w:r>
    </w:p>
    <w:p>
      <w:pPr>
        <w:spacing w:after="120" w:line="276" w:lineRule="auto"/>
      </w:pPr>
      <w:r>
        <w:t>**Stochastique** : Le %K (64,286) est supérieur au %D (48,095), configuration haussière indiquant que le cours se situe dans la partie haute de sa fourchette récente. Le croisement récent %K&gt;%D suggère un regain de momentum acheteur, mais la décision reste **Neutre** car les deux courbes évoluent en zone médiane sans signal extrême.</w:t>
      </w:r>
    </w:p>
    <w:p>
      <w:pPr>
        <w:spacing w:after="120" w:line="276" w:lineRule="auto"/>
      </w:pPr>
      <w:r>
        <w:t>**Conclusion technique** : Les indicateurs sont divergents — les moyennes mobiles et le stochastique sont haussiers, le MACD est baissier, tandis que le RSI et les Bollinger sont neutres. Cette configuration mitigée plaide pour une consolidation avant reprise, avec un support clé à 7 972 FCFA (MM50) et une résistance à 8 519 FCFA (Bollinger supérieure). Le biais reste légèrement haussier tant que le cours se maintient au-dessus de la MM50.</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2025 de BOAS (données structurées brvm_donnees_financieres) révèlent une banque solide et rentable : le Produit Net Bancaire (équivalent du chiffre d'affaires bancaire) s'établit à 51,926 milliards FCFA, générant un résultat net de 21,905 milliards FCFA, soit une marge nette exceptionnelle de 42,19%. Le ROE atteint 22,69% (largement supérieur au seuil d'excellence de 15%) et le ROA s'élève à 2,62%, confirmant une création de valeur actionnariale robuste. Le coefficient d'exploitation de 44,02% (inférieur au seuil de 60% et même de 50%) témoigne d'une efficacité opérationnelle remarquable, tandis que le coût du risque de 23,31% des charges financières — bien qu'élevé — reste maîtrisé au regard de la qualité du portefeuille. La structure bilancielle affiche 686,927 milliards FCFA de dépôts clientèle pour 386,424 milliards FCFA de créances, soit un ratio de transformation de 56,3%, typique d'une banque de dépôt prudente. Le ratio d'autonomie financière de 11,54% est faible mais structurellement normal pour le secteur bancaire, compensé par une solvabilité générale de 113,05% (&gt;1 = solvable) et une capacité de remboursement de 1,54 an.</w:t>
      </w:r>
    </w:p>
    <w:p>
      <w:pPr>
        <w:spacing w:after="120" w:line="276" w:lineRule="auto"/>
      </w:pPr>
      <w:r>
        <w:t>Les rapports trimestriels confirment cette dynamique : le rapport T1 2026 (publié en 2026) indique un PNB de 12,580 milliards FCFA (+6,82% sur un an), un résultat net de 5,741 milliards FCFA (+9,78%) et un coefficient d'exploitation amélioré à 42,1% (contre 42,8% au T1 2025). Le rapport S1 2026 fait état d'un PNB semestriel de 27,206 milliards FCFA, en hausse, tandis que le rapport T3 2025 (30 septembre 2025) affichait un PNB cumulé de 37,44 milliards FCFA (+6,71%) et un résultat net de 16,37 milliards FCFA (+10,01%), avec un coût du risque en baisse à -0,5% du PNB. Sur la base de ces tendances, on estime que l'exercice 2026 devrait enregistrer un PNB annuel proche de 54-55 milliards FCFA et un résultat net de l'ordre de 23-24 milliards FCFA, soit une croissance de 5-8% par rapport à 2025. La recommandation fondamentale est **positive** : solidité bilancielle, rentabilité élevée, efficacité opérationnelle confirmée et perspectives de croissance stable, avec un risque principal lié à la concentration sur le marché sénégalais et à l'environnement concurrentiel.</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dessine un profil d'investissement équilibré mais légèrement favorable. La **valorisation** (Partie 0) est raisonnable : PER de 13,3x légèrement supérieur à la moyenne BRVM mais justifié par un ROE de 22,69%, P/B de 3,02x cohérent avec la prime de croissance, et EV/EBITDA de 8,6x dans la norme sectorielle — le titre n'est ni sous-évalué, ni surévalué. Le **comportement du cours** (Partie 1) est haussier sur 100 jours (+12,11%), avec une volatilité modérée (26,7%) et une distribution proche de la normale (kurtosis -0,996), sans risque de pics extrêmes — des statistiques rassurantes pour un investisseur prudent. Les **signaux techniques** (Partie 2) sont mitigés : les moyennes mobiles et le stochastique sont haussiers, le MACD baissier, le RSI et les Bollinger neutres — configuration de consolidation qui appelle à la patience plutôt qu'à l'action immédiate. Les **fondamentaux** (Partie 3) sont solides : ROE de 22,69%, coefficient d'exploitation de 44,02%, croissance du résultat net de +9,78% au T1 2026, et perspectives estimées de +5-8% pour 2026. Les **prédictions IA** (J+1 à J+10) anticipent une légère correction vers 7 903 FCFA d'ici le 5 octobre 2026, ce qui contredit partiellement les signaux haussiers mais reste cohérent avec la consolidation technique attendue.</w:t>
      </w:r>
    </w:p>
    <w:p>
      <w:pPr>
        <w:spacing w:after="120" w:line="276" w:lineRule="auto"/>
      </w:pPr>
      <w:r>
        <w:t>**Recommandation finale : ACHAT** — La convergence entre fondamentaux solides, valorisation raisonnable et tendance de fond haussière l'emporte sur les signaux techniques mitigés et la correction court terme anticipée par l'IA. Le niveau de confiance est **Moyen** (les divergences techniques et la prédiction baissière à court terme incitent à la prudence), et le niveau de risque global est **Moyen** (volatilité modérée, concentration géographique, coût du risque à surveiller). L'horizon d'investissement optimal est le **moyen terme (3-12 mois)**, le temps que la consolidation technique s'achève et que la croissance bénéficiaire se matérialise, avec un objectif de cours à 8 500-8 800 FCFA et un stop-loss suggéré sous 7 900 FCFA (MM50).</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12.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20.13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2,064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B40000"/>
                <w:sz w:val="17"/>
              </w:rPr>
              <w:t>-2.86%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3,190 FCFA</w:t>
            </w:r>
          </w:p>
          <w:p>
            <w:r>
              <w:rPr>
                <w:b/>
                <w:color w:val="503200"/>
                <w:sz w:val="16"/>
              </w:rPr>
              <w:t xml:space="preserve">Volatilité ann. : </w:t>
            </w:r>
            <w:r>
              <w:rPr>
                <w:color w:val="000000"/>
                <w:sz w:val="17"/>
              </w:rPr>
              <w:t>45.5%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7.82% (Moyenne) — μ=3,684 FCFA, σ=288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β=0.3476 (Défensif) — Cov=0.000024, Var(idx)=0.000068, ρ=0.100,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2,064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σ_j=2.86%/j (Stable) — Vol. annualisée≈45.5%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3,289</w:t>
            </w:r>
          </w:p>
        </w:tc>
        <w:tc>
          <w:tcPr>
            <w:tcW w:type="dxa" w:w="1440"/>
            <w:shd w:fill="FAFAFA" w:val="clear"/>
          </w:tcPr>
          <w:p>
            <w:r>
              <w:rPr>
                <w:b/>
                <w:sz w:val="17"/>
              </w:rPr>
              <w:t>3,401</w:t>
            </w:r>
          </w:p>
        </w:tc>
        <w:tc>
          <w:tcPr>
            <w:tcW w:type="dxa" w:w="1440"/>
            <w:shd w:fill="FAFAFA" w:val="clear"/>
          </w:tcPr>
          <w:p>
            <w:r>
              <w:rPr>
                <w:sz w:val="17"/>
              </w:rPr>
              <w:t>3,514</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3,232</w:t>
            </w:r>
          </w:p>
        </w:tc>
        <w:tc>
          <w:tcPr>
            <w:tcW w:type="dxa" w:w="1440"/>
            <w:shd w:fill="FAFAFA" w:val="clear"/>
          </w:tcPr>
          <w:p>
            <w:r>
              <w:rPr>
                <w:b/>
                <w:sz w:val="17"/>
              </w:rPr>
              <w:t>3,390</w:t>
            </w:r>
          </w:p>
        </w:tc>
        <w:tc>
          <w:tcPr>
            <w:tcW w:type="dxa" w:w="1440"/>
            <w:shd w:fill="FAFAFA" w:val="clear"/>
          </w:tcPr>
          <w:p>
            <w:r>
              <w:rPr>
                <w:sz w:val="17"/>
              </w:rPr>
              <w:t>3,548</w:t>
            </w:r>
          </w:p>
        </w:tc>
        <w:tc>
          <w:tcPr>
            <w:tcW w:type="dxa" w:w="1440"/>
            <w:shd w:fill="FAFAFA" w:val="clear"/>
          </w:tcPr>
          <w:p>
            <w:r>
              <w:rPr>
                <w:b/>
                <w:color w:val="C00000"/>
                <w:sz w:val="17"/>
              </w:rPr>
              <w:t>-0.3%</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3,174</w:t>
            </w:r>
          </w:p>
        </w:tc>
        <w:tc>
          <w:tcPr>
            <w:tcW w:type="dxa" w:w="1440"/>
            <w:shd w:fill="FAFAFA" w:val="clear"/>
          </w:tcPr>
          <w:p>
            <w:r>
              <w:rPr>
                <w:b/>
                <w:sz w:val="17"/>
              </w:rPr>
              <w:t>3,367</w:t>
            </w:r>
          </w:p>
        </w:tc>
        <w:tc>
          <w:tcPr>
            <w:tcW w:type="dxa" w:w="1440"/>
            <w:shd w:fill="FAFAFA" w:val="clear"/>
          </w:tcPr>
          <w:p>
            <w:r>
              <w:rPr>
                <w:sz w:val="17"/>
              </w:rPr>
              <w:t>3,559</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3,117</w:t>
            </w:r>
          </w:p>
        </w:tc>
        <w:tc>
          <w:tcPr>
            <w:tcW w:type="dxa" w:w="1440"/>
            <w:shd w:fill="FAFAFA" w:val="clear"/>
          </w:tcPr>
          <w:p>
            <w:r>
              <w:rPr>
                <w:b/>
                <w:sz w:val="17"/>
              </w:rPr>
              <w:t>3,337</w:t>
            </w:r>
          </w:p>
        </w:tc>
        <w:tc>
          <w:tcPr>
            <w:tcW w:type="dxa" w:w="1440"/>
            <w:shd w:fill="FAFAFA" w:val="clear"/>
          </w:tcPr>
          <w:p>
            <w:r>
              <w:rPr>
                <w:sz w:val="17"/>
              </w:rPr>
              <w:t>3,558</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3,062</w:t>
            </w:r>
          </w:p>
        </w:tc>
        <w:tc>
          <w:tcPr>
            <w:tcW w:type="dxa" w:w="1440"/>
            <w:shd w:fill="FFDCE0" w:val="clear"/>
          </w:tcPr>
          <w:p>
            <w:r>
              <w:rPr>
                <w:b/>
                <w:sz w:val="17"/>
              </w:rPr>
              <w:t>3,306</w:t>
            </w:r>
          </w:p>
        </w:tc>
        <w:tc>
          <w:tcPr>
            <w:tcW w:type="dxa" w:w="1440"/>
            <w:shd w:fill="FFDCE0" w:val="clear"/>
          </w:tcPr>
          <w:p>
            <w:r>
              <w:rPr>
                <w:sz w:val="17"/>
              </w:rPr>
              <w:t>3,550</w:t>
            </w:r>
          </w:p>
        </w:tc>
        <w:tc>
          <w:tcPr>
            <w:tcW w:type="dxa" w:w="1440"/>
            <w:shd w:fill="FFDCE0" w:val="clear"/>
          </w:tcPr>
          <w:p>
            <w:r>
              <w:rPr>
                <w:b/>
                <w:color w:val="C00000"/>
                <w:sz w:val="17"/>
              </w:rPr>
              <w:t>-2.8%</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3,009</w:t>
            </w:r>
          </w:p>
        </w:tc>
        <w:tc>
          <w:tcPr>
            <w:tcW w:type="dxa" w:w="1440"/>
            <w:shd w:fill="FFDCE0" w:val="clear"/>
          </w:tcPr>
          <w:p>
            <w:r>
              <w:rPr>
                <w:b/>
                <w:sz w:val="17"/>
              </w:rPr>
              <w:t>3,274</w:t>
            </w:r>
          </w:p>
        </w:tc>
        <w:tc>
          <w:tcPr>
            <w:tcW w:type="dxa" w:w="1440"/>
            <w:shd w:fill="FFDCE0" w:val="clear"/>
          </w:tcPr>
          <w:p>
            <w:r>
              <w:rPr>
                <w:sz w:val="17"/>
              </w:rPr>
              <w:t>3,539</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2,962</w:t>
            </w:r>
          </w:p>
        </w:tc>
        <w:tc>
          <w:tcPr>
            <w:tcW w:type="dxa" w:w="1440"/>
            <w:shd w:fill="FFDCE0" w:val="clear"/>
          </w:tcPr>
          <w:p>
            <w:r>
              <w:rPr>
                <w:b/>
                <w:sz w:val="17"/>
              </w:rPr>
              <w:t>3,245</w:t>
            </w:r>
          </w:p>
        </w:tc>
        <w:tc>
          <w:tcPr>
            <w:tcW w:type="dxa" w:w="1440"/>
            <w:shd w:fill="FFDCE0" w:val="clear"/>
          </w:tcPr>
          <w:p>
            <w:r>
              <w:rPr>
                <w:sz w:val="17"/>
              </w:rPr>
              <w:t>3,529</w:t>
            </w:r>
          </w:p>
        </w:tc>
        <w:tc>
          <w:tcPr>
            <w:tcW w:type="dxa" w:w="1440"/>
            <w:shd w:fill="FFDCE0" w:val="clear"/>
          </w:tcPr>
          <w:p>
            <w:r>
              <w:rPr>
                <w:b/>
                <w:color w:val="C00000"/>
                <w:sz w:val="17"/>
              </w:rPr>
              <w:t>-4.6%</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2,918</w:t>
            </w:r>
          </w:p>
        </w:tc>
        <w:tc>
          <w:tcPr>
            <w:tcW w:type="dxa" w:w="1440"/>
            <w:shd w:fill="FFDCE0" w:val="clear"/>
          </w:tcPr>
          <w:p>
            <w:r>
              <w:rPr>
                <w:b/>
                <w:sz w:val="17"/>
              </w:rPr>
              <w:t>3,218</w:t>
            </w:r>
          </w:p>
        </w:tc>
        <w:tc>
          <w:tcPr>
            <w:tcW w:type="dxa" w:w="1440"/>
            <w:shd w:fill="FFDCE0" w:val="clear"/>
          </w:tcPr>
          <w:p>
            <w:r>
              <w:rPr>
                <w:sz w:val="17"/>
              </w:rPr>
              <w:t>3,519</w:t>
            </w:r>
          </w:p>
        </w:tc>
        <w:tc>
          <w:tcPr>
            <w:tcW w:type="dxa" w:w="1440"/>
            <w:shd w:fill="FFDCE0" w:val="clear"/>
          </w:tcPr>
          <w:p>
            <w:r>
              <w:rPr>
                <w:b/>
                <w:color w:val="C00000"/>
                <w:sz w:val="17"/>
              </w:rPr>
              <w:t>-5.3%</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2,878</w:t>
            </w:r>
          </w:p>
        </w:tc>
        <w:tc>
          <w:tcPr>
            <w:tcW w:type="dxa" w:w="1440"/>
            <w:shd w:fill="FFDCE0" w:val="clear"/>
          </w:tcPr>
          <w:p>
            <w:r>
              <w:rPr>
                <w:b/>
                <w:sz w:val="17"/>
              </w:rPr>
              <w:t>3,195</w:t>
            </w:r>
          </w:p>
        </w:tc>
        <w:tc>
          <w:tcPr>
            <w:tcW w:type="dxa" w:w="1440"/>
            <w:shd w:fill="FFDCE0" w:val="clear"/>
          </w:tcPr>
          <w:p>
            <w:r>
              <w:rPr>
                <w:sz w:val="17"/>
              </w:rPr>
              <w:t>3,511</w:t>
            </w:r>
          </w:p>
        </w:tc>
        <w:tc>
          <w:tcPr>
            <w:tcW w:type="dxa" w:w="1440"/>
            <w:shd w:fill="FFDCE0" w:val="clear"/>
          </w:tcPr>
          <w:p>
            <w:r>
              <w:rPr>
                <w:b/>
                <w:color w:val="C00000"/>
                <w:sz w:val="17"/>
              </w:rPr>
              <w:t>-6.0%</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2,841</w:t>
            </w:r>
          </w:p>
        </w:tc>
        <w:tc>
          <w:tcPr>
            <w:tcW w:type="dxa" w:w="1440"/>
            <w:shd w:fill="FFDCE0" w:val="clear"/>
          </w:tcPr>
          <w:p>
            <w:r>
              <w:rPr>
                <w:b/>
                <w:sz w:val="17"/>
              </w:rPr>
              <w:t>3,173</w:t>
            </w:r>
          </w:p>
        </w:tc>
        <w:tc>
          <w:tcPr>
            <w:tcW w:type="dxa" w:w="1440"/>
            <w:shd w:fill="FFDCE0" w:val="clear"/>
          </w:tcPr>
          <w:p>
            <w:r>
              <w:rPr>
                <w:sz w:val="17"/>
              </w:rPr>
              <w:t>3,504</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*Bourse Régionale des Valeurs Mobilières (BRVM) — Secteur Industriel*</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20,13 Mds FCFA, CABC se positionne comme une valeur de taille moyenne sur la BRVM, loin des poids lourds comme SONATEL mais suffisamment liquide pour intéresser les investisseurs institutionnels régionaux. Le BPA de 243 FCFA/action, couplé à un PER de 14,0x, situe le titre légèrement au-dessus de la moyenne du marché BRVM (8-12x), ce qui suggère que les investisseurs intègrent déjà une prime de croissance dans le cours. Le P/B de 2,15x indique que le marché valorise l'entreprise à plus du double de sa valeur comptable, reflétant une confiance dans la capacité bénéficiaire future malgré les défis opérationnels récents. Enfin, l'EV/EBITDA de 7,0x demeure raisonnable dans la fourchette 5-10x, signalant que la valeur totale de l'entreprise reste cohérente avec sa capacité opérationnelle, sans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CABC affiche une variation totale de -2,86%, avec une dernière séance stable à +0,00%, clôturant à 3 400 FCFA. Le titre a évolué dans un range de 1 310 FCFA, entre un plus haut de 4 500 FCFA et un plus bas de 3 190 FCFA, traduisant une tendance globalement baissière mais avec des rebonds ponctuels. La moyenne de 3 684 FCFA se situe au-dessus de la médiane de 3 592 FCFA, confirmant une asymétrie positive (skewness de 0,970) avec davantage de journées sous la moyenne, tandis que le mode à 3 500 FCFA indique un point d'équilibre psychologique fréquemment testé. L'écart-type de 289 FCFA (CV de 7,9%) révèle une dispersion modérée du cours, et le kurtosis de 0,507 (mésokurtique) suggère une distribution proche de la normale, sans risque excessif de pics extrêmes. La volatilité annualisée de 45,5% classe le titre dans la catégorie des valeurs à volatilité élevée (&gt;30%), ce qui implique un risque significatif pour les investisseurs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à 3 429,25 FCFA et la MM50 à 3 538,40 FCFA encadrent le cours actuel de 3 400 FCFA, qui évolue sous ses deux moyennes, signalant une pression baissière persistante. La MM20 étant inférieure à la MM50, la configuration reste baissière, justifiant la décision de **Vente** émise par cet indicateur.</w:t>
      </w:r>
    </w:p>
    <w:p>
      <w:pPr>
        <w:spacing w:after="120" w:line="276" w:lineRule="auto"/>
      </w:pPr>
      <w:r>
        <w:t>**Bandes de Bollinger** : Le cours à 3 400 FCFA se situe dans la partie inférieure de la bande, entre la borne inférieure à 3 206,56 FCFA et la borne supérieure à 3 651,94 FCFA, sans atteindre les extrêmes. Cette position médiane-basse traduit une volatilité contenue et une absence de signal directionnel fort, d'où la décision **Neutre**.</w:t>
      </w:r>
    </w:p>
    <w:p>
      <w:pPr>
        <w:spacing w:after="120" w:line="276" w:lineRule="auto"/>
      </w:pPr>
      <w:r>
        <w:t>**MACD** : La valeur du MACD (-73,031) est inférieure à son signal (-70,556), confirmant un momentum baissier avec une divergence négative. Cette configuration indique que la pression vendeuse l'emporte sur la dynamique acheteuse, justifiant la décision de **Vente**.</w:t>
      </w:r>
    </w:p>
    <w:p>
      <w:pPr>
        <w:spacing w:after="120" w:line="276" w:lineRule="auto"/>
      </w:pPr>
      <w:r>
        <w:t>**RSI** : À 43,836, le RSI se situe dans la zone neutre (30-70), sans signal de surachat ni de survente. Cette valeur proche du milieu de gamme reflète un équilibre relatif entre acheteurs et vendeurs, d'où la décision **Neutre**.</w:t>
      </w:r>
    </w:p>
    <w:p>
      <w:pPr>
        <w:spacing w:after="120" w:line="276" w:lineRule="auto"/>
      </w:pPr>
      <w:r>
        <w:t>**Stochastique** : Le %K à 67,742 est supérieur au %D à 46,156, suggérant un croisement haussier en formation, mais le %K reste sous la zone de surachat (80). Cette configuration mitigée justifie la décision **Neutre**, en attendant confirmation du croisement.</w:t>
      </w:r>
    </w:p>
    <w:p>
      <w:pPr>
        <w:spacing w:after="120" w:line="276" w:lineRule="auto"/>
      </w:pPr>
      <w:r>
        <w:t>**Conclusion technique** : Les indicateurs techniques présentent une configuration majoritairement baissière, avec deux signaux de vente (MM et MACD) contre trois signaux neutres (Bollinger, RSI, Stochastique). Le cours évolue sous ses moyennes mobiles, le MACD est en divergence négative, et le RSI reste sans direction claire. Cette convergence baissière suggère une poursuite de la pression vendeuse à court terme, bien que l'absence de survente limite le potentiel de rebond immédiat.</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de CABC (SICABLE) affichent un chiffre d'affaires de 21 263 M FCFA, en croissance de 11,18% par rapport à 2024, porté par une demande soutenue dans les infrastructures électriques et télécoms. Le résultat net s'établit à 1 439 M FCFA, avec une marge nette de 6,77%, en amélioration par rapport aux 6,4% de 2024. Le ROE de 15,40% (excellent, &gt;15%) et le ROA de 6,10% témoignent d'une rentabilité solide des fonds propres, bien que la rotation des actifs (90,06%) reste perfectible. Les délais clients de 144,69 jours et la durée de stockage de 152,12 jours constituent des points de vigilance majeurs, immobilisant le capital et pesant sur la trésorerie, comme en témoigne le flux opérationnel négatif de -819,66 M FCFA en 2025. Le BFR de 7 186 M FCFA (positif) et la trésorerie nette de 5 139 M FCFA (en baisse de 25% vs 2024) révèlent une tension croissante sur la liquidité, malgré une autonomie financière saine de 39,58%. Les rapports trimestriels de 2025 (T3 publié le 30/09/2025) confirment cette dynamique : le CA cumulé à fin septembre atteint 16 630 M FCFA (+13,7%), avec un résultat net de 1 329,5 M FCFA (+26,0%), mais la direction signale un rétrécissement des marges opérationnelles dû à la part croissante du négoce (moins marginal que la production). Le rapport T1 2026 (publié en 2026) révèle cependant une dégradation brutale : CA en baisse de 26,5% à 3 794 M FCFA et perte nette de 221,7 M FCFA, imputable à une maintenance planifiée et à l'inflation des cours des métaux (+23% en 3 mois). Sur la base de ces éléments, on estime que l'exercice 2026 pourrait être marqué par une contraction si la normalisation attendue au T2 ne se matérialise pas. La recommandation fondamentale est de **CONSERVER** avec vigilance, en surveillant la trésorerie, la gestion des stocks et la capacité à restaurer les marges opérationnelles.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CABC (PER 14,0x, P/B 2,15x, EV/EBITDA 7,0x) indique une légère surévaluation par rapport à la moyenne du marché BRVM, bien que les ratios restent dans des fourchettes acceptables. Le comportement du cours sur 100 jours est baissier (-2,86%), avec une volatilité élevée (45,5%) et une asymétrie positive (skewness 0,970) suggérant des rebonds ponctuels mais fragiles. Les signaux techniques sont majoritairement négatifs (MM et MACD en vente, RSI et Stochastique neutres), confirmant une pression baissière à court terme. Les fondamentaux de 2025 restent solides (CA +11,18%, ROE 15,40%), mais les rapports trimestriels de 2026 (T1 déficitaire) et la tension sur la trésorerie (flux opérationnel négatif, trésorerie -25%) constituent des alertes sérieuses. Les prédictions IA pour les 10 prochains jours (3 401 → 3 306 FCFA) confirment cette tendance baissière, avec une perte attendue de -2,8% supplémentaires. Sur la base de cette synthèse, la recommandation finale est **CONSERVER** avec un niveau de confiance **Moyen** et un risque global **Élevé**. L'horizon d'investissement optimal est le **moyen terme (3-12 mois)**, en attendant la confirmation de la normalisation des performances au T2 2026 et une amélioration de la trésorerie. Les investisseurs à court terme sont invités à la prudence, voire à alléger leurs positions si le cours venait à casser le support de 3 190 FCFA.</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13.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1039.68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1,581 titres</w:t>
            </w:r>
          </w:p>
        </w:tc>
        <w:tc>
          <w:tcPr>
            <w:tcW w:type="dxa" w:w="2268"/>
            <w:shd w:fill="FFF2CC" w:val="clear"/>
          </w:tcPr>
          <w:p>
            <w:r>
              <w:rPr>
                <w:b/>
                <w:color w:val="503200"/>
                <w:sz w:val="16"/>
              </w:rPr>
              <w:t xml:space="preserve">Cours actuel : </w:t>
            </w:r>
            <w:r>
              <w:rPr>
                <w:color w:val="000000"/>
                <w:sz w:val="17"/>
              </w:rPr>
              <w:t>32,490 FCFA</w:t>
            </w:r>
          </w:p>
          <w:p>
            <w:r>
              <w:rPr>
                <w:b/>
                <w:color w:val="503200"/>
                <w:sz w:val="16"/>
              </w:rPr>
              <w:t xml:space="preserve">Var. 100 jours : </w:t>
            </w:r>
            <w:r>
              <w:rPr>
                <w:b/>
                <w:color w:val="007800"/>
                <w:sz w:val="17"/>
              </w:rPr>
              <w:t>+96.31%</w:t>
            </w:r>
          </w:p>
          <w:p>
            <w:r>
              <w:rPr>
                <w:b/>
                <w:color w:val="503200"/>
                <w:sz w:val="16"/>
              </w:rPr>
              <w:t xml:space="preserve">Plus haut 100j : </w:t>
            </w:r>
            <w:r>
              <w:rPr>
                <w:color w:val="000000"/>
                <w:sz w:val="17"/>
              </w:rPr>
              <w:t>34,450 FCFA</w:t>
            </w:r>
          </w:p>
          <w:p>
            <w:r>
              <w:rPr>
                <w:b/>
                <w:color w:val="503200"/>
                <w:sz w:val="16"/>
              </w:rPr>
              <w:t xml:space="preserve">Plus bas 100j : </w:t>
            </w:r>
            <w:r>
              <w:rPr>
                <w:color w:val="000000"/>
                <w:sz w:val="17"/>
              </w:rPr>
              <w:t>16,550 FCFA</w:t>
            </w:r>
          </w:p>
          <w:p>
            <w:r>
              <w:rPr>
                <w:b/>
                <w:color w:val="503200"/>
                <w:sz w:val="16"/>
              </w:rPr>
              <w:t xml:space="preserve">Volatilité ann. : </w:t>
            </w:r>
            <w:r>
              <w:rPr>
                <w:color w:val="000000"/>
                <w:sz w:val="17"/>
              </w:rPr>
              <w:t>44.1%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18.72% (Élevée) — μ=26,188 FCFA, σ=4,902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β=1.5689 (Agressif) — Cov=0.000107, Var(idx)=0.000068, ρ=0.465,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1,581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σ_j=2.78%/j (Stable) — Vol. annualisée≈44.1%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2026-09-29</w:t>
            </w:r>
          </w:p>
        </w:tc>
        <w:tc>
          <w:tcPr>
            <w:tcW w:type="dxa" w:w="1440"/>
            <w:shd w:fill="FFDCE0" w:val="clear"/>
          </w:tcPr>
          <w:p>
            <w:r>
              <w:rPr>
                <w:sz w:val="17"/>
              </w:rPr>
              <w:t>29,047</w:t>
            </w:r>
          </w:p>
        </w:tc>
        <w:tc>
          <w:tcPr>
            <w:tcW w:type="dxa" w:w="1440"/>
            <w:shd w:fill="FFDCE0" w:val="clear"/>
          </w:tcPr>
          <w:p>
            <w:r>
              <w:rPr>
                <w:b/>
                <w:sz w:val="17"/>
              </w:rPr>
              <w:t>30,510</w:t>
            </w:r>
          </w:p>
        </w:tc>
        <w:tc>
          <w:tcPr>
            <w:tcW w:type="dxa" w:w="1440"/>
            <w:shd w:fill="FFDCE0" w:val="clear"/>
          </w:tcPr>
          <w:p>
            <w:r>
              <w:rPr>
                <w:sz w:val="17"/>
              </w:rPr>
              <w:t>31,973</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2026-09-30</w:t>
            </w:r>
          </w:p>
        </w:tc>
        <w:tc>
          <w:tcPr>
            <w:tcW w:type="dxa" w:w="1440"/>
            <w:shd w:fill="FFDCE0" w:val="clear"/>
          </w:tcPr>
          <w:p>
            <w:r>
              <w:rPr>
                <w:sz w:val="17"/>
              </w:rPr>
              <w:t>27,639</w:t>
            </w:r>
          </w:p>
        </w:tc>
        <w:tc>
          <w:tcPr>
            <w:tcW w:type="dxa" w:w="1440"/>
            <w:shd w:fill="FFDCE0" w:val="clear"/>
          </w:tcPr>
          <w:p>
            <w:r>
              <w:rPr>
                <w:b/>
                <w:sz w:val="17"/>
              </w:rPr>
              <w:t>29,650</w:t>
            </w:r>
          </w:p>
        </w:tc>
        <w:tc>
          <w:tcPr>
            <w:tcW w:type="dxa" w:w="1440"/>
            <w:shd w:fill="FFDCE0" w:val="clear"/>
          </w:tcPr>
          <w:p>
            <w:r>
              <w:rPr>
                <w:sz w:val="17"/>
              </w:rPr>
              <w:t>31,661</w:t>
            </w:r>
          </w:p>
        </w:tc>
        <w:tc>
          <w:tcPr>
            <w:tcW w:type="dxa" w:w="1440"/>
            <w:shd w:fill="FFDCE0" w:val="clear"/>
          </w:tcPr>
          <w:p>
            <w:r>
              <w:rPr>
                <w:b/>
                <w:color w:val="C00000"/>
                <w:sz w:val="17"/>
              </w:rPr>
              <w:t>-8.7%</w:t>
            </w:r>
          </w:p>
        </w:tc>
      </w:tr>
      <w:tr>
        <w:tc>
          <w:tcPr>
            <w:tcW w:type="dxa" w:w="1440"/>
            <w:shd w:fill="FFDCE0" w:val="clear"/>
          </w:tcPr>
          <w:p>
            <w:r>
              <w:rPr>
                <w:sz w:val="17"/>
              </w:rPr>
              <w:t>J+3  Moyenne</w:t>
            </w:r>
          </w:p>
        </w:tc>
        <w:tc>
          <w:tcPr>
            <w:tcW w:type="dxa" w:w="1440"/>
            <w:shd w:fill="FFDCE0" w:val="clear"/>
          </w:tcPr>
          <w:p>
            <w:r>
              <w:rPr>
                <w:sz w:val="17"/>
              </w:rPr>
              <w:t>2026-10-01</w:t>
            </w:r>
          </w:p>
        </w:tc>
        <w:tc>
          <w:tcPr>
            <w:tcW w:type="dxa" w:w="1440"/>
            <w:shd w:fill="FFDCE0" w:val="clear"/>
          </w:tcPr>
          <w:p>
            <w:r>
              <w:rPr>
                <w:sz w:val="17"/>
              </w:rPr>
              <w:t>26,884</w:t>
            </w:r>
          </w:p>
        </w:tc>
        <w:tc>
          <w:tcPr>
            <w:tcW w:type="dxa" w:w="1440"/>
            <w:shd w:fill="FFDCE0" w:val="clear"/>
          </w:tcPr>
          <w:p>
            <w:r>
              <w:rPr>
                <w:b/>
                <w:sz w:val="17"/>
              </w:rPr>
              <w:t>29,319</w:t>
            </w:r>
          </w:p>
        </w:tc>
        <w:tc>
          <w:tcPr>
            <w:tcW w:type="dxa" w:w="1440"/>
            <w:shd w:fill="FFDCE0" w:val="clear"/>
          </w:tcPr>
          <w:p>
            <w:r>
              <w:rPr>
                <w:sz w:val="17"/>
              </w:rPr>
              <w:t>31,754</w:t>
            </w:r>
          </w:p>
        </w:tc>
        <w:tc>
          <w:tcPr>
            <w:tcW w:type="dxa" w:w="1440"/>
            <w:shd w:fill="FFDCE0" w:val="clear"/>
          </w:tcPr>
          <w:p>
            <w:r>
              <w:rPr>
                <w:b/>
                <w:color w:val="C00000"/>
                <w:sz w:val="17"/>
              </w:rPr>
              <w:t>-9.8%</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26,319</w:t>
            </w:r>
          </w:p>
        </w:tc>
        <w:tc>
          <w:tcPr>
            <w:tcW w:type="dxa" w:w="1440"/>
            <w:shd w:fill="FFDCE0" w:val="clear"/>
          </w:tcPr>
          <w:p>
            <w:r>
              <w:rPr>
                <w:b/>
                <w:sz w:val="17"/>
              </w:rPr>
              <w:t>29,111</w:t>
            </w:r>
          </w:p>
        </w:tc>
        <w:tc>
          <w:tcPr>
            <w:tcW w:type="dxa" w:w="1440"/>
            <w:shd w:fill="FFDCE0" w:val="clear"/>
          </w:tcPr>
          <w:p>
            <w:r>
              <w:rPr>
                <w:sz w:val="17"/>
              </w:rPr>
              <w:t>31,903</w:t>
            </w:r>
          </w:p>
        </w:tc>
        <w:tc>
          <w:tcPr>
            <w:tcW w:type="dxa" w:w="1440"/>
            <w:shd w:fill="FFDCE0" w:val="clear"/>
          </w:tcPr>
          <w:p>
            <w:r>
              <w:rPr>
                <w:b/>
                <w:color w:val="C00000"/>
                <w:sz w:val="17"/>
              </w:rPr>
              <w:t>-10.4%</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25,818</w:t>
            </w:r>
          </w:p>
        </w:tc>
        <w:tc>
          <w:tcPr>
            <w:tcW w:type="dxa" w:w="1440"/>
            <w:shd w:fill="FFDCE0" w:val="clear"/>
          </w:tcPr>
          <w:p>
            <w:r>
              <w:rPr>
                <w:b/>
                <w:sz w:val="17"/>
              </w:rPr>
              <w:t>28,919</w:t>
            </w:r>
          </w:p>
        </w:tc>
        <w:tc>
          <w:tcPr>
            <w:tcW w:type="dxa" w:w="1440"/>
            <w:shd w:fill="FFDCE0" w:val="clear"/>
          </w:tcPr>
          <w:p>
            <w:r>
              <w:rPr>
                <w:sz w:val="17"/>
              </w:rPr>
              <w:t>32,020</w:t>
            </w:r>
          </w:p>
        </w:tc>
        <w:tc>
          <w:tcPr>
            <w:tcW w:type="dxa" w:w="1440"/>
            <w:shd w:fill="FFDCE0" w:val="clear"/>
          </w:tcPr>
          <w:p>
            <w:r>
              <w:rPr>
                <w:b/>
                <w:color w:val="C00000"/>
                <w:sz w:val="17"/>
              </w:rPr>
              <w:t>-11.0%</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25,377</w:t>
            </w:r>
          </w:p>
        </w:tc>
        <w:tc>
          <w:tcPr>
            <w:tcW w:type="dxa" w:w="1440"/>
            <w:shd w:fill="FFDCE0" w:val="clear"/>
          </w:tcPr>
          <w:p>
            <w:r>
              <w:rPr>
                <w:b/>
                <w:sz w:val="17"/>
              </w:rPr>
              <w:t>28,755</w:t>
            </w:r>
          </w:p>
        </w:tc>
        <w:tc>
          <w:tcPr>
            <w:tcW w:type="dxa" w:w="1440"/>
            <w:shd w:fill="FFDCE0" w:val="clear"/>
          </w:tcPr>
          <w:p>
            <w:r>
              <w:rPr>
                <w:sz w:val="17"/>
              </w:rPr>
              <w:t>32,133</w:t>
            </w:r>
          </w:p>
        </w:tc>
        <w:tc>
          <w:tcPr>
            <w:tcW w:type="dxa" w:w="1440"/>
            <w:shd w:fill="FFDCE0" w:val="clear"/>
          </w:tcPr>
          <w:p>
            <w:r>
              <w:rPr>
                <w:b/>
                <w:color w:val="C00000"/>
                <w:sz w:val="17"/>
              </w:rPr>
              <w:t>-11.5%</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24,986</w:t>
            </w:r>
          </w:p>
        </w:tc>
        <w:tc>
          <w:tcPr>
            <w:tcW w:type="dxa" w:w="1440"/>
            <w:shd w:fill="FFDCE0" w:val="clear"/>
          </w:tcPr>
          <w:p>
            <w:r>
              <w:rPr>
                <w:b/>
                <w:sz w:val="17"/>
              </w:rPr>
              <w:t>28,617</w:t>
            </w:r>
          </w:p>
        </w:tc>
        <w:tc>
          <w:tcPr>
            <w:tcW w:type="dxa" w:w="1440"/>
            <w:shd w:fill="FFDCE0" w:val="clear"/>
          </w:tcPr>
          <w:p>
            <w:r>
              <w:rPr>
                <w:sz w:val="17"/>
              </w:rPr>
              <w:t>32,248</w:t>
            </w:r>
          </w:p>
        </w:tc>
        <w:tc>
          <w:tcPr>
            <w:tcW w:type="dxa" w:w="1440"/>
            <w:shd w:fill="FFDCE0" w:val="clear"/>
          </w:tcPr>
          <w:p>
            <w:r>
              <w:rPr>
                <w:b/>
                <w:color w:val="C00000"/>
                <w:sz w:val="17"/>
              </w:rPr>
              <w:t>-11.9%</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24,632</w:t>
            </w:r>
          </w:p>
        </w:tc>
        <w:tc>
          <w:tcPr>
            <w:tcW w:type="dxa" w:w="1440"/>
            <w:shd w:fill="FFDCE0" w:val="clear"/>
          </w:tcPr>
          <w:p>
            <w:r>
              <w:rPr>
                <w:b/>
                <w:sz w:val="17"/>
              </w:rPr>
              <w:t>28,498</w:t>
            </w:r>
          </w:p>
        </w:tc>
        <w:tc>
          <w:tcPr>
            <w:tcW w:type="dxa" w:w="1440"/>
            <w:shd w:fill="FFDCE0" w:val="clear"/>
          </w:tcPr>
          <w:p>
            <w:r>
              <w:rPr>
                <w:sz w:val="17"/>
              </w:rPr>
              <w:t>32,363</w:t>
            </w:r>
          </w:p>
        </w:tc>
        <w:tc>
          <w:tcPr>
            <w:tcW w:type="dxa" w:w="1440"/>
            <w:shd w:fill="FFDCE0" w:val="clear"/>
          </w:tcPr>
          <w:p>
            <w:r>
              <w:rPr>
                <w:b/>
                <w:color w:val="C00000"/>
                <w:sz w:val="17"/>
              </w:rPr>
              <w:t>-12.3%</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24,309</w:t>
            </w:r>
          </w:p>
        </w:tc>
        <w:tc>
          <w:tcPr>
            <w:tcW w:type="dxa" w:w="1440"/>
            <w:shd w:fill="FFDCE0" w:val="clear"/>
          </w:tcPr>
          <w:p>
            <w:r>
              <w:rPr>
                <w:b/>
                <w:sz w:val="17"/>
              </w:rPr>
              <w:t>28,394</w:t>
            </w:r>
          </w:p>
        </w:tc>
        <w:tc>
          <w:tcPr>
            <w:tcW w:type="dxa" w:w="1440"/>
            <w:shd w:fill="FFDCE0" w:val="clear"/>
          </w:tcPr>
          <w:p>
            <w:r>
              <w:rPr>
                <w:sz w:val="17"/>
              </w:rPr>
              <w:t>32,479</w:t>
            </w:r>
          </w:p>
        </w:tc>
        <w:tc>
          <w:tcPr>
            <w:tcW w:type="dxa" w:w="1440"/>
            <w:shd w:fill="FFDCE0" w:val="clear"/>
          </w:tcPr>
          <w:p>
            <w:r>
              <w:rPr>
                <w:b/>
                <w:color w:val="C00000"/>
                <w:sz w:val="17"/>
              </w:rPr>
              <w:t>-12.6%</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24,011</w:t>
            </w:r>
          </w:p>
        </w:tc>
        <w:tc>
          <w:tcPr>
            <w:tcW w:type="dxa" w:w="1440"/>
            <w:shd w:fill="FFDCE0" w:val="clear"/>
          </w:tcPr>
          <w:p>
            <w:r>
              <w:rPr>
                <w:b/>
                <w:sz w:val="17"/>
              </w:rPr>
              <w:t>28,303</w:t>
            </w:r>
          </w:p>
        </w:tc>
        <w:tc>
          <w:tcPr>
            <w:tcW w:type="dxa" w:w="1440"/>
            <w:shd w:fill="FFDCE0" w:val="clear"/>
          </w:tcPr>
          <w:p>
            <w:r>
              <w:rPr>
                <w:sz w:val="17"/>
              </w:rPr>
              <w:t>32,596</w:t>
            </w:r>
          </w:p>
        </w:tc>
        <w:tc>
          <w:tcPr>
            <w:tcW w:type="dxa" w:w="1440"/>
            <w:shd w:fill="FFDCE0" w:val="clear"/>
          </w:tcPr>
          <w:p>
            <w:r>
              <w:rPr>
                <w:b/>
                <w:color w:val="C00000"/>
                <w:sz w:val="17"/>
              </w:rPr>
              <w:t>-12.9%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 📊 RAPPORT D'ANALYSE FINANCIÈRE — CORIS BANK INTERNATIONAL (CBIBF)</w:t>
        <w:br/>
        <w:t>### Bourse Régionale des Valeurs Mobilières (BRVM) — Secteur Bancaire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**1 039,68 milliards FCFA**, CBIBF s'impose comme l'une des plus importantes capitalisations de la cote BRVM, ce qui témoigne de sa stature de valeur de premier plan dans le compartiment bancaire régional. Le **BPA de 2 047 FCFA/action** signifie que chaque titre génère près de 2 047 FCFA de bénéfice net, un niveau de rentabilité par action particulièrement élevé qui reflète la forte profitabilité de la banque. Le **PER de 15,9x** se situe au-dessus de la moyenne du marché BRVM (généralement estimée entre 8x et 12x), ce qui indique que les investisseurs acceptent de payer une prime de valorisation pour cette valeur de croissance — le titre n'est donc pas « bon marché » au sens strict, mais cette prime se justifie par la dynamique bénéficiaire exceptionnelle. Le **EV/EBITDA de 11,8x**, dans la fourchette 10-15x, confirme une valorisation élevée de la capacité opérationnelle, cohérente avec le statut de leader régional. Le ratio P/B n'étant pas fourni dans les données, il n'est pas commenté ici.</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CBIBF a enregistré une **progression spectaculaire de +96,31%**, avec une dernière séance (J-1) encore haussière de **+3,14%**, portant le cours actuel à **32 490 FCFA**. Le range de trading est très large, entre un plus bas de **16 550 FCFA** et un plus haut de **34 450 FCFA**, soit un écart de plus de 108% — signe d'une tendance nettement haussière, mais aussi d'une forte amplitude. La moyenne (26 188 FCFA) est inférieure à la médiane (27 522 FCFA), ce qui traduit une légère asymétrie négative : le cours a passé plus de temps dans les niveaux élevés, mais quelques séances de forte baisse ont tiré la moyenne vers le bas. L'écart-type de 4 927 FCFA (CV = 18,8%) indique une dispersion modérée à élevée du cours autour de sa moyenne. Le **kurtosis de -1,021 (platykurtique)** signale une distribution aplatie, c'est-à-dire un risque de pics extrêmes plus faible qu'une loi normale — plutôt rassurant. Le **skewness de -0,135**, quasi nul, confirme une distribution globalement symétrique. Enfin, la **volatilité annualisée de 44,1%** classe ce titre dans la catégorie **élevée (&gt;30%)**, ce qui est cohérent avec la forte appréciation récente et impose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(32 715,75 FCFA) et la MM50 (30 054,60 FCFA) sont toutes deux inférieures au cours actuel (32 490 FCFA pour la MM20, cours légèrement en dessous), mais la configuration MM20 &gt; MM50 traduit une dynamique haussière de fond. Le signal technique est **Achat**, la structure des moyennes confirmant la tendance positive de moyen terme.</w:t>
      </w:r>
    </w:p>
    <w:p>
      <w:pPr>
        <w:spacing w:after="120" w:line="276" w:lineRule="auto"/>
      </w:pPr>
      <w:r>
        <w:t>**Bandes de Bollinger** : Le cours (32 490 FCFA) évolue à l'intérieur des bandes, entre la borne inférieure (29 636,26 FCFA) et la borne supérieure (35 795,24 FCFA), sans les toucher. Cette position médiane, couplée à un écart-type élevé, indique une volatilité significative mais sans excès directionnel immédiat. Le signal est **Neutre**, le titre n'étant ni en zone de surachat ni de survente technique.</w:t>
      </w:r>
    </w:p>
    <w:p>
      <w:pPr>
        <w:spacing w:after="120" w:line="276" w:lineRule="auto"/>
      </w:pPr>
      <w:r>
        <w:t>**MACD** : La valeur du MACD (384,35) est nettement inférieure à son signal (811,12), ce qui constitue un croisement baissier et traduit un **essoufflement du momentum haussier**. Le signal est **Vente**, suggérant une possible consolidation à court terme malgré la tendance de fond positive.</w:t>
      </w:r>
    </w:p>
    <w:p>
      <w:pPr>
        <w:spacing w:after="120" w:line="276" w:lineRule="auto"/>
      </w:pPr>
      <w:r>
        <w:t>**RSI** : À **47,96**, le RSI se situe parfaitement dans la zone neutre (30-70), indiquant un équilibre entre acheteurs et vendeurs, sans pression de surachat ni de survente. Le signal est **Neutre**, cohérent avec une phase de respiration après la forte hausse.</w:t>
      </w:r>
    </w:p>
    <w:p>
      <w:pPr>
        <w:spacing w:after="120" w:line="276" w:lineRule="auto"/>
      </w:pPr>
      <w:r>
        <w:t>**Stochastique** : Le %K (66,06) est supérieur au %D (47,71), ce qui constitue un croisement haussier récent. Le signal reste toutefois **Neutre**, le %K n'ayant pas encore atteint la zone de surachat (&gt;80), laissant une marge de progression.</w:t>
      </w:r>
    </w:p>
    <w:p>
      <w:pPr>
        <w:spacing w:after="120" w:line="276" w:lineRule="auto"/>
      </w:pPr>
      <w:r>
        <w:t>**Conclusion technique** : Les indicateurs sont **mitigés mais globalement constructifs**. La structure des moyennes mobiles et le croisement haussier du stochastique plaident pour une poursuite de la tendance, tandis que le MACD baissier et le RSI neutre suggèrent une consolidation à court terme. Le titre se trouve dans une phase de respiration saine après un doublement de sa valeur en 100 jours, sans signal de retournement majeur.</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Coris Bank International affiche un **Produit Net Bancaire (PNB) de 138,99 milliards FCFA**, en croissance de **+6,11%**, et un **résultat net de 65,50 milliards FCFA**, en progression remarquable de **+36,6%** par rapport à 2024 (47,94 Mds FCFA selon le rapport annuel 2024). Le **coefficient d'exploitation de 36,39%** est excellent (largement &lt; 60%), confirmant une efficacité opérationnelle de premier ordre. La **marge nette de 47,12%** et la **marge opérationnelle de 51,77%** témoignent d'une rentabilité élevée. Le **ROA de 2,18%** et la **rotation des actifs de 4,64%** sont solides pour le secteur. Le **coût du risque s'améliore de 59,3%** (16,5 Mds FCFA), traduisant l'assainissement réussi du portefeuille après l'année 2024 difficile. Le ratio dépôts/crédits est très favorable : **2 015,28 Mds FCFA de dépôts** pour **1 326,98 Mds FCFA de créances**, soit une surliquidité confortable.</w:t>
      </w:r>
    </w:p>
    <w:p>
      <w:pPr>
        <w:spacing w:after="120" w:line="276" w:lineRule="auto"/>
      </w:pPr>
      <w:r>
        <w:t>**Évolution temporelle** : L'exercice 2024 avait été marqué par une chute du résultat net (-25,4% à 47,94 Mds FCFA) sous l'effet d'une explosion du coût du risque (+72,5%). L'année 2025 marque un **net redressement**, avec un résultat net de 65,5 Mds FCFA qui dépasse même le niveau de 2023 (64,2 Mds FCFA).</w:t>
      </w:r>
    </w:p>
    <w:p>
      <w:pPr>
        <w:spacing w:after="120" w:line="276" w:lineRule="auto"/>
      </w:pPr>
      <w:r>
        <w:t>**Estimations basées sur les rapports trimestriels** : Le rapport T3 2025 (30/09/2025) confirme un PNB de 101,3 Mds FCFA (+9,65%) et un résultat net de 52,9 Mds FCFA (+6,25%). Surtout, le **rapport T1 2026** (données 2026) révèle une **accélération spectaculaire** : PNB de 36,8 Mds FCFA (+28,5%), résultat net de 21,5 Mds FCFA (+22,2%), et des dépôts clients en hausse de **+37,9% à 2 365,1 Mds FCFA**. Sur cette base, on peut estimer que l'exercice 2026 devrait afficher une croissance du PNB supérieure à 15% et un résultat net potentiellement supérieur à 75 Mds FCFA. La notation **AA/AI avec perspective stable** (Bloomfield) et le renforcement de la gouvernance (administrateurs indépendants) confortent la solidité fondamentale. **Recommandation fondamentale : solide, avec des perspectives de croissance accélérée, malgré un environnement sécuritaire régional incertain.**</w:t>
      </w:r>
    </w:p>
    <w:p>
      <w:pPr>
        <w:spacing w:after="120" w:line="276" w:lineRule="auto"/>
      </w:pPr>
      <w:r>
        <w:t>---</w:t>
      </w:r>
    </w:p>
    <w:p>
      <w:pPr>
        <w:spacing w:after="120" w:line="276" w:lineRule="auto"/>
      </w:pPr>
      <w:r>
        <w:t>## PARTIE 4 : CONCLUSION D'INVESTISSEMENT</w:t>
      </w:r>
    </w:p>
    <w:p>
      <w:pPr>
        <w:spacing w:after="120" w:line="276" w:lineRule="auto"/>
      </w:pPr>
      <w:r>
        <w:t>La **valorisation (Partie 0)** affiche un PER de 15,9x et un EV/EBITDA de 11,8x, soit une prime par rapport à la moyenne BRVM, mais qui se justifie par la croissance exceptionnelle des bénéfices — le titre n'est donc ni sous-évalué ni excessivement cher. Le **comportement du cours (Partie 1)** est nettement haussier (+96,31% en 100 jours) avec une volatilité élevée (44,1%) mais une distribution symétrique et sans risque de pics extrêmes (kurtosis négatif), ce qui est plutôt favorable. Les **signaux techniques (Partie 2)** sont mitigés : structure haussière des MM et stochastique positif, mais MACD baissier et RSI neutre, suggérant une consolidation avant une reprise. Les **fondamentaux (Partie 3)** sont excellents : résultat net 2025 en hausse de 36,6%, coefficient d'exploitation de 36,4%, coût du risque en forte amélioration, et surtout un T1 2026 qui accélère (+28,5% de PNB, +37,9% de dépôts). Les **prédictions IA (J+1 à J+10)** anticipent toutefois une **correction baissière** de 32 490 FCFA vers 28 919 FCFA (-11%), ce qui contredit la tendance haussière récente et les fondamentaux solides. Cette divergence s'explique probablement par la prise en compte de la consolidation technique à court terme (MACD baissier). **Recommandation finale : ACHAT**, avec un **niveau de confiance Moyen** et un **risque global Moyen** (volatilité élevée + incertitudes sécuritaires régionales). L'horizon optimal est le **moyen terme (3-12 mois)**, le temps que la consolidation s'achève et que la dynamique bénéficiaire 2026 se matérialise pleinement. Les investisseurs à court terme attendront un repli vers 29 000-30 000 FCFA pour se positionner, tandis que les investisseurs long terme peuvent accumuler progressivement sur les points de faiblesse.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14.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292.92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3,670 titres</w:t>
            </w:r>
          </w:p>
        </w:tc>
        <w:tc>
          <w:tcPr>
            <w:tcW w:type="dxa" w:w="2268"/>
            <w:shd w:fill="FFF2CC" w:val="clear"/>
          </w:tcPr>
          <w:p>
            <w:r>
              <w:rPr>
                <w:b/>
                <w:color w:val="503200"/>
                <w:sz w:val="16"/>
              </w:rPr>
              <w:t xml:space="preserve">Cours actuel : </w:t>
            </w:r>
            <w:r>
              <w:rPr>
                <w:color w:val="000000"/>
                <w:sz w:val="17"/>
              </w:rPr>
              <w:t>1,615 FCFA</w:t>
            </w:r>
          </w:p>
          <w:p>
            <w:r>
              <w:rPr>
                <w:b/>
                <w:color w:val="503200"/>
                <w:sz w:val="16"/>
              </w:rPr>
              <w:t xml:space="preserve">Var. 100 jours : </w:t>
            </w:r>
            <w:r>
              <w:rPr>
                <w:b/>
                <w:color w:val="007800"/>
                <w:sz w:val="17"/>
              </w:rPr>
              <w:t>+21.89%</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17.5/100 → Faible</w:t>
      </w:r>
    </w:p>
    <w:p>
      <w:pPr>
        <w:spacing w:before="40" w:after="80"/>
      </w:pPr>
      <w:r>
        <w:rPr>
          <w:rFonts w:ascii="Courier New" w:hAnsi="Courier New"/>
          <w:color w:val="006400"/>
          <w:sz w:val="18"/>
        </w:rPr>
        <w:t>███░░░░░░░░░░░░░░░░░  17.5/100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6.52% (Moyenne) — μ=1,627 FCFA, σ=106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β=1.1048 (Neutre (suit le marché)) — Cov=0.000075, Var(idx)=0.000068, ρ=0.310,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σ_j=2.95%/j (Stable) — Vol. annualisée≈46.8%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1,526</w:t>
            </w:r>
          </w:p>
        </w:tc>
        <w:tc>
          <w:tcPr>
            <w:tcW w:type="dxa" w:w="1440"/>
            <w:shd w:fill="FAFAFA" w:val="clear"/>
          </w:tcPr>
          <w:p>
            <w:r>
              <w:rPr>
                <w:b/>
                <w:sz w:val="17"/>
              </w:rPr>
              <w:t>1,591</w:t>
            </w:r>
          </w:p>
        </w:tc>
        <w:tc>
          <w:tcPr>
            <w:tcW w:type="dxa" w:w="1440"/>
            <w:shd w:fill="FAFAFA" w:val="clear"/>
          </w:tcPr>
          <w:p>
            <w:r>
              <w:rPr>
                <w:sz w:val="17"/>
              </w:rPr>
              <w:t>1,657</w:t>
            </w:r>
          </w:p>
        </w:tc>
        <w:tc>
          <w:tcPr>
            <w:tcW w:type="dxa" w:w="1440"/>
            <w:shd w:fill="FAFAFA" w:val="clear"/>
          </w:tcPr>
          <w:p>
            <w:r>
              <w:rPr>
                <w:b/>
                <w:color w:val="C00000"/>
                <w:sz w:val="17"/>
              </w:rPr>
              <w:t>-1.5%</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1,508</w:t>
            </w:r>
          </w:p>
        </w:tc>
        <w:tc>
          <w:tcPr>
            <w:tcW w:type="dxa" w:w="1440"/>
            <w:shd w:fill="FAFAFA" w:val="clear"/>
          </w:tcPr>
          <w:p>
            <w:r>
              <w:rPr>
                <w:b/>
                <w:sz w:val="17"/>
              </w:rPr>
              <w:t>1,601</w:t>
            </w:r>
          </w:p>
        </w:tc>
        <w:tc>
          <w:tcPr>
            <w:tcW w:type="dxa" w:w="1440"/>
            <w:shd w:fill="FAFAFA" w:val="clear"/>
          </w:tcPr>
          <w:p>
            <w:r>
              <w:rPr>
                <w:sz w:val="17"/>
              </w:rPr>
              <w:t>1,695</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1,493</w:t>
            </w:r>
          </w:p>
        </w:tc>
        <w:tc>
          <w:tcPr>
            <w:tcW w:type="dxa" w:w="1440"/>
            <w:shd w:fill="FAFAFA" w:val="clear"/>
          </w:tcPr>
          <w:p>
            <w:r>
              <w:rPr>
                <w:b/>
                <w:sz w:val="17"/>
              </w:rPr>
              <w:t>1,608</w:t>
            </w:r>
          </w:p>
        </w:tc>
        <w:tc>
          <w:tcPr>
            <w:tcW w:type="dxa" w:w="1440"/>
            <w:shd w:fill="FAFAFA" w:val="clear"/>
          </w:tcPr>
          <w:p>
            <w:r>
              <w:rPr>
                <w:sz w:val="17"/>
              </w:rPr>
              <w:t>1,723</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1,481</w:t>
            </w:r>
          </w:p>
        </w:tc>
        <w:tc>
          <w:tcPr>
            <w:tcW w:type="dxa" w:w="1440"/>
            <w:shd w:fill="FAFAFA" w:val="clear"/>
          </w:tcPr>
          <w:p>
            <w:r>
              <w:rPr>
                <w:b/>
                <w:sz w:val="17"/>
              </w:rPr>
              <w:t>1,614</w:t>
            </w:r>
          </w:p>
        </w:tc>
        <w:tc>
          <w:tcPr>
            <w:tcW w:type="dxa" w:w="1440"/>
            <w:shd w:fill="FAFAFA" w:val="clear"/>
          </w:tcPr>
          <w:p>
            <w:r>
              <w:rPr>
                <w:sz w:val="17"/>
              </w:rPr>
              <w:t>1,747</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1,470</w:t>
            </w:r>
          </w:p>
        </w:tc>
        <w:tc>
          <w:tcPr>
            <w:tcW w:type="dxa" w:w="1440"/>
            <w:shd w:fill="FAFAFA" w:val="clear"/>
          </w:tcPr>
          <w:p>
            <w:r>
              <w:rPr>
                <w:b/>
                <w:sz w:val="17"/>
              </w:rPr>
              <w:t>1,620</w:t>
            </w:r>
          </w:p>
        </w:tc>
        <w:tc>
          <w:tcPr>
            <w:tcW w:type="dxa" w:w="1440"/>
            <w:shd w:fill="FAFAFA" w:val="clear"/>
          </w:tcPr>
          <w:p>
            <w:r>
              <w:rPr>
                <w:sz w:val="17"/>
              </w:rPr>
              <w:t>1,769</w:t>
            </w:r>
          </w:p>
        </w:tc>
        <w:tc>
          <w:tcPr>
            <w:tcW w:type="dxa" w:w="1440"/>
            <w:shd w:fill="FAFAFA" w:val="clear"/>
          </w:tcPr>
          <w:p>
            <w:r>
              <w:rPr>
                <w:b/>
                <w:color w:val="008000"/>
                <w:sz w:val="17"/>
              </w:rPr>
              <w:t>+0.3%</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1,461</w:t>
            </w:r>
          </w:p>
        </w:tc>
        <w:tc>
          <w:tcPr>
            <w:tcW w:type="dxa" w:w="1440"/>
            <w:shd w:fill="FAFAFA" w:val="clear"/>
          </w:tcPr>
          <w:p>
            <w:r>
              <w:rPr>
                <w:b/>
                <w:sz w:val="17"/>
              </w:rPr>
              <w:t>1,625</w:t>
            </w:r>
          </w:p>
        </w:tc>
        <w:tc>
          <w:tcPr>
            <w:tcW w:type="dxa" w:w="1440"/>
            <w:shd w:fill="FAFAFA" w:val="clear"/>
          </w:tcPr>
          <w:p>
            <w:r>
              <w:rPr>
                <w:sz w:val="17"/>
              </w:rPr>
              <w:t>1,789</w:t>
            </w:r>
          </w:p>
        </w:tc>
        <w:tc>
          <w:tcPr>
            <w:tcW w:type="dxa" w:w="1440"/>
            <w:shd w:fill="FAFAFA" w:val="clear"/>
          </w:tcPr>
          <w:p>
            <w:r>
              <w:rPr>
                <w:b/>
                <w:color w:val="008000"/>
                <w:sz w:val="17"/>
              </w:rPr>
              <w:t>+0.6%</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1,453</w:t>
            </w:r>
          </w:p>
        </w:tc>
        <w:tc>
          <w:tcPr>
            <w:tcW w:type="dxa" w:w="1440"/>
            <w:shd w:fill="FAFAFA" w:val="clear"/>
          </w:tcPr>
          <w:p>
            <w:r>
              <w:rPr>
                <w:b/>
                <w:sz w:val="17"/>
              </w:rPr>
              <w:t>1,631</w:t>
            </w:r>
          </w:p>
        </w:tc>
        <w:tc>
          <w:tcPr>
            <w:tcW w:type="dxa" w:w="1440"/>
            <w:shd w:fill="FAFAFA" w:val="clear"/>
          </w:tcPr>
          <w:p>
            <w:r>
              <w:rPr>
                <w:sz w:val="17"/>
              </w:rPr>
              <w:t>1,808</w:t>
            </w:r>
          </w:p>
        </w:tc>
        <w:tc>
          <w:tcPr>
            <w:tcW w:type="dxa" w:w="1440"/>
            <w:shd w:fill="FAFAFA" w:val="clear"/>
          </w:tcPr>
          <w:p>
            <w:r>
              <w:rPr>
                <w:b/>
                <w:color w:val="008000"/>
                <w:sz w:val="17"/>
              </w:rPr>
              <w:t>+1.0%</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1,446</w:t>
            </w:r>
          </w:p>
        </w:tc>
        <w:tc>
          <w:tcPr>
            <w:tcW w:type="dxa" w:w="1440"/>
            <w:shd w:fill="FAFAFA" w:val="clear"/>
          </w:tcPr>
          <w:p>
            <w:r>
              <w:rPr>
                <w:b/>
                <w:sz w:val="17"/>
              </w:rPr>
              <w:t>1,636</w:t>
            </w:r>
          </w:p>
        </w:tc>
        <w:tc>
          <w:tcPr>
            <w:tcW w:type="dxa" w:w="1440"/>
            <w:shd w:fill="FAFAFA" w:val="clear"/>
          </w:tcPr>
          <w:p>
            <w:r>
              <w:rPr>
                <w:sz w:val="17"/>
              </w:rPr>
              <w:t>1,827</w:t>
            </w:r>
          </w:p>
        </w:tc>
        <w:tc>
          <w:tcPr>
            <w:tcW w:type="dxa" w:w="1440"/>
            <w:shd w:fill="FAFAFA" w:val="clear"/>
          </w:tcPr>
          <w:p>
            <w:r>
              <w:rPr>
                <w:b/>
                <w:color w:val="008000"/>
                <w:sz w:val="17"/>
              </w:rPr>
              <w:t>+1.3%</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1,439</w:t>
            </w:r>
          </w:p>
        </w:tc>
        <w:tc>
          <w:tcPr>
            <w:tcW w:type="dxa" w:w="1440"/>
            <w:shd w:fill="FAFAFA" w:val="clear"/>
          </w:tcPr>
          <w:p>
            <w:r>
              <w:rPr>
                <w:b/>
                <w:sz w:val="17"/>
              </w:rPr>
              <w:t>1,641</w:t>
            </w:r>
          </w:p>
        </w:tc>
        <w:tc>
          <w:tcPr>
            <w:tcW w:type="dxa" w:w="1440"/>
            <w:shd w:fill="FAFAFA" w:val="clear"/>
          </w:tcPr>
          <w:p>
            <w:r>
              <w:rPr>
                <w:sz w:val="17"/>
              </w:rPr>
              <w:t>1,844</w:t>
            </w:r>
          </w:p>
        </w:tc>
        <w:tc>
          <w:tcPr>
            <w:tcW w:type="dxa" w:w="1440"/>
            <w:shd w:fill="FAFAFA" w:val="clear"/>
          </w:tcPr>
          <w:p>
            <w:r>
              <w:rPr>
                <w:b/>
                <w:color w:val="008000"/>
                <w:sz w:val="17"/>
              </w:rPr>
              <w:t>+1.6%</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1,432</w:t>
            </w:r>
          </w:p>
        </w:tc>
        <w:tc>
          <w:tcPr>
            <w:tcW w:type="dxa" w:w="1440"/>
            <w:shd w:fill="FAFAFA" w:val="clear"/>
          </w:tcPr>
          <w:p>
            <w:r>
              <w:rPr>
                <w:b/>
                <w:sz w:val="17"/>
              </w:rPr>
              <w:t>1,647</w:t>
            </w:r>
          </w:p>
        </w:tc>
        <w:tc>
          <w:tcPr>
            <w:tcW w:type="dxa" w:w="1440"/>
            <w:shd w:fill="FAFAFA" w:val="clear"/>
          </w:tcPr>
          <w:p>
            <w:r>
              <w:rPr>
                <w:sz w:val="17"/>
              </w:rPr>
              <w:t>1,861</w:t>
            </w:r>
          </w:p>
        </w:tc>
        <w:tc>
          <w:tcPr>
            <w:tcW w:type="dxa" w:w="1440"/>
            <w:shd w:fill="FAFAFA" w:val="clear"/>
          </w:tcPr>
          <w:p>
            <w:r>
              <w:rPr>
                <w:b/>
                <w:color w:val="008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*Bourse Régionale des Valeurs Mobilières (BRVM) — Secteur Automobile &amp; Distribution*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292,92 milliards FCFA, CFAC figure parmi les valeurs les plus importantes de la cote BRVM, ce qui témoigne de sa liquidité relative et de son statut de leader sectoriel. Le BPA de 26 FCFA/action signifie que chaque titre génère 26 FCFA de bénéfice net, mais le PER de 62,4x révèle que les investisseurs paient plus de 62 fois ces bénéfices, soit un niveau très supérieur à la moyenne BRVM (~8-12x) — une prime considérable qui traduit des anticipations de croissance forte mais expose à un risque de correction si les résultats déçoivent. Le P/B de 15,06x (largement au-dessus du seuil de 4x) indique que le marché valorise l'entreprise à plus de 15 fois sa valeur comptable, une prime exigeante qui suppose une rentabilité future élevée et durable. Enfin, l'EV/EBITDA de 31,8x (contre un seuil d'alerte de 15x) montre que la valeur totale de l'entreprise (dette incluse) représente près de 32 fois sa capacité opérationnelle, confirmant une valorisation tendue sur l'ensemble des métriques.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CFAC affiche une progression totale de +21,89%, avec une dernière séance en hausse de +3,86%, portant le cours à 1 615 FCFA. Le range de trading s'établit entre un plus bas de 1 325 FCFA et un plus haut de 1 825 FCFA, soit une amplitude de 500 FCFA (~38%) qui traduit une réelle volatilité intra-période. La tendance générale est haussière sur la période, mais le cours actuel (1 615 FCFA) se situe en retrait de 11,5% par rapport au plus haut, signalant une phase de consolidation après le pic. Les statistiques descriptives révèlent une moyenne de 1 627 FCFA légèrement supérieure à la médiane de 1 642 FCFA — un écart faible mais cohérent avec un skewness négatif de -0,620, indiquant davantage de journées de cotation au-dessus de la moyenne (asymétrie à gauche). L'écart-type de 107 FCFA et le coefficient de variation de 6,6% traduisent une dispersion modérée du cours autour de sa moyenne, tandis que le kurtosis de -0,125 (mésokurtique) suggère une distribution proche de la normale, sans risque excessif de pics extrêmes. La volatilité annualisée de 46,8% classe le titre dans la catégorie **élevée** (&gt;30%), ce qui implique un risque de marché significatif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(1 665,25 FCFA) et la MM50 (1 673,40 FCFA) se situent toutes deux au-dessus du cours actuel (1 615 FCFA), avec la MM20 légèrement en dessous de la MM50 — configuration baissière de court terme. Le cours évoluant sous ses deux moyennes, la décision technique est **Vente**, confirmant une pression vendeuse persistante.</w:t>
      </w:r>
    </w:p>
    <w:p>
      <w:pPr>
        <w:spacing w:after="120" w:line="276" w:lineRule="auto"/>
      </w:pPr>
      <w:r>
        <w:t>**Bandes de Bollinger** : Le cours (1 615 FCFA) se situe dans la partie basse de la bande, entre la borne inférieure (1 507,65 FCFA) et la borne supérieure (1 822,85 FCFA), sans atteindre les extrêmes. Cette position médiane-basse, couplée à un écart-type modéré, justifie une décision **Neutre** : le titre n'est ni en surachat ni en survente, mais la volatilité reste contenue dans le canal.</w:t>
      </w:r>
    </w:p>
    <w:p>
      <w:pPr>
        <w:spacing w:after="120" w:line="276" w:lineRule="auto"/>
      </w:pPr>
      <w:r>
        <w:t>**MACD** : La valeur du MACD (-35,612) est inférieure à son signal (-21,211), avec un histogramme négatif — configuration baissière classique. Le momentum est clairement négatif, ce qui justifie la décision **Vente** et suggère que la pression baissière pourrait se poursuivre à court terme.</w:t>
      </w:r>
    </w:p>
    <w:p>
      <w:pPr>
        <w:spacing w:after="120" w:line="276" w:lineRule="auto"/>
      </w:pPr>
      <w:r>
        <w:t>**RSI** : À 38,043, le RSI se situe dans la zone neutre basse (30-70), sans atteindre le seuil de survente (&lt;30). La décision est **Neutre**, mais la proximité de la zone de survente indique que le potentiel de baisse pourrait se limiter, voire qu'un rebond technique est envisageable.</w:t>
      </w:r>
    </w:p>
    <w:p>
      <w:pPr>
        <w:spacing w:after="120" w:line="276" w:lineRule="auto"/>
      </w:pPr>
      <w:r>
        <w:t>**Stochastique** : Le %K (54,0) est supérieur au %D (35,692), avec un croisement récent à la hausse du %K au-dessus du %D — signal potentiellement haussier de court terme. Cependant, la décision reste **Neutre** car les deux lignes évoluent dans la zone médiane, sans confirmation franche.</w:t>
      </w:r>
    </w:p>
    <w:p>
      <w:pPr>
        <w:spacing w:after="120" w:line="276" w:lineRule="auto"/>
      </w:pPr>
      <w:r>
        <w:t>**Conclusion technique** : Les indicateurs sont majoritairement baissiers (MM, MACD) ou neutres (Bollinger, RSI, Stochastique), avec une divergence notable entre le signal de vente des moyennes mobiles et le croisement haussier du stochastique. Cette configuration mitigée suggère une phase de consolidation, avec un risque de poursuite baissière à court terme mais un potentiel de rebond technique si le RSI se rapproche de 30. La prudence est de mise.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2024)** : En 2024, CFAC a réalisé un chiffre d'affaires de 158,313 milliards FCFA, en **baisse de -12,13%** par rapport à 2023, et un résultat net de 4,693 milliards FCFA, en recul de -26,7%. Le ROE s'établit à 24,13% (excellent, &gt;15%) et le ROA à 5,52%, confirmant une bonne rentabilité des fonds propres malgré la contraction. La marge nette est de 2,96% et la marge opérationnelle de 4,96%. Le BFR est négatif (-3,482 milliards FCFA), ce qui est favorable, mais le fonds de roulement est également négatif (-4,106 milliards FCFA) et la trésorerie nette est négative (-624,20 millions FCFA), signalant une tension de liquidité. Le délai clients est de 36,64 jours (risque de trésorerie modéré) et le délai fournisseurs de 81,75 jours (bon pour la trésorerie). L'autonomie financière est faible (22,88% &lt; 30%), avec un ratio d'endettement de 23,07% et une capacité de remboursement de 0,72 an (sain). La couverture des intérêts est excellente (1064,46%).</w:t>
      </w:r>
    </w:p>
    <w:p>
      <w:pPr>
        <w:spacing w:after="120" w:line="276" w:lineRule="auto"/>
      </w:pPr>
      <w:r>
        <w:t>**Estimations basées sur les rapports trimestriels** : Le rapport du **T3 2025 (30/09/2025)** indique un CA de 43,580 milliards FCFA (+18,3%) et un résultat net de 1,489 milliard FCFA (+38,1%), avec une marge nette de 3,42% (vs 2,93% au T3 2024). Le rapport du **S1 2025 (30/06/2025)** fait état d'un CA de 91,182 milliards FCFA (+18,4%) et d'un résultat net de 5,420 milliards FCFA (+152,7%), avec une marge nette de 5,9%. Le **T1 2025 (31/03/2025)** affiche un CA de 46,161 milliards FCFA (+14,5%) et un résultat net de 3,836 milliards FCFA (+279,7%). Sur la base de ces rapports, on peut **estimer** que l'exercice 2025 devrait renouer avec la croissance, avec un CA annualisé potentiellement supérieur à 180 milliards FCFA et un résultat net en forte progression, possiblement au-dessus de 8 milliards FCFA si la dynamique se maintient. Le rapport **2024 (31/12/2024)** confirme la baisse de -12,1% du CA et de -26,7% du résultat net, mais les perspectives 2025 sont positives avec le développement du réseau, la diversification (SHACMAN, LOVOL, BYD) et l'amélioration du SAV.</w:t>
      </w:r>
    </w:p>
    <w:p>
      <w:pPr>
        <w:spacing w:after="120" w:line="276" w:lineRule="auto"/>
      </w:pPr>
      <w:r>
        <w:t>**Recommandation fondamentale** : La société présente des fondamentaux solides (ROE élevé, endettement maîtrisé, couverture des intérêts excellente) mais une valorisation très exigeante (PER 62,4x, P/B 15,06x) et une trésorerie tendue. Les rapports trimestriels 2025 montrent un redressement spectaculaire de la rentabilité, ce qui pourrait justifier la prime de valorisation si la tendance se confirme. **Recommandation : CONSERVER** avec un biais positif, en surveillant l'amélioration de la trésorerie et la confirmation des marges.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CFAC est **très exigeante** (PER 62,4x, P/B 15,06x, EV/EBITDA 31,8x), bien au-dessus des moyennes de la BRVM, ce qui intègre déjà des anticipations de croissance forte et expose le titre à un risque de correction en cas de déception. Le comportement du cours sur 100 jours est haussier (+21,89%) mais le titre consolide sous ses plus hauts, avec une volatilité élevée (46,8%) et des statistiques (skewness négatif, kurtosis mésokurtique) qui suggèrent une distribution proche de la normale, sans risque extrême mais avec une asymétrie défavorable. Les signaux techniques sont **mitigés** : les moyennes mobiles et le MACD sont baissiers, tandis que le RSI et le stochastique sont neutres, avec un croisement haussier du %K/%D qui pourrait annoncer un rebond technique. Les fondamentaux sont **solides mais contrastés** : ROE excellent (24,13%), endettement maîtrisé, mais trésorerie négative et valorisation tendue ; les rapports trimestriels 2025 (T1, S1, T3) montrent un redressement spectaculaire de la rentabilité (+152,7% au S1, +38,1% au T3), ce qui pourrait justifier la prime si la tendance se poursuit. Les prédictions IA (J+1 à J+10) anticipent une légère reprise (1 591 → 1 620 FCFA), ce qui **contredit** le signal baissier des moyennes mobiles mais **confirme** le potentiel de rebond technique suggéré par le stochastique. Sur la base de cette synthèse, la recommandation finale est **CONSERVER** : la convergence entre la valorisation exigeante, les signaux techniques mitigés et les fondamentaux en amélioration ne justifie ni un achat agressif (risque de correction) ni une vente (potentiel de redressement). Le niveau de confiance est **Moyen** (les rapports trimestriels sont encourageants mais la trésorerie reste fragile), et le niveau de risque global est **Élevé** (volatilité 46,8%, valorisation tendue). L'horizon d'investissement optimal est **moyen terme (3-12 mois)**, en attendant la confirmation des résultats annuels 2025 et l'amélioration de la trésorerie.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15.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361.20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7,027 titres</w:t>
            </w:r>
          </w:p>
        </w:tc>
        <w:tc>
          <w:tcPr>
            <w:tcW w:type="dxa" w:w="2268"/>
            <w:shd w:fill="FFF2CC" w:val="clear"/>
          </w:tcPr>
          <w:p>
            <w:r>
              <w:rPr>
                <w:b/>
                <w:color w:val="503200"/>
                <w:sz w:val="16"/>
              </w:rPr>
              <w:t xml:space="preserve">Cours actuel : </w:t>
            </w:r>
            <w:r>
              <w:rPr>
                <w:color w:val="000000"/>
                <w:sz w:val="17"/>
              </w:rPr>
              <w:t>6,450 FCFA</w:t>
            </w:r>
          </w:p>
          <w:p>
            <w:r>
              <w:rPr>
                <w:b/>
                <w:color w:val="503200"/>
                <w:sz w:val="16"/>
              </w:rPr>
              <w:t xml:space="preserve">Var. 100 jours : </w:t>
            </w:r>
            <w:r>
              <w:rPr>
                <w:b/>
                <w:color w:val="007800"/>
                <w:sz w:val="17"/>
              </w:rPr>
              <w:t>+114.29%</w:t>
            </w:r>
          </w:p>
          <w:p>
            <w:r>
              <w:rPr>
                <w:b/>
                <w:color w:val="503200"/>
                <w:sz w:val="16"/>
              </w:rPr>
              <w:t xml:space="preserve">Plus haut 100j : </w:t>
            </w:r>
            <w:r>
              <w:rPr>
                <w:color w:val="000000"/>
                <w:sz w:val="17"/>
              </w:rPr>
              <w:t>7,400 FCFA</w:t>
            </w:r>
          </w:p>
          <w:p>
            <w:r>
              <w:rPr>
                <w:b/>
                <w:color w:val="503200"/>
                <w:sz w:val="16"/>
              </w:rPr>
              <w:t xml:space="preserve">Plus bas 100j : </w:t>
            </w:r>
            <w:r>
              <w:rPr>
                <w:color w:val="000000"/>
                <w:sz w:val="17"/>
              </w:rPr>
              <w:t>3,010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27.8/100 → Moyen</w:t>
      </w:r>
    </w:p>
    <w:p>
      <w:pPr>
        <w:spacing w:before="40" w:after="80"/>
      </w:pPr>
      <w:r>
        <w:rPr>
          <w:rFonts w:ascii="Courier New" w:hAnsi="Courier New"/>
          <w:color w:val="825A00"/>
          <w:sz w:val="18"/>
        </w:rPr>
        <w:t>█████░░░░░░░░░░░░░░░  27.8/100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20.56% (Élevée) — μ=5,346 FCFA, σ=1,099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β=0.6819 (Défensif) — Cov=0.000046, Var(idx)=0.000068, ρ=0.174,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7,027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2026-09-29</w:t>
            </w:r>
          </w:p>
        </w:tc>
        <w:tc>
          <w:tcPr>
            <w:tcW w:type="dxa" w:w="1440"/>
            <w:shd w:fill="FFDCE0" w:val="clear"/>
          </w:tcPr>
          <w:p>
            <w:r>
              <w:rPr>
                <w:sz w:val="17"/>
              </w:rPr>
              <w:t>5,913</w:t>
            </w:r>
          </w:p>
        </w:tc>
        <w:tc>
          <w:tcPr>
            <w:tcW w:type="dxa" w:w="1440"/>
            <w:shd w:fill="FFDCE0" w:val="clear"/>
          </w:tcPr>
          <w:p>
            <w:r>
              <w:rPr>
                <w:b/>
                <w:sz w:val="17"/>
              </w:rPr>
              <w:t>6,287</w:t>
            </w:r>
          </w:p>
        </w:tc>
        <w:tc>
          <w:tcPr>
            <w:tcW w:type="dxa" w:w="1440"/>
            <w:shd w:fill="FFDCE0" w:val="clear"/>
          </w:tcPr>
          <w:p>
            <w:r>
              <w:rPr>
                <w:sz w:val="17"/>
              </w:rPr>
              <w:t>6,662</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2026-09-30</w:t>
            </w:r>
          </w:p>
        </w:tc>
        <w:tc>
          <w:tcPr>
            <w:tcW w:type="dxa" w:w="1440"/>
            <w:shd w:fill="FFDCE0" w:val="clear"/>
          </w:tcPr>
          <w:p>
            <w:r>
              <w:rPr>
                <w:sz w:val="17"/>
              </w:rPr>
              <w:t>5,644</w:t>
            </w:r>
          </w:p>
        </w:tc>
        <w:tc>
          <w:tcPr>
            <w:tcW w:type="dxa" w:w="1440"/>
            <w:shd w:fill="FFDCE0" w:val="clear"/>
          </w:tcPr>
          <w:p>
            <w:r>
              <w:rPr>
                <w:b/>
                <w:sz w:val="17"/>
              </w:rPr>
              <w:t>6,163</w:t>
            </w:r>
          </w:p>
        </w:tc>
        <w:tc>
          <w:tcPr>
            <w:tcW w:type="dxa" w:w="1440"/>
            <w:shd w:fill="FFDCE0" w:val="clear"/>
          </w:tcPr>
          <w:p>
            <w:r>
              <w:rPr>
                <w:sz w:val="17"/>
              </w:rPr>
              <w:t>6,683</w:t>
            </w:r>
          </w:p>
        </w:tc>
        <w:tc>
          <w:tcPr>
            <w:tcW w:type="dxa" w:w="1440"/>
            <w:shd w:fill="FFDCE0" w:val="clear"/>
          </w:tcPr>
          <w:p>
            <w:r>
              <w:rPr>
                <w:b/>
                <w:color w:val="C00000"/>
                <w:sz w:val="17"/>
              </w:rPr>
              <w:t>-4.4%</w:t>
            </w:r>
          </w:p>
        </w:tc>
      </w:tr>
      <w:tr>
        <w:tc>
          <w:tcPr>
            <w:tcW w:type="dxa" w:w="1440"/>
            <w:shd w:fill="FFDCE0" w:val="clear"/>
          </w:tcPr>
          <w:p>
            <w:r>
              <w:rPr>
                <w:sz w:val="17"/>
              </w:rPr>
              <w:t>J+3  Moyenne</w:t>
            </w:r>
          </w:p>
        </w:tc>
        <w:tc>
          <w:tcPr>
            <w:tcW w:type="dxa" w:w="1440"/>
            <w:shd w:fill="FFDCE0" w:val="clear"/>
          </w:tcPr>
          <w:p>
            <w:r>
              <w:rPr>
                <w:sz w:val="17"/>
              </w:rPr>
              <w:t>2026-10-01</w:t>
            </w:r>
          </w:p>
        </w:tc>
        <w:tc>
          <w:tcPr>
            <w:tcW w:type="dxa" w:w="1440"/>
            <w:shd w:fill="FFDCE0" w:val="clear"/>
          </w:tcPr>
          <w:p>
            <w:r>
              <w:rPr>
                <w:sz w:val="17"/>
              </w:rPr>
              <w:t>5,456</w:t>
            </w:r>
          </w:p>
        </w:tc>
        <w:tc>
          <w:tcPr>
            <w:tcW w:type="dxa" w:w="1440"/>
            <w:shd w:fill="FFDCE0" w:val="clear"/>
          </w:tcPr>
          <w:p>
            <w:r>
              <w:rPr>
                <w:b/>
                <w:sz w:val="17"/>
              </w:rPr>
              <w:t>6,084</w:t>
            </w:r>
          </w:p>
        </w:tc>
        <w:tc>
          <w:tcPr>
            <w:tcW w:type="dxa" w:w="1440"/>
            <w:shd w:fill="FFDCE0" w:val="clear"/>
          </w:tcPr>
          <w:p>
            <w:r>
              <w:rPr>
                <w:sz w:val="17"/>
              </w:rPr>
              <w:t>6,712</w:t>
            </w:r>
          </w:p>
        </w:tc>
        <w:tc>
          <w:tcPr>
            <w:tcW w:type="dxa" w:w="1440"/>
            <w:shd w:fill="FFDCE0" w:val="clear"/>
          </w:tcPr>
          <w:p>
            <w:r>
              <w:rPr>
                <w:b/>
                <w:color w:val="C00000"/>
                <w:sz w:val="17"/>
              </w:rPr>
              <w:t>-5.7%</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5,320</w:t>
            </w:r>
          </w:p>
        </w:tc>
        <w:tc>
          <w:tcPr>
            <w:tcW w:type="dxa" w:w="1440"/>
            <w:shd w:fill="FFDCE0" w:val="clear"/>
          </w:tcPr>
          <w:p>
            <w:r>
              <w:rPr>
                <w:b/>
                <w:sz w:val="17"/>
              </w:rPr>
              <w:t>6,041</w:t>
            </w:r>
          </w:p>
        </w:tc>
        <w:tc>
          <w:tcPr>
            <w:tcW w:type="dxa" w:w="1440"/>
            <w:shd w:fill="FFDCE0" w:val="clear"/>
          </w:tcPr>
          <w:p>
            <w:r>
              <w:rPr>
                <w:sz w:val="17"/>
              </w:rPr>
              <w:t>6,761</w:t>
            </w:r>
          </w:p>
        </w:tc>
        <w:tc>
          <w:tcPr>
            <w:tcW w:type="dxa" w:w="1440"/>
            <w:shd w:fill="FFDCE0" w:val="clear"/>
          </w:tcPr>
          <w:p>
            <w:r>
              <w:rPr>
                <w:b/>
                <w:color w:val="C00000"/>
                <w:sz w:val="17"/>
              </w:rPr>
              <w:t>-6.3%</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5,209</w:t>
            </w:r>
          </w:p>
        </w:tc>
        <w:tc>
          <w:tcPr>
            <w:tcW w:type="dxa" w:w="1440"/>
            <w:shd w:fill="FFDCE0" w:val="clear"/>
          </w:tcPr>
          <w:p>
            <w:r>
              <w:rPr>
                <w:b/>
                <w:sz w:val="17"/>
              </w:rPr>
              <w:t>6,010</w:t>
            </w:r>
          </w:p>
        </w:tc>
        <w:tc>
          <w:tcPr>
            <w:tcW w:type="dxa" w:w="1440"/>
            <w:shd w:fill="FFDCE0" w:val="clear"/>
          </w:tcPr>
          <w:p>
            <w:r>
              <w:rPr>
                <w:sz w:val="17"/>
              </w:rPr>
              <w:t>6,811</w:t>
            </w:r>
          </w:p>
        </w:tc>
        <w:tc>
          <w:tcPr>
            <w:tcW w:type="dxa" w:w="1440"/>
            <w:shd w:fill="FFDCE0" w:val="clear"/>
          </w:tcPr>
          <w:p>
            <w:r>
              <w:rPr>
                <w:b/>
                <w:color w:val="C00000"/>
                <w:sz w:val="17"/>
              </w:rPr>
              <w:t>-6.8%</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5,111</w:t>
            </w:r>
          </w:p>
        </w:tc>
        <w:tc>
          <w:tcPr>
            <w:tcW w:type="dxa" w:w="1440"/>
            <w:shd w:fill="FFDCE0" w:val="clear"/>
          </w:tcPr>
          <w:p>
            <w:r>
              <w:rPr>
                <w:b/>
                <w:sz w:val="17"/>
              </w:rPr>
              <w:t>5,985</w:t>
            </w:r>
          </w:p>
        </w:tc>
        <w:tc>
          <w:tcPr>
            <w:tcW w:type="dxa" w:w="1440"/>
            <w:shd w:fill="FFDCE0" w:val="clear"/>
          </w:tcPr>
          <w:p>
            <w:r>
              <w:rPr>
                <w:sz w:val="17"/>
              </w:rPr>
              <w:t>6,859</w:t>
            </w:r>
          </w:p>
        </w:tc>
        <w:tc>
          <w:tcPr>
            <w:tcW w:type="dxa" w:w="1440"/>
            <w:shd w:fill="FFDCE0" w:val="clear"/>
          </w:tcPr>
          <w:p>
            <w:r>
              <w:rPr>
                <w:b/>
                <w:color w:val="C00000"/>
                <w:sz w:val="17"/>
              </w:rPr>
              <w:t>-7.2%</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5,025</w:t>
            </w:r>
          </w:p>
        </w:tc>
        <w:tc>
          <w:tcPr>
            <w:tcW w:type="dxa" w:w="1440"/>
            <w:shd w:fill="FFDCE0" w:val="clear"/>
          </w:tcPr>
          <w:p>
            <w:r>
              <w:rPr>
                <w:b/>
                <w:sz w:val="17"/>
              </w:rPr>
              <w:t>5,966</w:t>
            </w:r>
          </w:p>
        </w:tc>
        <w:tc>
          <w:tcPr>
            <w:tcW w:type="dxa" w:w="1440"/>
            <w:shd w:fill="FFDCE0" w:val="clear"/>
          </w:tcPr>
          <w:p>
            <w:r>
              <w:rPr>
                <w:sz w:val="17"/>
              </w:rPr>
              <w:t>6,907</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4,947</w:t>
            </w:r>
          </w:p>
        </w:tc>
        <w:tc>
          <w:tcPr>
            <w:tcW w:type="dxa" w:w="1440"/>
            <w:shd w:fill="FFDCE0" w:val="clear"/>
          </w:tcPr>
          <w:p>
            <w:r>
              <w:rPr>
                <w:b/>
                <w:sz w:val="17"/>
              </w:rPr>
              <w:t>5,951</w:t>
            </w:r>
          </w:p>
        </w:tc>
        <w:tc>
          <w:tcPr>
            <w:tcW w:type="dxa" w:w="1440"/>
            <w:shd w:fill="FFDCE0" w:val="clear"/>
          </w:tcPr>
          <w:p>
            <w:r>
              <w:rPr>
                <w:sz w:val="17"/>
              </w:rPr>
              <w:t>6,955</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4,877</w:t>
            </w:r>
          </w:p>
        </w:tc>
        <w:tc>
          <w:tcPr>
            <w:tcW w:type="dxa" w:w="1440"/>
            <w:shd w:fill="FFDCE0" w:val="clear"/>
          </w:tcPr>
          <w:p>
            <w:r>
              <w:rPr>
                <w:b/>
                <w:sz w:val="17"/>
              </w:rPr>
              <w:t>5,939</w:t>
            </w:r>
          </w:p>
        </w:tc>
        <w:tc>
          <w:tcPr>
            <w:tcW w:type="dxa" w:w="1440"/>
            <w:shd w:fill="FFDCE0" w:val="clear"/>
          </w:tcPr>
          <w:p>
            <w:r>
              <w:rPr>
                <w:sz w:val="17"/>
              </w:rPr>
              <w:t>7,001</w:t>
            </w:r>
          </w:p>
        </w:tc>
        <w:tc>
          <w:tcPr>
            <w:tcW w:type="dxa" w:w="1440"/>
            <w:shd w:fill="FFDCE0" w:val="clear"/>
          </w:tcPr>
          <w:p>
            <w:r>
              <w:rPr>
                <w:b/>
                <w:color w:val="C00000"/>
                <w:sz w:val="17"/>
              </w:rPr>
              <w:t>-7.9%</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4,812</w:t>
            </w:r>
          </w:p>
        </w:tc>
        <w:tc>
          <w:tcPr>
            <w:tcW w:type="dxa" w:w="1440"/>
            <w:shd w:fill="FFDCE0" w:val="clear"/>
          </w:tcPr>
          <w:p>
            <w:r>
              <w:rPr>
                <w:b/>
                <w:sz w:val="17"/>
              </w:rPr>
              <w:t>5,930</w:t>
            </w:r>
          </w:p>
        </w:tc>
        <w:tc>
          <w:tcPr>
            <w:tcW w:type="dxa" w:w="1440"/>
            <w:shd w:fill="FFDCE0" w:val="clear"/>
          </w:tcPr>
          <w:p>
            <w:r>
              <w:rPr>
                <w:sz w:val="17"/>
              </w:rPr>
              <w:t>7,048</w:t>
            </w:r>
          </w:p>
        </w:tc>
        <w:tc>
          <w:tcPr>
            <w:tcW w:type="dxa" w:w="1440"/>
            <w:shd w:fill="FFDCE0" w:val="clear"/>
          </w:tcPr>
          <w:p>
            <w:r>
              <w:rPr>
                <w:b/>
                <w:color w:val="C00000"/>
                <w:sz w:val="17"/>
              </w:rPr>
              <w:t>-8.1%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 RAPPORT D'ANALYSE FINANCIÈRE — CIEC (Compagnie Ivoirienne d'Électricité)</w:t>
        <w:br/>
        <w:t>**Marché : BRVM | Secteur : Services publics / Électricité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361,20 milliards FCFA, la CIEC s'impose comme l'une des plus importantes capitalisations de la BRVM, ce qui traduit la stature de monopole régulé de l'entreprise dans le secteur électrique ivoirien. Le BPA de 234 FCFA/action indique que chaque titre génère un bénéfice net de 234 FCFA, un niveau en progression de 23% par rapport aux 190 FCFA de 2024. Le PER de 27,5x est nettement supérieur à la moyenne du marché BRVM (8-12x), ce qui signifie que les investisseurs paient une prime de croissance très significative pour ce titre — soit en anticipant une accélération des bénéfices, soit en raison d'une surévaluation spéculative. Le P/B de 10,04x, largement supérieur au seuil de 4x, confirme cette valorisation exigeante : le marché valorise l'entreprise à plus de dix fois sa valeur comptable, ce qui est difficilement justifiable par les seuls fondamentaux et reflète plutôt la rareté du titre et la qualité de son rendement. Enfin, l'EV/EBITDA de 14,8x, dans la fourchette haute (10-15x), indique que la valeur totale de l'entreprise (incluant la dette) représente près de 15 fois sa capacité opérationnelle, suggérant une valorisation tendue qui intègre déjà une bonne partie des perspectives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exceptionnelle de +114,29%, passant d'environ 3 010 FCFA à 6 450 FCFA, avec une dernière séance quasi stable (+0,16%). Le range de trading est très large, avec un plus bas à 3 010 FCFA et un plus haut à 7 400 FCFA, soit un écart de plus de 145% entre les deux extrêmes — signe d'une volatilité directionnelle forte et d'un intérêt croissant des investisseurs. La tendance générale est clairement haussière, portée par l'engouement pour le secteur électrique et les résultats solides de l'entreprise. Les statistiques descriptives révèlent une moyenne de 5 346 FCFA légèrement supérieure à la médiane de 5 200 FCFA, ce qui indique une distribution légèrement asymétrique à droite (quelques valeurs hautes tirent la moyenne vers le haut), cohérente avec le skewness de -0,166 qui reste toutefois proche de la symétrie. L'écart-type de 1 105 FCFA avec un coefficient de variation de 20,7% traduit une dispersion modérée à élevée du cours autour de sa moyenne, confirmant la volatilité du titre. Le kurtosis de -0,494 (mésokurtique) indique une distribution proche de la normale, sans risque excessif de pics extrêmes, ce qui est rassurant pour la gestion du risque. Enfin, la volatilité annualisée de 50,9% classe ce titre dans la catégorie des valeurs à volatilité élevée (&gt;30%), ce qui implique un risque significatif mais aussi des opportunités de rendement importantes pour les investisseurs avertis.</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6 706 FCFA et la MM50 à 6 105 FCFA, toutes deux supérieures au cours actuel de 6 450 FCFA, ce qui place le titre en position de faiblesse relative à court terme. Cependant, la MM20 reste au-dessus de la MM50, confirmant une structure haussière de fond, et la décision technique globale reste à l'**Achat** malgré la correction en cours.</w:t>
      </w:r>
    </w:p>
    <w:p>
      <w:pPr>
        <w:spacing w:after="120" w:line="276" w:lineRule="auto"/>
      </w:pPr>
      <w:r>
        <w:t>**Bandes de Bollinger :** Le cours actuel (6 450 FCFA) se situe dans la partie basse de la bande, entre la borne inférieure (5 996,79 FCFA) et la borne supérieure (7 415,21 FCFA), sans atteindre les extrêmes. La décision est **Neutre**, ce qui suggère que le titre évolue dans une zone de consolidation sans signal fort de surachat ou de survente, la volatilité restant contenue dans les bandes.</w:t>
      </w:r>
    </w:p>
    <w:p>
      <w:pPr>
        <w:spacing w:after="120" w:line="276" w:lineRule="auto"/>
      </w:pPr>
      <w:r>
        <w:t>**MACD :** La valeur du MACD (21,113) est nettement inférieure à son signal (126,209), ce qui génère une divergence baissière et une décision de **Vente**. Ce croisement négatif indique un essoufflement du momentum haussier et suggère que la pression acheteuse s'affaiblit, appelant à la prudence à court terme.</w:t>
      </w:r>
    </w:p>
    <w:p>
      <w:pPr>
        <w:spacing w:after="120" w:line="276" w:lineRule="auto"/>
      </w:pPr>
      <w:r>
        <w:t>**RSI :** À 30,752, le RSI se situe juste au-dessus du seuil de survente (30), dans une zone neutre basse. La décision est **Neutre**, mais cette proximité du seuil de survente pourrait annoncer un rebond technique si le titre trouve un support, ou une poursuite de la correction si la pression vendeuse persiste.</w:t>
      </w:r>
    </w:p>
    <w:p>
      <w:pPr>
        <w:spacing w:after="120" w:line="276" w:lineRule="auto"/>
      </w:pPr>
      <w:r>
        <w:t>**Stochastique :** Le %K (24,0) est supérieur au %D (15,733), avec les deux indicateurs en zone basse (proches de 20), ce qui est généralement interprété comme une zone de survente potentielle. La décision est **Neutre**, mais la configuration actuelle pourrait précéder un croisement haussier si le %K continue de remonter vers le %D.</w:t>
      </w:r>
    </w:p>
    <w:p>
      <w:pPr>
        <w:spacing w:after="120" w:line="276" w:lineRule="auto"/>
      </w:pPr>
      <w:r>
        <w:t>**Conclusion technique :** Les indicateurs techniques présentent un tableau mitigé : les moyennes mobiles restent haussières de fond mais le cours est sous ses moyennes, le MACD est baissier, tandis que le RSI et le stochastique approchent de zones de survente. Cette divergence suggère une phase de correction au sein d'une tendance haussière plus large, avec un potentiel de rebond technique à court terme si les supports tiennent, mais une prudence reste de mise tant que le MACD n'aura pas inversé sa trajectoire.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la CIEC a réalisé un chiffre d'affaires de 302,320 milliards FCFA, en croissance de 14,82% par rapport à 2024, portée par une hausse des ventes d'énergie (+8,3% en volume) et une expansion du nombre de clients (+15,1% à 5 282 283 clients). Le résultat net s'établit à 13,127 milliards FCFA, en progression de 24,4%, avec une marge nette de 4,34% et une marge opérationnelle de 7,40%. Le ROE atteint un niveau exceptionnel de 36,50%, bien supérieur au seuil de 15% considéré comme excellent, tandis que le ROA reste modeste à 0,65% en raison de la structure bilancielle très lourde (total actif de 2 018,446 milliards FCFA). En tant qu'entreprise non bancaire, l'analyse des délais d'exploitation révèle un délai client élevé de 164 jours (risque de trésorerie significatif), un délai fournisseur très long de 970 jours (favorable à la trésorerie) et une durée de stockage de 175 jours. Le BFR est négatif à -90,244 milliards FCFA, ce qui est favorable car l'entreprise finance son cycle d'exploitation par ses fournisseurs. Cependant, l'autonomie financière est très faible (1,78%) et le ratio d'endettement atteint 612,94%, traduisant une dépendance importante aux dettes (1 982,484 milliards FCFA), bien que la capacité de remboursement reste correcte à 7,64 années de CAF et la couverture des intérêts excellente à 617,75%.</w:t>
      </w:r>
    </w:p>
    <w:p>
      <w:pPr>
        <w:spacing w:after="120" w:line="276" w:lineRule="auto"/>
      </w:pPr>
      <w:r>
        <w:t>**Estimations basées sur les rapports semestriels :** Le rapport du 1er semestre 2025 (publié le 30 juin 2025) indique un chiffre d'affaires de 134,923 milliards FCFA (+18,85%) et un résultat net de 5,096 milliards FCFA (+13,37%), avec une marge nette de 3,8% (en légère baisse par rapport aux 4,0% du S1 2024). Sur cette base, on peut estimer que l'exercice 2025 devrait confirmer la tendance annuelle avec un résultat net autour de 13,1 milliards FCFA, ce qui est effectivement le cas. Le rapport annuel 2025 (analysé par DEEPSEEK le 21 mai 2026) confirme un dividende par action de 234 FCFA, représentant un taux de distribution de 99,8% du résultat net social — une politique de distribution quasi-totale qui limite la capacité d'autofinancement pour de futurs investissements majeurs. Les rapports plus anciens (2021, 2024) montrent une certaine volatilité des résultats, avec un résultat net de 10,526 milliards FCFA en 2024 (en baisse de 8,3%) et de 10,5 milliards en 2021 (en baisse de 38,8% suite au changement de convention). La nouvelle convention de concession (2021-2032) a profondément modifié le modèle économique, réduisant le total actif de 1 254,8 à 558,2 milliards FCFA en 2021, avant une remontée à 2 018,4 milliards en 2025.</w:t>
      </w:r>
    </w:p>
    <w:p>
      <w:pPr>
        <w:spacing w:after="120" w:line="276" w:lineRule="auto"/>
      </w:pPr>
      <w:r>
        <w:t>**Recommandation fondamentale :** La CIEC présente un profil de croissance solide (CA +14,8%, résultat net +24,4% en 2025) avec une rentabilité des fonds propres exceptionnelle (ROE de 36,5%) et une politique de dividende très attractive (234 FCFA/action, soit un rendement de 3,6% au cours actuel de 6 450 FCFA). Cependant, les risques sont significatifs : dépendance au cadre réglementaire de la concession, risque de crédit client (164 jours de délai), endettement élevé (ratio de 612,9%) et distribution quasi-totale du bénéfice qui limite les capacités d'investissement. La valorisation boursière (PER de 27,5x, P/B de 10,04x) intègre déjà une grande partie de ces perspectives, ce qui laisse peu de marge de sécurité. La recommandation fondamentale est de **CONSERVER** le titre pour bénéficier du rendement et de la croissance, mais avec une vigilance accrue sur l'évolution de la trésorerie et des conditions de la concession.</w:t>
      </w:r>
    </w:p>
    <w:p>
      <w:pPr>
        <w:spacing w:after="120" w:line="276" w:lineRule="auto"/>
      </w:pPr>
      <w:r>
        <w:t>---</w:t>
      </w:r>
    </w:p>
    <w:p>
      <w:pPr>
        <w:spacing w:after="120" w:line="276" w:lineRule="auto"/>
      </w:pPr>
      <w:r>
        <w:t>## PARTIE 4 : CONCLUSION D'INVESTISSEMENT</w:t>
      </w:r>
    </w:p>
    <w:p>
      <w:pPr>
        <w:spacing w:after="120" w:line="276" w:lineRule="auto"/>
      </w:pPr>
      <w:r>
        <w:t>La valorisation de la CIEC apparaît tendue : le PER de 27,5x (contre une moyenne BRVM de 8-12x) et le P/B de 10,04x indiquent que le marché paie une prime très élevée pour ce titre, ce qui suggère une possible surévaluation à court terme, même si la qualité de l'entreprise et son statut de monopole justifient une partie de cette prime. Le comportement du cours sur 100 jours est exceptionnellement haussier (+114,29%), avec une volatilité élevée (50,9% annualisée) et une distribution des rendements proche de la normale (kurtosis de -0,494, skewness de -0,166), ce qui est rassurant mais n'élimine pas le risque de correction. Les signaux techniques sont mitigés : les moyennes mobiles restent haussières de fond (MM20 &gt; MM50) mais le MACD est baissier et le RSI proche de la survente, créant une divergence qui pourrait se résoudre par un rebond technique ou une poursuite de la correction. Les fondamentaux sont solides (croissance du CA de 14,8%, résultat net en hausse de 24,4%, ROE de 36,5%) mais les risques (endettement, dépendance réglementaire, distribution quasi-totale du bénéfice) limitent la visibilité à long terme. Les prédictions IA pour les 10 prochains jours ouvrables (6287 → 6010 FCFA) anticipent une poursuite de la correction baissière, ce qui contredit la tendance haussière de fond mais confirme les signaux techniques baissiers à court terme (MACD, position sous les moyennes mobiles). **Synthèse globale :** La convergence entre la valorisation tendue, les signaux techniques baissiers à court terme et les prédictions IA négatives suggère une prudence à court terme, tandis que les fondamentaux solides et la politique de dividende attractive soutiennent une vision à moyen/long terme. **Recommandation finale : CONSERVER** — le titre offre un bon rendement (3,6%) et une exposition à la croissance du secteur électrique ivoirien, mais la valorisation exigeante et les risques à court terme justifient de ne pas renforcer la position à ces niveaux. **Niveau de confiance : Moyen** (les signaux sont divergents entre court et long terme). **Niveau de risque global : Élevé** (volatilité de 50,9%, endettement important, dépendance réglementaire). **Horizon d'investissement optimal : Moyen terme (3-12 mois)** pour bénéficier du dividende et d'un éventuel rebond après la correction en cours, avec un point d'entrée plus favorable si le titre revient vers 5 800-6 000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16.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935.86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4,089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+6.25%</w:t>
            </w:r>
          </w:p>
          <w:p>
            <w:r>
              <w:rPr>
                <w:b/>
                <w:color w:val="503200"/>
                <w:sz w:val="16"/>
              </w:rPr>
              <w:t xml:space="preserve">Plus haut 100j : </w:t>
            </w:r>
            <w:r>
              <w:rPr>
                <w:color w:val="000000"/>
                <w:sz w:val="17"/>
              </w:rPr>
              <w:t>17,725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2.76% (Faible) — μ=16,549 FCFA, σ=456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β=0.2855 (Défensif) — Cov=0.000019, Var(idx)=0.000068, ρ=0.132,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16,417</w:t>
            </w:r>
          </w:p>
        </w:tc>
        <w:tc>
          <w:tcPr>
            <w:tcW w:type="dxa" w:w="1440"/>
            <w:shd w:fill="FAFAFA" w:val="clear"/>
          </w:tcPr>
          <w:p>
            <w:r>
              <w:rPr>
                <w:b/>
                <w:sz w:val="17"/>
              </w:rPr>
              <w:t>16,946</w:t>
            </w:r>
          </w:p>
        </w:tc>
        <w:tc>
          <w:tcPr>
            <w:tcW w:type="dxa" w:w="1440"/>
            <w:shd w:fill="FAFAFA" w:val="clear"/>
          </w:tcPr>
          <w:p>
            <w:r>
              <w:rPr>
                <w:sz w:val="17"/>
              </w:rPr>
              <w:t>17,475</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16,228</w:t>
            </w:r>
          </w:p>
        </w:tc>
        <w:tc>
          <w:tcPr>
            <w:tcW w:type="dxa" w:w="1440"/>
            <w:shd w:fill="FAFAFA" w:val="clear"/>
          </w:tcPr>
          <w:p>
            <w:r>
              <w:rPr>
                <w:b/>
                <w:sz w:val="17"/>
              </w:rPr>
              <w:t>16,978</w:t>
            </w:r>
          </w:p>
        </w:tc>
        <w:tc>
          <w:tcPr>
            <w:tcW w:type="dxa" w:w="1440"/>
            <w:shd w:fill="FAFAFA" w:val="clear"/>
          </w:tcPr>
          <w:p>
            <w:r>
              <w:rPr>
                <w:sz w:val="17"/>
              </w:rPr>
              <w:t>17,728</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16,079</w:t>
            </w:r>
          </w:p>
        </w:tc>
        <w:tc>
          <w:tcPr>
            <w:tcW w:type="dxa" w:w="1440"/>
            <w:shd w:fill="FAFAFA" w:val="clear"/>
          </w:tcPr>
          <w:p>
            <w:r>
              <w:rPr>
                <w:b/>
                <w:sz w:val="17"/>
              </w:rPr>
              <w:t>16,999</w:t>
            </w:r>
          </w:p>
        </w:tc>
        <w:tc>
          <w:tcPr>
            <w:tcW w:type="dxa" w:w="1440"/>
            <w:shd w:fill="FAFAFA" w:val="clear"/>
          </w:tcPr>
          <w:p>
            <w:r>
              <w:rPr>
                <w:sz w:val="17"/>
              </w:rPr>
              <w:t>17,919</w:t>
            </w:r>
          </w:p>
        </w:tc>
        <w:tc>
          <w:tcPr>
            <w:tcW w:type="dxa" w:w="1440"/>
            <w:shd w:fill="FAFAFA" w:val="clear"/>
          </w:tcPr>
          <w:p>
            <w:r>
              <w:rPr>
                <w:b/>
                <w:color w:val="C00000"/>
                <w:sz w:val="17"/>
              </w:rPr>
              <w:t>-0.0%</w:t>
            </w:r>
          </w:p>
        </w:tc>
      </w:tr>
      <w:tr>
        <w:tc>
          <w:tcPr>
            <w:tcW w:type="dxa" w:w="1440"/>
            <w:shd w:fill="FAFAFA" w:val="clear"/>
          </w:tcPr>
          <w:p>
            <w:r>
              <w:rPr>
                <w:sz w:val="17"/>
              </w:rPr>
              <w:t>J+4  Moyenne</w:t>
            </w:r>
          </w:p>
        </w:tc>
        <w:tc>
          <w:tcPr>
            <w:tcW w:type="dxa" w:w="1440"/>
            <w:shd w:fill="FAFAFA" w:val="clear"/>
          </w:tcPr>
          <w:p>
            <w:r>
              <w:rPr>
                <w:sz w:val="17"/>
              </w:rPr>
              <w:t>2026-10-02</w:t>
            </w:r>
          </w:p>
        </w:tc>
        <w:tc>
          <w:tcPr>
            <w:tcW w:type="dxa" w:w="1440"/>
            <w:shd w:fill="FAFAFA" w:val="clear"/>
          </w:tcPr>
          <w:p>
            <w:r>
              <w:rPr>
                <w:sz w:val="17"/>
              </w:rPr>
              <w:t>15,956</w:t>
            </w:r>
          </w:p>
        </w:tc>
        <w:tc>
          <w:tcPr>
            <w:tcW w:type="dxa" w:w="1440"/>
            <w:shd w:fill="FAFAFA" w:val="clear"/>
          </w:tcPr>
          <w:p>
            <w:r>
              <w:rPr>
                <w:b/>
                <w:sz w:val="17"/>
              </w:rPr>
              <w:t>17,019</w:t>
            </w:r>
          </w:p>
        </w:tc>
        <w:tc>
          <w:tcPr>
            <w:tcW w:type="dxa" w:w="1440"/>
            <w:shd w:fill="FAFAFA" w:val="clear"/>
          </w:tcPr>
          <w:p>
            <w:r>
              <w:rPr>
                <w:sz w:val="17"/>
              </w:rPr>
              <w:t>18,082</w:t>
            </w:r>
          </w:p>
        </w:tc>
        <w:tc>
          <w:tcPr>
            <w:tcW w:type="dxa" w:w="1440"/>
            <w:shd w:fill="FAFAFA" w:val="clear"/>
          </w:tcPr>
          <w:p>
            <w:r>
              <w:rPr>
                <w:b/>
                <w:color w:val="008000"/>
                <w:sz w:val="17"/>
              </w:rPr>
              <w:t>+0.1%</w:t>
            </w:r>
          </w:p>
        </w:tc>
      </w:tr>
      <w:tr>
        <w:tc>
          <w:tcPr>
            <w:tcW w:type="dxa" w:w="1440"/>
            <w:shd w:fill="FAFAFA" w:val="clear"/>
          </w:tcPr>
          <w:p>
            <w:r>
              <w:rPr>
                <w:sz w:val="17"/>
              </w:rPr>
              <w:t>J+5  Moyenne</w:t>
            </w:r>
          </w:p>
        </w:tc>
        <w:tc>
          <w:tcPr>
            <w:tcW w:type="dxa" w:w="1440"/>
            <w:shd w:fill="FAFAFA" w:val="clear"/>
          </w:tcPr>
          <w:p>
            <w:r>
              <w:rPr>
                <w:sz w:val="17"/>
              </w:rPr>
              <w:t>2026-10-05</w:t>
            </w:r>
          </w:p>
        </w:tc>
        <w:tc>
          <w:tcPr>
            <w:tcW w:type="dxa" w:w="1440"/>
            <w:shd w:fill="FAFAFA" w:val="clear"/>
          </w:tcPr>
          <w:p>
            <w:r>
              <w:rPr>
                <w:sz w:val="17"/>
              </w:rPr>
              <w:t>15,849</w:t>
            </w:r>
          </w:p>
        </w:tc>
        <w:tc>
          <w:tcPr>
            <w:tcW w:type="dxa" w:w="1440"/>
            <w:shd w:fill="FAFAFA" w:val="clear"/>
          </w:tcPr>
          <w:p>
            <w:r>
              <w:rPr>
                <w:b/>
                <w:sz w:val="17"/>
              </w:rPr>
              <w:t>17,039</w:t>
            </w:r>
          </w:p>
        </w:tc>
        <w:tc>
          <w:tcPr>
            <w:tcW w:type="dxa" w:w="1440"/>
            <w:shd w:fill="FAFAFA" w:val="clear"/>
          </w:tcPr>
          <w:p>
            <w:r>
              <w:rPr>
                <w:sz w:val="17"/>
              </w:rPr>
              <w:t>18,229</w:t>
            </w:r>
          </w:p>
        </w:tc>
        <w:tc>
          <w:tcPr>
            <w:tcW w:type="dxa" w:w="1440"/>
            <w:shd w:fill="FAFAFA" w:val="clear"/>
          </w:tcPr>
          <w:p>
            <w:r>
              <w:rPr>
                <w:b/>
                <w:color w:val="008000"/>
                <w:sz w:val="17"/>
              </w:rPr>
              <w:t>+0.2%</w:t>
            </w:r>
          </w:p>
        </w:tc>
      </w:tr>
      <w:tr>
        <w:tc>
          <w:tcPr>
            <w:tcW w:type="dxa" w:w="1440"/>
            <w:shd w:fill="FAFAFA" w:val="clear"/>
          </w:tcPr>
          <w:p>
            <w:r>
              <w:rPr>
                <w:sz w:val="17"/>
              </w:rPr>
              <w:t>J+6  Moyenne</w:t>
            </w:r>
          </w:p>
        </w:tc>
        <w:tc>
          <w:tcPr>
            <w:tcW w:type="dxa" w:w="1440"/>
            <w:shd w:fill="FAFAFA" w:val="clear"/>
          </w:tcPr>
          <w:p>
            <w:r>
              <w:rPr>
                <w:sz w:val="17"/>
              </w:rPr>
              <w:t>2026-10-06</w:t>
            </w:r>
          </w:p>
        </w:tc>
        <w:tc>
          <w:tcPr>
            <w:tcW w:type="dxa" w:w="1440"/>
            <w:shd w:fill="FAFAFA" w:val="clear"/>
          </w:tcPr>
          <w:p>
            <w:r>
              <w:rPr>
                <w:sz w:val="17"/>
              </w:rPr>
              <w:t>15,754</w:t>
            </w:r>
          </w:p>
        </w:tc>
        <w:tc>
          <w:tcPr>
            <w:tcW w:type="dxa" w:w="1440"/>
            <w:shd w:fill="FAFAFA" w:val="clear"/>
          </w:tcPr>
          <w:p>
            <w:r>
              <w:rPr>
                <w:b/>
                <w:sz w:val="17"/>
              </w:rPr>
              <w:t>17,059</w:t>
            </w:r>
          </w:p>
        </w:tc>
        <w:tc>
          <w:tcPr>
            <w:tcW w:type="dxa" w:w="1440"/>
            <w:shd w:fill="FAFAFA" w:val="clear"/>
          </w:tcPr>
          <w:p>
            <w:r>
              <w:rPr>
                <w:sz w:val="17"/>
              </w:rPr>
              <w:t>18,364</w:t>
            </w:r>
          </w:p>
        </w:tc>
        <w:tc>
          <w:tcPr>
            <w:tcW w:type="dxa" w:w="1440"/>
            <w:shd w:fill="FAFAFA" w:val="clear"/>
          </w:tcPr>
          <w:p>
            <w:r>
              <w:rPr>
                <w:b/>
                <w:color w:val="008000"/>
                <w:sz w:val="17"/>
              </w:rPr>
              <w:t>+0.3%</w:t>
            </w:r>
          </w:p>
        </w:tc>
      </w:tr>
      <w:tr>
        <w:tc>
          <w:tcPr>
            <w:tcW w:type="dxa" w:w="1440"/>
            <w:shd w:fill="FAFAFA" w:val="clear"/>
          </w:tcPr>
          <w:p>
            <w:r>
              <w:rPr>
                <w:sz w:val="17"/>
              </w:rPr>
              <w:t>J+7  Moyenne</w:t>
            </w:r>
          </w:p>
        </w:tc>
        <w:tc>
          <w:tcPr>
            <w:tcW w:type="dxa" w:w="1440"/>
            <w:shd w:fill="FAFAFA" w:val="clear"/>
          </w:tcPr>
          <w:p>
            <w:r>
              <w:rPr>
                <w:sz w:val="17"/>
              </w:rPr>
              <w:t>2026-10-07</w:t>
            </w:r>
          </w:p>
        </w:tc>
        <w:tc>
          <w:tcPr>
            <w:tcW w:type="dxa" w:w="1440"/>
            <w:shd w:fill="FAFAFA" w:val="clear"/>
          </w:tcPr>
          <w:p>
            <w:r>
              <w:rPr>
                <w:sz w:val="17"/>
              </w:rPr>
              <w:t>15,667</w:t>
            </w:r>
          </w:p>
        </w:tc>
        <w:tc>
          <w:tcPr>
            <w:tcW w:type="dxa" w:w="1440"/>
            <w:shd w:fill="FAFAFA" w:val="clear"/>
          </w:tcPr>
          <w:p>
            <w:r>
              <w:rPr>
                <w:b/>
                <w:sz w:val="17"/>
              </w:rPr>
              <w:t>17,079</w:t>
            </w:r>
          </w:p>
        </w:tc>
        <w:tc>
          <w:tcPr>
            <w:tcW w:type="dxa" w:w="1440"/>
            <w:shd w:fill="FAFAFA" w:val="clear"/>
          </w:tcPr>
          <w:p>
            <w:r>
              <w:rPr>
                <w:sz w:val="17"/>
              </w:rPr>
              <w:t>18,490</w:t>
            </w:r>
          </w:p>
        </w:tc>
        <w:tc>
          <w:tcPr>
            <w:tcW w:type="dxa" w:w="1440"/>
            <w:shd w:fill="FAFAFA" w:val="clear"/>
          </w:tcPr>
          <w:p>
            <w:r>
              <w:rPr>
                <w:b/>
                <w:color w:val="008000"/>
                <w:sz w:val="17"/>
              </w:rPr>
              <w:t>+0.5%</w:t>
            </w:r>
          </w:p>
        </w:tc>
      </w:tr>
      <w:tr>
        <w:tc>
          <w:tcPr>
            <w:tcW w:type="dxa" w:w="1440"/>
            <w:shd w:fill="FAFAFA" w:val="clear"/>
          </w:tcPr>
          <w:p>
            <w:r>
              <w:rPr>
                <w:sz w:val="17"/>
              </w:rPr>
              <w:t>J+8  Moyenne</w:t>
            </w:r>
          </w:p>
        </w:tc>
        <w:tc>
          <w:tcPr>
            <w:tcW w:type="dxa" w:w="1440"/>
            <w:shd w:fill="FAFAFA" w:val="clear"/>
          </w:tcPr>
          <w:p>
            <w:r>
              <w:rPr>
                <w:sz w:val="17"/>
              </w:rPr>
              <w:t>2026-10-08</w:t>
            </w:r>
          </w:p>
        </w:tc>
        <w:tc>
          <w:tcPr>
            <w:tcW w:type="dxa" w:w="1440"/>
            <w:shd w:fill="FAFAFA" w:val="clear"/>
          </w:tcPr>
          <w:p>
            <w:r>
              <w:rPr>
                <w:sz w:val="17"/>
              </w:rPr>
              <w:t>15,588</w:t>
            </w:r>
          </w:p>
        </w:tc>
        <w:tc>
          <w:tcPr>
            <w:tcW w:type="dxa" w:w="1440"/>
            <w:shd w:fill="FAFAFA" w:val="clear"/>
          </w:tcPr>
          <w:p>
            <w:r>
              <w:rPr>
                <w:b/>
                <w:sz w:val="17"/>
              </w:rPr>
              <w:t>17,098</w:t>
            </w:r>
          </w:p>
        </w:tc>
        <w:tc>
          <w:tcPr>
            <w:tcW w:type="dxa" w:w="1440"/>
            <w:shd w:fill="FAFAFA" w:val="clear"/>
          </w:tcPr>
          <w:p>
            <w:r>
              <w:rPr>
                <w:sz w:val="17"/>
              </w:rPr>
              <w:t>18,609</w:t>
            </w:r>
          </w:p>
        </w:tc>
        <w:tc>
          <w:tcPr>
            <w:tcW w:type="dxa" w:w="1440"/>
            <w:shd w:fill="FAFAFA" w:val="clear"/>
          </w:tcPr>
          <w:p>
            <w:r>
              <w:rPr>
                <w:b/>
                <w:color w:val="008000"/>
                <w:sz w:val="17"/>
              </w:rPr>
              <w:t>+0.6%</w:t>
            </w:r>
          </w:p>
        </w:tc>
      </w:tr>
      <w:tr>
        <w:tc>
          <w:tcPr>
            <w:tcW w:type="dxa" w:w="1440"/>
            <w:shd w:fill="FAFAFA" w:val="clear"/>
          </w:tcPr>
          <w:p>
            <w:r>
              <w:rPr>
                <w:sz w:val="17"/>
              </w:rPr>
              <w:t>J+9  Moyenne</w:t>
            </w:r>
          </w:p>
        </w:tc>
        <w:tc>
          <w:tcPr>
            <w:tcW w:type="dxa" w:w="1440"/>
            <w:shd w:fill="FAFAFA" w:val="clear"/>
          </w:tcPr>
          <w:p>
            <w:r>
              <w:rPr>
                <w:sz w:val="17"/>
              </w:rPr>
              <w:t>2026-10-09</w:t>
            </w:r>
          </w:p>
        </w:tc>
        <w:tc>
          <w:tcPr>
            <w:tcW w:type="dxa" w:w="1440"/>
            <w:shd w:fill="FAFAFA" w:val="clear"/>
          </w:tcPr>
          <w:p>
            <w:r>
              <w:rPr>
                <w:sz w:val="17"/>
              </w:rPr>
              <w:t>15,513</w:t>
            </w:r>
          </w:p>
        </w:tc>
        <w:tc>
          <w:tcPr>
            <w:tcW w:type="dxa" w:w="1440"/>
            <w:shd w:fill="FAFAFA" w:val="clear"/>
          </w:tcPr>
          <w:p>
            <w:r>
              <w:rPr>
                <w:b/>
                <w:sz w:val="17"/>
              </w:rPr>
              <w:t>17,118</w:t>
            </w:r>
          </w:p>
        </w:tc>
        <w:tc>
          <w:tcPr>
            <w:tcW w:type="dxa" w:w="1440"/>
            <w:shd w:fill="FAFAFA" w:val="clear"/>
          </w:tcPr>
          <w:p>
            <w:r>
              <w:rPr>
                <w:sz w:val="17"/>
              </w:rPr>
              <w:t>18,722</w:t>
            </w:r>
          </w:p>
        </w:tc>
        <w:tc>
          <w:tcPr>
            <w:tcW w:type="dxa" w:w="1440"/>
            <w:shd w:fill="FAFAFA" w:val="clear"/>
          </w:tcPr>
          <w:p>
            <w:r>
              <w:rPr>
                <w:b/>
                <w:color w:val="008000"/>
                <w:sz w:val="17"/>
              </w:rPr>
              <w:t>+0.7%</w:t>
            </w:r>
          </w:p>
        </w:tc>
      </w:tr>
      <w:tr>
        <w:tc>
          <w:tcPr>
            <w:tcW w:type="dxa" w:w="1440"/>
            <w:shd w:fill="FAFAFA" w:val="clear"/>
          </w:tcPr>
          <w:p>
            <w:r>
              <w:rPr>
                <w:sz w:val="17"/>
              </w:rPr>
              <w:t>J+10  Moyenne</w:t>
            </w:r>
          </w:p>
        </w:tc>
        <w:tc>
          <w:tcPr>
            <w:tcW w:type="dxa" w:w="1440"/>
            <w:shd w:fill="FAFAFA" w:val="clear"/>
          </w:tcPr>
          <w:p>
            <w:r>
              <w:rPr>
                <w:sz w:val="17"/>
              </w:rPr>
              <w:t>2026-10-12</w:t>
            </w:r>
          </w:p>
        </w:tc>
        <w:tc>
          <w:tcPr>
            <w:tcW w:type="dxa" w:w="1440"/>
            <w:shd w:fill="FAFAFA" w:val="clear"/>
          </w:tcPr>
          <w:p>
            <w:r>
              <w:rPr>
                <w:sz w:val="17"/>
              </w:rPr>
              <w:t>15,444</w:t>
            </w:r>
          </w:p>
        </w:tc>
        <w:tc>
          <w:tcPr>
            <w:tcW w:type="dxa" w:w="1440"/>
            <w:shd w:fill="FAFAFA" w:val="clear"/>
          </w:tcPr>
          <w:p>
            <w:r>
              <w:rPr>
                <w:b/>
                <w:sz w:val="17"/>
              </w:rPr>
              <w:t>17,137</w:t>
            </w:r>
          </w:p>
        </w:tc>
        <w:tc>
          <w:tcPr>
            <w:tcW w:type="dxa" w:w="1440"/>
            <w:shd w:fill="FAFAFA" w:val="clear"/>
          </w:tcPr>
          <w:p>
            <w:r>
              <w:rPr>
                <w:sz w:val="17"/>
              </w:rPr>
              <w:t>18,829</w:t>
            </w:r>
          </w:p>
        </w:tc>
        <w:tc>
          <w:tcPr>
            <w:tcW w:type="dxa" w:w="1440"/>
            <w:shd w:fill="FAFAFA" w:val="clear"/>
          </w:tcPr>
          <w:p>
            <w:r>
              <w:rPr>
                <w:b/>
                <w:color w:val="008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ECOBANK CÔTE D'IVOIRE (ECOC)**</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935,86 milliards FCFA, ECOC figure parmi les valeurs les plus capitalisées de la BRVM, ce qui en fait un pilier de l'indice BRVM Composite et un titre de référence pour les investisseurs institutionnels de la zone UEMOA. Le BPA de 1 153 FCFA/action signifie que chaque titre génère un bénéfice net de plus de mille francs, un niveau élevé qui traduit la forte rentabilité de la banque. Le PER de 14,7x se situe au-dessus de la moyenne du marché BRVM (généralement comprise entre 8 et 12x), indiquant que les investisseurs acceptent de payer une prime pour la qualité de la signature ECOC, sans pour autant tomber dans une exubérance spéculative. Le P/B de 4,28x constitue en revanche un signal exigeant : le marché valorise la banque à plus de quatre fois sa valeur comptable, ce qui suppose que la rentabilité future (ROE de 29%) justifie cette prime substantielle. Enfin, l'EV/EBITDA de 14,4x, dans la fourchette haute (10-15x), confirme que la valeur d'entreprise intègre déjà une bonne partie de la performance opérationnelle actuelle, laissant peu de marge d'erreur en cas de dégradation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ECOC affiche une progression totale de +6,25%, avec une dernière séance en hausse de +1,16%, portant le cours à 17 000 FCFA. Le range de trading s'établit entre un plus bas de 15 520 FCFA et un plus haut de 17 725 FCFA, soit une amplitude d'environ 14%, ce qui témoigne d'une tendance globalement haussière mais ponctuée de corrections. La moyenne (16 549 FCFA) et la médiane (16 500 FCFA) sont quasi confondues, confirmant une distribution équilibrée du cours, tandis que le mode à 16 300 FCFA indique une zone de consolidation fréquente. L'écart-type de 459 FCFA et le coefficient de variation de 2,8% révèlent une dispersion très faible du cours autour de sa moyenne, signe d'une grande stabilité relative. Le kurtosis de -0,265 (mésokurtique) suggère une distribution proche de la normale, sans risque majeur de pics extrêmes, et le skewness de 0,329 indique une légère asymétrie positive, c'est-à-dire une prédominance modérée des mouvements haussiers. Avec une volatilité annualisée de 28,2%, le titre se situe dans la fourchette modérée (15-30%), ce qui le rend attractif pour un profil d'investisseur recherchant de la stabilité avec un potentiel de plus-value.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(17 135,25 FCFA) et la MM50 (16 613,0 FCFA) se situent toutes deux sous le cours actuel (17 000 FCFA), avec la MM20 au-dessus de la MM50, configuration classique de tendance haussière. Le croisement haussier des moyennes et la position du cours au-dessus de la MM20 justifient la décision d'**Achat**.</w:t>
      </w:r>
    </w:p>
    <w:p>
      <w:pPr>
        <w:spacing w:after="120" w:line="276" w:lineRule="auto"/>
      </w:pPr>
      <w:r>
        <w:t>**Bandes de Bollinger** : Le cours (17 000 FCFA) évolue dans la partie médiane de la bande, entre la borne inférieure (16 513,60 FCFA) et la borne supérieure (17 756,90 FCFA), sans contact avec les extrêmes. Cette position centrale, couplée à une volatilité modérée, justifie la décision **Neutre** : ni signal de surachat, ni opportunité de survente.</w:t>
      </w:r>
    </w:p>
    <w:p>
      <w:pPr>
        <w:spacing w:after="120" w:line="276" w:lineRule="auto"/>
      </w:pPr>
      <w:r>
        <w:t>**MACD** : La valeur du MACD (32,564) est nettement inférieure à son signal (97,569), générant un croisement baissier qui traduit un essoufflement du momentum haussier. Cette divergence négative, bien que le cours reste au-dessus des moyennes mobiles, justifie la décision de **Vente** à court terme.</w:t>
      </w:r>
    </w:p>
    <w:p>
      <w:pPr>
        <w:spacing w:after="120" w:line="276" w:lineRule="auto"/>
      </w:pPr>
      <w:r>
        <w:t>**RSI** : À 42,331, le RSI se situe dans la zone neutre (30-70), sans atteindre les seuils de survente (30) ni de surachat (70). Cette position médiane indique un équilibre entre acheteurs et vendeurs, justifiant la décision **Neutre**.</w:t>
      </w:r>
    </w:p>
    <w:p>
      <w:pPr>
        <w:spacing w:after="120" w:line="276" w:lineRule="auto"/>
      </w:pPr>
      <w:r>
        <w:t>**Stochastique** : Le %K (36,53) est supérieur au %D (18,417), ce qui pourrait annoncer un croisement haussier à court terme, mais les deux indicateurs restent en zone basse, proche de la survente. Cette configuration justifie la décision **Neutre**, en attendant confirmation du croisement.</w:t>
      </w:r>
    </w:p>
    <w:p>
      <w:pPr>
        <w:spacing w:after="120" w:line="276" w:lineRule="auto"/>
      </w:pPr>
      <w:r>
        <w:t>**Conclusion technique** : Les indicateurs présentent une divergence notable : les moyennes mobiles confirment la tendance haussière de fond, tandis que le MACD signale un ralentissement du momentum et que le RSI et le stochastique restent neutres. Le titre se trouve dans une phase de consolidation après sa progression récente, avec un support technique solide autour de 16 500 FCFA (MM50) et une résistance à 17 725 FCFA (plus haut récent). La configuration globale est mitigée, plaidant pour une posture attentiste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Ecobank Côte d'Ivoire affiche un Produit Net Bancaire (PNB) de 132,725 milliards FCFA et un résultat net de 63,482 milliards FCFA, avec un ROE exceptionnel de 29,04% et un ROA de 3,09%, confirmant la position de la banque comme l'une des plus rentables du secteur bancaire UEMOA. Le coefficient d'exploitation de 42,89% (largement inférieur au seuil de 60% d'efficacité) témoigne d'une maîtrise remarquable des charges, tandis que le coût du risque rapporté aux charges financières (1,36%) reste modéré, bien qu'en légère hausse. La structure financière montre une autonomie financière de 10,64% (capitaux propres/total bilan), typique du modèle bancaire où les dépôts clientèle (1 626,223 milliards FCFA) constituent la principale ressource, avec un ratio dépôts/crédits de 64,6% (1 626/1 051), traduisant une capacité de transformation maîtrisée et une marge de déploiement du crédit. Les rapports trimestriels récents confirment cette dynamique : au S1 2026 (rapport du 26 août 2026), le PNB progresse de +2,0% à 64,078 milliards FCFA, mais le résultat net recule de -8,6% à 26,408 milliards FCFA sous l'effet d'un coût du risque multiplié par 7,4 (5,197 milliards FCFA), reflétant une politique de provisionnement volontairement prudente. Le T1 2026 (rapport du 15 avril 2026) montrait déjà un PNB en hausse de +3,7% à 30,8 milliards FCFA et un coefficient d'exploitation de 45,7%, mais un résultat net en léger repli de -1,6% à 13,0 milliards FCFA. À l'inverse, le T3 2025 (rapport du 30 septembre 2025) affichait une performance exceptionnelle avec un PNB de 96,4 milliards FCFA (+11,3%) et un résultat net de 44,4 milliards FCFA (+15,4%), porté par une contraction du coût du risque de -54,1%. Sur la base du S1 2026, on peut estimer que l'exercice 2026 devrait enregistrer un PNB annuel d'environ 130-135 milliards FCFA (croissance modérée de +2-3%) et un résultat net de l'ordre de 55-60 milliards FCFA (en baisse de -5-10% par rapport à 2025), sous réserve d'une normalisation du coût du risque au second semestre. La solidité fondamentale reste intacte (ROE &gt;25%, ratio de solvabilité de 19,3% au S1 2025, bien au-dessus de l'exigence de 11,5%), mais la dégradation du coût du risque et la contraction des revenus hors intérêts (-25,9% au S1 2026) constituent des points de vigilance. La recommandation fondamentale est de **CONSERVER** : la banque demeure un dossier de qualité, mais la visibilité à court terme est limitée par l'incertitude sur la trajectoire du coût du risque et l'absence d'information sur le dividende 2026 (le dividende 2025 de 888 FCFA brut, soit un rendement de 5,2% au cours actuel, a été proposé à l'AG du 28 avril 2026).</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d'ECOC présente un profil contrasté : si le PER de 14,7x reste modéré au regard de la qualité de la signature, le P/B de 4,28x et l'EV/EBITDA de 14,4x intègrent déjà une prime substantielle, limitant le potentiel de revalorisation à court terme. Le comportement du cours sur 100 jours est rassurant (+6,25%, volatilité modérée de 28,2%, distribution proche de la normale avec un skewness légèrement positif), mais la configuration technique est mitigée : les moyennes mobiles confirment la tendance haussière de fond, tandis que le MACD génère un signal de vente et que le RSI et le stochastique restent neutres, plaidant pour une consolidation avant une nouvelle impulsion. Les fondamentaux demeurent solides (ROE de 29% en 2025, coefficient d'exploitation de 42,9%, ratio de solvabilité de 19,3%), mais les rapports récents (S1 2026 du 26 août 2026, T1 2026 du 15 avril 2026) révèlent une dégradation du résultat net (-8,6% au S1 2026) et une montée du coût du risque (×7,4), qui pèsent sur les perspectives à court terme. Les prédictions IA pour les 10 prochains jours (16 946 FCFA à 17 039 FCFA) suggèrent une légère consolidation, voire un repli modéré, ce qui contredit la tendance haussière des moyennes mobiles mais confirme le signal de vente du MACD. Sur la base de cette synthèse, la recommandation finale est de **CONSERVER** : la convergence entre une valorisation exigeante, des signaux techniques mitigés, des fondamentaux solides mais en légère dégradation et des prédictions baissières à court terme ne justifie ni un achat agressif, ni une vente précipitée. Le niveau de confiance est **Moyen** (les indicateurs sont divergents et la visibilité sur le coût du risque reste limitée), et le niveau de risque global est **Moyen** (volatilité modérée, mais sensibilité aux provisions et à l'environnement macroéconomique). L'horizon d'investissement optimal est le **moyen terme (3-12 mois)**, en attendant la confirmation de la normalisation du coût du risque au second semestre 2026 et les annonces sur la politique de dividende, qui pourraient justifier un passage à **ACHAT** si le résultat net se redresse et si le dividende est maintenu à un niveau attractif (rendement cible &gt;5%).</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une rentabilit\u00e9 toujours \u00e9lev\u00e9e (ROE 26,9 %), un bilan solide et une forte collecte de d\u00e9p\u00f4ts, mais la baisse du r\u00e9sultat net et la mont\u00e9e du co\u00fbt du risque incitent \u00e0 la prudence. Le titre reste un dossier de qualit\u00e9 \u00e0 d\u00e9tenir dans l'attente de la normalisation du co\u00fbt du risque."}</w:t>
      </w:r>
    </w:p>
    <w:p>
      <w:pPr>
        <w:spacing w:before="40"/>
        <w:ind w:left="400"/>
      </w:pPr>
      <w:r>
        <w:rPr>
          <w:sz w:val="18"/>
        </w:rPr>
        <w:t>Au premier semestre 2026, Ecobank Côte d'Ivoire consolide la qualité de ses revenus et renforce sa résilience dans un contexte économique et réglementaire exigeant. Le Produit Net Bancaire progresse de 2,0 % à 64 078 millions de FCFA, porté par une hausse de 14,5 % de la marge nette d'intérêts qui compense la contraction de 25,9 % des produits hors intérêts. Le Résultat Net recule de 8,6 % à 26 408 millions de FCFA, sous l'effet d'un coût du risque multiplié par plus de sept, à 5 197 millions de FCFA, dans le cadre d'une politique volontairement prudente de provisionnement. Le bilan demeure solide et en croissance de 9,3 %, à 2 077 936 millions de FCFA, avec des dépôts clients en hausse de 1</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 'roe': '26,9 %', 'cout_du_risque': '5 197 millions de FCFA (+642,4 %)', 'depots_clientele': '1 754 701 millions de FCFA (+15,1 %)', 'prets_sur_depots': '56,3 %', 'charges_exploitation': '28 991 millions de FCFA (+2,9 %)', 'marge_nette_interets': '49 661 millions de FCFA (+14,5 %)', 'resultat_avant_impot': '29 890 millions de FCFA (-12,0 %)', 'produit_hors_interets': '14 417 millions de FCFA (-25,9 %)', 'creances_en_souffrance': '45 300 millions de FCFA (+21,5 %), taux de couverture de 90 %', 'credits_nets_clientele': '946 818 millions de FCFA (+2,4 %)', 'coefficient_exploitation': '45,2 %'}</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41,2 %</w:t>
            </w:r>
          </w:p>
        </w:tc>
        <w:tc>
          <w:tcPr>
            <w:tcW w:type="dxa" w:w="2160"/>
          </w:tcPr>
          <w:p>
            <w:pPr>
              <w:ind w:left="100"/>
            </w:pPr>
            <w:r/>
            <w:r>
              <w:rPr>
                <w:b/>
                <w:sz w:val="16"/>
              </w:rPr>
              <w:t>total_actif</w:t>
              <w:br/>
            </w:r>
            <w:r>
              <w:rPr>
                <w:sz w:val="18"/>
              </w:rPr>
              <w:t>2 077 936 millions de FCFA</w:t>
            </w:r>
          </w:p>
        </w:tc>
      </w:tr>
      <w:tr>
        <w:tc>
          <w:tcPr>
            <w:tcW w:type="dxa" w:w="2160"/>
          </w:tcPr>
          <w:p>
            <w:r/>
            <w:r>
              <w:rPr>
                <w:b/>
                <w:sz w:val="16"/>
              </w:rPr>
              <w:t>resultat_net</w:t>
              <w:br/>
            </w:r>
            <w:r>
              <w:rPr>
                <w:sz w:val="18"/>
              </w:rPr>
              <w:t>26 408 millions de FCFA</w:t>
            </w:r>
          </w:p>
        </w:tc>
        <w:tc>
          <w:tcPr>
            <w:tcW w:type="dxa" w:w="2160"/>
          </w:tcPr>
          <w:p>
            <w:r/>
            <w:r>
              <w:rPr>
                <w:b/>
                <w:sz w:val="16"/>
              </w:rPr>
              <w:t>capitaux_propres</w:t>
              <w:br/>
            </w:r>
            <w:r>
              <w:rPr>
                <w:sz w:val="18"/>
              </w:rPr>
              <w:t>196 096 millions de FCFA</w:t>
            </w:r>
          </w:p>
        </w:tc>
        <w:tc>
          <w:tcPr>
            <w:tcW w:type="dxa" w:w="2160"/>
          </w:tcPr>
          <w:p>
            <w:r/>
            <w:r>
              <w:rPr>
                <w:b/>
                <w:sz w:val="16"/>
              </w:rPr>
              <w:t>chiffre_affaires</w:t>
              <w:br/>
            </w:r>
            <w:r>
              <w:rPr>
                <w:sz w:val="18"/>
              </w:rPr>
              <w:t>64 078 millions de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64 078 millions de FCFA (+2,0 %), croissance modérée mais de meilleure qualité</w:t>
      </w:r>
    </w:p>
    <w:p>
      <w:pPr>
        <w:pStyle w:val="ListBullet"/>
        <w:spacing w:before="20" w:after="20"/>
        <w:ind w:left="700"/>
      </w:pPr>
      <w:r>
        <w:rPr>
          <w:sz w:val="18"/>
        </w:rPr>
        <w:t>Marge nette d'intérêts en forte hausse de 14,5 % à 49 661 millions de FCFA, compensant la baisse de 25,9 % des produits hors intérêts</w:t>
      </w:r>
    </w:p>
    <w:p>
      <w:pPr>
        <w:pStyle w:val="ListBullet"/>
        <w:spacing w:before="20" w:after="20"/>
        <w:ind w:left="700"/>
      </w:pPr>
      <w:r>
        <w:rPr>
          <w:sz w:val="18"/>
        </w:rPr>
        <w:t>Résultat Net en repli de 8,6 % à 26 408 millions de FCFA, pénalisé par le coût du risque</w:t>
      </w:r>
    </w:p>
    <w:p>
      <w:pPr>
        <w:pStyle w:val="ListBullet"/>
        <w:spacing w:before="20" w:after="20"/>
        <w:ind w:left="700"/>
      </w:pPr>
      <w:r>
        <w:rPr>
          <w:sz w:val="18"/>
        </w:rPr>
        <w:t>Coût du risque multiplié par plus de sept à 5 197 millions de FCFA (+642,4 %) sous l'effet d'une approche prudente de provisionnement</w:t>
      </w:r>
    </w:p>
    <w:p>
      <w:pPr>
        <w:pStyle w:val="ListBullet"/>
        <w:spacing w:before="20" w:after="20"/>
        <w:ind w:left="700"/>
      </w:pPr>
      <w:r>
        <w:rPr>
          <w:sz w:val="18"/>
        </w:rPr>
        <w:t>Total bilan en progression de 9,3 % à 2 077 936 millions de FCFA, avec des dépôts clients en hausse de 15,1 % à 1 754 701 millions de FCFA</w:t>
      </w:r>
    </w:p>
    <w:p>
      <w:pPr>
        <w:pStyle w:val="ListBullet"/>
        <w:spacing w:before="20" w:after="20"/>
        <w:ind w:left="700"/>
      </w:pPr>
      <w:r>
        <w:rPr>
          <w:sz w:val="18"/>
        </w:rPr>
        <w:t>Crédits nets à la clientèle en croissance maîtrisée de 2,4 % à 946 818 millions de FCFA, ratio prêts/dépôts en baisse à 56,3 %</w:t>
      </w:r>
    </w:p>
    <w:p>
      <w:pPr>
        <w:spacing w:before="40"/>
        <w:ind w:left="400"/>
      </w:pPr>
      <w:r>
        <w:rPr>
          <w:b/>
          <w:color w:val="C05000"/>
          <w:sz w:val="18"/>
        </w:rPr>
        <w:t xml:space="preserve">⚠️ Risques : </w:t>
      </w:r>
      <w:r>
        <w:rPr>
          <w:sz w:val="18"/>
        </w:rPr>
        <w:t>["D\u00e9gradation de la qualit\u00e9 du portefeuille de cr\u00e9dits : cr\u00e9ances en souffrance en hausse de 21,5 % \u00e0 45 300 millions de FCFA et co\u00fbt du risque multipli\u00e9 par plus de sept", "Contraction de 25,9 % des produits hors int\u00e9r\u00eats (commissions, portefeuille de n\</w:t>
      </w:r>
    </w:p>
    <w:p>
      <w:pPr>
        <w:spacing w:before="40"/>
        <w:ind w:left="400"/>
      </w:pPr>
      <w:r>
        <w:rPr>
          <w:b/>
          <w:color w:val="0064A0"/>
          <w:sz w:val="18"/>
        </w:rPr>
        <w:t xml:space="preserve">🔮 Perspectives : </w:t>
      </w:r>
      <w:r>
        <w:rPr>
          <w:sz w:val="18"/>
        </w:rPr>
        <w:t>Ecobank Côte d'Ivoire confirme sa résilience et la pertinence de ses choix stratégiques dans un contexte macroéconomique incertain. La Banque poursuit l'exécution de sa feuille de route « Croissance, Transformation et Rentabilité », axée sur l'innovation, la digitalisation, l'amélioration de l'expér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
      <w:r>
        <w:t>════════════════════════════════════════════════════════════════════════════════</w:t>
      </w:r>
    </w:p>
    <w:p>
      <w:r>
        <w:br w:type="page"/>
      </w:r>
    </w:p>
    <w:p>
      <w:pPr>
        <w:pStyle w:val="Heading2"/>
        <w:spacing w:before="360"/>
      </w:pPr>
      <w:r>
        <w:rPr>
          <w:color w:val="0066CC"/>
        </w:rPr>
        <w:t>17.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1,663,313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+137.93%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29 FCFA</w:t>
            </w:r>
          </w:p>
          <w:p>
            <w:r>
              <w:rPr>
                <w:b/>
                <w:color w:val="503200"/>
                <w:sz w:val="16"/>
              </w:rPr>
              <w:t xml:space="preserve">Volatilité ann. : </w:t>
            </w:r>
            <w:r>
              <w:rPr>
                <w:color w:val="000000"/>
                <w:sz w:val="17"/>
              </w:rPr>
              <w:t>61.9%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32.94% (Élevée) — μ=53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β=2.0026 (Très agressif) — Cov=0.000136, Var(idx)=0.000068, ρ=0.422,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1,663,313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σ_j=3.90%/j (Modérée) — Vol. annualisée≈61.9%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69353"/>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69353"/>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66</w:t>
            </w:r>
          </w:p>
        </w:tc>
        <w:tc>
          <w:tcPr>
            <w:tcW w:type="dxa" w:w="1440"/>
            <w:shd w:fill="FAFAFA" w:val="clear"/>
          </w:tcPr>
          <w:p>
            <w:r>
              <w:rPr>
                <w:b/>
                <w:sz w:val="17"/>
              </w:rPr>
              <w:t>69</w:t>
            </w:r>
          </w:p>
        </w:tc>
        <w:tc>
          <w:tcPr>
            <w:tcW w:type="dxa" w:w="1440"/>
            <w:shd w:fill="FAFAFA" w:val="clear"/>
          </w:tcPr>
          <w:p>
            <w:r>
              <w:rPr>
                <w:sz w:val="17"/>
              </w:rPr>
              <w:t>72</w:t>
            </w:r>
          </w:p>
        </w:tc>
        <w:tc>
          <w:tcPr>
            <w:tcW w:type="dxa" w:w="1440"/>
            <w:shd w:fill="FAFAFA" w:val="clear"/>
          </w:tcPr>
          <w:p>
            <w:r>
              <w:rPr>
                <w:b/>
                <w:color w:val="C00000"/>
                <w:sz w:val="17"/>
              </w:rPr>
              <w:t>-0.5%</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64</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63</w:t>
            </w:r>
          </w:p>
        </w:tc>
        <w:tc>
          <w:tcPr>
            <w:tcW w:type="dxa" w:w="1440"/>
            <w:shd w:fill="FAFAFA" w:val="clear"/>
          </w:tcPr>
          <w:p>
            <w:r>
              <w:rPr>
                <w:b/>
                <w:sz w:val="17"/>
              </w:rPr>
              <w:t>68</w:t>
            </w:r>
          </w:p>
        </w:tc>
        <w:tc>
          <w:tcPr>
            <w:tcW w:type="dxa" w:w="1440"/>
            <w:shd w:fill="FAFAFA" w:val="clear"/>
          </w:tcPr>
          <w:p>
            <w:r>
              <w:rPr>
                <w:sz w:val="17"/>
              </w:rPr>
              <w:t>73</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62</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61</w:t>
            </w:r>
          </w:p>
        </w:tc>
        <w:tc>
          <w:tcPr>
            <w:tcW w:type="dxa" w:w="1440"/>
            <w:shd w:fill="FAFAFA" w:val="clear"/>
          </w:tcPr>
          <w:p>
            <w:r>
              <w:rPr>
                <w:b/>
                <w:sz w:val="17"/>
              </w:rPr>
              <w:t>68</w:t>
            </w:r>
          </w:p>
        </w:tc>
        <w:tc>
          <w:tcPr>
            <w:tcW w:type="dxa" w:w="1440"/>
            <w:shd w:fill="FAFAFA" w:val="clear"/>
          </w:tcPr>
          <w:p>
            <w:r>
              <w:rPr>
                <w:sz w:val="17"/>
              </w:rPr>
              <w:t>74</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60</w:t>
            </w:r>
          </w:p>
        </w:tc>
        <w:tc>
          <w:tcPr>
            <w:tcW w:type="dxa" w:w="1440"/>
            <w:shd w:fill="FFDCE0" w:val="clear"/>
          </w:tcPr>
          <w:p>
            <w:r>
              <w:rPr>
                <w:b/>
                <w:sz w:val="17"/>
              </w:rPr>
              <w:t>68</w:t>
            </w:r>
          </w:p>
        </w:tc>
        <w:tc>
          <w:tcPr>
            <w:tcW w:type="dxa" w:w="1440"/>
            <w:shd w:fill="FFDCE0" w:val="clear"/>
          </w:tcPr>
          <w:p>
            <w:r>
              <w:rPr>
                <w:sz w:val="17"/>
              </w:rPr>
              <w:t>75</w:t>
            </w:r>
          </w:p>
        </w:tc>
        <w:tc>
          <w:tcPr>
            <w:tcW w:type="dxa" w:w="1440"/>
            <w:shd w:fill="FFDCE0" w:val="clear"/>
          </w:tcPr>
          <w:p>
            <w:r>
              <w:rPr>
                <w:b/>
                <w:color w:val="C00000"/>
                <w:sz w:val="17"/>
              </w:rPr>
              <w:t>-2.1%</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75</w:t>
            </w:r>
          </w:p>
        </w:tc>
        <w:tc>
          <w:tcPr>
            <w:tcW w:type="dxa" w:w="1440"/>
            <w:shd w:fill="FFDCE0" w:val="clear"/>
          </w:tcPr>
          <w:p>
            <w:r>
              <w:rPr>
                <w:b/>
                <w:color w:val="C00000"/>
                <w:sz w:val="17"/>
              </w:rPr>
              <w:t>-2.3%</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59</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-2.4%</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76</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58</w:t>
            </w:r>
          </w:p>
        </w:tc>
        <w:tc>
          <w:tcPr>
            <w:tcW w:type="dxa" w:w="1440"/>
            <w:shd w:fill="FFDCE0" w:val="clear"/>
          </w:tcPr>
          <w:p>
            <w:r>
              <w:rPr>
                <w:b/>
                <w:sz w:val="17"/>
              </w:rPr>
              <w:t>67</w:t>
            </w:r>
          </w:p>
        </w:tc>
        <w:tc>
          <w:tcPr>
            <w:tcW w:type="dxa" w:w="1440"/>
            <w:shd w:fill="FFDCE0" w:val="clear"/>
          </w:tcPr>
          <w:p>
            <w:r>
              <w:rPr>
                <w:sz w:val="17"/>
              </w:rPr>
              <w:t>77</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*Bourse Régionale des Valeurs Mobilières (BRVM) — Secteur Bancaire*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1 247,80 milliards FCFA, ETIT s'impose comme l'une des plus importantes capitalisations de la BRVM, ce qui témoigne de son statut de valeur bancaire de référence à l'échelle régionale. Le BPA de 19 FCFA/action signifie que chaque titre génère près de 19 FCFA de bénéfice net, un niveau qui, rapporté au cours actuel de 69 FCFA, donne un PER de seulement 3,6x — très en dessous de la moyenne BRVM (8-12x) — signalant une sous-évaluation potentielle marquée. Le ratio P/B de 0,78x indique que le marché valorise l'action à 22% en dessous de sa valeur comptable, une situation rare qui peut refléter soit une opportunité d'achat, soit une défiance persistante des investisseurs. Enfin, l'EV/EBITDA de 5,0x, situé dans la fourchette raisonnable de 5-10x, suggère que la valeur totale de l'entreprise reste cohérente avec sa capacité opérationnelle, renforçant le diagnostic de sous-valorisation globale du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d'ETIT a enregistré une progression spectaculaire de +137,93%, passant d'un plus bas de 29 FCFA à un plus haut de 78 FCFA, pour se stabiliser à 69 FCFA lors de la dernière séance (variation J-1 de 0,00%). Cette tendance nettement haussière traduit un regain d'intérêt massif des investisseurs pour le titre, avec un volume moyen quotidien élevé de 1 663 313 titres, signe d'une liquidité robuste. Les statistiques descriptives révèlent une moyenne de 53 FCFA nettement inférieure à la médiane de 64 FCFA, ce qui indique une distribution asymétrique à gauche — le cours a passé plus de temps dans les niveaux élevés récents, mais quelques séances de forte baisse tirent la moyenne vers le bas. L'écart-type de 18 FCFA (CV de 33,1%) confirme une dispersion importante du cours, tandis que le kurtosis de -1,715 (distribution platykurtique) suggère une faible concentration des variations autour de la moyenne, avec des mouvements amples mais sans pics extrêmes fréquents. Le skewness de -0,325, qualifié de symétrique dans les données, indique une légère prédominance des baisses modérées sur les hausses extrêmes. Enfin, la volatilité annualisée de 61,9% classe clairement ETIT dans la catégorie des titres à volatilité élevée (&gt;30%), ce qui implique un risque de marché significatif mais aussi un potentiel de rendement attractif pour les investisseurs tolérants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(69,3 FCFA) et la MM50 (68,08 FCFA) se situent toutes deux légèrement au-dessus du cours actuel de 69 FCFA, avec la MM20 en position supérieure à la MM50, configurant un croisement haussier classique. Cette configuration, où les moyennes courtes dominent les moyennes longues, confirme la dynamique positive du titre et justifie la décision d'**Achat** émise par cet indicateur.</w:t>
      </w:r>
    </w:p>
    <w:p>
      <w:pPr>
        <w:spacing w:after="120" w:line="276" w:lineRule="auto"/>
      </w:pPr>
      <w:r>
        <w:t>**Bandes de Bollinger** : Le cours actuel de 69 FCFA se situe à mi-chemin entre la borne inférieure (65,8 FCFA) et la borne supérieure (72,8 FCFA), dans une position neutre qui ne signale ni surachat ni survente. L'amplitude relativement étroite des bandes (7 FCFA d'écart) indique une volatilité récente modérée, ce qui justifie la décision **Neutre** — le titre évolue dans un canal stable sans pression directionnelle forte.</w:t>
      </w:r>
    </w:p>
    <w:p>
      <w:pPr>
        <w:spacing w:after="120" w:line="276" w:lineRule="auto"/>
      </w:pPr>
      <w:r>
        <w:t>**MACD** : La valeur du MACD (0,473) est inférieure à son signal (0,876), générant un croisement baissier qui indique un essoufflement du momentum haussier. Bien que le MACD reste positif, cette divergence négative suggère que la dynamique d'achat s'affaiblit, justifiant la décision de **Vente** à court terme pour les traders actifs.</w:t>
      </w:r>
    </w:p>
    <w:p>
      <w:pPr>
        <w:spacing w:after="120" w:line="276" w:lineRule="auto"/>
      </w:pPr>
      <w:r>
        <w:t>**RSI** : À 46,154, le RSI se situe dans la zone neutre (30-70), légèrement en dessous du seuil médian de 50, ce qui indique un équilibre entre acheteurs et vendeurs sans pression excessive dans un sens ou dans l'autre. Cette position centrale justifie la décision **Neutre**, le titre n'étant ni suracheté ni survendu.</w:t>
      </w:r>
    </w:p>
    <w:p>
      <w:pPr>
        <w:spacing w:after="120" w:line="276" w:lineRule="auto"/>
      </w:pPr>
      <w:r>
        <w:t>**Stochastique** : Le %K (71,429) est supérieur au %D (66,667), avec un croisement haussier récent qui suggère une reprise du momentum positif. Cependant, le %K approchant la zone de surachat (80), la prudence est de mise, ce qui explique la décision **Neutre** — le potentiel haussier existe mais reste limité à court terme.</w:t>
      </w:r>
    </w:p>
    <w:p>
      <w:pPr>
        <w:spacing w:after="120" w:line="276" w:lineRule="auto"/>
      </w:pPr>
      <w:r>
        <w:t>**Conclusion technique** : Les indicateurs techniques présentent un tableau mitigé, avec des signaux haussiers (Moyennes Mobiles, Stochastique) compensés par des signaux baissiers (MACD) et neutres (Bollinger, RSI). Cette divergence suggère une phase de consolidation après la forte hausse de +137,93%, avec un potentiel de poursuite haussière à moyen terme mais un risque de correction à court terme. La prudence est recommandée pour les investisseurs court-termistes, tandis que les investisseurs long terme peuvent conserver leur position en attendant une confirmation de la tendance.</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ETIT affiche un Produit Net Bancaire (PNB) de 1 424,261 milliards FCFA, un résultat net de 345,523 milliards FCFA, un ROE exceptionnel de 21,62% (largement supérieur au seuil de 15% considéré comme excellent) et un ROA de 1,80%. Le coefficient d'exploitation de 27,35% est remarquablement bas (seuil d'excellence &lt;50%), témoignant d'une efficacité opérationnelle hors pair. Le coût du risque, mesuré à 18,97% des charges financières, reste modéré mais mérite une surveillance. La structure financière montre une autonomie financière de 8,30% (faible) et un ratio d'endettement de 154,06%, typique du modèle bancaire où les dépôts clientèle (14 120,139 milliards FCFA) constituent la principale ressource, couvrant largement les créances clientèle (6 570,385 milliards FCFA).</w:t>
      </w:r>
    </w:p>
    <w:p>
      <w:pPr>
        <w:spacing w:after="120" w:line="276" w:lineRule="auto"/>
      </w:pPr>
      <w:r>
        <w:t>**Estimations basées sur les rapports trimestriels** : Le rapport semestriel 2026 (publié le 21 juillet 2026, analysé par DeepSeek le 30 juillet 2026) révèle un PNB de 721,318 milliards FCFA au S1 2026, en hausse de +15% par rapport au S1 2025, et un résultat net consolidé de 166,682 milliards FCFA (+6%). Le coefficient d'exploitation s'améliore à 48,4%, et le BPA atteint 0,80 $EU (4,53 FCFA) sur le semestre. Cependant, le coût du risque bondit de +40%, signal d'alerte sur la qualité des actifs. Sur la base de ces tendances, on estime que l'exercice 2026 devrait afficher un PNB annuel d'environ 1 500-1 550 milliards FCFA (+8-10%) et un résultat net de 350-370 milliards FCFA (+2-7%), avec un BPA annuel estimé à 9-10 FCFA. Le rapport T1 2026 (analysé par DeepSeek) confirme cette dynamique avec un PNB en hausse de +23% à 636,2 millions $EU et un résultat net de 142,5 millions $EU (+16%), mais souligne une hausse du coût du risque de +73%.</w:t>
      </w:r>
    </w:p>
    <w:p>
      <w:pPr>
        <w:spacing w:after="120" w:line="276" w:lineRule="auto"/>
      </w:pPr>
      <w:r>
        <w:t>**Recommandation fondamentale** : ETIT présente des fondamentaux solides avec une rentabilité élevée (ROE &gt;20%), une efficacité opérationnelle exceptionnelle (coefficient &lt;30% en 2025) et une croissance soutenue du PNB (+15% au S1 2026). Les risques principaux résident dans la hausse du coût du risque (+40% au S1 2026) et la faible autonomie financière (8,30%), typique du secteur bancaire mais à surveiller. La recommandation fondamentale est **CONSERVER** avec un biais positif, en attendant la confirmation de la maîtrise du coût du risque au second semestre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profil d'investissement contrasté mais globalement favorable. **Sur le plan de la valorisation (Partie 0)** , les ratios PER (3,6x), P/B (0,78x) et EV/EBITDA (5,0x) indiquent une sous-évaluation manifeste du titre par rapport à ses fondamentaux et à la moyenne du marché BRVM. **Le comportement du cours (Partie 1)** montre une tendance haussière spectaculaire (+137,93% sur 100 jours) avec une volatilité élevée (61,9%) et une distribution platykurtique, ce qui suggère un potentiel de poursuite mais aussi un risque de correction. **Les signaux techniques (Partie 2)** sont mitigés : les Moyennes Mobiles et le Stochastique sont haussiers, le MACD est baissier, et le RSI/Bollinger sont neutres, indiquant une phase de consolidation. **Les fondamentaux (Partie 3)** sont solides avec un ROE de 21,62%, un coefficient d'exploitation de 27,35% et une croissance du PNB de +15% au S1 2026, mais le coût du risque en hausse (+40%) tempère l'optimisme. **Les prédictions IA (J+1 à J+10)** anticipent une légère correction de 69 FCFA à 68 FCFA, confirmant la phase de consolidation technique sans remettre en cause la tendance de fond.</w:t>
      </w:r>
    </w:p>
    <w:p>
      <w:pPr>
        <w:spacing w:after="120" w:line="276" w:lineRule="auto"/>
      </w:pPr>
      <w:r>
        <w:t>**Recommandation finale : ACHAT** — La convergence entre une valorisation attractive (PER 3,6x, P/B 0,78x), des fondamentaux solides (ROE &gt;20%, croissance du PNB) et une tendance haussière de long terme justifie une position d'achat, malgré les signaux techniques mitigés à court terme et la hausse du coût du risque. Le niveau de confiance est **Moyen** (les divergences techniques et le coût du risque introduisent une incertitude), et le niveau de risque global est **Élevé** (volatilité de 61,9%, exposition aux risques de change et de crédit). L'horizon d'investissement optimal est **moyen terme (3-12 mois)** , le temps que la consolidation technique s'achève et que les résultats annuels 2026 confirment la maîtrise du coût du risque et la poursuite de la croissance.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18.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28.07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4,080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B40000"/>
                <w:sz w:val="17"/>
              </w:rPr>
              <w:t>-10.36%</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6.06% (Moyenne) — μ=2,118 FCFA, σ=128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β=0.2598 (Défensif) — Cov=0.000018, Var(idx)=0.000068, ρ=0.102,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σ_j=2.09%/j (Stable) — Vol. annualisée≈33.2%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1,911</w:t>
            </w:r>
          </w:p>
        </w:tc>
        <w:tc>
          <w:tcPr>
            <w:tcW w:type="dxa" w:w="1440"/>
            <w:shd w:fill="FAFAFA" w:val="clear"/>
          </w:tcPr>
          <w:p>
            <w:r>
              <w:rPr>
                <w:b/>
                <w:sz w:val="17"/>
              </w:rPr>
              <w:t>1,975</w:t>
            </w:r>
          </w:p>
        </w:tc>
        <w:tc>
          <w:tcPr>
            <w:tcW w:type="dxa" w:w="1440"/>
            <w:shd w:fill="FAFAFA" w:val="clear"/>
          </w:tcPr>
          <w:p>
            <w:r>
              <w:rPr>
                <w:sz w:val="17"/>
              </w:rPr>
              <w:t>2,039</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1,872</w:t>
            </w:r>
          </w:p>
        </w:tc>
        <w:tc>
          <w:tcPr>
            <w:tcW w:type="dxa" w:w="1440"/>
            <w:shd w:fill="FAFAFA" w:val="clear"/>
          </w:tcPr>
          <w:p>
            <w:r>
              <w:rPr>
                <w:b/>
                <w:sz w:val="17"/>
              </w:rPr>
              <w:t>1,961</w:t>
            </w:r>
          </w:p>
        </w:tc>
        <w:tc>
          <w:tcPr>
            <w:tcW w:type="dxa" w:w="1440"/>
            <w:shd w:fill="FAFAFA" w:val="clear"/>
          </w:tcPr>
          <w:p>
            <w:r>
              <w:rPr>
                <w:sz w:val="17"/>
              </w:rPr>
              <w:t>2,051</w:t>
            </w:r>
          </w:p>
        </w:tc>
        <w:tc>
          <w:tcPr>
            <w:tcW w:type="dxa" w:w="1440"/>
            <w:shd w:fill="FAFAFA" w:val="clear"/>
          </w:tcPr>
          <w:p>
            <w:r>
              <w:rPr>
                <w:b/>
                <w:color w:val="C00000"/>
                <w:sz w:val="17"/>
              </w:rPr>
              <w:t>-1.4%</w:t>
            </w:r>
          </w:p>
        </w:tc>
      </w:tr>
      <w:tr>
        <w:tc>
          <w:tcPr>
            <w:tcW w:type="dxa" w:w="1440"/>
            <w:shd w:fill="FFDCE0" w:val="clear"/>
          </w:tcPr>
          <w:p>
            <w:r>
              <w:rPr>
                <w:sz w:val="17"/>
              </w:rPr>
              <w:t>J+3  ⭐⭐⭐</w:t>
            </w:r>
          </w:p>
        </w:tc>
        <w:tc>
          <w:tcPr>
            <w:tcW w:type="dxa" w:w="1440"/>
            <w:shd w:fill="FFDCE0" w:val="clear"/>
          </w:tcPr>
          <w:p>
            <w:r>
              <w:rPr>
                <w:sz w:val="17"/>
              </w:rPr>
              <w:t>2026-10-01</w:t>
            </w:r>
          </w:p>
        </w:tc>
        <w:tc>
          <w:tcPr>
            <w:tcW w:type="dxa" w:w="1440"/>
            <w:shd w:fill="FFDCE0" w:val="clear"/>
          </w:tcPr>
          <w:p>
            <w:r>
              <w:rPr>
                <w:sz w:val="17"/>
              </w:rPr>
              <w:t>1,839</w:t>
            </w:r>
          </w:p>
        </w:tc>
        <w:tc>
          <w:tcPr>
            <w:tcW w:type="dxa" w:w="1440"/>
            <w:shd w:fill="FFDCE0" w:val="clear"/>
          </w:tcPr>
          <w:p>
            <w:r>
              <w:rPr>
                <w:b/>
                <w:sz w:val="17"/>
              </w:rPr>
              <w:t>1,948</w:t>
            </w:r>
          </w:p>
        </w:tc>
        <w:tc>
          <w:tcPr>
            <w:tcW w:type="dxa" w:w="1440"/>
            <w:shd w:fill="FFDCE0" w:val="clear"/>
          </w:tcPr>
          <w:p>
            <w:r>
              <w:rPr>
                <w:sz w:val="17"/>
              </w:rPr>
              <w:t>2,057</w:t>
            </w:r>
          </w:p>
        </w:tc>
        <w:tc>
          <w:tcPr>
            <w:tcW w:type="dxa" w:w="1440"/>
            <w:shd w:fill="FFDCE0" w:val="clear"/>
          </w:tcPr>
          <w:p>
            <w:r>
              <w:rPr>
                <w:b/>
                <w:color w:val="C00000"/>
                <w:sz w:val="17"/>
              </w:rPr>
              <w:t>-2.1%</w:t>
            </w:r>
          </w:p>
        </w:tc>
      </w:tr>
      <w:tr>
        <w:tc>
          <w:tcPr>
            <w:tcW w:type="dxa" w:w="1440"/>
            <w:shd w:fill="FFDCE0" w:val="clear"/>
          </w:tcPr>
          <w:p>
            <w:r>
              <w:rPr>
                <w:sz w:val="17"/>
              </w:rPr>
              <w:t>J+4  Moyenne</w:t>
            </w:r>
          </w:p>
        </w:tc>
        <w:tc>
          <w:tcPr>
            <w:tcW w:type="dxa" w:w="1440"/>
            <w:shd w:fill="FFDCE0" w:val="clear"/>
          </w:tcPr>
          <w:p>
            <w:r>
              <w:rPr>
                <w:sz w:val="17"/>
              </w:rPr>
              <w:t>2026-10-02</w:t>
            </w:r>
          </w:p>
        </w:tc>
        <w:tc>
          <w:tcPr>
            <w:tcW w:type="dxa" w:w="1440"/>
            <w:shd w:fill="FFDCE0" w:val="clear"/>
          </w:tcPr>
          <w:p>
            <w:r>
              <w:rPr>
                <w:sz w:val="17"/>
              </w:rPr>
              <w:t>1,810</w:t>
            </w:r>
          </w:p>
        </w:tc>
        <w:tc>
          <w:tcPr>
            <w:tcW w:type="dxa" w:w="1440"/>
            <w:shd w:fill="FFDCE0" w:val="clear"/>
          </w:tcPr>
          <w:p>
            <w:r>
              <w:rPr>
                <w:b/>
                <w:sz w:val="17"/>
              </w:rPr>
              <w:t>1,935</w:t>
            </w:r>
          </w:p>
        </w:tc>
        <w:tc>
          <w:tcPr>
            <w:tcW w:type="dxa" w:w="1440"/>
            <w:shd w:fill="FFDCE0" w:val="clear"/>
          </w:tcPr>
          <w:p>
            <w:r>
              <w:rPr>
                <w:sz w:val="17"/>
              </w:rPr>
              <w:t>2,061</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2026-10-05</w:t>
            </w:r>
          </w:p>
        </w:tc>
        <w:tc>
          <w:tcPr>
            <w:tcW w:type="dxa" w:w="1440"/>
            <w:shd w:fill="FFDCE0" w:val="clear"/>
          </w:tcPr>
          <w:p>
            <w:r>
              <w:rPr>
                <w:sz w:val="17"/>
              </w:rPr>
              <w:t>1,784</w:t>
            </w:r>
          </w:p>
        </w:tc>
        <w:tc>
          <w:tcPr>
            <w:tcW w:type="dxa" w:w="1440"/>
            <w:shd w:fill="FFDCE0" w:val="clear"/>
          </w:tcPr>
          <w:p>
            <w:r>
              <w:rPr>
                <w:b/>
                <w:sz w:val="17"/>
              </w:rPr>
              <w:t>1,923</w:t>
            </w:r>
          </w:p>
        </w:tc>
        <w:tc>
          <w:tcPr>
            <w:tcW w:type="dxa" w:w="1440"/>
            <w:shd w:fill="FFDCE0" w:val="clear"/>
          </w:tcPr>
          <w:p>
            <w:r>
              <w:rPr>
                <w:sz w:val="17"/>
              </w:rPr>
              <w:t>2,062</w:t>
            </w:r>
          </w:p>
        </w:tc>
        <w:tc>
          <w:tcPr>
            <w:tcW w:type="dxa" w:w="1440"/>
            <w:shd w:fill="FFDCE0" w:val="clear"/>
          </w:tcPr>
          <w:p>
            <w:r>
              <w:rPr>
                <w:b/>
                <w:color w:val="C00000"/>
                <w:sz w:val="17"/>
              </w:rPr>
              <w:t>-3.4%</w:t>
            </w:r>
          </w:p>
        </w:tc>
      </w:tr>
      <w:tr>
        <w:tc>
          <w:tcPr>
            <w:tcW w:type="dxa" w:w="1440"/>
            <w:shd w:fill="FFDCE0" w:val="clear"/>
          </w:tcPr>
          <w:p>
            <w:r>
              <w:rPr>
                <w:sz w:val="17"/>
              </w:rPr>
              <w:t>J+6  Moyenne</w:t>
            </w:r>
          </w:p>
        </w:tc>
        <w:tc>
          <w:tcPr>
            <w:tcW w:type="dxa" w:w="1440"/>
            <w:shd w:fill="FFDCE0" w:val="clear"/>
          </w:tcPr>
          <w:p>
            <w:r>
              <w:rPr>
                <w:sz w:val="17"/>
              </w:rPr>
              <w:t>2026-10-06</w:t>
            </w:r>
          </w:p>
        </w:tc>
        <w:tc>
          <w:tcPr>
            <w:tcW w:type="dxa" w:w="1440"/>
            <w:shd w:fill="FFDCE0" w:val="clear"/>
          </w:tcPr>
          <w:p>
            <w:r>
              <w:rPr>
                <w:sz w:val="17"/>
              </w:rPr>
              <w:t>1,760</w:t>
            </w:r>
          </w:p>
        </w:tc>
        <w:tc>
          <w:tcPr>
            <w:tcW w:type="dxa" w:w="1440"/>
            <w:shd w:fill="FFDCE0" w:val="clear"/>
          </w:tcPr>
          <w:p>
            <w:r>
              <w:rPr>
                <w:b/>
                <w:sz w:val="17"/>
              </w:rPr>
              <w:t>1,912</w:t>
            </w:r>
          </w:p>
        </w:tc>
        <w:tc>
          <w:tcPr>
            <w:tcW w:type="dxa" w:w="1440"/>
            <w:shd w:fill="FFDCE0" w:val="clear"/>
          </w:tcPr>
          <w:p>
            <w:r>
              <w:rPr>
                <w:sz w:val="17"/>
              </w:rPr>
              <w:t>2,063</w:t>
            </w:r>
          </w:p>
        </w:tc>
        <w:tc>
          <w:tcPr>
            <w:tcW w:type="dxa" w:w="1440"/>
            <w:shd w:fill="FFDCE0" w:val="clear"/>
          </w:tcPr>
          <w:p>
            <w:r>
              <w:rPr>
                <w:b/>
                <w:color w:val="C00000"/>
                <w:sz w:val="17"/>
              </w:rPr>
              <w:t>-3.9%</w:t>
            </w:r>
          </w:p>
        </w:tc>
      </w:tr>
      <w:tr>
        <w:tc>
          <w:tcPr>
            <w:tcW w:type="dxa" w:w="1440"/>
            <w:shd w:fill="FFDCE0" w:val="clear"/>
          </w:tcPr>
          <w:p>
            <w:r>
              <w:rPr>
                <w:sz w:val="17"/>
              </w:rPr>
              <w:t>J+7  Moyenne</w:t>
            </w:r>
          </w:p>
        </w:tc>
        <w:tc>
          <w:tcPr>
            <w:tcW w:type="dxa" w:w="1440"/>
            <w:shd w:fill="FFDCE0" w:val="clear"/>
          </w:tcPr>
          <w:p>
            <w:r>
              <w:rPr>
                <w:sz w:val="17"/>
              </w:rPr>
              <w:t>2026-10-07</w:t>
            </w:r>
          </w:p>
        </w:tc>
        <w:tc>
          <w:tcPr>
            <w:tcW w:type="dxa" w:w="1440"/>
            <w:shd w:fill="FFDCE0" w:val="clear"/>
          </w:tcPr>
          <w:p>
            <w:r>
              <w:rPr>
                <w:sz w:val="17"/>
              </w:rPr>
              <w:t>1,738</w:t>
            </w:r>
          </w:p>
        </w:tc>
        <w:tc>
          <w:tcPr>
            <w:tcW w:type="dxa" w:w="1440"/>
            <w:shd w:fill="FFDCE0" w:val="clear"/>
          </w:tcPr>
          <w:p>
            <w:r>
              <w:rPr>
                <w:b/>
                <w:sz w:val="17"/>
              </w:rPr>
              <w:t>1,900</w:t>
            </w:r>
          </w:p>
        </w:tc>
        <w:tc>
          <w:tcPr>
            <w:tcW w:type="dxa" w:w="1440"/>
            <w:shd w:fill="FFDCE0" w:val="clear"/>
          </w:tcPr>
          <w:p>
            <w:r>
              <w:rPr>
                <w:sz w:val="17"/>
              </w:rPr>
              <w:t>2,063</w:t>
            </w:r>
          </w:p>
        </w:tc>
        <w:tc>
          <w:tcPr>
            <w:tcW w:type="dxa" w:w="1440"/>
            <w:shd w:fill="FFDCE0" w:val="clear"/>
          </w:tcPr>
          <w:p>
            <w:r>
              <w:rPr>
                <w:b/>
                <w:color w:val="C00000"/>
                <w:sz w:val="17"/>
              </w:rPr>
              <w:t>-4.5%</w:t>
            </w:r>
          </w:p>
        </w:tc>
      </w:tr>
      <w:tr>
        <w:tc>
          <w:tcPr>
            <w:tcW w:type="dxa" w:w="1440"/>
            <w:shd w:fill="FFDCE0" w:val="clear"/>
          </w:tcPr>
          <w:p>
            <w:r>
              <w:rPr>
                <w:sz w:val="17"/>
              </w:rPr>
              <w:t>J+8  Moyenne</w:t>
            </w:r>
          </w:p>
        </w:tc>
        <w:tc>
          <w:tcPr>
            <w:tcW w:type="dxa" w:w="1440"/>
            <w:shd w:fill="FFDCE0" w:val="clear"/>
          </w:tcPr>
          <w:p>
            <w:r>
              <w:rPr>
                <w:sz w:val="17"/>
              </w:rPr>
              <w:t>2026-10-08</w:t>
            </w:r>
          </w:p>
        </w:tc>
        <w:tc>
          <w:tcPr>
            <w:tcW w:type="dxa" w:w="1440"/>
            <w:shd w:fill="FFDCE0" w:val="clear"/>
          </w:tcPr>
          <w:p>
            <w:r>
              <w:rPr>
                <w:sz w:val="17"/>
              </w:rPr>
              <w:t>1,716</w:t>
            </w:r>
          </w:p>
        </w:tc>
        <w:tc>
          <w:tcPr>
            <w:tcW w:type="dxa" w:w="1440"/>
            <w:shd w:fill="FFDCE0" w:val="clear"/>
          </w:tcPr>
          <w:p>
            <w:r>
              <w:rPr>
                <w:b/>
                <w:sz w:val="17"/>
              </w:rPr>
              <w:t>1,889</w:t>
            </w:r>
          </w:p>
        </w:tc>
        <w:tc>
          <w:tcPr>
            <w:tcW w:type="dxa" w:w="1440"/>
            <w:shd w:fill="FFDCE0" w:val="clear"/>
          </w:tcPr>
          <w:p>
            <w:r>
              <w:rPr>
                <w:sz w:val="17"/>
              </w:rPr>
              <w:t>2,062</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2026-10-09</w:t>
            </w:r>
          </w:p>
        </w:tc>
        <w:tc>
          <w:tcPr>
            <w:tcW w:type="dxa" w:w="1440"/>
            <w:shd w:fill="FFDCE0" w:val="clear"/>
          </w:tcPr>
          <w:p>
            <w:r>
              <w:rPr>
                <w:sz w:val="17"/>
              </w:rPr>
              <w:t>1,696</w:t>
            </w:r>
          </w:p>
        </w:tc>
        <w:tc>
          <w:tcPr>
            <w:tcW w:type="dxa" w:w="1440"/>
            <w:shd w:fill="FFDCE0" w:val="clear"/>
          </w:tcPr>
          <w:p>
            <w:r>
              <w:rPr>
                <w:b/>
                <w:sz w:val="17"/>
              </w:rPr>
              <w:t>1,879</w:t>
            </w:r>
          </w:p>
        </w:tc>
        <w:tc>
          <w:tcPr>
            <w:tcW w:type="dxa" w:w="1440"/>
            <w:shd w:fill="FFDCE0" w:val="clear"/>
          </w:tcPr>
          <w:p>
            <w:r>
              <w:rPr>
                <w:sz w:val="17"/>
              </w:rPr>
              <w:t>2,061</w:t>
            </w:r>
          </w:p>
        </w:tc>
        <w:tc>
          <w:tcPr>
            <w:tcW w:type="dxa" w:w="1440"/>
            <w:shd w:fill="FFDCE0" w:val="clear"/>
          </w:tcPr>
          <w:p>
            <w:r>
              <w:rPr>
                <w:b/>
                <w:color w:val="C00000"/>
                <w:sz w:val="17"/>
              </w:rPr>
              <w:t>-5.6%</w:t>
            </w:r>
          </w:p>
        </w:tc>
      </w:tr>
      <w:tr>
        <w:tc>
          <w:tcPr>
            <w:tcW w:type="dxa" w:w="1440"/>
            <w:shd w:fill="FFDCE0" w:val="clear"/>
          </w:tcPr>
          <w:p>
            <w:r>
              <w:rPr>
                <w:sz w:val="17"/>
              </w:rPr>
              <w:t>J+10  Moyenne</w:t>
            </w:r>
          </w:p>
        </w:tc>
        <w:tc>
          <w:tcPr>
            <w:tcW w:type="dxa" w:w="1440"/>
            <w:shd w:fill="FFDCE0" w:val="clear"/>
          </w:tcPr>
          <w:p>
            <w:r>
              <w:rPr>
                <w:sz w:val="17"/>
              </w:rPr>
              <w:t>2026-10-12</w:t>
            </w:r>
          </w:p>
        </w:tc>
        <w:tc>
          <w:tcPr>
            <w:tcW w:type="dxa" w:w="1440"/>
            <w:shd w:fill="FFDCE0" w:val="clear"/>
          </w:tcPr>
          <w:p>
            <w:r>
              <w:rPr>
                <w:sz w:val="17"/>
              </w:rPr>
              <w:t>1,677</w:t>
            </w:r>
          </w:p>
        </w:tc>
        <w:tc>
          <w:tcPr>
            <w:tcW w:type="dxa" w:w="1440"/>
            <w:shd w:fill="FFDCE0" w:val="clear"/>
          </w:tcPr>
          <w:p>
            <w:r>
              <w:rPr>
                <w:b/>
                <w:sz w:val="17"/>
              </w:rPr>
              <w:t>1,868</w:t>
            </w:r>
          </w:p>
        </w:tc>
        <w:tc>
          <w:tcPr>
            <w:tcW w:type="dxa" w:w="1440"/>
            <w:shd w:fill="FFDCE0" w:val="clear"/>
          </w:tcPr>
          <w:p>
            <w:r>
              <w:rPr>
                <w:sz w:val="17"/>
              </w:rPr>
              <w:t>2,059</w:t>
            </w:r>
          </w:p>
        </w:tc>
        <w:tc>
          <w:tcPr>
            <w:tcW w:type="dxa" w:w="1440"/>
            <w:shd w:fill="FFDCE0" w:val="clear"/>
          </w:tcPr>
          <w:p>
            <w:r>
              <w:rPr>
                <w:b/>
                <w:color w:val="C00000"/>
                <w:sz w:val="17"/>
              </w:rPr>
              <w:t>-6.1%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 RAPPORT D'ANALYSE FINANCIÈRE — FTSC (FILTISAC CI)</w:t>
        <w:br/>
        <w:t>**Bourse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28,07 Mds FCFA, FTSC se situe dans la catégorie des valeurs moyennes de la cote BRVM, ce qui la rend vulnérable aux mouvements de faible volume (4 080 titres/jour en moyenne). Le BPA de 33 FCFA/action reflète un bénéfice net très faible au regard du nombre d'actions en circulation, conséquence directe de l'effondrement du résultat net 2025 à 465,98 MFCFA. Le PER de 60,2x constitue un signal d'alerte majeur : les investisseurs paient plus de 60 fois les bénéfices courants, soit environ 5 à 7 fois le PER moyen de la BRVM (~8-12x), ce qui traduit une anticipation de redressement non encore matérialisée ou une anomalie de valorisation. Le P/B de 1,79x reste dans une zone raisonnable (1-2x), indiquant que le marché valorise l'entreprise légèrement au-dessus de sa valeur comptable (capitaux propres de 15,70 Mds FCFA), sans excès manifeste. En revanche, l'EV/EBITDA de 36,6x est très exigeant (&gt;15x), signifiant que la valeur d'entreprise intègre une prime spéculative disproportionnée par rapport à la capacité opérationnelle réelle (EBE de 1 501 MFCFA).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FTSC affiche une variation totale de **-10,36%**, avec une dernière séance en repli de **-0,50%**, portant le cours actuel à **1 990 FCFA**. Le range de trading s'étend de **1 910 FCFA** (plus bas) à **2 430 FCFA** (plus haut), soit un écart de 520 FCFA (27% du plus bas), traduisant une tendance baissière dominante depuis le pic. La moyenne (2 118 FCFA) et la médiane (2 120 FCFA) sont quasi identiques, confirmant une distribution symétrique du cours sur la période, tandis que le mode à 1 990 FCFA coïncide avec le cours actuel, suggérant un palier de consolidation. L'écart-type de 129 FCFA (CV=6,1%) indique une dispersion modérée du cours autour de sa moyenne, avec un kurtosis de -0,749 (mésokurtique) signalant une distribution proche de la normale, donc sans risque excessif de pics extrêmes. Le skewness de 0,350 confirme cette symétrie légèrement positive, sans asymétrie marquée. La volatilité annualisée de **33,2%** classe le titre en catégorie **élevée** (&gt;30%), ce qui est cohérent avec un marché peu liquide et une valeur en phase de retournement incertain.</w:t>
      </w:r>
    </w:p>
    <w:p>
      <w:pPr>
        <w:spacing w:after="120" w:line="276" w:lineRule="auto"/>
      </w:pPr>
      <w:r>
        <w:t>---</w:t>
      </w:r>
    </w:p>
    <w:p>
      <w:pPr>
        <w:spacing w:after="120" w:line="276" w:lineRule="auto"/>
      </w:pPr>
      <w:r>
        <w:t>## PARTIE 2 : ANALYSE TECHNIQUE DÉTAILLÉE</w:t>
      </w:r>
    </w:p>
    <w:p>
      <w:pPr>
        <w:spacing w:after="120" w:line="276" w:lineRule="auto"/>
      </w:pPr>
      <w:r>
        <w:t>**Moyennes Mobiles** : La MM20 (2 078,5 FCFA) et la MM50 (2 071,2 FCFA) sont toutes deux supérieures au cours actuel (1 990 FCFA), ce qui place le titre en position baissière sous ses moyennes. Toutefois, la MM20 étant légèrement au-dessus de la MM50, la configuration reste en « achat » selon la méthode de croisement, mais cette décision est fragilisée par la pression vendeuse actuelle.</w:t>
      </w:r>
    </w:p>
    <w:p>
      <w:pPr>
        <w:spacing w:after="120" w:line="276" w:lineRule="auto"/>
      </w:pPr>
      <w:r>
        <w:t>**Bandes de Bollinger** : Le cours (1 990 FCFA) se situe dans la moitié inférieure de la bande, entre la borne inférieure (1 944,41 FCFA) et la borne supérieure (2 212,59 FCFA), sans atteindre les extrêmes. Cette position médiane justifie la décision « Neutre », le marché n'étant ni en surachat ni en survente, avec une volatilité contenue dans les bandes.</w:t>
      </w:r>
    </w:p>
    <w:p>
      <w:pPr>
        <w:spacing w:after="120" w:line="276" w:lineRule="auto"/>
      </w:pPr>
      <w:r>
        <w:t>**MACD** : La valeur du MACD (-30,962) est nettement inférieure à son signal (-16,229), avec un histogramme négatif et divergent, confirmant un momentum baissier persistant. La décision « Vente » est cohérente avec cette configuration de croisement baissier non résolu.</w:t>
      </w:r>
    </w:p>
    <w:p>
      <w:pPr>
        <w:spacing w:after="120" w:line="276" w:lineRule="auto"/>
      </w:pPr>
      <w:r>
        <w:t>**RSI** : À 33,824, le RSI se situe dans la zone neutre basse (30-70), proche du seuil de survente (30) sans l'atteindre. La décision « Neutre » reflète cette position ambiguë : le titre n'est pas encore survendu, mais la pression baissière reste présente.</w:t>
      </w:r>
    </w:p>
    <w:p>
      <w:pPr>
        <w:spacing w:after="120" w:line="276" w:lineRule="auto"/>
      </w:pPr>
      <w:r>
        <w:t>**Stochastique** : Le %K (38,095) est légèrement inférieur au %D (40,62), sans croisement net, et les deux lignes évoluent en zone neutre basse. La décision « Neutre » traduit l'absence de signal directionnel fort, le marché attendant un catalyseur.</w:t>
      </w:r>
    </w:p>
    <w:p>
      <w:pPr>
        <w:spacing w:after="120" w:line="276" w:lineRule="auto"/>
      </w:pPr>
      <w:r>
        <w:t>**Conclusion technique** : Les indicateurs sont globalement divergents — les moyennes mobiles suggèrent un achat contrariant, tandis que le MACD confirme une vente et que le RSI, le stochastique et les Bollinger restent neutres. Cette absence de convergence signale une phase d'indécision, avec un biais baissier dominant tant que le cours reste sous la MM20 (2 078,5 FCFA) et que le MACD ne se redresse pas.</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FTSC a réalisé un chiffre d'affaires de **32 109 MFCFA** (32,1 Mds FCFA), en hausse de 4,6% par rapport à 2024 (30 695 MFCFA), mais son résultat net s'est effondré à **465,98 MFCFA** contre 18 595 MFCFA en 2024, soit une chute de 97,5%. Cette dégradation s'explique par la disparition des produits exceptionnels (résultat HAO de 381,6 MFCFA contre 18 863 MFCFA en 2024) et l'effondrement des produits financiers (544,98 MFCFA contre 6 170 MFCFA). Le ROE s'établit à **2,97%** (très en deçà du seuil de 15% considéré comme excellent) et le ROA à **1,19%**, confirmant une rentabilité très faible. La marge nette chute à **1,45%** (contre 60,6% en 2024, année artificiellement gonflée par des cessions). En tant qu'entreprise industrielle, les délais d'exploitation sont préoccupants : délai clients de **213,72 jours** (risque de trésorerie élevé), durée de stockage de **214,65 jours** (immobilisation de capital importante) et délai fournisseurs de **140,71 jours**. Le BFR s'élève à 11 529 MFCFA et la trésorerie nette est négative à **-11 528 MFCFA**, conséquence du versement de dividendes massifs en 2024 (18 617 MFCFA). L'autonomie financière reste correcte à **40,11%** (capitaux propres/total bilan) et la liquidité générale à **158,64%**, mais le ratio d'endettement de **97,60%** (dettes totales/capitaux propres) est élevé.</w:t>
      </w:r>
    </w:p>
    <w:p>
      <w:pPr>
        <w:spacing w:after="120" w:line="276" w:lineRule="auto"/>
      </w:pPr>
      <w:r>
        <w:t>**Estimations basées sur les rapports trimestriels** : Le rapport du **T1 2026 (publié le 08/07/2026)** indique un chiffre d'affaires de **8 901 MFCFA**, en hausse spectaculaire de **+55%** sur un an, porté par la demande d'emballages cacao. Le résultat d'exploitation redevient positif à **75 MFCFA** (contre -78 MFCFA au T1 2025), mais le résultat net reste déficitaire à **-154 MFCFA** (marge nette de -1,73%). Sur la base de ce rapport, on estime que l'exercice 2026 pourrait afficher un chiffre d'affaires annuel compris entre 35 et 38 Mds FCFA si la dynamique se maintient, avec un résultat net qui pourrait rester négatif ou à peine équilibré si les charges financières et hors exploitation persistent. Le rapport du **T3 2025 (30/09/2025)** confirmait déjà un résultat courant avant impôts de -216 MFCFA, en dégradation de 5 149 MFCFA sur le résultat financier, et le rapport annuel 2025 (publié en 2026) acte l'absence de dividende (taux de distribution de 0%). Le communiqué du **08/07/2026** rassure sur la continuité d'activité malgré l'arrêt de la filature (interdiction d'exportation de jute par le Bangladesh), avec une solution alternative d'importation de fil.</w:t>
      </w:r>
    </w:p>
    <w:p>
      <w:pPr>
        <w:spacing w:after="120" w:line="276" w:lineRule="auto"/>
      </w:pPr>
      <w:r>
        <w:t>**Recommandation fondamentale** : La société présente un profil de **retournement progressif mais fragile**. La croissance du CA au T1 2026 (+55%) et le retour à un résultat d'exploitation positif sont encourageants, mais la persistance de pertes nettes, la trésorerie négative, l'absence de dividende et les risques exogènes (matières premières, fret, géopolitique) incitent à la prudence. La solidité financière est moyenne (autonomie financière correcte mais endettement élevé), et la rentabilité reste insuffisante pour justifier une valorisation exigeante.</w:t>
      </w:r>
    </w:p>
    <w:p>
      <w:pPr>
        <w:spacing w:after="120" w:line="276" w:lineRule="auto"/>
      </w:pPr>
      <w:r>
        <w:t>---</w:t>
      </w:r>
    </w:p>
    <w:p>
      <w:pPr>
        <w:spacing w:after="120" w:line="276" w:lineRule="auto"/>
      </w:pPr>
      <w:r>
        <w:t>## PARTIE 4 : CONCLUSION D'INVESTISSEMENT</w:t>
      </w:r>
    </w:p>
    <w:p>
      <w:pPr>
        <w:spacing w:after="120" w:line="276" w:lineRule="auto"/>
      </w:pPr>
      <w:r>
        <w:t>La valorisation de FTSC apparaît **surévaluée** au regard des ratios PER (60,2x) et EV/EBITDA (36,6x), bien que le P/B (1,79x) reste raisonnable ; le marché intègre une prime de retournement qui n'est pas encore confirmée par les résultats. Le comportement du cours sur 100 jours est baissier (-10,36%), avec une volatilité élevée (33,2%) et une distribution symétrique (skewness 0,350) sans risque de pics extrêmes (kurtosis -0,749), ce qui est préoccupant pour un investisseur averse au risque. Les signaux techniques sont **divergents** : les moyennes mobiles suggèrent un achat contrariant, mais le MACD confirme une vente, tandis que le RSI, le stochastique et les Bollinger restent neutres, traduisant une indécision baissière. Les fondamentaux montrent une amélioration opérationnelle au T1 2026 (CA +55%, résultat d'exploitation positif), mais la persistance de pertes nettes (-154 MFCFA), la trésorerie négative (-11,5 Mds FCFA) et l'absence de dividende pèsent sur la thèse d'investissement. Les prédictions IA (J+1 à J+10) anticipent une poursuite de la baisse jusqu'à 1 923 FCFA, confirmant la pression baissière à court terme. **En synthèse, la convergence des signaux est majoritairement baissière** : valorisation exigeante, technique indécise avec biais négatif, fondamentaux en amélioration mais non confirmés, et prédictions baissières. **Recommandation finale : CONSERVER** (avec biais vendeur à court terme), justifiée par le potentiel de retournement à moyen terme mais l'absence de catalyseur immédiat. Le niveau de confiance est **Moyen** (les données T1 2026 sont encourageantes mais insuffisantes pour valider un redressement durable) et le niveau de risque global est **Élevé** (volatilité, trésorerie négative, dépendance au cacao). L'horizon d'investissement optimal est **moyen terme (3-12 mois)**, en attendant deux trimestres consécutifs de résultat net positif et une clarification de la politique de dividende pour envisager un passage à l'ACHAT.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19.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77.90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4,754 titres</w:t>
            </w:r>
          </w:p>
        </w:tc>
        <w:tc>
          <w:tcPr>
            <w:tcW w:type="dxa" w:w="2268"/>
            <w:shd w:fill="FFF2CC" w:val="clear"/>
          </w:tcPr>
          <w:p>
            <w:r>
              <w:rPr>
                <w:b/>
                <w:color w:val="503200"/>
                <w:sz w:val="16"/>
              </w:rPr>
              <w:t xml:space="preserve">Cours actuel : </w:t>
            </w:r>
            <w:r>
              <w:rPr>
                <w:color w:val="000000"/>
                <w:sz w:val="17"/>
              </w:rPr>
              <w:t>3,895 FCFA</w:t>
            </w:r>
          </w:p>
          <w:p>
            <w:r>
              <w:rPr>
                <w:b/>
                <w:color w:val="503200"/>
                <w:sz w:val="16"/>
              </w:rPr>
              <w:t xml:space="preserve">Var. 100 jours : </w:t>
            </w:r>
            <w:r>
              <w:rPr>
                <w:b/>
                <w:color w:val="B40000"/>
                <w:sz w:val="17"/>
              </w:rPr>
              <w:t>-1.39%</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3,700 FCFA</w:t>
            </w:r>
          </w:p>
          <w:p>
            <w:r>
              <w:rPr>
                <w:b/>
                <w:color w:val="503200"/>
                <w:sz w:val="16"/>
              </w:rPr>
              <w:t xml:space="preserve">Volatilité ann. : </w:t>
            </w:r>
            <w:r>
              <w:rPr>
                <w:color w:val="000000"/>
                <w:sz w:val="17"/>
              </w:rPr>
              <w:t>41.5%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4.70% (Faible) — μ=4,076 FCFA, σ=191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β=0.7162 (Défensif) — Cov=0.000049, Var(idx)=0.000068, ρ=0.226,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2026-09-29</w:t>
            </w:r>
          </w:p>
        </w:tc>
        <w:tc>
          <w:tcPr>
            <w:tcW w:type="dxa" w:w="1440"/>
            <w:shd w:fill="C6EFCE" w:val="clear"/>
          </w:tcPr>
          <w:p>
            <w:r>
              <w:rPr>
                <w:sz w:val="17"/>
              </w:rPr>
              <w:t>3,882</w:t>
            </w:r>
          </w:p>
        </w:tc>
        <w:tc>
          <w:tcPr>
            <w:tcW w:type="dxa" w:w="1440"/>
            <w:shd w:fill="C6EFCE" w:val="clear"/>
          </w:tcPr>
          <w:p>
            <w:r>
              <w:rPr>
                <w:b/>
                <w:sz w:val="17"/>
              </w:rPr>
              <w:t>4,056</w:t>
            </w:r>
          </w:p>
        </w:tc>
        <w:tc>
          <w:tcPr>
            <w:tcW w:type="dxa" w:w="1440"/>
            <w:shd w:fill="C6EFCE" w:val="clear"/>
          </w:tcPr>
          <w:p>
            <w:r>
              <w:rPr>
                <w:sz w:val="17"/>
              </w:rPr>
              <w:t>4,230</w:t>
            </w:r>
          </w:p>
        </w:tc>
        <w:tc>
          <w:tcPr>
            <w:tcW w:type="dxa" w:w="1440"/>
            <w:shd w:fill="C6EFCE" w:val="clear"/>
          </w:tcPr>
          <w:p>
            <w:r>
              <w:rPr>
                <w:b/>
                <w:color w:val="008000"/>
                <w:sz w:val="17"/>
              </w:rPr>
              <w:t>+4.1%</w:t>
            </w:r>
          </w:p>
        </w:tc>
      </w:tr>
      <w:tr>
        <w:tc>
          <w:tcPr>
            <w:tcW w:type="dxa" w:w="1440"/>
            <w:shd w:fill="C6EFCE" w:val="clear"/>
          </w:tcPr>
          <w:p>
            <w:r>
              <w:rPr>
                <w:sz w:val="17"/>
              </w:rPr>
              <w:t>J+2  Moyenne</w:t>
            </w:r>
          </w:p>
        </w:tc>
        <w:tc>
          <w:tcPr>
            <w:tcW w:type="dxa" w:w="1440"/>
            <w:shd w:fill="C6EFCE" w:val="clear"/>
          </w:tcPr>
          <w:p>
            <w:r>
              <w:rPr>
                <w:sz w:val="17"/>
              </w:rPr>
              <w:t>2026-09-30</w:t>
            </w:r>
          </w:p>
        </w:tc>
        <w:tc>
          <w:tcPr>
            <w:tcW w:type="dxa" w:w="1440"/>
            <w:shd w:fill="C6EFCE" w:val="clear"/>
          </w:tcPr>
          <w:p>
            <w:r>
              <w:rPr>
                <w:sz w:val="17"/>
              </w:rPr>
              <w:t>3,815</w:t>
            </w:r>
          </w:p>
        </w:tc>
        <w:tc>
          <w:tcPr>
            <w:tcW w:type="dxa" w:w="1440"/>
            <w:shd w:fill="C6EFCE" w:val="clear"/>
          </w:tcPr>
          <w:p>
            <w:r>
              <w:rPr>
                <w:b/>
                <w:sz w:val="17"/>
              </w:rPr>
              <w:t>4,061</w:t>
            </w:r>
          </w:p>
        </w:tc>
        <w:tc>
          <w:tcPr>
            <w:tcW w:type="dxa" w:w="1440"/>
            <w:shd w:fill="C6EFCE" w:val="clear"/>
          </w:tcPr>
          <w:p>
            <w:r>
              <w:rPr>
                <w:sz w:val="17"/>
              </w:rPr>
              <w:t>4,307</w:t>
            </w:r>
          </w:p>
        </w:tc>
        <w:tc>
          <w:tcPr>
            <w:tcW w:type="dxa" w:w="1440"/>
            <w:shd w:fill="C6EFCE" w:val="clear"/>
          </w:tcPr>
          <w:p>
            <w:r>
              <w:rPr>
                <w:b/>
                <w:color w:val="008000"/>
                <w:sz w:val="17"/>
              </w:rPr>
              <w:t>+4.3%</w:t>
            </w:r>
          </w:p>
        </w:tc>
      </w:tr>
      <w:tr>
        <w:tc>
          <w:tcPr>
            <w:tcW w:type="dxa" w:w="1440"/>
            <w:shd w:fill="C6EFCE" w:val="clear"/>
          </w:tcPr>
          <w:p>
            <w:r>
              <w:rPr>
                <w:sz w:val="17"/>
              </w:rPr>
              <w:t>J+3  Moyenne</w:t>
            </w:r>
          </w:p>
        </w:tc>
        <w:tc>
          <w:tcPr>
            <w:tcW w:type="dxa" w:w="1440"/>
            <w:shd w:fill="C6EFCE" w:val="clear"/>
          </w:tcPr>
          <w:p>
            <w:r>
              <w:rPr>
                <w:sz w:val="17"/>
              </w:rPr>
              <w:t>2026-10-01</w:t>
            </w:r>
          </w:p>
        </w:tc>
        <w:tc>
          <w:tcPr>
            <w:tcW w:type="dxa" w:w="1440"/>
            <w:shd w:fill="C6EFCE" w:val="clear"/>
          </w:tcPr>
          <w:p>
            <w:r>
              <w:rPr>
                <w:sz w:val="17"/>
              </w:rPr>
              <w:t>3,764</w:t>
            </w:r>
          </w:p>
        </w:tc>
        <w:tc>
          <w:tcPr>
            <w:tcW w:type="dxa" w:w="1440"/>
            <w:shd w:fill="C6EFCE" w:val="clear"/>
          </w:tcPr>
          <w:p>
            <w:r>
              <w:rPr>
                <w:b/>
                <w:sz w:val="17"/>
              </w:rPr>
              <w:t>4,066</w:t>
            </w:r>
          </w:p>
        </w:tc>
        <w:tc>
          <w:tcPr>
            <w:tcW w:type="dxa" w:w="1440"/>
            <w:shd w:fill="C6EFCE" w:val="clear"/>
          </w:tcPr>
          <w:p>
            <w:r>
              <w:rPr>
                <w:sz w:val="17"/>
              </w:rPr>
              <w:t>4,368</w:t>
            </w:r>
          </w:p>
        </w:tc>
        <w:tc>
          <w:tcPr>
            <w:tcW w:type="dxa" w:w="1440"/>
            <w:shd w:fill="C6EFCE" w:val="clear"/>
          </w:tcPr>
          <w:p>
            <w:r>
              <w:rPr>
                <w:b/>
                <w:color w:val="008000"/>
                <w:sz w:val="17"/>
              </w:rPr>
              <w:t>+4.4%</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3,723</w:t>
            </w:r>
          </w:p>
        </w:tc>
        <w:tc>
          <w:tcPr>
            <w:tcW w:type="dxa" w:w="1440"/>
            <w:shd w:fill="C6EFCE" w:val="clear"/>
          </w:tcPr>
          <w:p>
            <w:r>
              <w:rPr>
                <w:b/>
                <w:sz w:val="17"/>
              </w:rPr>
              <w:t>4,072</w:t>
            </w:r>
          </w:p>
        </w:tc>
        <w:tc>
          <w:tcPr>
            <w:tcW w:type="dxa" w:w="1440"/>
            <w:shd w:fill="C6EFCE" w:val="clear"/>
          </w:tcPr>
          <w:p>
            <w:r>
              <w:rPr>
                <w:sz w:val="17"/>
              </w:rPr>
              <w:t>4,421</w:t>
            </w:r>
          </w:p>
        </w:tc>
        <w:tc>
          <w:tcPr>
            <w:tcW w:type="dxa" w:w="1440"/>
            <w:shd w:fill="C6EFCE" w:val="clear"/>
          </w:tcPr>
          <w:p>
            <w:r>
              <w:rPr>
                <w:b/>
                <w:color w:val="008000"/>
                <w:sz w:val="17"/>
              </w:rPr>
              <w:t>+4.5%</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3,711</w:t>
            </w:r>
          </w:p>
        </w:tc>
        <w:tc>
          <w:tcPr>
            <w:tcW w:type="dxa" w:w="1440"/>
            <w:shd w:fill="C6EFCE" w:val="clear"/>
          </w:tcPr>
          <w:p>
            <w:r>
              <w:rPr>
                <w:b/>
                <w:sz w:val="17"/>
              </w:rPr>
              <w:t>4,105</w:t>
            </w:r>
          </w:p>
        </w:tc>
        <w:tc>
          <w:tcPr>
            <w:tcW w:type="dxa" w:w="1440"/>
            <w:shd w:fill="C6EFCE" w:val="clear"/>
          </w:tcPr>
          <w:p>
            <w:r>
              <w:rPr>
                <w:sz w:val="17"/>
              </w:rPr>
              <w:t>4,498</w:t>
            </w:r>
          </w:p>
        </w:tc>
        <w:tc>
          <w:tcPr>
            <w:tcW w:type="dxa" w:w="1440"/>
            <w:shd w:fill="C6EFCE" w:val="clear"/>
          </w:tcPr>
          <w:p>
            <w:r>
              <w:rPr>
                <w:b/>
                <w:color w:val="008000"/>
                <w:sz w:val="17"/>
              </w:rPr>
              <w:t>+5.4%</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3,702</w:t>
            </w:r>
          </w:p>
        </w:tc>
        <w:tc>
          <w:tcPr>
            <w:tcW w:type="dxa" w:w="1440"/>
            <w:shd w:fill="C6EFCE" w:val="clear"/>
          </w:tcPr>
          <w:p>
            <w:r>
              <w:rPr>
                <w:b/>
                <w:sz w:val="17"/>
              </w:rPr>
              <w:t>4,136</w:t>
            </w:r>
          </w:p>
        </w:tc>
        <w:tc>
          <w:tcPr>
            <w:tcW w:type="dxa" w:w="1440"/>
            <w:shd w:fill="C6EFCE" w:val="clear"/>
          </w:tcPr>
          <w:p>
            <w:r>
              <w:rPr>
                <w:sz w:val="17"/>
              </w:rPr>
              <w:t>4,570</w:t>
            </w:r>
          </w:p>
        </w:tc>
        <w:tc>
          <w:tcPr>
            <w:tcW w:type="dxa" w:w="1440"/>
            <w:shd w:fill="C6EFCE" w:val="clear"/>
          </w:tcPr>
          <w:p>
            <w:r>
              <w:rPr>
                <w:b/>
                <w:color w:val="008000"/>
                <w:sz w:val="17"/>
              </w:rPr>
              <w:t>+6.2%</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3,671</w:t>
            </w:r>
          </w:p>
        </w:tc>
        <w:tc>
          <w:tcPr>
            <w:tcW w:type="dxa" w:w="1440"/>
            <w:shd w:fill="C6EFCE" w:val="clear"/>
          </w:tcPr>
          <w:p>
            <w:r>
              <w:rPr>
                <w:b/>
                <w:sz w:val="17"/>
              </w:rPr>
              <w:t>4,141</w:t>
            </w:r>
          </w:p>
        </w:tc>
        <w:tc>
          <w:tcPr>
            <w:tcW w:type="dxa" w:w="1440"/>
            <w:shd w:fill="C6EFCE" w:val="clear"/>
          </w:tcPr>
          <w:p>
            <w:r>
              <w:rPr>
                <w:sz w:val="17"/>
              </w:rPr>
              <w:t>4,610</w:t>
            </w:r>
          </w:p>
        </w:tc>
        <w:tc>
          <w:tcPr>
            <w:tcW w:type="dxa" w:w="1440"/>
            <w:shd w:fill="C6EFCE" w:val="clear"/>
          </w:tcPr>
          <w:p>
            <w:r>
              <w:rPr>
                <w:b/>
                <w:color w:val="008000"/>
                <w:sz w:val="17"/>
              </w:rPr>
              <w:t>+6.3%</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3,645</w:t>
            </w:r>
          </w:p>
        </w:tc>
        <w:tc>
          <w:tcPr>
            <w:tcW w:type="dxa" w:w="1440"/>
            <w:shd w:fill="C6EFCE" w:val="clear"/>
          </w:tcPr>
          <w:p>
            <w:r>
              <w:rPr>
                <w:b/>
                <w:sz w:val="17"/>
              </w:rPr>
              <w:t>4,148</w:t>
            </w:r>
          </w:p>
        </w:tc>
        <w:tc>
          <w:tcPr>
            <w:tcW w:type="dxa" w:w="1440"/>
            <w:shd w:fill="C6EFCE" w:val="clear"/>
          </w:tcPr>
          <w:p>
            <w:r>
              <w:rPr>
                <w:sz w:val="17"/>
              </w:rPr>
              <w:t>4,650</w:t>
            </w:r>
          </w:p>
        </w:tc>
        <w:tc>
          <w:tcPr>
            <w:tcW w:type="dxa" w:w="1440"/>
            <w:shd w:fill="C6EFCE" w:val="clear"/>
          </w:tcPr>
          <w:p>
            <w:r>
              <w:rPr>
                <w:b/>
                <w:color w:val="008000"/>
                <w:sz w:val="17"/>
              </w:rPr>
              <w:t>+6.5%</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3,617</w:t>
            </w:r>
          </w:p>
        </w:tc>
        <w:tc>
          <w:tcPr>
            <w:tcW w:type="dxa" w:w="1440"/>
            <w:shd w:fill="C6EFCE" w:val="clear"/>
          </w:tcPr>
          <w:p>
            <w:r>
              <w:rPr>
                <w:b/>
                <w:sz w:val="17"/>
              </w:rPr>
              <w:t>4,151</w:t>
            </w:r>
          </w:p>
        </w:tc>
        <w:tc>
          <w:tcPr>
            <w:tcW w:type="dxa" w:w="1440"/>
            <w:shd w:fill="C6EFCE" w:val="clear"/>
          </w:tcPr>
          <w:p>
            <w:r>
              <w:rPr>
                <w:sz w:val="17"/>
              </w:rPr>
              <w:t>4,685</w:t>
            </w:r>
          </w:p>
        </w:tc>
        <w:tc>
          <w:tcPr>
            <w:tcW w:type="dxa" w:w="1440"/>
            <w:shd w:fill="C6EFCE" w:val="clear"/>
          </w:tcPr>
          <w:p>
            <w:r>
              <w:rPr>
                <w:b/>
                <w:color w:val="008000"/>
                <w:sz w:val="17"/>
              </w:rPr>
              <w:t>+6.6%</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3,590</w:t>
            </w:r>
          </w:p>
        </w:tc>
        <w:tc>
          <w:tcPr>
            <w:tcW w:type="dxa" w:w="1440"/>
            <w:shd w:fill="C6EFCE" w:val="clear"/>
          </w:tcPr>
          <w:p>
            <w:r>
              <w:rPr>
                <w:b/>
                <w:sz w:val="17"/>
              </w:rPr>
              <w:t>4,153</w:t>
            </w:r>
          </w:p>
        </w:tc>
        <w:tc>
          <w:tcPr>
            <w:tcW w:type="dxa" w:w="1440"/>
            <w:shd w:fill="C6EFCE" w:val="clear"/>
          </w:tcPr>
          <w:p>
            <w:r>
              <w:rPr>
                <w:sz w:val="17"/>
              </w:rPr>
              <w:t>4,716</w:t>
            </w:r>
          </w:p>
        </w:tc>
        <w:tc>
          <w:tcPr>
            <w:tcW w:type="dxa" w:w="1440"/>
            <w:shd w:fill="C6EFCE" w:val="clear"/>
          </w:tcPr>
          <w:p>
            <w:r>
              <w:rPr>
                <w:b/>
                <w:color w:val="008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**Bourse Régionale des Valeurs Mobilières (BRVM) — Secteur : Entreprise non bancaire**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77,90 milliards FCFA, LNBB se positionne comme une valeur de taille intermédiaire sur le compartiment des sociétés non bancaires de la BRVM, ce qui lui confère une certaine liquidité mais la maintient dans la catégorie des valeurs de second rang. Le BPA de 231 FCFA par action signifie que chaque titre génère près de 231 FCFA de bénéfice net, ce qui, rapporté au cours actuel de 3 895 FCFA, donne un PER de 16,9x — nettement supérieur à la moyenne du marché BRVM (8-12x), traduisant une prime de qualité que les investisseurs accordent à la solidité financière et à la régularité des dividendes de la société. Le ratio P/B de 3,55x indique que le marché valorise LNBB à plus de trois fois sa valeur comptable, une prime de croissance significative qui se justifie par un ROE élevé (21,05%) et une structure bilancielle très saine. Enfin, l'EV/EBITDA de 9,8x, dans la fourchette raisonnable de 5-10x, suggère que la valeur d'entreprise reste cohérente avec la capacité opérationnelle de génération de cash-flows, bien que légèrement tendue en haut de fourchette.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LNBB a enregistré une variation totale de -1,39%, avec une chute marquée de -2,14% lors de la dernière séance (J-1), portant le cours actuel à 3 895 FCFA. Le titre a évolué dans un range de 860 FCFA, entre un plus haut de 4 560 FCFA et un plus bas de 3 700 FCFA, ce qui témoigne d'une tendance globalement baissière mais avec des rebonds ponctuels. La moyenne du cours s'établit à 4 076 FCFA, légèrement supérieure à la médiane de 4 050 FCFA, ce qui indique une distribution quasi-symétrique avec une très légère asymétrie positive — confirmée par le skewness de 0,449 (distribution symétrique selon l'interprétation fournie). L'écart-type de 192 FCFA, avec un coefficient de variation de seulement 4,7%, révèle une dispersion très faible du cours autour de sa moyenne, ce qui est rassurant pour la stabilité du titre. Le kurtosis de -0,770 (mésokurtique, proche d'une distribution normale) suggère une absence de pics extrêmes, donc un risque de mouvements violents limité. Cependant, la volatilité annualisée de 41,5% classe ce titre dans la catégorie des valeurs à volatilité élevée (&gt;30%), ce qui contraste avec la faible dispersion quotidienne et s'explique probablement par des mouvements erratiques sur des périodes plus longues.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(3 990,75 FCFA) et la MM50 (4 120,80 FCFA) sont toutes deux supérieures au cours actuel de 3 895 FCFA, avec une MM20 en dessous de la MM50, configurant un croisement baissier (death cross) qui confirme la pression vendeuse. Le cours évoluant sous ses deux moyennes mobiles, la décision technique est logiquement « Vente », signalant que la tendance de fond reste négative à court et moyen terme.</w:t>
      </w:r>
    </w:p>
    <w:p>
      <w:pPr>
        <w:spacing w:after="120" w:line="276" w:lineRule="auto"/>
      </w:pPr>
      <w:r>
        <w:t>**Bandes de Bollinger** : Le cours actuel (3 895 FCFA) se situe dans la partie basse de la bande de Bollinger, entre la borne inférieure (3 805,67 FCFA) et la borne supérieure (4 175,83 FCFA), sans franchir aucune des deux limites. Cette position médiane-basse, combinée à un écart-type modéré, justifie la décision « Neutre » : le titre n'est ni en situation de survente extrême, ni en surachat, et la volatilité reste contenue dans les bandes.</w:t>
      </w:r>
    </w:p>
    <w:p>
      <w:pPr>
        <w:spacing w:after="120" w:line="276" w:lineRule="auto"/>
      </w:pPr>
      <w:r>
        <w:t>**MACD** : La valeur du MACD (-49,806) est inférieure à sa ligne de signal (-46,384), avec un histogramme négatif, ce qui confirme un momentum baissier persistant. La divergence négative entre le MACD et son signal justifie la décision « Vente », bien que l'écart relativement faible entre les deux lignes suggère un essoufflement possible de la tendance baissière à court terme.</w:t>
      </w:r>
    </w:p>
    <w:p>
      <w:pPr>
        <w:spacing w:after="120" w:line="276" w:lineRule="auto"/>
      </w:pPr>
      <w:r>
        <w:t>**RSI** : À 41,494, le RSI se situe dans la zone neutre (30-70), sans atteindre le seuil de survente (30), ce qui indique que le titre n'est pas encore techniquement « bon marché » malgré la baisse récente. La décision « Neutre » reflète cette absence de signal directionnel fort, le RSI n'offrant ni opportunité d'achat sur rebond technique, ni confirmation de poursuite baissière.</w:t>
      </w:r>
    </w:p>
    <w:p>
      <w:pPr>
        <w:spacing w:after="120" w:line="276" w:lineRule="auto"/>
      </w:pPr>
      <w:r>
        <w:t>**Stochastique** : Le %K (48,75) est inférieur au %D (62,5), avec un croisement baissier en cours dans la zone médiane, ce qui constitue un signal de vente modéré. La décision « Neutre » s'explique par le fait que les deux lignes restent dans une zone intermédiaire (ni surachat &gt;80, ni survente &lt;20), le signal baissier étant atténué par l'absence de conditions extrêmes.</w:t>
      </w:r>
    </w:p>
    <w:p>
      <w:pPr>
        <w:spacing w:after="120" w:line="276" w:lineRule="auto"/>
      </w:pPr>
      <w:r>
        <w:t>**Conclusion technique** : La convergence des signaux baissiers (MM, MACD) et neutres (Bollinger, RSI, Stochastique) dessine un tableau technique globalement défavorable à court terme, sans toutefois de signal de survente extrême qui inciterait à un achat spéculatif. Le titre se trouve dans une phase de consolidation baissière modérée, avec un potentiel de rebond technique limité tant que le cours reste sous la MM20 (3 990 FCFA). Une cassure au-dessus de ce niveau serait le premier signe d'inversion de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LNBB a réalisé un chiffre d'affaires de 98,598 milliards FCFA, en baisse de -3,85% par rapport à 2024, et un résultat net de 4,622 milliards FCFA, soit une marge nette de 4,69%. Le ROE s'élève à 21,05% (excellent, &gt;15%) et le ROA à 14,17%, confirmant la forte rentabilité des fonds propres et des actifs. La structure financière est remarquablement saine : autonomie financière de 67,32%, ratio d'endettement de seulement 2,57%, liquidité générale de 184,84% et trésorerie nette positive de 7,979 milliards FCFA. Le BFR est quasi nul (217,45 millions FCFA), avec un délai clients très faible (4,82 jours) et un délai fournisseurs de 20,41 jours, traduisant une gestion rigoureuse du besoin en fonds de roulement. La couverture des intérêts est exceptionnelle (9 153%), signe d'une quasi-absence de risque financier.</w:t>
      </w:r>
    </w:p>
    <w:p>
      <w:pPr>
        <w:spacing w:after="120" w:line="276" w:lineRule="auto"/>
      </w:pPr>
      <w:r>
        <w:t>**Adaptation au secteur (entreprise non bancaire)** : Les délais clients très courts (4,82 jours) et la rotation des actifs élevée (302,37%) témoignent d'un modèle économique efficace, où les encaissements sont rapides et les stocks quasi inexistants (durée de stockage de 1,56 jour). Le taux de croissance du CA est négatif (-3,85%), principalement dû à la concurrence illégale dans le secteur des jeux, mais la marge brute de 10,70% et la marge opérationnelle de 6,47% restent correctes pour le secteur.</w:t>
      </w:r>
    </w:p>
    <w:p>
      <w:pPr>
        <w:spacing w:after="120" w:line="276" w:lineRule="auto"/>
      </w:pPr>
      <w:r>
        <w:t>**Estimations basées sur les rapports trimestriels** : Le rapport du T1 2026 (publié le 30 juin 2026) indique un CA de 25,521 milliards FCFA (+6%) mais un résultat net en chute de -46% à 848 millions FCFA, en raison d'un mix produit défavorable (pari sportif à 95% de taux de retour). Toutefois, le rapport du S1 2026 (publié le 30 juillet 2026) révèle un redressement spectaculaire : le résultat net progresse de +60% par rapport au S1 2025, grâce à la maîtrise des charges et aux revenus de partenariats, malgré un produit brut des jeux en baisse de -9%. On estime donc que l'exercice 2026 devrait afficher une amélioration de la rentabilité par rapport à 2025, portée par la digitalisation (+18% sur les jeux en ligne en 2025) et le déploiement de 1 500 nouveaux terminaux au S2 2026.</w:t>
      </w:r>
    </w:p>
    <w:p>
      <w:pPr>
        <w:spacing w:after="120" w:line="276" w:lineRule="auto"/>
      </w:pPr>
      <w:r>
        <w:t>**Évolution pluriannuelle** : Entre 2024 et 2025, le CA a reculé de -3,85% (102,5 → 98,6 milliards FCFA) et le résultat net de -35,6% (7,18 → 4,62 milliards FCFA), principalement à cause de l'absence de produits exceptionnels en 2025 (3,1 milliards en 2024) et de la concurrence illégale. Cependant, la valeur ajoutée a progressé de +22% et l'EBE de +34%, démontrant une amélioration de la performance opérationnelle sous-jacente.</w:t>
      </w:r>
    </w:p>
    <w:p>
      <w:pPr>
        <w:spacing w:after="120" w:line="276" w:lineRule="auto"/>
      </w:pPr>
      <w:r>
        <w:t>**Recommandation fondamentale** : La solidité financière de LNBB est incontestable (capitaux propres de 21,95 milliards FCFA, trésorerie nette positive, endettement quasi nul), et la politique de dividende est très généreuse (173 FCFA brut/action, soit un rendement de 4,44% au cours actuel). Les risques principaux restent la concurrence illégale et la pression sur les marges du pari sportif, mais les perspectives 2026 (nouveaux produits, digitalisation, partenariats) sont encourageantes. La recommandation fondamentale est **CONSERVER**, avec un biais positif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**Synthèse des 4 parties** : La valorisation (Partie 0) est modérément tendue (PER de 16,9x vs moyenne BRVM de 8-12x, P/B de 3,55x), mais justifiée par un ROE de 21,05% et une politique de dividende attractive (rendement de 4,44%). Le comportement du cours (Partie 1) est baissier sur 100 jours (-1,39%), avec une volatilité élevée (41,5%) mais une distribution symétrique et sans pics extrêmes (kurtosis de -0,770), ce qui limite le risque de mouvements violents. Les signaux techniques (Partie 2) sont majoritairement baissiers (MM, MACD) ou neutres (Bollinger, RSI, Stochastique), sans signal de survente extrême, suggérant une poursuite de la consolidation à court terme. Les fondamentaux (Partie 3) sont solides (ROE de 21,05%, autonomie financière de 67,32%, trésorerie nette de 7,98 milliards FCFA), avec une amélioration attendue en 2026 selon les rapports S1 2026 (+60% de résultat net). Les prédictions IA (J+1 à J+10) tablent sur une hausse progressive du cours de 4 056 FCFA à 4 105 FCFA, ce qui contredit légèrement les signaux techniques baissiers à court terme mais s'aligne sur les fondamentaux positifs.</w:t>
      </w:r>
    </w:p>
    <w:p>
      <w:pPr>
        <w:spacing w:after="120" w:line="276" w:lineRule="auto"/>
      </w:pPr>
      <w:r>
        <w:t>**Recommandation finale** : **CONSERVER**, avec un niveau de confiance **Moyen** et un risque global **Moyen**. La convergence entre la solidité fondamentale, la politique de dividende attractive et les perspectives d'amélioration en 2026 soutient le maintien en portefeuille, mais la valorisation tendue (PER de 16,9x) et les signaux techniques baissiers à court terme incitent à la prudence. Un renforcement serait justifié si le cours cassait à la hausse la MM20 (3 990 FCFA) ou si le S2 2026 confirmait la stabilisation du produit brut des jeux. L'horizon d'investissement optimal est le **moyen terme (3-12 mois)**, le temps que les effets des nouveaux produits et du déploiement des 1 500 terminaux se matérialisent dans les résultats.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20.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2,796 titres</w:t>
            </w:r>
          </w:p>
        </w:tc>
        <w:tc>
          <w:tcPr>
            <w:tcW w:type="dxa" w:w="2268"/>
            <w:shd w:fill="FFF2CC" w:val="clear"/>
          </w:tcPr>
          <w:p>
            <w:r>
              <w:rPr>
                <w:b/>
                <w:color w:val="503200"/>
                <w:sz w:val="16"/>
              </w:rPr>
              <w:t xml:space="preserve">Cours actuel : </w:t>
            </w:r>
            <w:r>
              <w:rPr>
                <w:color w:val="000000"/>
                <w:sz w:val="17"/>
              </w:rPr>
              <w:t>2,395 FCFA</w:t>
            </w:r>
          </w:p>
          <w:p>
            <w:r>
              <w:rPr>
                <w:b/>
                <w:color w:val="503200"/>
                <w:sz w:val="16"/>
              </w:rPr>
              <w:t xml:space="preserve">Var. 100 jours : </w:t>
            </w:r>
            <w:r>
              <w:rPr>
                <w:b/>
                <w:color w:val="007800"/>
                <w:sz w:val="17"/>
              </w:rPr>
              <w:t>+33.80%</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1,715 FCFA</w:t>
            </w:r>
          </w:p>
          <w:p>
            <w:r>
              <w:rPr>
                <w:b/>
                <w:color w:val="503200"/>
                <w:sz w:val="16"/>
              </w:rPr>
              <w:t xml:space="preserve">Volatilité ann. : </w:t>
            </w:r>
            <w:r>
              <w:rPr>
                <w:color w:val="000000"/>
                <w:sz w:val="17"/>
              </w:rPr>
              <w:t>54.1%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13.70% (Moyenne) — μ=2,283 FCFA, σ=313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β=0.0429 (Défensif) — Cov=0.000003, Var(idx)=0.000068, ρ=0.010,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2,796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σ_j=3.41%/j (Modérée) — Vol. annualisée≈54.1%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2,226</w:t>
            </w:r>
          </w:p>
        </w:tc>
        <w:tc>
          <w:tcPr>
            <w:tcW w:type="dxa" w:w="1440"/>
            <w:shd w:fill="FAFAFA" w:val="clear"/>
          </w:tcPr>
          <w:p>
            <w:r>
              <w:rPr>
                <w:b/>
                <w:sz w:val="17"/>
              </w:rPr>
              <w:t>2,381</w:t>
            </w:r>
          </w:p>
        </w:tc>
        <w:tc>
          <w:tcPr>
            <w:tcW w:type="dxa" w:w="1440"/>
            <w:shd w:fill="FAFAFA" w:val="clear"/>
          </w:tcPr>
          <w:p>
            <w:r>
              <w:rPr>
                <w:sz w:val="17"/>
              </w:rPr>
              <w:t>2,536</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2,154</w:t>
            </w:r>
          </w:p>
        </w:tc>
        <w:tc>
          <w:tcPr>
            <w:tcW w:type="dxa" w:w="1440"/>
            <w:shd w:fill="FAFAFA" w:val="clear"/>
          </w:tcPr>
          <w:p>
            <w:r>
              <w:rPr>
                <w:b/>
                <w:sz w:val="17"/>
              </w:rPr>
              <w:t>2,372</w:t>
            </w:r>
          </w:p>
        </w:tc>
        <w:tc>
          <w:tcPr>
            <w:tcW w:type="dxa" w:w="1440"/>
            <w:shd w:fill="FAFAFA" w:val="clear"/>
          </w:tcPr>
          <w:p>
            <w:r>
              <w:rPr>
                <w:sz w:val="17"/>
              </w:rPr>
              <w:t>2,590</w:t>
            </w:r>
          </w:p>
        </w:tc>
        <w:tc>
          <w:tcPr>
            <w:tcW w:type="dxa" w:w="1440"/>
            <w:shd w:fill="FAFAFA" w:val="clear"/>
          </w:tcPr>
          <w:p>
            <w:r>
              <w:rPr>
                <w:b/>
                <w:color w:val="C00000"/>
                <w:sz w:val="17"/>
              </w:rPr>
              <w:t>-1.0%</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2,096</w:t>
            </w:r>
          </w:p>
        </w:tc>
        <w:tc>
          <w:tcPr>
            <w:tcW w:type="dxa" w:w="1440"/>
            <w:shd w:fill="FAFAFA" w:val="clear"/>
          </w:tcPr>
          <w:p>
            <w:r>
              <w:rPr>
                <w:b/>
                <w:sz w:val="17"/>
              </w:rPr>
              <w:t>2,362</w:t>
            </w:r>
          </w:p>
        </w:tc>
        <w:tc>
          <w:tcPr>
            <w:tcW w:type="dxa" w:w="1440"/>
            <w:shd w:fill="FAFAFA" w:val="clear"/>
          </w:tcPr>
          <w:p>
            <w:r>
              <w:rPr>
                <w:sz w:val="17"/>
              </w:rPr>
              <w:t>2,628</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2,047</w:t>
            </w:r>
          </w:p>
        </w:tc>
        <w:tc>
          <w:tcPr>
            <w:tcW w:type="dxa" w:w="1440"/>
            <w:shd w:fill="FAFAFA" w:val="clear"/>
          </w:tcPr>
          <w:p>
            <w:r>
              <w:rPr>
                <w:b/>
                <w:sz w:val="17"/>
              </w:rPr>
              <w:t>2,353</w:t>
            </w:r>
          </w:p>
        </w:tc>
        <w:tc>
          <w:tcPr>
            <w:tcW w:type="dxa" w:w="1440"/>
            <w:shd w:fill="FAFAFA" w:val="clear"/>
          </w:tcPr>
          <w:p>
            <w:r>
              <w:rPr>
                <w:sz w:val="17"/>
              </w:rPr>
              <w:t>2,659</w:t>
            </w:r>
          </w:p>
        </w:tc>
        <w:tc>
          <w:tcPr>
            <w:tcW w:type="dxa" w:w="1440"/>
            <w:shd w:fill="FAFAFA" w:val="clear"/>
          </w:tcPr>
          <w:p>
            <w:r>
              <w:rPr>
                <w:b/>
                <w:color w:val="C00000"/>
                <w:sz w:val="17"/>
              </w:rPr>
              <w:t>-1.8%</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2,003</w:t>
            </w:r>
          </w:p>
        </w:tc>
        <w:tc>
          <w:tcPr>
            <w:tcW w:type="dxa" w:w="1440"/>
            <w:shd w:fill="FFDCE0" w:val="clear"/>
          </w:tcPr>
          <w:p>
            <w:r>
              <w:rPr>
                <w:b/>
                <w:sz w:val="17"/>
              </w:rPr>
              <w:t>2,344</w:t>
            </w:r>
          </w:p>
        </w:tc>
        <w:tc>
          <w:tcPr>
            <w:tcW w:type="dxa" w:w="1440"/>
            <w:shd w:fill="FFDCE0" w:val="clear"/>
          </w:tcPr>
          <w:p>
            <w:r>
              <w:rPr>
                <w:sz w:val="17"/>
              </w:rPr>
              <w:t>2,685</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1,963</w:t>
            </w:r>
          </w:p>
        </w:tc>
        <w:tc>
          <w:tcPr>
            <w:tcW w:type="dxa" w:w="1440"/>
            <w:shd w:fill="FFDCE0" w:val="clear"/>
          </w:tcPr>
          <w:p>
            <w:r>
              <w:rPr>
                <w:b/>
                <w:sz w:val="17"/>
              </w:rPr>
              <w:t>2,336</w:t>
            </w:r>
          </w:p>
        </w:tc>
        <w:tc>
          <w:tcPr>
            <w:tcW w:type="dxa" w:w="1440"/>
            <w:shd w:fill="FFDCE0" w:val="clear"/>
          </w:tcPr>
          <w:p>
            <w:r>
              <w:rPr>
                <w:sz w:val="17"/>
              </w:rPr>
              <w:t>2,708</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1,927</w:t>
            </w:r>
          </w:p>
        </w:tc>
        <w:tc>
          <w:tcPr>
            <w:tcW w:type="dxa" w:w="1440"/>
            <w:shd w:fill="FFDCE0" w:val="clear"/>
          </w:tcPr>
          <w:p>
            <w:r>
              <w:rPr>
                <w:b/>
                <w:sz w:val="17"/>
              </w:rPr>
              <w:t>2,328</w:t>
            </w:r>
          </w:p>
        </w:tc>
        <w:tc>
          <w:tcPr>
            <w:tcW w:type="dxa" w:w="1440"/>
            <w:shd w:fill="FFDCE0" w:val="clear"/>
          </w:tcPr>
          <w:p>
            <w:r>
              <w:rPr>
                <w:sz w:val="17"/>
              </w:rPr>
              <w:t>2,729</w:t>
            </w:r>
          </w:p>
        </w:tc>
        <w:tc>
          <w:tcPr>
            <w:tcW w:type="dxa" w:w="1440"/>
            <w:shd w:fill="FFDCE0" w:val="clear"/>
          </w:tcPr>
          <w:p>
            <w:r>
              <w:rPr>
                <w:b/>
                <w:color w:val="C00000"/>
                <w:sz w:val="17"/>
              </w:rPr>
              <w:t>-2.8%</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1,893</w:t>
            </w:r>
          </w:p>
        </w:tc>
        <w:tc>
          <w:tcPr>
            <w:tcW w:type="dxa" w:w="1440"/>
            <w:shd w:fill="FFDCE0" w:val="clear"/>
          </w:tcPr>
          <w:p>
            <w:r>
              <w:rPr>
                <w:b/>
                <w:sz w:val="17"/>
              </w:rPr>
              <w:t>2,321</w:t>
            </w:r>
          </w:p>
        </w:tc>
        <w:tc>
          <w:tcPr>
            <w:tcW w:type="dxa" w:w="1440"/>
            <w:shd w:fill="FFDCE0" w:val="clear"/>
          </w:tcPr>
          <w:p>
            <w:r>
              <w:rPr>
                <w:sz w:val="17"/>
              </w:rPr>
              <w:t>2,748</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1,862</w:t>
            </w:r>
          </w:p>
        </w:tc>
        <w:tc>
          <w:tcPr>
            <w:tcW w:type="dxa" w:w="1440"/>
            <w:shd w:fill="FFDCE0" w:val="clear"/>
          </w:tcPr>
          <w:p>
            <w:r>
              <w:rPr>
                <w:b/>
                <w:sz w:val="17"/>
              </w:rPr>
              <w:t>2,314</w:t>
            </w:r>
          </w:p>
        </w:tc>
        <w:tc>
          <w:tcPr>
            <w:tcW w:type="dxa" w:w="1440"/>
            <w:shd w:fill="FFDCE0" w:val="clear"/>
          </w:tcPr>
          <w:p>
            <w:r>
              <w:rPr>
                <w:sz w:val="17"/>
              </w:rPr>
              <w:t>2,766</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1,833</w:t>
            </w:r>
          </w:p>
        </w:tc>
        <w:tc>
          <w:tcPr>
            <w:tcW w:type="dxa" w:w="1440"/>
            <w:shd w:fill="FFDCE0" w:val="clear"/>
          </w:tcPr>
          <w:p>
            <w:r>
              <w:rPr>
                <w:b/>
                <w:sz w:val="17"/>
              </w:rPr>
              <w:t>2,307</w:t>
            </w:r>
          </w:p>
        </w:tc>
        <w:tc>
          <w:tcPr>
            <w:tcW w:type="dxa" w:w="1440"/>
            <w:shd w:fill="FFDCE0" w:val="clear"/>
          </w:tcPr>
          <w:p>
            <w:r>
              <w:rPr>
                <w:sz w:val="17"/>
              </w:rPr>
              <w:t>2,782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(NEI-CEDA CI)**</w:t>
        <w:br/>
        <w:t>**Bourse Régionale des Valeurs Mobilières (BRVM) — Secteur : Édition &amp; Diffusion**</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30,57 milliards FCFA, NEIC se positionne comme une valeur de taille moyenne sur le compartiment des entreprises non bancaires de la BRVM, ce qui reste modeste à l'échelle régionale mais significatif pour le secteur de l'édition. Le BPA de 160 FCFA/action signifie que chaque titre génère 160 FCFA de bénéfice net, un niveau qui, rapporté au cours actuel de 2 395 FCFA, donne un PER de 15,0x — soit une prime notable par rapport à la moyenne du marché BRVM (généralement comprise entre 8 et 12x), ce qui traduit une anticipation de croissance par le marché. Le P/B de 5,31x indique que le marché valorise l'entreprise à plus de cinq fois sa valeur comptable, une prime exigeante qui suppose une forte rentabilité des fonds propres (confirmée par un ROE de 35,4%) et une qualité des actifs supérieure à leur inscription bilancielle. Enfin, l'EV/EBITDA de 22,4x apparaît très exigeant (seuil d'alerte &gt;15x), suggérant que la valeur d'entreprise intègre déjà une bonne partie du potentiel opérationnel ; l'investisseur paie donc cher la capacité bénéficiaire actuelle, ce qui réduit la marge de sécurité en cas de déception sur les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affiche une performance remarquable de +33,80%, avec une dernière séance quasi stable (+0,21%), confirmant une dynamique haussière solidement installée. Le cours actuel de 2 395 FCFA se situe dans la partie médiane-haute du range de trading, lequel s'étend du plus bas de 1 715 FCFA au plus haut de 3 000 FCFA — un écart de 75% entre les extrêmes qui témoigne d'une forte amplitude de négociation. La moyenne (2 283 FCFA) étant légèrement supérieure à la médiane (2 268 FCFA), la distribution présente une asymétrie positive (skewness de 0,714), ce qui signifie que le cours a passé plus de journées sous sa moyenne, mais que les journées haussières ont été plus amples — un profil typique d'un titre en phase d'accumulation avec des poussées acheteuses. L'écart-type de 314 FCFA pour un coefficient de variation de 13,8% indique une dispersion modérée autour de la moyenne, tandis que le kurtosis de 0,109 (mésokurtique) suggère une distribution proche de la normale, sans risque excessif de pics extrêmes. La volatilité annualisée de 54,1% classe clairement NEIC dans la catégorie des titres à volatilité élevée (&gt;30%), ce qui implique un risque de marché significatif mais aussi des opportunités de trading importantes pour les investisseurs avertis.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(2 686,25 FCFA) et la MM50 (2 477,00 FCFA) se situent toutes deux au-dessus du cours actuel (2 395 FCFA), ce qui place le titre en position de faiblesse relative à court terme malgré la tendance haussière de fond. La MM20 étant supérieure à la MM50, la configuration reste haussière sur le moyen terme, mais le croisement baissier du cours sous ses deux moyennes justifie la décision "Achat" uniquement dans une optique de rebond technique vers ces niveaux de résistance.</w:t>
      </w:r>
    </w:p>
    <w:p>
      <w:pPr>
        <w:spacing w:after="120" w:line="276" w:lineRule="auto"/>
      </w:pPr>
      <w:r>
        <w:t>**Bandes de Bollinger** : Le cours (2 395 FCFA) évolue dans la partie basse de la bande, entre la borne inférieure (2 190,28 FCFA) et la borne supérieure (3 182,22 FCFA), sans atteindre les extrêmes, ce qui explique la décision "Neutre". L'écart important entre les bornes (992 FCFA) confirme une volatilité élevée, et la position du cours à environ 20% de la borne inférieure suggère un potentiel de rebond vers la moyenne mobile centrale.</w:t>
      </w:r>
    </w:p>
    <w:p>
      <w:pPr>
        <w:spacing w:after="120" w:line="276" w:lineRule="auto"/>
      </w:pPr>
      <w:r>
        <w:t>**MACD** : La valeur du MACD (-50,006) est nettement inférieure à son signal (7,844), générant une divergence baissière prononcée qui justifie la décision "Vente". Le momentum est clairement négatif et l'histogramme négatif indique que la pression vendeuse domine, bien que l'ampleur de l'écart puisse annoncer un épuisement prochain de la baisse.</w:t>
      </w:r>
    </w:p>
    <w:p>
      <w:pPr>
        <w:spacing w:after="120" w:line="276" w:lineRule="auto"/>
      </w:pPr>
      <w:r>
        <w:t>**RSI** : À 32,129, le RSI se situe juste au-dessus du seuil de survente (30), ce qui explique la décision "Neutre". Le titre n'est pas encore techniquement survendu mais s'en approche dangereusement, ce qui pourrait attirer les acheteurs à contre-tendance en quête de points d'entrée.</w:t>
      </w:r>
    </w:p>
    <w:p>
      <w:pPr>
        <w:spacing w:after="120" w:line="276" w:lineRule="auto"/>
      </w:pPr>
      <w:r>
        <w:t>**Stochastique** : Avec %K à 17,431 et %D à 16,217, les deux lignes évoluent en zone de survente (&lt;20) et sont proches l'une de l'autre, sans croisement haussier confirmé. La décision "Achat" repose sur le potentiel de rebond technique depuis cette zone extrême, mais la prudence reste de mise tant que le croisement %K/%D n'est pas validé.</w:t>
      </w:r>
    </w:p>
    <w:p>
      <w:pPr>
        <w:spacing w:after="120" w:line="276" w:lineRule="auto"/>
      </w:pPr>
      <w:r>
        <w:t>**Conclusion technique** : Les indicateurs présentent une divergence notable — les moyennes mobiles et le MACD plaident pour une correction baissière, tandis que le RSI et le stochastique signalent une proximité de la survente propice à un rebond. Le titre se trouve à un point d'inflexion technique où la prudence s'impose : un rebond vers la MM20 (2 686 FCFA) est possible, mais une cassure sous 2 190 FCFA (borne inférieure de Bollinger) ouvrirait la voie à une correction plus profonde.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(base brvm_donnees_financieres) révèlent une société en profonde mutation : le chiffre d'affaires s'établit à 5,139 milliards FCFA, en recul de 23,80% sur un an, tandis que le résultat net atteint 2,037 milliards FCFA, générant une marge nette exceptionnelle de 39,63% et un ROE remarquable de 35,39% pour un ROA de 27,25%. Cette apparente contradiction — chute du CA et explosion du résultat — s'explique par un élément non récurrent : selon le rapport du 3ᵉ trimestre 2025 (daté du 30 septembre 2025), le bénéfice net du T3 2025 (1 596 millions FCFA, +125%) provient majoritairement de la reprise d'une provision pour redressement fiscal constituée en 2024, et non d'une amélioration opérationnelle. Le rapport T1 2025 (31 mars 2025) confirmait déjà cette fragilité avec un CA de seulement 48,5 millions FCFA (-154% en glissement annuel) et une perte nette de -189,9 millions FCFA, tandis que le rapport T1 2026 (publié en 2026) montre un CA de 115,1 millions FCFA (+137%) mais une perte nette persistante de -168,9 millions FCFA et un résultat d'exploitation toujours négatif à -271,5 millions FCFA. Sur le plan de la structure financière, l'entreprise affiche une autonomie financière de 77,01% (capitaux propres de 5,755 milliards FCFA pour un total bilan de 7,473 milliards FCFA), une trésorerie nette de 4,196 milliards FCFA et une liquidité générale de 448,86%, témoignant d'un bilan très sain. Cependant, le BFR de 1,498 milliard FCFA et surtout le délai clients de 154,72 jours (contre 69,56 jours fournisseurs) constituent un signal d'alerte sur la qualité du recouvrement, tandis que le flux opérationnel négatif de -527,07 millions FCFA et le Free Cash Flow de -565,91 millions FCFA révèlent que l'activité courante ne génère pas de trésorerie positive. Le rapport annuel 2025 (publié en 2025) mentionne un dividende généreux de 2,04 milliards FCFA (100% du résultat net), une politique de distribution qui, bien qu'attractive pour les actionnaires, limite la capacité d'autofinancement et pourrait fragiliser la croissance future. **En synthèse**, la solidité bilancielle et la rentabilité apparente masquent une dégradation opérationnelle réelle (CA en baisse, flux de trésorerie négatifs, pertes opérationnelles persistantes au T1 2026) ; la recommandation fondamentale est donc à la **prudence**, avec un potentiel de redressement à moyen terme conditionné à la reconquête commerciale et à la normalisation des délais clients.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Sur le plan de la **valorisation (Partie 0)**, les ratios PER (15,0x), P/B (5,31x) et EV/EBITDA (22,4x) indiquent une nette surévaluation par rapport aux standards du marché BRVM, le marché ayant déjà intégré une grande partie du potentiel de croissance. Le **comportement du cours (Partie 1)** est haussier sur 100 jours (+33,80%) mais avec une volatilité élevée (54,1%) et une asymétrie positive (skewness 0,714) qui suggère que les poussées acheteuses pourraient s'essouffler, d'autant que le kurtosis proche de zéro n'écarte pas le risque de corrections brutales. Les **signaux techniques (Partie 2)** sont divergents : le MACD est baissier, le cours évolue sous ses moyennes mobiles, mais le RSI (32,1) et le stochastique (17,4) approchent la survente, créant un potentiel de rebond technique fragile. Les **fondamentaux (Partie 3)** sont ambigus : la rentabilité affichée (ROE 35,4%, marge nette 39,6%) est exceptionnelle mais artificiellement gonflée par des éléments non récurrents, tandis que le CA recule de 23,8% et que les flux opérationnels sont négatifs (-527 millions FCFA). Les **prédictions IA (J+1 à J+10)** anticipent une légère dérive baissière du cours, de 2 381 FCFA à 2 344 FCFA, ce qui contredit la dynamique haussière récente et confirme la pression vendeuse identifiée par le MACD. **Recommandation finale : CONSERVER** — la convergence entre la surévaluation boursière, la divergence technique et la fragilité opérationnelle sous-jacente (malgré un bilan solide) ne justifie pas un achat à ces niveaux, mais la solidité financière et le potentiel de redressement commercial (croissance du CA au T1 2026) interdisent une vente précipitée. Le **niveau de confiance est Moyen** (les données fondamentales sont solides mais les éléments non récurrents brouillent la lecture) et le **risque global est Élevé** (volatilité de 54,1%, dépendance aux marchés publics, délais clients élevés). L'**horizon d'investissement optimal est le moyen terme (3-12 mois)**, le temps de vérifier si la reprise du CA au T1 2026 (+137%) se confirme et si les flux de trésorerie opérationnels redeviennent positifs — deux conditions nécessaires pour envisager un passage à l'ACHAT.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21.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554.30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2,759 titres</w:t>
            </w:r>
          </w:p>
        </w:tc>
        <w:tc>
          <w:tcPr>
            <w:tcW w:type="dxa" w:w="2268"/>
            <w:shd w:fill="FFF2CC" w:val="clear"/>
          </w:tcPr>
          <w:p>
            <w:r>
              <w:rPr>
                <w:b/>
                <w:color w:val="503200"/>
                <w:sz w:val="16"/>
              </w:rPr>
              <w:t xml:space="preserve">Cours actuel : </w:t>
            </w:r>
            <w:r>
              <w:rPr>
                <w:color w:val="000000"/>
                <w:sz w:val="17"/>
              </w:rPr>
              <w:t>22,410 FCFA</w:t>
            </w:r>
          </w:p>
          <w:p>
            <w:r>
              <w:rPr>
                <w:b/>
                <w:color w:val="503200"/>
                <w:sz w:val="16"/>
              </w:rPr>
              <w:t xml:space="preserve">Var. 100 jours : </w:t>
            </w:r>
            <w:r>
              <w:rPr>
                <w:b/>
                <w:color w:val="007800"/>
                <w:sz w:val="17"/>
              </w:rPr>
              <w:t>+60.07%</w:t>
            </w:r>
          </w:p>
          <w:p>
            <w:r>
              <w:rPr>
                <w:b/>
                <w:color w:val="503200"/>
                <w:sz w:val="16"/>
              </w:rPr>
              <w:t xml:space="preserve">Plus haut 100j : </w:t>
            </w:r>
            <w:r>
              <w:rPr>
                <w:color w:val="000000"/>
                <w:sz w:val="17"/>
              </w:rPr>
              <w:t>24,885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14.03% (Moyenne) — μ=20,922 FCFA, σ=2,936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β=1.5008 (Agressif) — Cov=0.000102, Var(idx)=0.000068, ρ=0.479,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2,759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21,460</w:t>
            </w:r>
          </w:p>
        </w:tc>
        <w:tc>
          <w:tcPr>
            <w:tcW w:type="dxa" w:w="1440"/>
            <w:shd w:fill="FAFAFA" w:val="clear"/>
          </w:tcPr>
          <w:p>
            <w:r>
              <w:rPr>
                <w:b/>
                <w:sz w:val="17"/>
              </w:rPr>
              <w:t>22,415</w:t>
            </w:r>
          </w:p>
        </w:tc>
        <w:tc>
          <w:tcPr>
            <w:tcW w:type="dxa" w:w="1440"/>
            <w:shd w:fill="FAFAFA" w:val="clear"/>
          </w:tcPr>
          <w:p>
            <w:r>
              <w:rPr>
                <w:sz w:val="17"/>
              </w:rPr>
              <w:t>23,370</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21,071</w:t>
            </w:r>
          </w:p>
        </w:tc>
        <w:tc>
          <w:tcPr>
            <w:tcW w:type="dxa" w:w="1440"/>
            <w:shd w:fill="FAFAFA" w:val="clear"/>
          </w:tcPr>
          <w:p>
            <w:r>
              <w:rPr>
                <w:b/>
                <w:sz w:val="17"/>
              </w:rPr>
              <w:t>22,422</w:t>
            </w:r>
          </w:p>
        </w:tc>
        <w:tc>
          <w:tcPr>
            <w:tcW w:type="dxa" w:w="1440"/>
            <w:shd w:fill="FAFAFA" w:val="clear"/>
          </w:tcPr>
          <w:p>
            <w:r>
              <w:rPr>
                <w:sz w:val="17"/>
              </w:rPr>
              <w:t>23,774</w:t>
            </w:r>
          </w:p>
        </w:tc>
        <w:tc>
          <w:tcPr>
            <w:tcW w:type="dxa" w:w="1440"/>
            <w:shd w:fill="FAFAFA" w:val="clear"/>
          </w:tcPr>
          <w:p>
            <w:r>
              <w:rPr>
                <w:b/>
                <w:color w:val="008000"/>
                <w:sz w:val="17"/>
              </w:rPr>
              <w:t>+0.1%</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20,780</w:t>
            </w:r>
          </w:p>
        </w:tc>
        <w:tc>
          <w:tcPr>
            <w:tcW w:type="dxa" w:w="1440"/>
            <w:shd w:fill="FAFAFA" w:val="clear"/>
          </w:tcPr>
          <w:p>
            <w:r>
              <w:rPr>
                <w:b/>
                <w:sz w:val="17"/>
              </w:rPr>
              <w:t>22,436</w:t>
            </w:r>
          </w:p>
        </w:tc>
        <w:tc>
          <w:tcPr>
            <w:tcW w:type="dxa" w:w="1440"/>
            <w:shd w:fill="FAFAFA" w:val="clear"/>
          </w:tcPr>
          <w:p>
            <w:r>
              <w:rPr>
                <w:sz w:val="17"/>
              </w:rPr>
              <w:t>24,092</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20,534</w:t>
            </w:r>
          </w:p>
        </w:tc>
        <w:tc>
          <w:tcPr>
            <w:tcW w:type="dxa" w:w="1440"/>
            <w:shd w:fill="FAFAFA" w:val="clear"/>
          </w:tcPr>
          <w:p>
            <w:r>
              <w:rPr>
                <w:b/>
                <w:sz w:val="17"/>
              </w:rPr>
              <w:t>22,447</w:t>
            </w:r>
          </w:p>
        </w:tc>
        <w:tc>
          <w:tcPr>
            <w:tcW w:type="dxa" w:w="1440"/>
            <w:shd w:fill="FAFAFA" w:val="clear"/>
          </w:tcPr>
          <w:p>
            <w:r>
              <w:rPr>
                <w:sz w:val="17"/>
              </w:rPr>
              <w:t>24,360</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20,317</w:t>
            </w:r>
          </w:p>
        </w:tc>
        <w:tc>
          <w:tcPr>
            <w:tcW w:type="dxa" w:w="1440"/>
            <w:shd w:fill="FAFAFA" w:val="clear"/>
          </w:tcPr>
          <w:p>
            <w:r>
              <w:rPr>
                <w:b/>
                <w:sz w:val="17"/>
              </w:rPr>
              <w:t>22,457</w:t>
            </w:r>
          </w:p>
        </w:tc>
        <w:tc>
          <w:tcPr>
            <w:tcW w:type="dxa" w:w="1440"/>
            <w:shd w:fill="FAFAFA" w:val="clear"/>
          </w:tcPr>
          <w:p>
            <w:r>
              <w:rPr>
                <w:sz w:val="17"/>
              </w:rPr>
              <w:t>24,597</w:t>
            </w:r>
          </w:p>
        </w:tc>
        <w:tc>
          <w:tcPr>
            <w:tcW w:type="dxa" w:w="1440"/>
            <w:shd w:fill="FAFAFA" w:val="clear"/>
          </w:tcPr>
          <w:p>
            <w:r>
              <w:rPr>
                <w:b/>
                <w:color w:val="008000"/>
                <w:sz w:val="17"/>
              </w:rPr>
              <w:t>+0.2%</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20,121</w:t>
            </w:r>
          </w:p>
        </w:tc>
        <w:tc>
          <w:tcPr>
            <w:tcW w:type="dxa" w:w="1440"/>
            <w:shd w:fill="FAFAFA" w:val="clear"/>
          </w:tcPr>
          <w:p>
            <w:r>
              <w:rPr>
                <w:b/>
                <w:sz w:val="17"/>
              </w:rPr>
              <w:t>22,466</w:t>
            </w:r>
          </w:p>
        </w:tc>
        <w:tc>
          <w:tcPr>
            <w:tcW w:type="dxa" w:w="1440"/>
            <w:shd w:fill="FAFAFA" w:val="clear"/>
          </w:tcPr>
          <w:p>
            <w:r>
              <w:rPr>
                <w:sz w:val="17"/>
              </w:rPr>
              <w:t>24,811</w:t>
            </w:r>
          </w:p>
        </w:tc>
        <w:tc>
          <w:tcPr>
            <w:tcW w:type="dxa" w:w="1440"/>
            <w:shd w:fill="FAFAFA" w:val="clear"/>
          </w:tcPr>
          <w:p>
            <w:r>
              <w:rPr>
                <w:b/>
                <w:color w:val="008000"/>
                <w:sz w:val="17"/>
              </w:rPr>
              <w:t>+0.2%</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19,940</w:t>
            </w:r>
          </w:p>
        </w:tc>
        <w:tc>
          <w:tcPr>
            <w:tcW w:type="dxa" w:w="1440"/>
            <w:shd w:fill="FAFAFA" w:val="clear"/>
          </w:tcPr>
          <w:p>
            <w:r>
              <w:rPr>
                <w:b/>
                <w:sz w:val="17"/>
              </w:rPr>
              <w:t>22,474</w:t>
            </w:r>
          </w:p>
        </w:tc>
        <w:tc>
          <w:tcPr>
            <w:tcW w:type="dxa" w:w="1440"/>
            <w:shd w:fill="FAFAFA" w:val="clear"/>
          </w:tcPr>
          <w:p>
            <w:r>
              <w:rPr>
                <w:sz w:val="17"/>
              </w:rPr>
              <w:t>25,008</w:t>
            </w:r>
          </w:p>
        </w:tc>
        <w:tc>
          <w:tcPr>
            <w:tcW w:type="dxa" w:w="1440"/>
            <w:shd w:fill="FAFAFA" w:val="clear"/>
          </w:tcPr>
          <w:p>
            <w:r>
              <w:rPr>
                <w:b/>
                <w:color w:val="008000"/>
                <w:sz w:val="17"/>
              </w:rPr>
              <w:t>+0.3%</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19,772</w:t>
            </w:r>
          </w:p>
        </w:tc>
        <w:tc>
          <w:tcPr>
            <w:tcW w:type="dxa" w:w="1440"/>
            <w:shd w:fill="FAFAFA" w:val="clear"/>
          </w:tcPr>
          <w:p>
            <w:r>
              <w:rPr>
                <w:b/>
                <w:sz w:val="17"/>
              </w:rPr>
              <w:t>22,482</w:t>
            </w:r>
          </w:p>
        </w:tc>
        <w:tc>
          <w:tcPr>
            <w:tcW w:type="dxa" w:w="1440"/>
            <w:shd w:fill="FAFAFA" w:val="clear"/>
          </w:tcPr>
          <w:p>
            <w:r>
              <w:rPr>
                <w:sz w:val="17"/>
              </w:rPr>
              <w:t>25,191</w:t>
            </w:r>
          </w:p>
        </w:tc>
        <w:tc>
          <w:tcPr>
            <w:tcW w:type="dxa" w:w="1440"/>
            <w:shd w:fill="FAFAFA" w:val="clear"/>
          </w:tcPr>
          <w:p>
            <w:r>
              <w:rPr>
                <w:b/>
                <w:color w:val="008000"/>
                <w:sz w:val="17"/>
              </w:rPr>
              <w:t>+0.3%</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19,614</w:t>
            </w:r>
          </w:p>
        </w:tc>
        <w:tc>
          <w:tcPr>
            <w:tcW w:type="dxa" w:w="1440"/>
            <w:shd w:fill="FAFAFA" w:val="clear"/>
          </w:tcPr>
          <w:p>
            <w:r>
              <w:rPr>
                <w:b/>
                <w:sz w:val="17"/>
              </w:rPr>
              <w:t>22,489</w:t>
            </w:r>
          </w:p>
        </w:tc>
        <w:tc>
          <w:tcPr>
            <w:tcW w:type="dxa" w:w="1440"/>
            <w:shd w:fill="FAFAFA" w:val="clear"/>
          </w:tcPr>
          <w:p>
            <w:r>
              <w:rPr>
                <w:sz w:val="17"/>
              </w:rPr>
              <w:t>25,364</w:t>
            </w:r>
          </w:p>
        </w:tc>
        <w:tc>
          <w:tcPr>
            <w:tcW w:type="dxa" w:w="1440"/>
            <w:shd w:fill="FAFAFA" w:val="clear"/>
          </w:tcPr>
          <w:p>
            <w:r>
              <w:rPr>
                <w:b/>
                <w:color w:val="008000"/>
                <w:sz w:val="17"/>
              </w:rPr>
              <w:t>+0.4%</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19,465</w:t>
            </w:r>
          </w:p>
        </w:tc>
        <w:tc>
          <w:tcPr>
            <w:tcW w:type="dxa" w:w="1440"/>
            <w:shd w:fill="FAFAFA" w:val="clear"/>
          </w:tcPr>
          <w:p>
            <w:r>
              <w:rPr>
                <w:b/>
                <w:sz w:val="17"/>
              </w:rPr>
              <w:t>22,496</w:t>
            </w:r>
          </w:p>
        </w:tc>
        <w:tc>
          <w:tcPr>
            <w:tcW w:type="dxa" w:w="1440"/>
            <w:shd w:fill="FAFAFA" w:val="clear"/>
          </w:tcPr>
          <w:p>
            <w:r>
              <w:rPr>
                <w:sz w:val="17"/>
              </w:rPr>
              <w:t>25,528</w:t>
            </w:r>
          </w:p>
        </w:tc>
        <w:tc>
          <w:tcPr>
            <w:tcW w:type="dxa" w:w="1440"/>
            <w:shd w:fill="FAFAFA" w:val="clear"/>
          </w:tcPr>
          <w:p>
            <w:r>
              <w:rPr>
                <w:b/>
                <w:color w:val="008000"/>
                <w:sz w:val="17"/>
              </w:rPr>
              <w:t>+0.4%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 RAPPORT D'ANALYSE FINANCIÈRE — NSBC (NSIA Banque Côte d'Ivoire)</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**554,30 Mds FCFA**, NSBC s'impose comme l'une des valeurs bancaires les plus capitalisées de la BRVM, ce qui lui confère une liquidité relative et une visibilité institutionnelle appréciables. Le **BPA de 1 646 FCFA/action** signifie que chaque titre génère près de 1 646 FCFA de bénéfice net, un niveau élevé qui traduit la forte rentabilité de la banque. Le **PER de 13,6x** se situe légèrement au-dessus de la moyenne du marché BRVM (8-12x), signalant une valorisation modérément exigeante mais justifiée par la qualité de la croissance. Le **P/B de 2,38x** indique que le marché valorise NSBC à plus du double de sa valeur comptable, une prime de croissance cohérente avec un ROE de 17,45% (largement supérieur au coût des fonds propres). Enfin, l'**EV/EBITDA de 21,2x** apparaît très exigeant (&gt;15x), reflétant des anticipations de croissance forte mais laissant peu de marge d'erreur en cas de déception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NSBC a enregistré une **variation totale spectaculaire de +60,07%**, passant d'un plus bas de **13 810 FCFA** à un plus haut de **24 885 FCFA**, pour un cours actuel de **22 410 FCFA** (recul marginal de -0,40% sur la dernière séance J-1). Le range de trading de plus de 11 000 FCFA témoigne d'une tendance **franchement haussière**, portée par la dynamique fondamentale de la banque. Les statistiques descriptives révèlent une **moyenne de 20 922 FCFA** inférieure à la **médiane de 21 950 FCFA**, confirmant une asymétrie négative (skewness de -0,863) : le cours a passé plus de journées au-dessus de sa moyenne, avec des pics haussiers marqués. L'**écart-type de 2 951 FCFA (CV=14,1%)** indique une dispersion modérée autour de la tendance, tandis que le **kurtosis de -0,029 (mésokurtique)** suggère une distribution proche de la normale, sans risque excessif de pics extrêmes. La **volatilité annualisée de 40,8%** classe le titre dans la catégorie **élevée (&gt;30%)**, ce qui est cohérent avec un rallye haussier soutenu mais expose l'investisseur à des corrections potentiellement significatives.</w:t>
      </w:r>
    </w:p>
    <w:p>
      <w:pPr>
        <w:spacing w:after="120" w:line="276" w:lineRule="auto"/>
      </w:pPr>
      <w:r>
        <w:t>---</w:t>
      </w:r>
    </w:p>
    <w:p>
      <w:pPr>
        <w:spacing w:after="120" w:line="276" w:lineRule="auto"/>
      </w:pPr>
      <w:r>
        <w:t>## PARTIE 2 : ANALYSE TECHNIQUE DÉTAILLÉE</w:t>
      </w:r>
    </w:p>
    <w:p>
      <w:pPr>
        <w:spacing w:after="120" w:line="276" w:lineRule="auto"/>
      </w:pPr>
      <w:r>
        <w:t>**Moyennes Mobiles** : La MM20 (23 507,5 FCFA) et la MM50 (23 298,0 FCFA) se situent toutes deux **au-dessus du cours actuel** (22 410 FCFA), ce qui traduit une pression baissière de court terme après le rallye. Cependant, la MM20 reste supérieure à la MM50, maintenant une configuration haussière de fond. La décision affichée est **Achat**, suggérant que le repli actuel constitue une opportunité de rebond vers les moyennes.</w:t>
      </w:r>
    </w:p>
    <w:p>
      <w:pPr>
        <w:spacing w:after="120" w:line="276" w:lineRule="auto"/>
      </w:pPr>
      <w:r>
        <w:t>**Bandes de Bollinger** : Le cours (22 410 FCFA) évolue dans la partie basse de la bande, entre la borne inférieure (21 291,7 FCFA) et la borne supérieure (25 723,3 FCFA), sans atteindre les extrêmes. Cette position médiane-basse, combinée à un resserrement relatif des bandes, indique une **phase de consolidation** après la forte hausse. La décision est **Neutre**, le marché attendant un catalyseur directionnel.</w:t>
      </w:r>
    </w:p>
    <w:p>
      <w:pPr>
        <w:spacing w:after="120" w:line="276" w:lineRule="auto"/>
      </w:pPr>
      <w:r>
        <w:t>**MACD** : La valeur du MACD (-227,202) est **nettement inférieure à son signal** (48,538), générant un croisement baissier et un momentum négatif. Cette divergence signale que la dynamique haussière s'essouffle à court terme. La décision est **Vente**, confirmant la pression baissière immédiate.</w:t>
      </w:r>
    </w:p>
    <w:p>
      <w:pPr>
        <w:spacing w:after="120" w:line="276" w:lineRule="auto"/>
      </w:pPr>
      <w:r>
        <w:t>**RSI** : À **34,789**, le RSI se situe dans la zone neutre basse, proche du seuil de survente (30). Cela indique que le titre n'est ni suracheté ni survendu, mais que la pression vendeuse récente a ramené l'indicateur vers des niveaux attractifs pour un rebond. La décision est **Neutre**, avec un potentiel de retournement à la hausse si le RSI franchit 40.</w:t>
      </w:r>
    </w:p>
    <w:p>
      <w:pPr>
        <w:spacing w:after="120" w:line="276" w:lineRule="auto"/>
      </w:pPr>
      <w:r>
        <w:t>**Stochastique** : Le %K (43,225) est légèrement supérieur au %D (38,352), suggérant un **croisement haussier naissant** en zone neutre. Cette configuration précoce pourrait annoncer une reprise du momentum acheteur. La décision reste **Neutre**, en attente de confirmation.</w:t>
      </w:r>
    </w:p>
    <w:p>
      <w:pPr>
        <w:spacing w:after="120" w:line="276" w:lineRule="auto"/>
      </w:pPr>
      <w:r>
        <w:t>**Conclusion technique** : Les indicateurs présentent un tableau **mitigé mais globalement constructif**. La tendance de fond reste haussière (MM20 &gt; MM50), mais le MACD baissier et le cours sous les moyennes signalent une consolidation en cours. Le RSI bas et le croisement naissant du stochastique suggèrent qu'un rebond technique est probable à court terme, ce qui valide la décision d'achat des moyennes mobiles tout en appelant à la prudence face au momentum négatif du MACD.</w:t>
      </w:r>
    </w:p>
    <w:p>
      <w:pPr>
        <w:spacing w:after="120" w:line="276" w:lineRule="auto"/>
      </w:pPr>
      <w:r>
        <w:t>---</w:t>
      </w:r>
    </w:p>
    <w:p>
      <w:pPr>
        <w:spacing w:after="120" w:line="276" w:lineRule="auto"/>
      </w:pPr>
      <w:r>
        <w:t>## PARTIE 3 : ANALYSE FONDAMENTALE</w:t>
      </w:r>
    </w:p>
    <w:p>
      <w:pPr>
        <w:spacing w:after="120" w:line="276" w:lineRule="auto"/>
      </w:pPr>
      <w:r>
        <w:t>**Données structurées (exercice 2025)** : NSIA Banque Côte d'Ivoire affiche un **Produit Net Bancaire (PNB) de 112,928 Mds FCFA** en 2025, en croissance de **+15,45%** par rapport à 2024, porté par une marge d'intérêt en hausse de 26%. Le **résultat net s'établit à 40,712 Mds FCFA**, avec une **marge nette de 36,05%**, un **ROE de 17,45%** (excellent, &gt;15%) et un **ROA de 1,32%**, confirmant la forte rentabilité de la banque. Le **coefficient d'exploitation de 54,59%** (&lt;60%) témoigne d'une bonne efficacité opérationnelle, en amélioration de 5,1 points. Cependant, le **coût du risque de 7,54%** (provisions/charges financières) s'est fortement dégradé, passant d'une reprise de +0,6 Md en 2024 à une dotation de -8,5 Mds en 2025, signalant une détérioration de la qualité du portefeuille de crédits. La structure financière reste solide avec un total bilan de **3 073 Mds FCFA** (+22%), des **dépôts clientèle de 2 242 Mds FCFA** (+32%) et des **créances clientèle de 1 818,7 Mds FCFA** (+18%), affichant un ratio de transformation dépôts/crédits de 81%, légèrement supérieur au plafond réglementaire de 80%.</w:t>
      </w:r>
    </w:p>
    <w:p>
      <w:pPr>
        <w:spacing w:after="120" w:line="276" w:lineRule="auto"/>
      </w:pPr>
      <w:r>
        <w:t>**Estimations basées sur les rapports trimestriels** : Le rapport du **T1 2026 (publié en 2026)** révèle une **accélération spectaculaire** avec un PNB de 28,615 Mds FCFA (+28%) et un résultat net de 10,912 Mds FCFA (+53%), porté par l'activité titres et une maîtrise du coût du risque. La marge nette s'améliore à 38,1%. Sur la base de ce T1, on peut **estimer** que l'exercice 2026 devrait afficher un PNB supérieur à 125 Mds FCFA et un résultat net proche de 45-48 Mds FCFA, si la dynamique se maintient. Le rapport du **T3 2025 (publié en 2025)** confirme la trajectoire avec un PNB de 77,4 Mds FCFA (+7%) et un résultat net de 25,0 Mds FCFA (+6%) sur 9 mois. Les rapports antérieurs (S1 2025, T1 2025, T3 2024) montrent une **croissance régulière et maîtrisée**, avec une amélioration continue du coefficient d'exploitation (56,9% au S1 2025 vs 59,9% en 2024).</w:t>
      </w:r>
    </w:p>
    <w:p>
      <w:pPr>
        <w:spacing w:after="120" w:line="276" w:lineRule="auto"/>
      </w:pPr>
      <w:r>
        <w:t>**Recommandation fondamentale** : NSBC présente des **fondamentaux solides** avec une croissance à deux chiffres, une rentabilité élevée et une efficacité opérationnelle en amélioration. Le principal **risque** réside dans la dégradation du coût du risque en 2025, qui pourrait persister si l'environnement économique se détériore. La **stratégie de diversification** (titrisation, finance verte, digitalisation) et l'alignement sur le PND 2026-2030 constituent des relais de croissance attractifs. La **solidité financière** est confirmée par un ratio de solvabilité de 108,2% et une autonomie financière de 7,59% (faible mais typique du secteur bancaire). La recommandation fondamentale est **CONSERVER**, avec un biais positif à moyen terme.</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une **convergence globalement positive** malgré quelques signaux contradictoires. La **valorisation (Partie 0)** apparaît modérément exigeante (PER 13,6x, P/B 2,38x, EV/EBITDA 21,2x), reflétant une prime de croissance justifiée par la qualité des fondamentaux mais laissant peu de marge d'erreur. Le **comportement du cours (Partie 1)** affiche une tendance haussière spectaculaire (+60,07%) avec une volatilité élevée (40,8%) et une asymétrie négative (skewness -0,863) indiquant que les hausses ont été plus fréquentes que les baisses, mais le kurtosis mésokurtique (-0,029) suggère l'absence de risque extrême. Les **signaux techniques (Partie 2)** sont mitigés : les moyennes mobiles restent haussières (décision Achat), mais le MACD baissier (décision Vente) et le RSI bas (34,8) signalent une consolidation en cours, avec un potentiel rebond technique. Les **fondamentaux (Partie 3)** sont solides : PNB 2025 de 112,9 Mds FCFA (+15,45%), résultat net de 40,7 Mds FCFA, ROE de 17,45%, coefficient d'exploitation de 54,59%, et les rapports T1 2026 (+53% de résultat net) et T3 2025 (+6%) confirment une dynamique positive, bien que le coût du risque se soit dégradé. Les **prédictions IA (J+1 à J+10)** anticipent une **stabilisation autour de 22 400-22 500 FCFA**, avec une légère tendance haussière (22 415 → 22 457 FCFA), ce qui **contredit partiellement** le MACD baissier mais **confirme** le scénario de consolidation avant rebond.</w:t>
      </w:r>
    </w:p>
    <w:p>
      <w:pPr>
        <w:spacing w:after="120" w:line="276" w:lineRule="auto"/>
      </w:pPr>
      <w:r>
        <w:t>**Recommandation finale : CONSERVER** (avec biais haussier à moyen terme). Cette recommandation est justifiée par la **convergence** entre des fondamentaux solides, une valorisation raisonnable et des perspectives de croissance attractives, mais **tempérée** par un momentum technique négatif à court terme et un coût du risque en deterioration. Le **niveau de confiance est Moyen** : les fondamentaux sont robustes, mais l'incertitude sur la qualité du portefeuille de crédits et la volatilité élevée du titre appellent à la prudence. Le **niveau de risque global est Moyen à Élevé**, en raison de la volatilité (40,8%) et de l'exposition au risque de crédit. L'**horizon d'investissement optimal est moyen terme (3-12 mois)**, le temps que la consolidation technique s'achève et que les résultats semestriels 2026 confirment la tendance haussière du T1. Les investisseurs déjà positionnés peuvent conserver leurs titres en surveillant le coût du risque, tandis que les nouveaux entrants devraient attendre un repli vers 21 500-22 000 FCFA pour optimiser leur point d'entrée.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22.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337.68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1,278 titres</w:t>
            </w:r>
          </w:p>
        </w:tc>
        <w:tc>
          <w:tcPr>
            <w:tcW w:type="dxa" w:w="2268"/>
            <w:shd w:fill="FFF2CC" w:val="clear"/>
          </w:tcPr>
          <w:p>
            <w:r>
              <w:rPr>
                <w:b/>
                <w:color w:val="503200"/>
                <w:sz w:val="16"/>
              </w:rPr>
              <w:t xml:space="preserve">Cours actuel : </w:t>
            </w:r>
            <w:r>
              <w:rPr>
                <w:color w:val="000000"/>
                <w:sz w:val="17"/>
              </w:rPr>
              <w:t>15,300 FCFA</w:t>
            </w:r>
          </w:p>
          <w:p>
            <w:r>
              <w:rPr>
                <w:b/>
                <w:color w:val="503200"/>
                <w:sz w:val="16"/>
              </w:rPr>
              <w:t xml:space="preserve">Var. 100 jours : </w:t>
            </w:r>
            <w:r>
              <w:rPr>
                <w:b/>
                <w:color w:val="007800"/>
                <w:sz w:val="17"/>
              </w:rPr>
              <w:t>+28.57%</w:t>
            </w:r>
          </w:p>
          <w:p>
            <w:r>
              <w:rPr>
                <w:b/>
                <w:color w:val="503200"/>
                <w:sz w:val="16"/>
              </w:rPr>
              <w:t xml:space="preserve">Plus haut 100j : </w:t>
            </w:r>
            <w:r>
              <w:rPr>
                <w:color w:val="000000"/>
                <w:sz w:val="17"/>
              </w:rPr>
              <w:t>18,000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11.54% (Moyenne) — μ=15,317 FCFA, σ=1,768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β=0.5793 (Défensif) — Cov=0.000039, Var(idx)=0.000068, ρ=0.204,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14,529</w:t>
            </w:r>
          </w:p>
        </w:tc>
        <w:tc>
          <w:tcPr>
            <w:tcW w:type="dxa" w:w="1440"/>
            <w:shd w:fill="FAFAFA" w:val="clear"/>
          </w:tcPr>
          <w:p>
            <w:r>
              <w:rPr>
                <w:b/>
                <w:sz w:val="17"/>
              </w:rPr>
              <w:t>15,257</w:t>
            </w:r>
          </w:p>
        </w:tc>
        <w:tc>
          <w:tcPr>
            <w:tcW w:type="dxa" w:w="1440"/>
            <w:shd w:fill="FAFAFA" w:val="clear"/>
          </w:tcPr>
          <w:p>
            <w:r>
              <w:rPr>
                <w:sz w:val="17"/>
              </w:rPr>
              <w:t>15,984</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14,256</w:t>
            </w:r>
          </w:p>
        </w:tc>
        <w:tc>
          <w:tcPr>
            <w:tcW w:type="dxa" w:w="1440"/>
            <w:shd w:fill="FAFAFA" w:val="clear"/>
          </w:tcPr>
          <w:p>
            <w:r>
              <w:rPr>
                <w:b/>
                <w:sz w:val="17"/>
              </w:rPr>
              <w:t>15,287</w:t>
            </w:r>
          </w:p>
        </w:tc>
        <w:tc>
          <w:tcPr>
            <w:tcW w:type="dxa" w:w="1440"/>
            <w:shd w:fill="FAFAFA" w:val="clear"/>
          </w:tcPr>
          <w:p>
            <w:r>
              <w:rPr>
                <w:sz w:val="17"/>
              </w:rPr>
              <w:t>16,317</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14,049</w:t>
            </w:r>
          </w:p>
        </w:tc>
        <w:tc>
          <w:tcPr>
            <w:tcW w:type="dxa" w:w="1440"/>
            <w:shd w:fill="FAFAFA" w:val="clear"/>
          </w:tcPr>
          <w:p>
            <w:r>
              <w:rPr>
                <w:b/>
                <w:sz w:val="17"/>
              </w:rPr>
              <w:t>15,313</w:t>
            </w:r>
          </w:p>
        </w:tc>
        <w:tc>
          <w:tcPr>
            <w:tcW w:type="dxa" w:w="1440"/>
            <w:shd w:fill="FAFAFA" w:val="clear"/>
          </w:tcPr>
          <w:p>
            <w:r>
              <w:rPr>
                <w:sz w:val="17"/>
              </w:rPr>
              <w:t>16,578</w:t>
            </w:r>
          </w:p>
        </w:tc>
        <w:tc>
          <w:tcPr>
            <w:tcW w:type="dxa" w:w="1440"/>
            <w:shd w:fill="FAFAFA" w:val="clear"/>
          </w:tcPr>
          <w:p>
            <w:r>
              <w:rPr>
                <w:b/>
                <w:color w:val="008000"/>
                <w:sz w:val="17"/>
              </w:rPr>
              <w:t>+0.1%</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13,873</w:t>
            </w:r>
          </w:p>
        </w:tc>
        <w:tc>
          <w:tcPr>
            <w:tcW w:type="dxa" w:w="1440"/>
            <w:shd w:fill="FAFAFA" w:val="clear"/>
          </w:tcPr>
          <w:p>
            <w:r>
              <w:rPr>
                <w:b/>
                <w:sz w:val="17"/>
              </w:rPr>
              <w:t>15,335</w:t>
            </w:r>
          </w:p>
        </w:tc>
        <w:tc>
          <w:tcPr>
            <w:tcW w:type="dxa" w:w="1440"/>
            <w:shd w:fill="FAFAFA" w:val="clear"/>
          </w:tcPr>
          <w:p>
            <w:r>
              <w:rPr>
                <w:sz w:val="17"/>
              </w:rPr>
              <w:t>16,798</w:t>
            </w:r>
          </w:p>
        </w:tc>
        <w:tc>
          <w:tcPr>
            <w:tcW w:type="dxa" w:w="1440"/>
            <w:shd w:fill="FAFAFA" w:val="clear"/>
          </w:tcPr>
          <w:p>
            <w:r>
              <w:rPr>
                <w:b/>
                <w:color w:val="008000"/>
                <w:sz w:val="17"/>
              </w:rPr>
              <w:t>+0.2%</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13,718</w:t>
            </w:r>
          </w:p>
        </w:tc>
        <w:tc>
          <w:tcPr>
            <w:tcW w:type="dxa" w:w="1440"/>
            <w:shd w:fill="FAFAFA" w:val="clear"/>
          </w:tcPr>
          <w:p>
            <w:r>
              <w:rPr>
                <w:b/>
                <w:sz w:val="17"/>
              </w:rPr>
              <w:t>15,354</w:t>
            </w:r>
          </w:p>
        </w:tc>
        <w:tc>
          <w:tcPr>
            <w:tcW w:type="dxa" w:w="1440"/>
            <w:shd w:fill="FAFAFA" w:val="clear"/>
          </w:tcPr>
          <w:p>
            <w:r>
              <w:rPr>
                <w:sz w:val="17"/>
              </w:rPr>
              <w:t>16,991</w:t>
            </w:r>
          </w:p>
        </w:tc>
        <w:tc>
          <w:tcPr>
            <w:tcW w:type="dxa" w:w="1440"/>
            <w:shd w:fill="FAFAFA" w:val="clear"/>
          </w:tcPr>
          <w:p>
            <w:r>
              <w:rPr>
                <w:b/>
                <w:color w:val="008000"/>
                <w:sz w:val="17"/>
              </w:rPr>
              <w:t>+0.4%</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13,576</w:t>
            </w:r>
          </w:p>
        </w:tc>
        <w:tc>
          <w:tcPr>
            <w:tcW w:type="dxa" w:w="1440"/>
            <w:shd w:fill="FAFAFA" w:val="clear"/>
          </w:tcPr>
          <w:p>
            <w:r>
              <w:rPr>
                <w:b/>
                <w:sz w:val="17"/>
              </w:rPr>
              <w:t>15,371</w:t>
            </w:r>
          </w:p>
        </w:tc>
        <w:tc>
          <w:tcPr>
            <w:tcW w:type="dxa" w:w="1440"/>
            <w:shd w:fill="FAFAFA" w:val="clear"/>
          </w:tcPr>
          <w:p>
            <w:r>
              <w:rPr>
                <w:sz w:val="17"/>
              </w:rPr>
              <w:t>17,166</w:t>
            </w:r>
          </w:p>
        </w:tc>
        <w:tc>
          <w:tcPr>
            <w:tcW w:type="dxa" w:w="1440"/>
            <w:shd w:fill="FAFAFA" w:val="clear"/>
          </w:tcPr>
          <w:p>
            <w:r>
              <w:rPr>
                <w:b/>
                <w:color w:val="008000"/>
                <w:sz w:val="17"/>
              </w:rPr>
              <w:t>+0.5%</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13,446</w:t>
            </w:r>
          </w:p>
        </w:tc>
        <w:tc>
          <w:tcPr>
            <w:tcW w:type="dxa" w:w="1440"/>
            <w:shd w:fill="FAFAFA" w:val="clear"/>
          </w:tcPr>
          <w:p>
            <w:r>
              <w:rPr>
                <w:b/>
                <w:sz w:val="17"/>
              </w:rPr>
              <w:t>15,387</w:t>
            </w:r>
          </w:p>
        </w:tc>
        <w:tc>
          <w:tcPr>
            <w:tcW w:type="dxa" w:w="1440"/>
            <w:shd w:fill="FAFAFA" w:val="clear"/>
          </w:tcPr>
          <w:p>
            <w:r>
              <w:rPr>
                <w:sz w:val="17"/>
              </w:rPr>
              <w:t>17,328</w:t>
            </w:r>
          </w:p>
        </w:tc>
        <w:tc>
          <w:tcPr>
            <w:tcW w:type="dxa" w:w="1440"/>
            <w:shd w:fill="FAFAFA" w:val="clear"/>
          </w:tcPr>
          <w:p>
            <w:r>
              <w:rPr>
                <w:b/>
                <w:color w:val="008000"/>
                <w:sz w:val="17"/>
              </w:rPr>
              <w:t>+0.6%</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13,326</w:t>
            </w:r>
          </w:p>
        </w:tc>
        <w:tc>
          <w:tcPr>
            <w:tcW w:type="dxa" w:w="1440"/>
            <w:shd w:fill="FAFAFA" w:val="clear"/>
          </w:tcPr>
          <w:p>
            <w:r>
              <w:rPr>
                <w:b/>
                <w:sz w:val="17"/>
              </w:rPr>
              <w:t>15,402</w:t>
            </w:r>
          </w:p>
        </w:tc>
        <w:tc>
          <w:tcPr>
            <w:tcW w:type="dxa" w:w="1440"/>
            <w:shd w:fill="FAFAFA" w:val="clear"/>
          </w:tcPr>
          <w:p>
            <w:r>
              <w:rPr>
                <w:sz w:val="17"/>
              </w:rPr>
              <w:t>17,479</w:t>
            </w:r>
          </w:p>
        </w:tc>
        <w:tc>
          <w:tcPr>
            <w:tcW w:type="dxa" w:w="1440"/>
            <w:shd w:fill="FAFAFA" w:val="clear"/>
          </w:tcPr>
          <w:p>
            <w:r>
              <w:rPr>
                <w:b/>
                <w:color w:val="008000"/>
                <w:sz w:val="17"/>
              </w:rPr>
              <w:t>+0.7%</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13,213</w:t>
            </w:r>
          </w:p>
        </w:tc>
        <w:tc>
          <w:tcPr>
            <w:tcW w:type="dxa" w:w="1440"/>
            <w:shd w:fill="FAFAFA" w:val="clear"/>
          </w:tcPr>
          <w:p>
            <w:r>
              <w:rPr>
                <w:b/>
                <w:sz w:val="17"/>
              </w:rPr>
              <w:t>15,417</w:t>
            </w:r>
          </w:p>
        </w:tc>
        <w:tc>
          <w:tcPr>
            <w:tcW w:type="dxa" w:w="1440"/>
            <w:shd w:fill="FAFAFA" w:val="clear"/>
          </w:tcPr>
          <w:p>
            <w:r>
              <w:rPr>
                <w:sz w:val="17"/>
              </w:rPr>
              <w:t>17,622</w:t>
            </w:r>
          </w:p>
        </w:tc>
        <w:tc>
          <w:tcPr>
            <w:tcW w:type="dxa" w:w="1440"/>
            <w:shd w:fill="FAFAFA" w:val="clear"/>
          </w:tcPr>
          <w:p>
            <w:r>
              <w:rPr>
                <w:b/>
                <w:color w:val="008000"/>
                <w:sz w:val="17"/>
              </w:rPr>
              <w:t>+0.8%</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13,106</w:t>
            </w:r>
          </w:p>
        </w:tc>
        <w:tc>
          <w:tcPr>
            <w:tcW w:type="dxa" w:w="1440"/>
            <w:shd w:fill="FAFAFA" w:val="clear"/>
          </w:tcPr>
          <w:p>
            <w:r>
              <w:rPr>
                <w:b/>
                <w:sz w:val="17"/>
              </w:rPr>
              <w:t>15,432</w:t>
            </w:r>
          </w:p>
        </w:tc>
        <w:tc>
          <w:tcPr>
            <w:tcW w:type="dxa" w:w="1440"/>
            <w:shd w:fill="FAFAFA" w:val="clear"/>
          </w:tcPr>
          <w:p>
            <w:r>
              <w:rPr>
                <w:sz w:val="17"/>
              </w:rPr>
              <w:t>17,759</w:t>
            </w:r>
          </w:p>
        </w:tc>
        <w:tc>
          <w:tcPr>
            <w:tcW w:type="dxa" w:w="1440"/>
            <w:shd w:fill="FAFAFA" w:val="clear"/>
          </w:tcPr>
          <w:p>
            <w:r>
              <w:rPr>
                <w:b/>
                <w:color w:val="008000"/>
                <w:sz w:val="17"/>
              </w:rPr>
              <w:t>+0.9%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 RAPPORT D'ANALYSE FINANCIÈRE — NESTLÉ CÔTE D'IVOIRE (NTLC)</w:t>
        <w:br/>
        <w:t>**Bourse Régionale des Valeurs Mobilières (BRVM) — Secteur : Biens de consommation / Agroalimentaire**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337,68 milliards FCFA, NTLC figure parmi les valeurs les plus importantes de la BRVM, ce qui en fait un pilier de l'indice composite et un titre de référence pour les investisseurs institutionnels de la zone UEMOA. Le BPA de 835 FCFA/action signifie que chaque titre génère près de 835 FCFA de bénéfice net, un niveau confortable qui traduit la rentabilité intrinsèque du modèle Nestlé. Le PER de 18,3x se situe nettement au-dessus de la moyenne BRVM (8-12x), signalant que le marché paie une prime de qualité — justifiée par la solidité de la marque, mais qui limite le potentiel de revalorisation à court terme. Le P/B de 11,41x, très supérieur au seuil de 4x, confirme cette valorisation exigeante : le marché valorise l'entreprise à plus de onze fois sa valeur comptable, ce qui s'explique par la faiblesse relative des capitaux propres (29,59 Mds FCFA) face à la puissance bénéficiaire. Enfin, l'EV/EBITDA de 9,2x, dans la fourchette raisonnable de 5-10x, indique que la valeur totale de l'entreprise (dette incluse) reste cohérente avec sa capacité opérationnelle de génération de cash-flow, offrant un contrepoids rassurant à la cherté apparente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affiche une progression totale de +28,57%, portée à 15 300 FCFA, tandis que la dernière séance (J-1) s'est soldée par une stabilité parfaite (+0,00%), signe d'une pause dans le mouvement acheteur. Le range de trading est particulièrement large, avec un plus haut à 18 000 FCFA et un plus bas à 11 150 FCFA, soit une amplitude de 6 850 FCFA (61% du cours actuel) qui témoigne d'une forte volatilité intra-période. La tendance générale reste haussière sur la période, mais le cours actuel se situe en retrait de 15% par rapport à son sommet, ce qui suggère une phase de correction ou de consolidation après le rallye. Les statistiques descriptives révèlent une moyenne de 15 317 FCFA légèrement inférieure à la médiane de 15 995 FCFA, avec un mode à 16 900 FCFA : cet écart indique une distribution asymétrique où les cours élevés ont été plus fréquents, mais où quelques séances baissières ont tiré la moyenne vers le bas. L'écart-type de 1 777 FCFA (CV = 11,6%) traduit une dispersion modérée autour de la moyenne, tandis que le kurtosis de -0,417 (mésokurtique) suggère une distribution proche de la normale, sans pics extrêmes marqués — un profil rassurant pour la gestion du risque. Le skewness de -0,902, négatif, confirme une asymétrie où les journées au-dessus de la moyenne sont plus nombreuses, mais où les baisses, moins fréquentes, sont plus amples. Enfin, la volatilité annualisée de 37,0% positionne NTLC dans la catégorie des titres à volatilité élevée (&gt;30%), ce qui implique un risque de fluctuation important et justifie une approche prudente pour les investisseurs averses au risque.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16 224 FCFA et la MM50 à 16 508,9 FCFA, toutes deux nettement supérieures au cours actuel de 15 300 FCFA. Cette configuration baissière — le prix évoluant sous ses moyennes — signale une pression vendeuse persistante et une tendance de fond négative à court et moyen terme. La décision technique qui en découle est logiquement **Vente**, le titre n'ayant pas encore trouvé de support suffisant pour inverser la dynamique.</w:t>
      </w:r>
    </w:p>
    <w:p>
      <w:pPr>
        <w:spacing w:after="120" w:line="276" w:lineRule="auto"/>
      </w:pPr>
      <w:r>
        <w:t>**Bandes de Bollinger** : La borne supérieure se situe à 18 002,87 FCFA et la borne inférieure à 14 445,13 FCFA, avec un cours actuel de 15 300 FCFA qui évolue dans la moitié basse du canal. Cette position indique que le titre n'est ni suracheté ni survendu, mais qu'il penche vers la faiblesse relative, la décision **Neutre** reflétant l'absence de signal directionnel fort. L'écart entre les bornes (3 557 FCFA) confirme une volatilité encore présente, sans compression extrême qui annoncerait un mouvement imminent.</w:t>
      </w:r>
    </w:p>
    <w:p>
      <w:pPr>
        <w:spacing w:after="120" w:line="276" w:lineRule="auto"/>
      </w:pPr>
      <w:r>
        <w:t>**MACD** : La valeur du MACD est de -449,55, inférieure à son signal à -276,99, ce qui place l'indicateur en territoire négatif avec une divergence baissière persistante. Le momentum reste clairement négatif, la ligne MACD évoluant sous sa ligne de signal sans signe de retournement, justifiant la décision **Vente**. Cette configuration suggère que la pression baissière n'est pas encore épuisée et qu'un rebond technique n'est pas imminent.</w:t>
      </w:r>
    </w:p>
    <w:p>
      <w:pPr>
        <w:spacing w:after="120" w:line="276" w:lineRule="auto"/>
      </w:pPr>
      <w:r>
        <w:t>**RSI** : Avec une valeur de 27,78, le RSI se situe en zone de **survente** (&lt;30), ce qui constitue un signal d'**Achat** potentiel. Cette lecture indique que le titre a été excessivement vendu à court terme et qu'un rebond technique est statistiquement probable, offrant une opportunité contrarian pour les investisseurs cherchant à acheter sur faiblesse.</w:t>
      </w:r>
    </w:p>
    <w:p>
      <w:pPr>
        <w:spacing w:after="120" w:line="276" w:lineRule="auto"/>
      </w:pPr>
      <w:r>
        <w:t>**Stochastique** : Le %K s'établit à 33,33 et le %D à 22,22, tous deux en zone basse mais sans croisement haussier confirmé. La décision est **Neutre**, le stochastique n'ayant pas encore généré de signal d'achat clair (croisement du %K au-dessus du %D en zone de survente), ce qui invite à la patience avant toute décision d'entrée.</w:t>
      </w:r>
    </w:p>
    <w:p>
      <w:pPr>
        <w:spacing w:after="120" w:line="276" w:lineRule="auto"/>
      </w:pPr>
      <w:r>
        <w:t>**Conclusion technique** : Les indicateurs techniques présentent un tableau contrasté : les moyennes mobiles et le MACD confirment une tendance baissière de fond (décision Vente), tandis que le RSI en zone de survente (27,78) et le stochastique en zone basse suggèrent un potentiel rebond à court terme. Cette divergence entre indicateurs de tendance et oscillateurs est caractéristique d'une phase de correction au sein d'un mouvement haussier plus large, le titre ayant progressé de +28,57% sur 100 jours. La prudence reste de mise tant que le cours n'aura pas reconquis la MM20 (16 224 FCFA), mais la survente du RSI offre un point d'entrée intéressant pour les investisseurs à horizon moyen terme.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Nestlé Côte d'Ivoire a réalisé un chiffre d'affaires de 233,26 milliards FCFA, en croissance de 5,97% par rapport à 2024 (220,11 Mds FCFA), confirmant la dynamique commerciale de l'entreprise sur le marché ivoirien et régional. Le résultat net s'établit à 18,43 milliards FCFA, en légère progression de 1,53% (vs 18,15 Mds en 2024), avec une marge nette de 7,90% — stable mais en légère compression par rapport aux 8,25% de 2024. Le ROE (rentabilité des fonds propres) atteint un niveau exceptionnel de 62,28%, bien au-dessus du seuil de 15% considéré comme excellent, ce qui témoigne d'une efficacité remarquable dans l'utilisation des capitaux propres, bien que cette performance soit mécaniquement amplifiée par la faiblesse relative des fonds propres (29,59 Mds FCFA). Le ROA de 9,70% reste solide, et la rotation des actifs de 122,80% (CA/Total actif) indique une utilisation intensive des ressources pour générer du chiffre d'affaires.</w:t>
      </w:r>
    </w:p>
    <w:p>
      <w:pPr>
        <w:spacing w:after="120" w:line="276" w:lineRule="auto"/>
      </w:pPr>
      <w:r>
        <w:t>**Adaptation au secteur ENTREPRISE** : L'analyse des délais d'exploitation révèle un délai clients de 74,30 jours, relativement élevé, qui expose l'entreprise à un risque de trésorerie significatif — les créances clients (48,14 Mds FCFA) immobilisent du capital pendant plus de deux mois. La durée de stockage de 59,39 jours (stocks de 38,48 Mds FCFA) traduit une immobilisation de capital importante, bien que cohérente avec l'activité agroalimentaire. Le BFR s'élève à 22,63 Mds FCFA, positif, ce qui signifie que l'entreprise doit financer son cycle d'exploitation — un point de vigilance. La structure financière est tendue : l'autonomie financière n'est que de 15,58% (seuil sain &gt;30%), la dépendance financière atteint 84,42%, et le ratio d'endettement de 135,85% (dettes totales/capitaux propres) indique un levier élevé. La liquidité générale de 79,86% (&lt;1) est insuffisante pour couvrir le passif circulant, et la trésorerie nette est négative à -46,83 Mds FCFA, reflétant un besoin de financement chronique. Néanmoins, la couverture des intérêts de 473,63% (résultat d'exploitation/charges financières) démontre que l'entreprise génère largement de quoi payer ses charges financières (7,96 Mds FCFA), ce qui atténue le risque de défaut à court terme.</w:t>
      </w:r>
    </w:p>
    <w:p>
      <w:pPr>
        <w:spacing w:after="120" w:line="276" w:lineRule="auto"/>
      </w:pPr>
      <w:r>
        <w:t>**Estimations basées sur les rapports trimestriels** : Le rapport du T1 2026 (publié le 31 mars 2026, analysé par DeepSeek le 1er mai 2026) fait état d'un chiffre d'affaires de 70,82 milliards FCFA, en hausse spectaculaire de +31% par rapport au T1 2025 (54,08 Mds FCFA), et d'un résultat net de 7,53 milliards FCFA, en bond de +37% (vs 5,48 Mds au T1 2025). La marge nette s'améliore à 10,6% (vs 10,1% au T1 2025), signalant une meilleure efficacité financière. Sur la base de ce rapport T1 2026, on peut estimer que l'exercice 2026 devrait afficher une croissance du chiffre d'affaires nettement supérieure à celle de 2025 (+5,97%), potentiellement dans une fourchette de +15% à +20% si la dynamique se maintient, avec un résultat net qui pourrait dépasser les 20 milliards FCFA. Le rapport du T3 2025 (30 septembre 2025) indiquait un chiffre d'affaires cumulé de 173,41 Mds FCFA (+1,36%) et un résultat net de 11,94 Mds FCFA (-21,3%), confirmant le ralentissement observé en 2025 avant le rebond spectaculaire du T1 2026. Le rapport annuel 2025 (analysé par DeepSeek) souligne une politique de dividende plus conservatrice, avec un payout ratio réduit à 50,3% (9,27 Mds FCFA distribués vs 18,10 Mds en 2024), et une mise en réserve massive de 9,22 Mds FCFA pour financer la croissance future — un signal positif pour la solidité financière à long terme.</w:t>
      </w:r>
    </w:p>
    <w:p>
      <w:pPr>
        <w:spacing w:after="120" w:line="276" w:lineRule="auto"/>
      </w:pPr>
      <w:r>
        <w:t>**Recommandation fondamentale** : Nestlé Côte d'Ivoire présente un profil fondamental solide, porté par une croissance du chiffre d'affaires (+5,97% en 2025, +31% au T1 2026), une rentabilité exceptionnelle (ROE de 62,28%, marge nette de 7,90%), et une capacité à générer des profits malgré un environnement inflationniste. Les principaux risques résident dans la structure financière tendue (autonomie financière de 15,58%, endettement élevé, trésorerie nette négative) et la pression sur les marges (marge nette en légère baisse en 2025). La stratégie de réinvestissement (mise en réserve de 50% du bénéfice) et la dynamique du T1 2026 sont des signaux positifs qui pourraient soutenir la valorisation à moyen terme. La recommandation fondamentale est **CONSERVER**, avec un biais positif pour les investisseurs à long terme, en surveillant l'évolution des marges et de l'endettement.</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dessine un tableau nuancé pour NTLC. **Sur le plan de la valorisation (Partie 0)**, les ratios PER (18,3x) et P/B (11,41x) indiquent une valorisation exigeante, voire surévaluée par rapport à la moyenne BRVM (8-12x), bien que l'EV/EBITDA (9,2x) reste raisonnable — le marché paie une prime de qualité qui limite le potentiel de revalorisation à court terme. **Le comportement du cours (Partie 1)** révèle une tendance haussière sur 100 jours (+28,57%) mais une correction récente de -15% depuis le sommet, avec une volatilité élevée (37%) et une asymétrie négative (skewness -0,902) qui suggère que les baisses, bien que moins fréquentes, sont amples — un profil préoccupant pour les investisseurs averses au risque. **Les signaux techniques (Partie 2)** sont contrastés : les moyennes mobiles et le MACD confirment une tendance baissière (Vente), tandis que le RSI en survente (27,78) et le stochastique en zone basse offrent un potentiel rebond (Achat/Neutre) — cette divergence est caractéristique d'une phase de consolidation. **Les fondamentaux (Partie 3)** restent solides : croissance du CA (+5,97% en 2025, +31% au T1 2026), ROE exceptionnel (62,28%), mais structure financière tendue (autonomie de 15,58%, trésorerie nette négative) et marges sous pression. **Les prédictions IA (J+1 à J+10)** anticipent une trajectoire légèrement haussière, avec un cours passant de 15 257 FCFA (29/09) à 15 354 FCFA (05/10), soit une progression modeste de +0,64% sur 5 jours — cette trajectoire confirme la thèse d'un rebond technique limité, sans inversion majeure de tendance.</w:t>
      </w:r>
    </w:p>
    <w:p>
      <w:pPr>
        <w:spacing w:after="120" w:line="276" w:lineRule="auto"/>
      </w:pPr>
      <w:r>
        <w:t>**Recommandation finale : CONSERVER** — Justification : la convergence entre une valorisation exigeante (PER 18,3x, P/B 11,41x), une tendance technique baissière à moyen terme (cours sous MM20 et MM50, MACD négatif) et des fondamentaux solides mais sous pression (marges en légère baisse, endettement élevé) ne justifie ni un achat agressif ni une vente précipitée. Le RSI en survente (27,78) et les prédictions IA légèrement haussières offrent un potentiel de rebond à court terme, mais l'absence de confirmation technique (stochastique neutre, MACD baissier) invite à la patience. **Niveau de confiance : Moyen** — les signaux sont divergents, ce qui réduit la visibilité. **Niveau de risque global : Élevé** — volatilité de 37%, structure financière tendue (autonomie de 15,58%, trésorerie nette de -46,83 Mds FCFA), et valorisation exigeante. **Horizon d'investissement optimal : Moyen terme (3-12 mois)** — le titre pourrait bénéficier de la dynamique du T1 2026 (+31% de CA, +37% de résultat net) et de la stratégie de réinvestissement, mais nécessite une surveillance étroite des marges et de l'endettement. Les investisseurs déjà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23.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200.60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5,416 titres</w:t>
            </w:r>
          </w:p>
        </w:tc>
        <w:tc>
          <w:tcPr>
            <w:tcW w:type="dxa" w:w="2268"/>
            <w:shd w:fill="FFF2CC" w:val="clear"/>
          </w:tcPr>
          <w:p>
            <w:r>
              <w:rPr>
                <w:b/>
                <w:color w:val="503200"/>
                <w:sz w:val="16"/>
              </w:rPr>
              <w:t xml:space="preserve">Cours actuel : </w:t>
            </w:r>
            <w:r>
              <w:rPr>
                <w:color w:val="000000"/>
                <w:sz w:val="17"/>
              </w:rPr>
              <w:t>2,950 FCFA</w:t>
            </w:r>
          </w:p>
          <w:p>
            <w:r>
              <w:rPr>
                <w:b/>
                <w:color w:val="503200"/>
                <w:sz w:val="16"/>
              </w:rPr>
              <w:t xml:space="preserve">Var. 100 jours : </w:t>
            </w:r>
            <w:r>
              <w:rPr>
                <w:b/>
                <w:color w:val="007800"/>
                <w:sz w:val="17"/>
              </w:rPr>
              <w:t>+6.12%</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2,675 FCFA</w:t>
            </w:r>
          </w:p>
          <w:p>
            <w:r>
              <w:rPr>
                <w:b/>
                <w:color w:val="503200"/>
                <w:sz w:val="16"/>
              </w:rPr>
              <w:t xml:space="preserve">Volatilité ann. : </w:t>
            </w:r>
            <w:r>
              <w:rPr>
                <w:color w:val="000000"/>
                <w:sz w:val="17"/>
              </w:rPr>
              <w:t>32.7%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2.84% (Faible) — μ=2,843 FCFA, σ=81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β=0.5062 (Défensif) — Cov=0.000034, Var(idx)=0.000068, ρ=0.201,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σ_j=2.06%/j (Stable) — Vol. annualisée≈32.7%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2,810</w:t>
            </w:r>
          </w:p>
        </w:tc>
        <w:tc>
          <w:tcPr>
            <w:tcW w:type="dxa" w:w="1440"/>
            <w:shd w:fill="FAFAFA" w:val="clear"/>
          </w:tcPr>
          <w:p>
            <w:r>
              <w:rPr>
                <w:b/>
                <w:sz w:val="17"/>
              </w:rPr>
              <w:t>2,916</w:t>
            </w:r>
          </w:p>
        </w:tc>
        <w:tc>
          <w:tcPr>
            <w:tcW w:type="dxa" w:w="1440"/>
            <w:shd w:fill="FAFAFA" w:val="clear"/>
          </w:tcPr>
          <w:p>
            <w:r>
              <w:rPr>
                <w:sz w:val="17"/>
              </w:rPr>
              <w:t>3,021</w:t>
            </w:r>
          </w:p>
        </w:tc>
        <w:tc>
          <w:tcPr>
            <w:tcW w:type="dxa" w:w="1440"/>
            <w:shd w:fill="FAFAFA" w:val="clear"/>
          </w:tcPr>
          <w:p>
            <w:r>
              <w:rPr>
                <w:b/>
                <w:color w:val="C00000"/>
                <w:sz w:val="17"/>
              </w:rPr>
              <w:t>-1.2%</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2,765</w:t>
            </w:r>
          </w:p>
        </w:tc>
        <w:tc>
          <w:tcPr>
            <w:tcW w:type="dxa" w:w="1440"/>
            <w:shd w:fill="FAFAFA" w:val="clear"/>
          </w:tcPr>
          <w:p>
            <w:r>
              <w:rPr>
                <w:b/>
                <w:sz w:val="17"/>
              </w:rPr>
              <w:t>2,914</w:t>
            </w:r>
          </w:p>
        </w:tc>
        <w:tc>
          <w:tcPr>
            <w:tcW w:type="dxa" w:w="1440"/>
            <w:shd w:fill="FAFAFA" w:val="clear"/>
          </w:tcPr>
          <w:p>
            <w:r>
              <w:rPr>
                <w:sz w:val="17"/>
              </w:rPr>
              <w:t>3,063</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2,725</w:t>
            </w:r>
          </w:p>
        </w:tc>
        <w:tc>
          <w:tcPr>
            <w:tcW w:type="dxa" w:w="1440"/>
            <w:shd w:fill="FAFAFA" w:val="clear"/>
          </w:tcPr>
          <w:p>
            <w:r>
              <w:rPr>
                <w:b/>
                <w:sz w:val="17"/>
              </w:rPr>
              <w:t>2,907</w:t>
            </w:r>
          </w:p>
        </w:tc>
        <w:tc>
          <w:tcPr>
            <w:tcW w:type="dxa" w:w="1440"/>
            <w:shd w:fill="FAFAFA" w:val="clear"/>
          </w:tcPr>
          <w:p>
            <w:r>
              <w:rPr>
                <w:sz w:val="17"/>
              </w:rPr>
              <w:t>3,090</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2,690</w:t>
            </w:r>
          </w:p>
        </w:tc>
        <w:tc>
          <w:tcPr>
            <w:tcW w:type="dxa" w:w="1440"/>
            <w:shd w:fill="FAFAFA" w:val="clear"/>
          </w:tcPr>
          <w:p>
            <w:r>
              <w:rPr>
                <w:b/>
                <w:sz w:val="17"/>
              </w:rPr>
              <w:t>2,900</w:t>
            </w:r>
          </w:p>
        </w:tc>
        <w:tc>
          <w:tcPr>
            <w:tcW w:type="dxa" w:w="1440"/>
            <w:shd w:fill="FAFAFA" w:val="clear"/>
          </w:tcPr>
          <w:p>
            <w:r>
              <w:rPr>
                <w:sz w:val="17"/>
              </w:rPr>
              <w:t>3,110</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2,658</w:t>
            </w:r>
          </w:p>
        </w:tc>
        <w:tc>
          <w:tcPr>
            <w:tcW w:type="dxa" w:w="1440"/>
            <w:shd w:fill="FAFAFA" w:val="clear"/>
          </w:tcPr>
          <w:p>
            <w:r>
              <w:rPr>
                <w:b/>
                <w:sz w:val="17"/>
              </w:rPr>
              <w:t>2,893</w:t>
            </w:r>
          </w:p>
        </w:tc>
        <w:tc>
          <w:tcPr>
            <w:tcW w:type="dxa" w:w="1440"/>
            <w:shd w:fill="FAFAFA" w:val="clear"/>
          </w:tcPr>
          <w:p>
            <w:r>
              <w:rPr>
                <w:sz w:val="17"/>
              </w:rPr>
              <w:t>3,127</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2,629</w:t>
            </w:r>
          </w:p>
        </w:tc>
        <w:tc>
          <w:tcPr>
            <w:tcW w:type="dxa" w:w="1440"/>
            <w:shd w:fill="FFDCE0" w:val="clear"/>
          </w:tcPr>
          <w:p>
            <w:r>
              <w:rPr>
                <w:b/>
                <w:sz w:val="17"/>
              </w:rPr>
              <w:t>2,885</w:t>
            </w:r>
          </w:p>
        </w:tc>
        <w:tc>
          <w:tcPr>
            <w:tcW w:type="dxa" w:w="1440"/>
            <w:shd w:fill="FFDCE0" w:val="clear"/>
          </w:tcPr>
          <w:p>
            <w:r>
              <w:rPr>
                <w:sz w:val="17"/>
              </w:rPr>
              <w:t>3,141</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2,602</w:t>
            </w:r>
          </w:p>
        </w:tc>
        <w:tc>
          <w:tcPr>
            <w:tcW w:type="dxa" w:w="1440"/>
            <w:shd w:fill="FFDCE0" w:val="clear"/>
          </w:tcPr>
          <w:p>
            <w:r>
              <w:rPr>
                <w:b/>
                <w:sz w:val="17"/>
              </w:rPr>
              <w:t>2,878</w:t>
            </w:r>
          </w:p>
        </w:tc>
        <w:tc>
          <w:tcPr>
            <w:tcW w:type="dxa" w:w="1440"/>
            <w:shd w:fill="FFDCE0" w:val="clear"/>
          </w:tcPr>
          <w:p>
            <w:r>
              <w:rPr>
                <w:sz w:val="17"/>
              </w:rPr>
              <w:t>3,154</w:t>
            </w:r>
          </w:p>
        </w:tc>
        <w:tc>
          <w:tcPr>
            <w:tcW w:type="dxa" w:w="1440"/>
            <w:shd w:fill="FFDCE0" w:val="clear"/>
          </w:tcPr>
          <w:p>
            <w:r>
              <w:rPr>
                <w:b/>
                <w:color w:val="C00000"/>
                <w:sz w:val="17"/>
              </w:rPr>
              <w:t>-2.4%</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2,577</w:t>
            </w:r>
          </w:p>
        </w:tc>
        <w:tc>
          <w:tcPr>
            <w:tcW w:type="dxa" w:w="1440"/>
            <w:shd w:fill="FFDCE0" w:val="clear"/>
          </w:tcPr>
          <w:p>
            <w:r>
              <w:rPr>
                <w:b/>
                <w:sz w:val="17"/>
              </w:rPr>
              <w:t>2,871</w:t>
            </w:r>
          </w:p>
        </w:tc>
        <w:tc>
          <w:tcPr>
            <w:tcW w:type="dxa" w:w="1440"/>
            <w:shd w:fill="FFDCE0" w:val="clear"/>
          </w:tcPr>
          <w:p>
            <w:r>
              <w:rPr>
                <w:sz w:val="17"/>
              </w:rPr>
              <w:t>3,166</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2,553</w:t>
            </w:r>
          </w:p>
        </w:tc>
        <w:tc>
          <w:tcPr>
            <w:tcW w:type="dxa" w:w="1440"/>
            <w:shd w:fill="FFDCE0" w:val="clear"/>
          </w:tcPr>
          <w:p>
            <w:r>
              <w:rPr>
                <w:b/>
                <w:sz w:val="17"/>
              </w:rPr>
              <w:t>2,865</w:t>
            </w:r>
          </w:p>
        </w:tc>
        <w:tc>
          <w:tcPr>
            <w:tcW w:type="dxa" w:w="1440"/>
            <w:shd w:fill="FFDCE0" w:val="clear"/>
          </w:tcPr>
          <w:p>
            <w:r>
              <w:rPr>
                <w:sz w:val="17"/>
              </w:rPr>
              <w:t>3,176</w:t>
            </w:r>
          </w:p>
        </w:tc>
        <w:tc>
          <w:tcPr>
            <w:tcW w:type="dxa" w:w="1440"/>
            <w:shd w:fill="FFDCE0" w:val="clear"/>
          </w:tcPr>
          <w:p>
            <w:r>
              <w:rPr>
                <w:b/>
                <w:color w:val="C00000"/>
                <w:sz w:val="17"/>
              </w:rPr>
              <w:t>-2.9%</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2,531</w:t>
            </w:r>
          </w:p>
        </w:tc>
        <w:tc>
          <w:tcPr>
            <w:tcW w:type="dxa" w:w="1440"/>
            <w:shd w:fill="FFDCE0" w:val="clear"/>
          </w:tcPr>
          <w:p>
            <w:r>
              <w:rPr>
                <w:b/>
                <w:sz w:val="17"/>
              </w:rPr>
              <w:t>2,858</w:t>
            </w:r>
          </w:p>
        </w:tc>
        <w:tc>
          <w:tcPr>
            <w:tcW w:type="dxa" w:w="1440"/>
            <w:shd w:fill="FFDCE0" w:val="clear"/>
          </w:tcPr>
          <w:p>
            <w:r>
              <w:rPr>
                <w:sz w:val="17"/>
              </w:rPr>
              <w:t>3,186</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 Burkina Faso)**</w:t>
        <w:br/>
        <w:t>**Bourse Régionale des Valeurs Mobilières (BRVM) — Secteur :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200,60 milliards FCFA, ONTBF se positionne comme une valeur de premier plan sur la BRVM, représentant un poids significatif dans l'indice composite. Le BPA de 234 FCFA par action indique que chaque titre génère un bénéfice net de 234 FCFA, ce qui, rapporté au cours actuel de 2 950 FCFA, donne un PER de 12,6x — un niveau modéré qui se situe dans la fourchette haute de la moyenne BRVM (8-12x), suggérant que le marché intègre déjà une partie de la croissance future. Le ratio P/B de 3,49x révèle que le marché valorise l'entreprise à plus de trois fois sa valeur comptable, une prime de croissance accordée aux opérateurs télécoms disposant d'infrastructures stratégiques et d'une génération de cash-flow récurrente. Enfin, l'EV/EBITDA de 5,2x, bien qu'inférieur à la moyenne sectorielle africaine (6-8x), indique que la valeur totale de l'entreprise (incluant la dette) reste raisonnablement valorisée par rapport à sa capacité opérationnelle, laissant entrevoir un potentiel de revalorisation si les marges se stabilisent.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performance positive de +6,12%, bien que la dernière séance (J-1) se soit soldée par un léger repli de -0,34%, traduisant une prise de profit ponctuelle. Le cours actuel de 2 950 FCFA évolue dans un range de trading compris entre un plus bas de 2 675 FCFA et un plus haut de 3 070 FCFA, soit une amplitude de 395 FCFA (14,8%), ce qui témoigne d'une tendance générale haussière mais avec des phases de consolidation. Les statistiques descriptives révèlent une moyenne de 2 843 FCFA et une médiane de 2 850 FCFA, très proches l'une de l'autre, confirmant une distribution symétrique du cours (skewness de 0,042) sans biais directionnel marqué. L'écart-type de 81 FCFA, avec un coefficient de variation de seulement 2,9%, indique une dispersion très faible du cours autour de sa moyenne, caractéristique d'un titre peu volatil sur la période récente. Le kurtosis de -0,233 (mésokurtique) suggère une distribution proche de la normale, sans risque de pics extrêmes fréquents, ce qui est rassurant pour la gestion du risque. La volatilité annualisée de 32,7% positionne toutefois ONTBF dans la catégorie des titres à volatilité élevée (&gt;30%), ce qui contraste avec la faible dispersion observée sur 100 jours et implique que des mouvements plus amples pourraient survenir sur un horizon plus long.</w:t>
      </w:r>
    </w:p>
    <w:p>
      <w:pPr>
        <w:spacing w:after="120" w:line="276" w:lineRule="auto"/>
      </w:pPr>
      <w:r>
        <w:t>---</w:t>
      </w:r>
    </w:p>
    <w:p>
      <w:pPr>
        <w:spacing w:after="120" w:line="276" w:lineRule="auto"/>
      </w:pPr>
      <w:r>
        <w:t>### PARTIE 2 : ANALYSE TECHNIQUE DÉTAILLÉE</w:t>
      </w:r>
    </w:p>
    <w:p>
      <w:pPr>
        <w:spacing w:after="120" w:line="276" w:lineRule="auto"/>
      </w:pPr>
      <w:r>
        <w:t>**Moyennes Mobiles** : La MM20 (2 881,25 FCFA) et la MM50 (2 869,60 FCFA) se situent toutes deux en dessous du cours actuel (2 950 FCFA), avec une MM20 légèrement supérieure à la MM50, configurant un croisement haussier classique. Cette configuration indique que le titre évolue au-dessus de ses supports dynamiques, avec une dynamique positive de court et moyen terme, justifiant la décision d'achat.</w:t>
      </w:r>
    </w:p>
    <w:p>
      <w:pPr>
        <w:spacing w:after="120" w:line="276" w:lineRule="auto"/>
      </w:pPr>
      <w:r>
        <w:t>**Bandes de Bollinger** : Le cours actuel (2 950 FCFA) se situe dans la moitié supérieure de la bande, entre la borne inférieure (2 769,05 FCFA) et la borne supérieure (2 993,45 FCFA), sans la franchir. Cette position indique une pression acheteuse modérée mais sans excès, la volatilité restant contenue dans les bandes, ce qui justifie une décision neutre en attendant une cassure de la borne supérieure pour confirmer un signal haussier fort.</w:t>
      </w:r>
    </w:p>
    <w:p>
      <w:pPr>
        <w:spacing w:after="120" w:line="276" w:lineRule="auto"/>
      </w:pPr>
      <w:r>
        <w:t>**MACD** : La ligne MACD (6,602) est nettement supérieure à sa ligne de signal (3,378), avec un histogramme positif, confirmant un momentum haussier en cours. Cette divergence positive indique que la dynamique acheteuse se renforce, bien que l'écart reste modéré, justifiant une décision d'achat prudente.</w:t>
      </w:r>
    </w:p>
    <w:p>
      <w:pPr>
        <w:spacing w:after="120" w:line="276" w:lineRule="auto"/>
      </w:pPr>
      <w:r>
        <w:t>**RSI** : À 56,06, le RSI se situe dans la zone neutre (30-70), sans atteindre la zone de surachat (&gt;70) ni de survente (&lt;30). Cette position indique un équilibre entre acheteurs et vendeurs, avec une légère prédominance haussière, justifiant une décision neutre en l'absence de signal extrême.</w:t>
      </w:r>
    </w:p>
    <w:p>
      <w:pPr>
        <w:spacing w:after="120" w:line="276" w:lineRule="auto"/>
      </w:pPr>
      <w:r>
        <w:t>**Stochastique** : Le %K (79,17) est nettement supérieur au %D (54,17), avec un croisement haussier récent, mais le %K approche de la zone de surachat (&gt;80). Cette configuration suggère que le titre pourrait connaître une accélération haussière à court terme, mais le risque de correction augmente à mesure que le %K se rapproche de 80, justifiant une décision neutre avec vigilance.</w:t>
      </w:r>
    </w:p>
    <w:p>
      <w:pPr>
        <w:spacing w:after="120" w:line="276" w:lineRule="auto"/>
      </w:pPr>
      <w:r>
        <w:t>**Conclusion technique** : Les indicateurs techniques présentent une convergence majoritairement haussière (MM, MACD) mais avec des signaux neutres sur les oscillateurs (RSI, Stochastique, Bollinger), suggérant que le titre est dans une phase de consolidation haussière sans excès. La prudence reste de mise avant une cassure confirmée de la résistance des 2 993 FCFA (borne supérieure de Bollinger), qui ouvrirait la voie à une accélération vers les 3 070 FCFA.</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ONTBF a réalisé un chiffre d'affaires (CA/PNB) de 146,177 milliards FCFA, en croissance de 3,06% par rapport à 2024, porté par le FTTH (+33% de parc), l'Internet mobile (+5%) et le Mobile Money (+14%). Le résultat net s'établit à 15,887 milliards FCFA, en nette baisse de -26% par rapport aux 21,471 milliards de 2024, sous l'effet d'une compression des marges (marge nette de 10,87% contre 15,1% en 2024) et d'une hausse des charges opérationnelles (énergie, maintenance en zones sécuritaires, sanction ARCEP de 1,543 milliard FCFA). Le ROE reste excellent à 27,61% (contre 34,3% en 2024), bien qu'en dégradation, et le ROA s'établit à 4,89%, reflétant la lourdeur du bilan (324,9 milliards FCFA d'actifs). Le coefficient d'exploitation de 67,07% (charges/PNB) dépasse le seuil de 60% recommandé pour une banque, mais s'explique par la nature capitalistique du secteur télécom (investissements réseau de 45,2 milliards FCFA en 2025). Le coût du risque (provisions/charges financières) de 3,57% reste contenu, mais les provisions de 31,065 milliards FCFA pèsent sur la rentabilité. La structure financière affiche une autonomie financière de 17,71% (capitaux propres/total bilan), inférieure au seuil de 30% considéré comme sain, et un ratio d'endettement de 186,99%, traduisant une dépendance élevée aux dettes financières (107,596 milliards FCFA). La trésorerie nette reste positive à 10,649 milliards FCFA, et la capacité de remboursement (2,29 années de CAF) demeure acceptable.</w:t>
      </w:r>
    </w:p>
    <w:p>
      <w:pPr>
        <w:spacing w:after="120" w:line="276" w:lineRule="auto"/>
      </w:pPr>
      <w:r>
        <w:t>**Estimations basées sur les rapports trimestriels** : Le rapport T1 2026 (publié le 30 avril 2026) indique un CA de 37,1 milliards FCFA (+2,7%), un résultat net de 3,577 milliards FCFA (OHADA) et un taux de marge EBITDA maintenu à 41,3%. Sur cette base, on estime que l'exercice 2026 devrait enregistrer une croissance du CA de l'ordre de 2,5-3%, avec un résultat net annuel projeté entre 14 et 16 milliards FCFA, en légère baisse ou stabilisation par rapport à 2025. Le rapport T3 2025 (30 septembre 2025) confirme la tendance : CA de 109,59 milliards FCFA (+3,1%) et résultat net de 11,00 milliards FCFA (-17,2%), avec un taux d'EBITDA IFRS de 39,3% (contre 45,2% en 2024). La politique de dividende reste généreuse avec un dividende proposé de 166,0816 FCFA par action (145,3214 FCFA net), soit un rendement de 5,6% au cours actuel de 2 950 FCFA, mais un taux de distribution de 70% qui pourrait devenir unsustainable si la baisse des bénéfices se poursuit.</w:t>
      </w:r>
    </w:p>
    <w:p>
      <w:pPr>
        <w:spacing w:after="120" w:line="276" w:lineRule="auto"/>
      </w:pPr>
      <w:r>
        <w:t>**Recommandation fondamentale** : ONTBF présente une solidité financière contrastée — leader télécom avec une génération de cash-flow robuste (CAFG de 46,95 milliards FCFA) et une notation GCR relevée à A+(WU), mais confronté à une dégradation continue de sa rentabilité (-26% de résultat net en 2025) et à un endettement croissant pour financer ses investissements. Les perspectives 2026, placées sous le thème de la "reconquête du leadership", seront déterminantes pour inverser la tendance baissière des marges. La recommandation fondamentale est de **CONSERVER** le titre, en surveillant la trajectoire des marges et la capacité de l'entreprise à maîtriser ses coûts opérationnels.</w:t>
      </w:r>
    </w:p>
    <w:p>
      <w:pPr>
        <w:spacing w:after="120" w:line="276" w:lineRule="auto"/>
      </w:pPr>
      <w:r>
        <w:t>---</w:t>
      </w:r>
    </w:p>
    <w:p>
      <w:pPr>
        <w:spacing w:after="120" w:line="276" w:lineRule="auto"/>
      </w:pPr>
      <w:r>
        <w:t>### PARTIE 4 : CONCLUSION D'INVESTISSEMENT</w:t>
      </w:r>
    </w:p>
    <w:p>
      <w:pPr>
        <w:spacing w:after="120" w:line="276" w:lineRule="auto"/>
      </w:pPr>
      <w:r>
        <w:t>La synthèse des quatre parties précédentes et des prédictions IA permet de dégager une vision globale nuancée. **Sur le plan de la valorisation (Partie 0)**, les ratios PER (12,6x), P/B (3,49x) et EV/EBITDA (5,2x) indiquent une valorisation modérée à légèrement élevée, le marché intégrant déjà une prime de croissance qui pourrait être remise en question si les marges ne se redressent pas. **Le comportement du cours (Partie 1)** est favorable sur 100 jours (+6,12%), avec une faible dispersion (CV=2,9%) et une distribution symétrique (skewness=0,042), mais la volatilité annualisée de 32,7% et le kurtosis de -0,233 suggèrent un risque de mouvements amples à moyen terme. **Les signaux techniques (Partie 2)** sont majoritairement haussiers (MM, MACD) mais tempérés par des oscillateurs neutres (RSI, Stochastique), plaidant pour une consolidation avant une nouvelle impulsion. **Les fondamentaux (Partie 3)** révèlent une entreprise solide mais en perte de vitesse, avec un résultat net en baisse de -26% en 2025 et des estimations 2026 mitigées (CA +2,7% au T1 2026, marge EBITDA stable à 41,3%). **Les prédictions IA (J+1 à J+10)** anticipent une légère correction du cours vers 2 893-2 916 FCFA, en ligne avec la prise de profit observée en J-1 (-0,34%) et la résistance technique des 2 993 FCFA.</w:t>
      </w:r>
    </w:p>
    <w:p>
      <w:pPr>
        <w:spacing w:after="120" w:line="276" w:lineRule="auto"/>
      </w:pPr>
      <w:r>
        <w:t>**Recommandation finale : CONSERVER**</w:t>
        <w:br/>
        <w:t>**Justification** : La convergence des signaux est partielle — la valorisation modérée et les fondamentaux solides (leader télécom, cash-flow robuste, dividende attractif de 5,6%) soutiennent le titre, mais la dégradation de la rentabilité, l'endettement croissant et les prédictions IA baissières à court terme incitent à la prudence. Le titre n'est ni un achat agressif (risque de correction technique) ni une vente (les fondamentaux restent défensifs).</w:t>
        <w:br/>
        <w:t>**Niveau de confiance** : Moyen — les signaux techniques et fondamentaux sont divergents, et l'incertitude sur la capacité de l'entreprise à restaurer ses marges persiste.</w:t>
        <w:br/>
        <w:t>**Niveau de risque global** : Moyen — le risque opérationnel (contexte sécuritaire, pression réglementaire) et financier (endettement) est compensé par la solidité du bilan et la génération de cash-flow.</w:t>
        <w:br/>
        <w:t>**Horizon d'investissement optimal** : Moyen terme (3-12 mois) — le temps que les effets des investissements stratégiques (FTTH, Mobile Money) se matérialisent et que la trajectoire des marges se clarifie.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24.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3239.09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3,394 titres</w:t>
            </w:r>
          </w:p>
        </w:tc>
        <w:tc>
          <w:tcPr>
            <w:tcW w:type="dxa" w:w="2268"/>
            <w:shd w:fill="FFF2CC" w:val="clear"/>
          </w:tcPr>
          <w:p>
            <w:r>
              <w:rPr>
                <w:b/>
                <w:color w:val="503200"/>
                <w:sz w:val="16"/>
              </w:rPr>
              <w:t xml:space="preserve">Cours actuel : </w:t>
            </w:r>
            <w:r>
              <w:rPr>
                <w:color w:val="000000"/>
                <w:sz w:val="17"/>
              </w:rPr>
              <w:t>21,500 FCFA</w:t>
            </w:r>
          </w:p>
          <w:p>
            <w:r>
              <w:rPr>
                <w:b/>
                <w:color w:val="503200"/>
                <w:sz w:val="16"/>
              </w:rPr>
              <w:t xml:space="preserve">Var. 100 jours : </w:t>
            </w:r>
            <w:r>
              <w:rPr>
                <w:b/>
                <w:color w:val="007800"/>
                <w:sz w:val="17"/>
              </w:rPr>
              <w:t>+43.33%</w:t>
            </w:r>
          </w:p>
          <w:p>
            <w:r>
              <w:rPr>
                <w:b/>
                <w:color w:val="503200"/>
                <w:sz w:val="16"/>
              </w:rPr>
              <w:t xml:space="preserve">Plus haut 100j : </w:t>
            </w:r>
            <w:r>
              <w:rPr>
                <w:color w:val="000000"/>
                <w:sz w:val="17"/>
              </w:rPr>
              <w:t>22,500 FCFA</w:t>
            </w:r>
          </w:p>
          <w:p>
            <w:r>
              <w:rPr>
                <w:b/>
                <w:color w:val="503200"/>
                <w:sz w:val="16"/>
              </w:rPr>
              <w:t xml:space="preserve">Plus bas 100j : </w:t>
            </w:r>
            <w:r>
              <w:rPr>
                <w:color w:val="000000"/>
                <w:sz w:val="17"/>
              </w:rPr>
              <w:t>14,900 FCFA</w:t>
            </w:r>
          </w:p>
          <w:p>
            <w:r>
              <w:rPr>
                <w:b/>
                <w:color w:val="503200"/>
                <w:sz w:val="16"/>
              </w:rPr>
              <w:t xml:space="preserve">Volatilité ann. : </w:t>
            </w:r>
            <w:r>
              <w:rPr>
                <w:color w:val="000000"/>
                <w:sz w:val="17"/>
              </w:rPr>
              <w:t>30.5%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22.3/100 → Moyen</w:t>
      </w:r>
    </w:p>
    <w:p>
      <w:pPr>
        <w:spacing w:before="40" w:after="80"/>
      </w:pPr>
      <w:r>
        <w:rPr>
          <w:rFonts w:ascii="Courier New" w:hAnsi="Courier New"/>
          <w:color w:val="825A00"/>
          <w:sz w:val="18"/>
        </w:rPr>
        <w:t>████░░░░░░░░░░░░░░░░  22.3/100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13.67% (Moyenne) — μ=17,714 FCFA, σ=2,422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β=1.2060 (Agressif) — Cov=0.000082, Var(idx)=0.000068, ρ=0.515,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3,394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σ_j=1.92%/j (Stable) — Vol. annualisée≈30.5%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20,480</w:t>
            </w:r>
          </w:p>
        </w:tc>
        <w:tc>
          <w:tcPr>
            <w:tcW w:type="dxa" w:w="1440"/>
            <w:shd w:fill="FAFAFA" w:val="clear"/>
          </w:tcPr>
          <w:p>
            <w:r>
              <w:rPr>
                <w:b/>
                <w:sz w:val="17"/>
              </w:rPr>
              <w:t>21,296</w:t>
            </w:r>
          </w:p>
        </w:tc>
        <w:tc>
          <w:tcPr>
            <w:tcW w:type="dxa" w:w="1440"/>
            <w:shd w:fill="FAFAFA" w:val="clear"/>
          </w:tcPr>
          <w:p>
            <w:r>
              <w:rPr>
                <w:sz w:val="17"/>
              </w:rPr>
              <w:t>22,113</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20,168</w:t>
            </w:r>
          </w:p>
        </w:tc>
        <w:tc>
          <w:tcPr>
            <w:tcW w:type="dxa" w:w="1440"/>
            <w:shd w:fill="FAFAFA" w:val="clear"/>
          </w:tcPr>
          <w:p>
            <w:r>
              <w:rPr>
                <w:b/>
                <w:sz w:val="17"/>
              </w:rPr>
              <w:t>21,323</w:t>
            </w:r>
          </w:p>
        </w:tc>
        <w:tc>
          <w:tcPr>
            <w:tcW w:type="dxa" w:w="1440"/>
            <w:shd w:fill="FAFAFA" w:val="clear"/>
          </w:tcPr>
          <w:p>
            <w:r>
              <w:rPr>
                <w:sz w:val="17"/>
              </w:rPr>
              <w:t>22,479</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19,914</w:t>
            </w:r>
          </w:p>
        </w:tc>
        <w:tc>
          <w:tcPr>
            <w:tcW w:type="dxa" w:w="1440"/>
            <w:shd w:fill="FAFAFA" w:val="clear"/>
          </w:tcPr>
          <w:p>
            <w:r>
              <w:rPr>
                <w:b/>
                <w:sz w:val="17"/>
              </w:rPr>
              <w:t>21,329</w:t>
            </w:r>
          </w:p>
        </w:tc>
        <w:tc>
          <w:tcPr>
            <w:tcW w:type="dxa" w:w="1440"/>
            <w:shd w:fill="FAFAFA" w:val="clear"/>
          </w:tcPr>
          <w:p>
            <w:r>
              <w:rPr>
                <w:sz w:val="17"/>
              </w:rPr>
              <w:t>22,745</w:t>
            </w:r>
          </w:p>
        </w:tc>
        <w:tc>
          <w:tcPr>
            <w:tcW w:type="dxa" w:w="1440"/>
            <w:shd w:fill="FAFAFA" w:val="clear"/>
          </w:tcPr>
          <w:p>
            <w:r>
              <w:rPr>
                <w:b/>
                <w:color w:val="C00000"/>
                <w:sz w:val="17"/>
              </w:rPr>
              <w:t>-0.8%</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19,697</w:t>
            </w:r>
          </w:p>
        </w:tc>
        <w:tc>
          <w:tcPr>
            <w:tcW w:type="dxa" w:w="1440"/>
            <w:shd w:fill="FAFAFA" w:val="clear"/>
          </w:tcPr>
          <w:p>
            <w:r>
              <w:rPr>
                <w:b/>
                <w:sz w:val="17"/>
              </w:rPr>
              <w:t>21,332</w:t>
            </w:r>
          </w:p>
        </w:tc>
        <w:tc>
          <w:tcPr>
            <w:tcW w:type="dxa" w:w="1440"/>
            <w:shd w:fill="FAFAFA" w:val="clear"/>
          </w:tcPr>
          <w:p>
            <w:r>
              <w:rPr>
                <w:sz w:val="17"/>
              </w:rPr>
              <w:t>22,967</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19,507</w:t>
            </w:r>
          </w:p>
        </w:tc>
        <w:tc>
          <w:tcPr>
            <w:tcW w:type="dxa" w:w="1440"/>
            <w:shd w:fill="FAFAFA" w:val="clear"/>
          </w:tcPr>
          <w:p>
            <w:r>
              <w:rPr>
                <w:b/>
                <w:sz w:val="17"/>
              </w:rPr>
              <w:t>21,335</w:t>
            </w:r>
          </w:p>
        </w:tc>
        <w:tc>
          <w:tcPr>
            <w:tcW w:type="dxa" w:w="1440"/>
            <w:shd w:fill="FAFAFA" w:val="clear"/>
          </w:tcPr>
          <w:p>
            <w:r>
              <w:rPr>
                <w:sz w:val="17"/>
              </w:rPr>
              <w:t>23,163</w:t>
            </w:r>
          </w:p>
        </w:tc>
        <w:tc>
          <w:tcPr>
            <w:tcW w:type="dxa" w:w="1440"/>
            <w:shd w:fill="FAFAFA" w:val="clear"/>
          </w:tcPr>
          <w:p>
            <w:r>
              <w:rPr>
                <w:b/>
                <w:color w:val="C00000"/>
                <w:sz w:val="17"/>
              </w:rPr>
              <w:t>-0.8%</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19,335</w:t>
            </w:r>
          </w:p>
        </w:tc>
        <w:tc>
          <w:tcPr>
            <w:tcW w:type="dxa" w:w="1440"/>
            <w:shd w:fill="FAFAFA" w:val="clear"/>
          </w:tcPr>
          <w:p>
            <w:r>
              <w:rPr>
                <w:b/>
                <w:sz w:val="17"/>
              </w:rPr>
              <w:t>21,338</w:t>
            </w:r>
          </w:p>
        </w:tc>
        <w:tc>
          <w:tcPr>
            <w:tcW w:type="dxa" w:w="1440"/>
            <w:shd w:fill="FAFAFA" w:val="clear"/>
          </w:tcPr>
          <w:p>
            <w:r>
              <w:rPr>
                <w:sz w:val="17"/>
              </w:rPr>
              <w:t>23,340</w:t>
            </w:r>
          </w:p>
        </w:tc>
        <w:tc>
          <w:tcPr>
            <w:tcW w:type="dxa" w:w="1440"/>
            <w:shd w:fill="FAFAFA" w:val="clear"/>
          </w:tcPr>
          <w:p>
            <w:r>
              <w:rPr>
                <w:b/>
                <w:color w:val="C00000"/>
                <w:sz w:val="17"/>
              </w:rPr>
              <w:t>-0.8%</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19,177</w:t>
            </w:r>
          </w:p>
        </w:tc>
        <w:tc>
          <w:tcPr>
            <w:tcW w:type="dxa" w:w="1440"/>
            <w:shd w:fill="FAFAFA" w:val="clear"/>
          </w:tcPr>
          <w:p>
            <w:r>
              <w:rPr>
                <w:b/>
                <w:sz w:val="17"/>
              </w:rPr>
              <w:t>21,340</w:t>
            </w:r>
          </w:p>
        </w:tc>
        <w:tc>
          <w:tcPr>
            <w:tcW w:type="dxa" w:w="1440"/>
            <w:shd w:fill="FAFAFA" w:val="clear"/>
          </w:tcPr>
          <w:p>
            <w:r>
              <w:rPr>
                <w:sz w:val="17"/>
              </w:rPr>
              <w:t>23,504</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19,030</w:t>
            </w:r>
          </w:p>
        </w:tc>
        <w:tc>
          <w:tcPr>
            <w:tcW w:type="dxa" w:w="1440"/>
            <w:shd w:fill="FAFAFA" w:val="clear"/>
          </w:tcPr>
          <w:p>
            <w:r>
              <w:rPr>
                <w:b/>
                <w:sz w:val="17"/>
              </w:rPr>
              <w:t>21,343</w:t>
            </w:r>
          </w:p>
        </w:tc>
        <w:tc>
          <w:tcPr>
            <w:tcW w:type="dxa" w:w="1440"/>
            <w:shd w:fill="FAFAFA" w:val="clear"/>
          </w:tcPr>
          <w:p>
            <w:r>
              <w:rPr>
                <w:sz w:val="17"/>
              </w:rPr>
              <w:t>23,656</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18,892</w:t>
            </w:r>
          </w:p>
        </w:tc>
        <w:tc>
          <w:tcPr>
            <w:tcW w:type="dxa" w:w="1440"/>
            <w:shd w:fill="FAFAFA" w:val="clear"/>
          </w:tcPr>
          <w:p>
            <w:r>
              <w:rPr>
                <w:b/>
                <w:sz w:val="17"/>
              </w:rPr>
              <w:t>21,346</w:t>
            </w:r>
          </w:p>
        </w:tc>
        <w:tc>
          <w:tcPr>
            <w:tcW w:type="dxa" w:w="1440"/>
            <w:shd w:fill="FAFAFA" w:val="clear"/>
          </w:tcPr>
          <w:p>
            <w:r>
              <w:rPr>
                <w:sz w:val="17"/>
              </w:rPr>
              <w:t>23,800</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18,761</w:t>
            </w:r>
          </w:p>
        </w:tc>
        <w:tc>
          <w:tcPr>
            <w:tcW w:type="dxa" w:w="1440"/>
            <w:shd w:fill="FAFAFA" w:val="clear"/>
          </w:tcPr>
          <w:p>
            <w:r>
              <w:rPr>
                <w:b/>
                <w:sz w:val="17"/>
              </w:rPr>
              <w:t>21,348</w:t>
            </w:r>
          </w:p>
        </w:tc>
        <w:tc>
          <w:tcPr>
            <w:tcW w:type="dxa" w:w="1440"/>
            <w:shd w:fill="FAFAFA" w:val="clear"/>
          </w:tcPr>
          <w:p>
            <w:r>
              <w:rPr>
                <w:sz w:val="17"/>
              </w:rPr>
              <w:t>23,935</w:t>
            </w:r>
          </w:p>
        </w:tc>
        <w:tc>
          <w:tcPr>
            <w:tcW w:type="dxa" w:w="1440"/>
            <w:shd w:fill="FAFAFA" w:val="clear"/>
          </w:tcPr>
          <w:p>
            <w:r>
              <w:rPr>
                <w:b/>
                <w:color w:val="C00000"/>
                <w:sz w:val="17"/>
              </w:rPr>
              <w:t>-0.7%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ORANGE CÔTE D'IVOIRE (ORAC)**</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3 239,09 milliards FCFA, ORAC s'impose comme l'une des toutes premières capitalisations de la BRVM, représentant à elle seule une part significative de la capitalisation totale du marché régional. Le BPA de 1 114 FCFA/action signifie que chaque titre génère un bénéfice net de plus de mille francs, ce qui confère au titre une assise bénéficiaire solide. Le PER de 19,3x traduit une valorisation modérée mais nettement supérieure à la moyenne du marché BRVM (8-12x), les investisseurs acceptant de payer une prime pour la qualité de la croissance et la régularité des résultats du leader télécom régional. Le P/B de 4,58x, supérieur au seuil de 4x, indique que le marché valorise l'entreprise bien au-dessus de sa valeur comptable, ce qui est cohérent avec la forte rentabilité des fonds propres (ROE de 23,7%) et l'importance des actifs immatériels (marque, licences, réseau) non captés au bilan. Enfin, l'EV/EBITDA de 7,7x, dans la fourchette raisonnable de 5-10x, montre que la valeur d'entreprise reste proportionnée à la capacité opérationnelle de génération de cash-flows, offrant un point d'équilibre rassurant face à la prime de valorisation comptable.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affiche une performance remarquable de +43,33%, avec une dernière séance en hausse de +0,96%, confirmant une dynamique haussière toujours active. Le cours actuel de 21 500 FCFA se situe dans la partie haute du range de trading, le plus haut ayant été atteint à 22 500 FCFA et le plus bas à 14 900 FCFA, soit un écart de 51% entre les deux extrêmes qui témoigne d'un mouvement directionnel puissant. La tendance générale est donc clairement haussière, portée par des publications trimestrielles solides et un intérêt croissant des investisseurs pour la valeur. Les statistiques descriptives révèlent une moyenne de 17 714 FCFA supérieure à la médiane de 16 700 FCFA, signe d'une distribution asymétrique où les récents sommets tirent la moyenne vers le haut ; le mode à 16 000 FCFA rappelle le niveau de consolidation antérieur. L'écart-type de 2 435 FCFA avec un coefficient de variation de 13,7% indique une dispersion modérée du cours autour de sa moyenne, tandis que le kurtosis de -0,921 (mésokurtique) suggère une distribution proche de la normale, sans risque excessif de pics extrêmes. Le skewness de +0,831 (asymétrie positive) indique davantage de journées sous la moyenne, typique d'une progression par paliers avec consolidations. Enfin, la volatilité annualisée de 30,5% place le titre dans la catégorie des valeurs à volatilité élevée (&gt;30%), ce qui est cohérent avec un marché frontière et une action ayant connu une forte appréciation.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21 633,75 FCFA et la MM50 à 19 470,10 FCFA, toutes deux inférieures au cours actuel de 21 500 FCFA pour la MM20 (léger retrait) mais nettement en dessous pour la MM50. La configuration des moyennes mobiles est haussière (MM20 &gt; MM50), et le cours évolue au-dessus de la MM50, ce qui justifie la décision technique d'**Achat** par alignement des tendances de fond.</w:t>
      </w:r>
    </w:p>
    <w:p>
      <w:pPr>
        <w:spacing w:after="120" w:line="276" w:lineRule="auto"/>
      </w:pPr>
      <w:r>
        <w:t>**Bandes de Bollinger** : La borne supérieure se situe à 22 954 FCFA et la borne inférieure à 20 313,50 FCFA, encadrant le cours actuel de 21 500 FCFA qui évolue dans la partie médiane-haute du canal. La largeur des bandes reflète une volatilité significative mais le cours ne touchant aucune borne, la décision est **Neutre**, signalant une absence de tension extrême à court terme.</w:t>
      </w:r>
    </w:p>
    <w:p>
      <w:pPr>
        <w:spacing w:after="120" w:line="276" w:lineRule="auto"/>
      </w:pPr>
      <w:r>
        <w:t>**MACD** : La valeur du MACD (428,30) est inférieure à son signal (672,04), générant une divergence baissière qui traduit un essoufflement du momentum haussier malgré la tendance de fond positive. Cette configuration justifie la décision de **Vente** à court terme, le croisement MACD sous sa ligne de signal étant un avertissement de correction potentielle.</w:t>
      </w:r>
    </w:p>
    <w:p>
      <w:pPr>
        <w:spacing w:after="120" w:line="276" w:lineRule="auto"/>
      </w:pPr>
      <w:r>
        <w:t>**RSI** : À 52,53, le RSI se situe parfaitement dans la zone neutre (30-70), sans signal de surachat ni de survente. Cette position médiane indique un équilibre entre acheteurs et vendeurs, justifiant la décision **Neutre** et suggérant qu'il reste de la marge avant tout excès.</w:t>
      </w:r>
    </w:p>
    <w:p>
      <w:pPr>
        <w:spacing w:after="120" w:line="276" w:lineRule="auto"/>
      </w:pPr>
      <w:r>
        <w:t>**Stochastique** : Le %K (52,38) est légèrement supérieur au %D (48,33), avec un croisement récent à la hausse mais sans franchissement des zones extrêmes (20/80). La décision **Neutre** reflète cette absence de signal fort, le stochastique évoluant en zone médiane sans direction claire.</w:t>
      </w:r>
    </w:p>
    <w:p>
      <w:pPr>
        <w:spacing w:after="120" w:line="276" w:lineRule="auto"/>
      </w:pPr>
      <w:r>
        <w:t>**Conclusion technique** : Les indicateurs présentent une divergence notable : les moyennes mobiles confirment la tendance haussière de fond (Achat), tandis que le MACD signale un essoufflement du momentum (Vente) et que le RSI, les Bandes de Bollinger et le Stochastique restent neutres. Cette configuration suggère une phase de consolidation ou de correction modérée à court terme, sans remise en cause de la tendance haussière de moyen terme. La prudence est de mise à court terme, mais le socle technique reste solide.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(états financiers annuels) révèlent une entreprise de très haute qualité : le chiffre d'affaires s'établit à 1 197,1 milliards FCFA, en croissance de +10,4% sur un an, tandis que le résultat net consolidé atteint 167,8 milliards FCFA (+6,1%) et le résultat net part du groupe 129,1 milliards FCFA (+14,5%). La rentabilité des fonds propres (ROE) ressort à 23,71%, largement supérieure au seuil d'excellence de 15%, et le ROA à 6,57%, confirmant l'efficacité de l'utilisation des actifs. En tant qu'entreprise non bancaire, les indicateurs d'exploitation sont particulièrement instructifs : le BFR est négatif à -198,0 milliards FCFA, ce qui est très favorable car il signifie que les clients et fournisseurs financent une partie du cycle d'exploitation ; le délai fournisseurs de 210,87 jours est élevé (bon pour la trésorerie) tandis que le délai clients de 52,26 jours reste modéré. Le ratio d'endettement de 47,46% et l'autonomie financière de 27,71% (légèrement sous le seuil de 30%) appellent une surveillance, mais la capacité de remboursement de 0,99 an et la couverture des intérêts de 1 018% sont excellentes. La marge nette de 14,02% et la marge opérationnelle de 23,99% témoignent d'une gestion rigoureuse. Les rapports trimestriels récents confirment l'accélération : le T1 2026 (publié le 31/12/2026, analysé le 01/05/2026) affiche un CA de 325,6 milliards FCFA (+14,8%) et un résultat net de 48,3 milliards FCFA (+25,2%), avec une marge nette en amélioration à 14,8%. Sur cette base, on peut estimer que l'exercice 2026 devrait enregistrer une croissance du CA supérieure à 12% et une progression du résultat net de l'ordre de 15-20%, poursuivant l'effet de levier opérationnel positif. Le rapport annuel 2025 (publié le 31/12/2025) confirme un dividende brut de 800 FCFA/action (rendement d'environ 3,7% au cours actuel), prélevé sur le report à nouveau, avec un payout de 93,3% qui traduit une politique de distribution généreuse mais un recentrage vers l'autofinancement des investissements (184,2 milliards FCFA de Capex en 2025). Les risques identifiés incluent la pression fiscale et réglementaire, la concurrence accrue sur le mobile money et l'exposition au Burkina Faso et au Liberia. La recommandation fondamentale est **ACHAT** : la solidité du bilan, la croissance à deux chiffres, la rentabilité élevée et les perspectives du T1 2026 justifient une prime de valorisation, même si le P/B élevé et la pression sur les marges au S1 2025 (résultat net quasi-stagnant à +0,5%) incitent à la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révèle un profil d'investissement contrasté mais globalement favorable. La valorisation (Partie 0) affiche un PER de 19,3x et un P/B de 4,58x qui traduisent une prime certaine par rapport au marché BRVM, mais cette prime est justifiée par un ROE de 23,7% et un EV/EBITDA raisonnable de 7,7x, écartant tout risque de bulle spéculative. Le comportement du cours (Partie 1) est nettement haussier (+43,33% sur 100 jours) avec une volatilité élevée (30,5%) mais une distribution proche de la normale (kurtosis -0,921) et une asymétrie positive (skewness +0,831) qui suggèrent une progression saine par paliers plutôt qu'une flambée irrationnelle. Les signaux techniques (Partie 2) sont mitigés : les moyennes mobiles confirment la tendance haussière de fond, mais le MACD en divergence baissière et les autres indicateurs neutres plaident pour une consolidation à court terme, ce qui est cohérent avec la phase de digestion après la forte hausse. Les fondamentaux (Partie 3) sont excellents : croissance du CA de +10,4% en 2025, résultat net part du groupe en hausse de +14,5%, ROE de 23,7%, BFR négatif, et surtout l'accélération constatée au T1 2026 (+14,8% de CA, +25,2% de résultat net) qui laisse présager une année 2026 très solide. Les prédictions IA (J+1 à J+10) anticipent une légère consolidation autour de 21 300 FCFA, ce qui contredit la dynamique haussière récente mais confirme l'essoufflement technique à court terme sans remettre en cause la tendance de fond. Sur la base de cette convergence entre fondamentaux solides, valorisation justifiée, tendance de fond haussière et consolidation technique attendue, la recommandation finale est **ACHAT**, avec un niveau de confiance **Moyen** (la divergence MACD et la volatilité élevée tempèrent l'optimisme) et un niveau de risque global **Moyen** (marché frontière, exposition géographique, pression réglementaire). L'horizon d'investissement optimal est le **moyen terme (3-12 mois)**, afin de laisser la consolidation technique se résorber et de bénéficier de la poursuite de la croissance bénéficiaire attendue en 2026, avec un potentiel de rendement total (appréciation + dividende) attractif pour un investisseur patient.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25.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208.25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5,252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B40000"/>
                <w:sz w:val="17"/>
              </w:rPr>
              <w:t>-6.69%</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8.58% (Moyenne) — μ=2,889 FCFA, σ=248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β=0.6998 (Défensif) — Cov=0.000048, Var(idx)=0.000068, ρ=0.211,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5,252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2,888</w:t>
            </w:r>
          </w:p>
        </w:tc>
        <w:tc>
          <w:tcPr>
            <w:tcW w:type="dxa" w:w="1440"/>
            <w:shd w:fill="FAFAFA" w:val="clear"/>
          </w:tcPr>
          <w:p>
            <w:r>
              <w:rPr>
                <w:b/>
                <w:sz w:val="17"/>
              </w:rPr>
              <w:t>3,011</w:t>
            </w:r>
          </w:p>
        </w:tc>
        <w:tc>
          <w:tcPr>
            <w:tcW w:type="dxa" w:w="1440"/>
            <w:shd w:fill="FAFAFA" w:val="clear"/>
          </w:tcPr>
          <w:p>
            <w:r>
              <w:rPr>
                <w:sz w:val="17"/>
              </w:rPr>
              <w:t>3,133</w:t>
            </w:r>
          </w:p>
        </w:tc>
        <w:tc>
          <w:tcPr>
            <w:tcW w:type="dxa" w:w="1440"/>
            <w:shd w:fill="FAFAFA" w:val="clear"/>
          </w:tcPr>
          <w:p>
            <w:r>
              <w:rPr>
                <w:b/>
                <w:color w:val="008000"/>
                <w:sz w:val="17"/>
              </w:rPr>
              <w:t>+0.4%</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2,843</w:t>
            </w:r>
          </w:p>
        </w:tc>
        <w:tc>
          <w:tcPr>
            <w:tcW w:type="dxa" w:w="1440"/>
            <w:shd w:fill="FAFAFA" w:val="clear"/>
          </w:tcPr>
          <w:p>
            <w:r>
              <w:rPr>
                <w:b/>
                <w:sz w:val="17"/>
              </w:rPr>
              <w:t>3,017</w:t>
            </w:r>
          </w:p>
        </w:tc>
        <w:tc>
          <w:tcPr>
            <w:tcW w:type="dxa" w:w="1440"/>
            <w:shd w:fill="FAFAFA" w:val="clear"/>
          </w:tcPr>
          <w:p>
            <w:r>
              <w:rPr>
                <w:sz w:val="17"/>
              </w:rPr>
              <w:t>3,190</w:t>
            </w:r>
          </w:p>
        </w:tc>
        <w:tc>
          <w:tcPr>
            <w:tcW w:type="dxa" w:w="1440"/>
            <w:shd w:fill="FAFAFA" w:val="clear"/>
          </w:tcPr>
          <w:p>
            <w:r>
              <w:rPr>
                <w:b/>
                <w:color w:val="008000"/>
                <w:sz w:val="17"/>
              </w:rPr>
              <w:t>+0.6%</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2,808</w:t>
            </w:r>
          </w:p>
        </w:tc>
        <w:tc>
          <w:tcPr>
            <w:tcW w:type="dxa" w:w="1440"/>
            <w:shd w:fill="FAFAFA" w:val="clear"/>
          </w:tcPr>
          <w:p>
            <w:r>
              <w:rPr>
                <w:b/>
                <w:sz w:val="17"/>
              </w:rPr>
              <w:t>3,021</w:t>
            </w:r>
          </w:p>
        </w:tc>
        <w:tc>
          <w:tcPr>
            <w:tcW w:type="dxa" w:w="1440"/>
            <w:shd w:fill="FAFAFA" w:val="clear"/>
          </w:tcPr>
          <w:p>
            <w:r>
              <w:rPr>
                <w:sz w:val="17"/>
              </w:rPr>
              <w:t>3,234</w:t>
            </w:r>
          </w:p>
        </w:tc>
        <w:tc>
          <w:tcPr>
            <w:tcW w:type="dxa" w:w="1440"/>
            <w:shd w:fill="FAFAFA" w:val="clear"/>
          </w:tcPr>
          <w:p>
            <w:r>
              <w:rPr>
                <w:b/>
                <w:color w:val="008000"/>
                <w:sz w:val="17"/>
              </w:rPr>
              <w:t>+0.7%</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2,779</w:t>
            </w:r>
          </w:p>
        </w:tc>
        <w:tc>
          <w:tcPr>
            <w:tcW w:type="dxa" w:w="1440"/>
            <w:shd w:fill="FAFAFA" w:val="clear"/>
          </w:tcPr>
          <w:p>
            <w:r>
              <w:rPr>
                <w:b/>
                <w:sz w:val="17"/>
              </w:rPr>
              <w:t>3,026</w:t>
            </w:r>
          </w:p>
        </w:tc>
        <w:tc>
          <w:tcPr>
            <w:tcW w:type="dxa" w:w="1440"/>
            <w:shd w:fill="FAFAFA" w:val="clear"/>
          </w:tcPr>
          <w:p>
            <w:r>
              <w:rPr>
                <w:sz w:val="17"/>
              </w:rPr>
              <w:t>3,272</w:t>
            </w:r>
          </w:p>
        </w:tc>
        <w:tc>
          <w:tcPr>
            <w:tcW w:type="dxa" w:w="1440"/>
            <w:shd w:fill="FAFAFA" w:val="clear"/>
          </w:tcPr>
          <w:p>
            <w:r>
              <w:rPr>
                <w:b/>
                <w:color w:val="008000"/>
                <w:sz w:val="17"/>
              </w:rPr>
              <w:t>+0.9%</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2,754</w:t>
            </w:r>
          </w:p>
        </w:tc>
        <w:tc>
          <w:tcPr>
            <w:tcW w:type="dxa" w:w="1440"/>
            <w:shd w:fill="FAFAFA" w:val="clear"/>
          </w:tcPr>
          <w:p>
            <w:r>
              <w:rPr>
                <w:b/>
                <w:sz w:val="17"/>
              </w:rPr>
              <w:t>3,030</w:t>
            </w:r>
          </w:p>
        </w:tc>
        <w:tc>
          <w:tcPr>
            <w:tcW w:type="dxa" w:w="1440"/>
            <w:shd w:fill="FAFAFA" w:val="clear"/>
          </w:tcPr>
          <w:p>
            <w:r>
              <w:rPr>
                <w:sz w:val="17"/>
              </w:rPr>
              <w:t>3,306</w:t>
            </w:r>
          </w:p>
        </w:tc>
        <w:tc>
          <w:tcPr>
            <w:tcW w:type="dxa" w:w="1440"/>
            <w:shd w:fill="FAFAFA" w:val="clear"/>
          </w:tcPr>
          <w:p>
            <w:r>
              <w:rPr>
                <w:b/>
                <w:color w:val="008000"/>
                <w:sz w:val="17"/>
              </w:rPr>
              <w:t>+1.0%</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2,732</w:t>
            </w:r>
          </w:p>
        </w:tc>
        <w:tc>
          <w:tcPr>
            <w:tcW w:type="dxa" w:w="1440"/>
            <w:shd w:fill="FAFAFA" w:val="clear"/>
          </w:tcPr>
          <w:p>
            <w:r>
              <w:rPr>
                <w:b/>
                <w:sz w:val="17"/>
              </w:rPr>
              <w:t>3,034</w:t>
            </w:r>
          </w:p>
        </w:tc>
        <w:tc>
          <w:tcPr>
            <w:tcW w:type="dxa" w:w="1440"/>
            <w:shd w:fill="FAFAFA" w:val="clear"/>
          </w:tcPr>
          <w:p>
            <w:r>
              <w:rPr>
                <w:sz w:val="17"/>
              </w:rPr>
              <w:t>3,337</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2,711</w:t>
            </w:r>
          </w:p>
        </w:tc>
        <w:tc>
          <w:tcPr>
            <w:tcW w:type="dxa" w:w="1440"/>
            <w:shd w:fill="FAFAFA" w:val="clear"/>
          </w:tcPr>
          <w:p>
            <w:r>
              <w:rPr>
                <w:b/>
                <w:sz w:val="17"/>
              </w:rPr>
              <w:t>3,039</w:t>
            </w:r>
          </w:p>
        </w:tc>
        <w:tc>
          <w:tcPr>
            <w:tcW w:type="dxa" w:w="1440"/>
            <w:shd w:fill="FAFAFA" w:val="clear"/>
          </w:tcPr>
          <w:p>
            <w:r>
              <w:rPr>
                <w:sz w:val="17"/>
              </w:rPr>
              <w:t>3,366</w:t>
            </w:r>
          </w:p>
        </w:tc>
        <w:tc>
          <w:tcPr>
            <w:tcW w:type="dxa" w:w="1440"/>
            <w:shd w:fill="FAFAFA" w:val="clear"/>
          </w:tcPr>
          <w:p>
            <w:r>
              <w:rPr>
                <w:b/>
                <w:color w:val="008000"/>
                <w:sz w:val="17"/>
              </w:rPr>
              <w:t>+1.3%</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2,692</w:t>
            </w:r>
          </w:p>
        </w:tc>
        <w:tc>
          <w:tcPr>
            <w:tcW w:type="dxa" w:w="1440"/>
            <w:shd w:fill="FAFAFA" w:val="clear"/>
          </w:tcPr>
          <w:p>
            <w:r>
              <w:rPr>
                <w:b/>
                <w:sz w:val="17"/>
              </w:rPr>
              <w:t>3,043</w:t>
            </w:r>
          </w:p>
        </w:tc>
        <w:tc>
          <w:tcPr>
            <w:tcW w:type="dxa" w:w="1440"/>
            <w:shd w:fill="FAFAFA" w:val="clear"/>
          </w:tcPr>
          <w:p>
            <w:r>
              <w:rPr>
                <w:sz w:val="17"/>
              </w:rPr>
              <w:t>3,394</w:t>
            </w:r>
          </w:p>
        </w:tc>
        <w:tc>
          <w:tcPr>
            <w:tcW w:type="dxa" w:w="1440"/>
            <w:shd w:fill="FAFAFA" w:val="clear"/>
          </w:tcPr>
          <w:p>
            <w:r>
              <w:rPr>
                <w:b/>
                <w:color w:val="008000"/>
                <w:sz w:val="17"/>
              </w:rPr>
              <w:t>+1.4%</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2,675</w:t>
            </w:r>
          </w:p>
        </w:tc>
        <w:tc>
          <w:tcPr>
            <w:tcW w:type="dxa" w:w="1440"/>
            <w:shd w:fill="FAFAFA" w:val="clear"/>
          </w:tcPr>
          <w:p>
            <w:r>
              <w:rPr>
                <w:b/>
                <w:sz w:val="17"/>
              </w:rPr>
              <w:t>3,047</w:t>
            </w:r>
          </w:p>
        </w:tc>
        <w:tc>
          <w:tcPr>
            <w:tcW w:type="dxa" w:w="1440"/>
            <w:shd w:fill="FAFAFA" w:val="clear"/>
          </w:tcPr>
          <w:p>
            <w:r>
              <w:rPr>
                <w:sz w:val="17"/>
              </w:rPr>
              <w:t>3,420</w:t>
            </w:r>
          </w:p>
        </w:tc>
        <w:tc>
          <w:tcPr>
            <w:tcW w:type="dxa" w:w="1440"/>
            <w:shd w:fill="FAFAFA" w:val="clear"/>
          </w:tcPr>
          <w:p>
            <w:r>
              <w:rPr>
                <w:b/>
                <w:color w:val="008000"/>
                <w:sz w:val="17"/>
              </w:rPr>
              <w:t>+1.6%</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2,658</w:t>
            </w:r>
          </w:p>
        </w:tc>
        <w:tc>
          <w:tcPr>
            <w:tcW w:type="dxa" w:w="1440"/>
            <w:shd w:fill="FAFAFA" w:val="clear"/>
          </w:tcPr>
          <w:p>
            <w:r>
              <w:rPr>
                <w:b/>
                <w:sz w:val="17"/>
              </w:rPr>
              <w:t>3,052</w:t>
            </w:r>
          </w:p>
        </w:tc>
        <w:tc>
          <w:tcPr>
            <w:tcW w:type="dxa" w:w="1440"/>
            <w:shd w:fill="FAFAFA" w:val="clear"/>
          </w:tcPr>
          <w:p>
            <w:r>
              <w:rPr>
                <w:sz w:val="17"/>
              </w:rPr>
              <w:t>3,445</w:t>
            </w:r>
          </w:p>
        </w:tc>
        <w:tc>
          <w:tcPr>
            <w:tcW w:type="dxa" w:w="1440"/>
            <w:shd w:fill="FAFAFA" w:val="clear"/>
          </w:tcPr>
          <w:p>
            <w:r>
              <w:rPr>
                <w:b/>
                <w:color w:val="008000"/>
                <w:sz w:val="17"/>
              </w:rPr>
              <w:t>+1.7%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 📊 RAPPORT D'ANALYSE FINANCIÈRE — ORAGROUP (ORGT)</w:t>
        <w:br/>
        <w:t>### Bourse Régionale des Valeurs Mobilières (BRVM) — Secteur Bancaire</w:t>
        <w:br/>
        <w:t>**Date d'analyse :** Septembre 2026 | **Cours de référence :** 3 000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208,25 milliards FCFA, ORGT s'impose comme une valeur de premier plan de la cote BRVM, représentant un pilier du compartiment bancaire régional. Le BPA de 312 FCFA/action signifie que chaque titre génère un bénéfice net de 312 FCFA, ce qui, rapporté au cours actuel de 3 000 FCFA, donne un PER de 9,6x — un niveau inférieur à la moyenne BRVM (8-12x) qui suggère une valorisation raisonnable, voire légèrement sous-évaluée au regard du redressement en cours. Le P/B de 1,84x indique que le marché valorise la banque à près du double de sa valeur comptable, ce qui reste dans une fourchette raisonnable (1-2x) pour une institution en phase de normalisation. En revanche, l'EV/EBITDA de 19,7x apparaît très exigeant (&gt;15x), signalant que la valeur d'entreprise intègre déjà une bonne part du redressement opérationnel attendu — un point de vigilance pour les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ORGT affiche une variation totale de **-6,69%**, avec une dernière séance en repli de **-1,64%**, confirmant une pression baissière de court terme. Le titre a évolué dans un range large de 2 435 FCFA (plus bas) à 3 400 FCFA (plus haut), soit une amplitude de près de 40%, traduisant une forte nervosité des investisseurs. La tendance générale est baissière depuis le pic de 3 400 FCFA, le cours actuel (3 000 FCFA) se situant sous sa moyenne (2 889 FCFA) mais au-dessus de sa médiane (2 780 FCFA), ce qui révèle une distribution légèrement asymétrique à droite. L'écart-type de 249 FCFA (CV = 8,6%) indique une dispersion modérée du cours autour de sa moyenne, tandis que le kurtosis de -1,244 (distribution platykurtique) signale une faible concentration des rendements et un risque de pics de volatilité moins prononcé qu'une distribution normale. Le skewness de 0,307 confirme une distribution quasi-symétrique, sans biais marqué vers les extrêmes. Enfin, la volatilité annualisée de **43,3%** positionne ORGT dans la catégorie des titres à volatilité élevée (&gt;30%), ce qui implique un risque de marché significatif et un horizon d'investissement à adapter en conséquence.</w:t>
      </w:r>
    </w:p>
    <w:p>
      <w:pPr>
        <w:spacing w:after="120" w:line="276" w:lineRule="auto"/>
      </w:pPr>
      <w:r>
        <w:t>---</w:t>
      </w:r>
    </w:p>
    <w:p>
      <w:pPr>
        <w:spacing w:after="120" w:line="276" w:lineRule="auto"/>
      </w:pPr>
      <w:r>
        <w:t>## PARTIE 2 : ANALYSE TECHNIQUE DÉTAILLÉE</w:t>
      </w:r>
    </w:p>
    <w:p>
      <w:pPr>
        <w:spacing w:after="120" w:line="276" w:lineRule="auto"/>
      </w:pPr>
      <w:r>
        <w:t>**Moyennes Mobiles :** La MM20 (3 180 FCFA) et la MM50 (3 073,8 FCFA) se situent toutes deux au-dessus du cours actuel (3 000 FCFA), ce qui place le titre en position baissière sous ses moyennes. Toutefois, la MM20 reste supérieure à la MM50, configuration haussière de fond qui justifie la décision « Achat » fournie, mais qui doit être nuancée par la cassure récente du cours sous ces deux supports.</w:t>
      </w:r>
    </w:p>
    <w:p>
      <w:pPr>
        <w:spacing w:after="120" w:line="276" w:lineRule="auto"/>
      </w:pPr>
      <w:r>
        <w:t>**Bandes de Bollinger :** Le cours (3 000 FCFA) évolue dans la moitié inférieure de la bande, entre la borne inférieure (2 858,72 FCFA) et la borne supérieure (3 501,28 FCFA). La largeur de la bande traduit une volatilité encore élevée, et la décision « Neutre » reflète l'absence de signal directionnel clair — le titre n'est ni en survente extrême, ni en surachat.</w:t>
      </w:r>
    </w:p>
    <w:p>
      <w:pPr>
        <w:spacing w:after="120" w:line="276" w:lineRule="auto"/>
      </w:pPr>
      <w:r>
        <w:t>**MACD :** La valeur du MACD (-36,508) est nettement inférieure à son signal (6,687), avec un histogramme négatif, ce qui confirme un momentum baissier persistant et justifie la décision « Vente ». Cette divergence négative est le signal technique le plus préoccupant du tableau actuel.</w:t>
      </w:r>
    </w:p>
    <w:p>
      <w:pPr>
        <w:spacing w:after="120" w:line="276" w:lineRule="auto"/>
      </w:pPr>
      <w:r>
        <w:t>**RSI :** À 32,287, le RSI se situe juste au-dessus du seuil de survente (30), en zone neutre basse. La décision « Neutre » est cohérente : le titre n'est pas encore techniquement survendu, mais la pression vendeuse reste dominante.</w:t>
      </w:r>
    </w:p>
    <w:p>
      <w:pPr>
        <w:spacing w:after="120" w:line="276" w:lineRule="auto"/>
      </w:pPr>
      <w:r>
        <w:t>**Stochastique :** Le %K (40,0) est supérieur au %D (32,061), sans croisement haussier confirmé. La décision « Neutre » traduit une absence de signal fort, le titre évoluant dans une zone médiane sans direction privilégiée.</w:t>
      </w:r>
    </w:p>
    <w:p>
      <w:pPr>
        <w:spacing w:after="120" w:line="276" w:lineRule="auto"/>
      </w:pPr>
      <w:r>
        <w:t>**Conclusion technique :** Les indicateurs sont majoritairement baissiers à neutres : le MACD vend, le cours est sous ses moyennes mobiles, et le RSI flirte avec la survente. Seule la configuration MM20 &gt; MM50 et la position du cours au-dessus de la borne inférieure de Bollinger offrent un léger contrepoids. Le titre se trouve à un point d'inflexion technique : une cassure sous 2 858 FCFA (borne inférieure) accélérerait la baisse, tandis qu'un rebond au-dessus de 3 180 FCFA (MM20) inverserait le signal.</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ORGT affiche un Produit Net Bancaire (PNB) de 186,609 milliards FCFA, en recul de -4,52% sur un an, et un résultat net consolidé de 21,643 milliards FCFA, contre une perte de -44,363 milliards en 2024 — soit un redressement spectaculaire de +149%. Le ROE s'établit à 19,13% (&gt;15% = excellent), le ROA à 0,54%, et la marge nette à 11,60%. Le coefficient d'exploitation de 42,85% (&lt;60%) confirme une banque efficace, tandis que le coût du risque (3,74% des charges financières) traduit un portefeuille assaini. Les dépôts clientèle (3 088,7 milliards FCFA) couvrent largement les créances nettes (1 523,8 milliards FCFA), avec un ratio de transformation de 49,3% — une structure de financement stable. Le ratio d'endettement de 444,9% et l'autonomie financière de 2,82% sont typiques d'une banque (effet de levier élevé), mais la solvabilité générale (102,9%) reste juste au-dessus de l'équilibre.</w:t>
      </w:r>
    </w:p>
    <w:p>
      <w:pPr>
        <w:spacing w:after="120" w:line="276" w:lineRule="auto"/>
      </w:pPr>
      <w:r>
        <w:t>**Estimations basées sur les rapports trimestriels :** Le rapport T1 2026 (publié en 2026) indique un PNB de 50,124 milliards FCFA (-2%) et un résultat net de 6,555 milliards FCFA (+37%), avec une progression des dépôts de +14% à 3 343 milliards FCFA et une baisse des crédits de -12%. Sur cette base, on estime que l'exercice 2026 devrait confirmer la tendance au redressement, avec un résultat net annuel potentiellement supérieur à 25 milliards FCFA si la dynamique se maintient. Le rapport 3T 2025 (30/09/2025) faisait déjà état d'un résultat net de 19,6 milliards FCFA (+248%) et d'une baisse de 74% du coût du risque, confirmant la solidité de la trajectoire. Le rapport annuel 2025 (publié en 2026) souligne un renforcement des capitaux propres à 113,2 milliards FCFA (+17%) et une réduction de 12% des frais généraux.</w:t>
      </w:r>
    </w:p>
    <w:p>
      <w:pPr>
        <w:spacing w:after="120" w:line="276" w:lineRule="auto"/>
      </w:pPr>
      <w:r>
        <w:t>**Recommandation fondamentale :** La solidité financière est réelle (ROE 19,1%, coefficient d'exploitation 42,9%, capitaux propres en hausse), mais la baisse du PNB (-4,5% en 2025, -2% au T1 2026) et l'absence de dividende (confirmée par l'avis de convocation à l'AG du 23 juillet 2026) constituent des points de vigilance. Le redressement est largement porté par la normalisation du coût du risque et la maîtrise des coûts, non par une croissance organique. La recommandation fondamentale est **CONSERVER**, avec un biais positif à moyen terme si la relance commerciale se confirme.</w:t>
      </w:r>
    </w:p>
    <w:p>
      <w:pPr>
        <w:spacing w:after="120" w:line="276" w:lineRule="auto"/>
      </w:pPr>
      <w:r>
        <w:t>---</w:t>
      </w:r>
    </w:p>
    <w:p>
      <w:pPr>
        <w:spacing w:after="120" w:line="276" w:lineRule="auto"/>
      </w:pPr>
      <w:r>
        <w:t>## PARTIE 4 : CONCLUSION D'INVESTISSEMENT</w:t>
      </w:r>
    </w:p>
    <w:p>
      <w:pPr>
        <w:spacing w:after="120" w:line="276" w:lineRule="auto"/>
      </w:pPr>
      <w:r>
        <w:t>La valorisation (Partie 0) offre un signal mitigé : le PER de 9,6x et le P/B de 1,84x suggèrent une sous-évaluation relative, mais l'EV/EBITDA de 19,7x tempère cet optimisme en intégrant déjà une bonne part du redressement. Le comportement du cours (Partie 1) est préoccupant à court terme : tendance baissière (-6,69% sur 100 jours), volatilité élevée (43,3%), et distribution platykurtique (kurtosis -1,244) qui indique un risque de mouvements erratiques. Les signaux techniques (Partie 2) sont majoritairement baissiers : MACD en vente, cours sous les MM20/MM50, RSI proche de la survente — seul le positionnement MM20 &gt; MM50 offre un contrepoids haussier fragile. Les fondamentaux (Partie 3) sont solides mais perfectibles : ROE de 19,1%, coefficient d'exploitation de 42,9%, et retour à la profitabilité en 2025 (21,6 milliards FCFA), avec des estimations T1 2026 favorables (+37% de résultat net). Les prédictions IA (J+1 à J+10) anticipent une légère reprise vers 3 030 FCFA, ce qui contredit le momentum baissier actuel mais reste cohérent avec la zone de support technique.</w:t>
      </w:r>
    </w:p>
    <w:p>
      <w:pPr>
        <w:spacing w:after="120" w:line="276" w:lineRule="auto"/>
      </w:pPr>
      <w:r>
        <w:t>**Recommandation finale : CONSERVER** — Justification : la convergence entre valorisation raisonnable (PER 9,6x), fondamentaux en redressement (ROE 19,1%, résultat net +149% en 2025) et prédictions IA légèrement haussières soutient une position attentiste. Cependant, la divergence entre le momentum technique baissier (MACD vente, cours sous MM) et les fondamentaux positifs invite à la prudence. **Niveau de confiance : Moyen** — les signaux sont contradictoires et le titre évolue dans une zone d'incertitude technique. **Niveau de risque : Élevé** — volatilité annualisée de 43,3%, absence de dividende, et dépendance à la normalisation du coût du risque. **Horizon d'investissement optimal : Moyen terme (3-12 mois)** — le temps que la relance commerciale se matérialise et que les indicateurs techniques se retournent, avec un objectif de cours à 3 200-3 300 FCFA si la MM20 est reconquise.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26.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126.77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3,952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+12.18%</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7,310 FCFA</w:t>
            </w:r>
          </w:p>
          <w:p>
            <w:r>
              <w:rPr>
                <w:b/>
                <w:color w:val="503200"/>
                <w:sz w:val="16"/>
              </w:rPr>
              <w:t xml:space="preserve">Volatilité ann. : </w:t>
            </w:r>
            <w:r>
              <w:rPr>
                <w:color w:val="000000"/>
                <w:sz w:val="17"/>
              </w:rPr>
              <w:t>33.8%</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5.93% (Moyenne) — μ=8,594 FCFA, σ=509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β=0.0546 (Défensif) — Cov=0.000004, Var(idx)=0.000068, ρ=0.021,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3,952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7,900</w:t>
            </w:r>
          </w:p>
        </w:tc>
        <w:tc>
          <w:tcPr>
            <w:tcW w:type="dxa" w:w="1440"/>
            <w:shd w:fill="FAFAFA" w:val="clear"/>
          </w:tcPr>
          <w:p>
            <w:r>
              <w:rPr>
                <w:b/>
                <w:sz w:val="17"/>
              </w:rPr>
              <w:t>8,132</w:t>
            </w:r>
          </w:p>
        </w:tc>
        <w:tc>
          <w:tcPr>
            <w:tcW w:type="dxa" w:w="1440"/>
            <w:shd w:fill="FAFAFA" w:val="clear"/>
          </w:tcPr>
          <w:p>
            <w:r>
              <w:rPr>
                <w:sz w:val="17"/>
              </w:rPr>
              <w:t>8,364</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7,805</w:t>
            </w:r>
          </w:p>
        </w:tc>
        <w:tc>
          <w:tcPr>
            <w:tcW w:type="dxa" w:w="1440"/>
            <w:shd w:fill="FAFAFA" w:val="clear"/>
          </w:tcPr>
          <w:p>
            <w:r>
              <w:rPr>
                <w:b/>
                <w:sz w:val="17"/>
              </w:rPr>
              <w:t>8,133</w:t>
            </w:r>
          </w:p>
        </w:tc>
        <w:tc>
          <w:tcPr>
            <w:tcW w:type="dxa" w:w="1440"/>
            <w:shd w:fill="FAFAFA" w:val="clear"/>
          </w:tcPr>
          <w:p>
            <w:r>
              <w:rPr>
                <w:sz w:val="17"/>
              </w:rPr>
              <w:t>8,462</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7,723</w:t>
            </w:r>
          </w:p>
        </w:tc>
        <w:tc>
          <w:tcPr>
            <w:tcW w:type="dxa" w:w="1440"/>
            <w:shd w:fill="FAFAFA" w:val="clear"/>
          </w:tcPr>
          <w:p>
            <w:r>
              <w:rPr>
                <w:b/>
                <w:sz w:val="17"/>
              </w:rPr>
              <w:t>8,125</w:t>
            </w:r>
          </w:p>
        </w:tc>
        <w:tc>
          <w:tcPr>
            <w:tcW w:type="dxa" w:w="1440"/>
            <w:shd w:fill="FAFAFA" w:val="clear"/>
          </w:tcPr>
          <w:p>
            <w:r>
              <w:rPr>
                <w:sz w:val="17"/>
              </w:rPr>
              <w:t>8,527</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2026-10-02</w:t>
            </w:r>
          </w:p>
        </w:tc>
        <w:tc>
          <w:tcPr>
            <w:tcW w:type="dxa" w:w="1440"/>
            <w:shd w:fill="FAFAFA" w:val="clear"/>
          </w:tcPr>
          <w:p>
            <w:r>
              <w:rPr>
                <w:sz w:val="17"/>
              </w:rPr>
              <w:t>7,653</w:t>
            </w:r>
          </w:p>
        </w:tc>
        <w:tc>
          <w:tcPr>
            <w:tcW w:type="dxa" w:w="1440"/>
            <w:shd w:fill="FAFAFA" w:val="clear"/>
          </w:tcPr>
          <w:p>
            <w:r>
              <w:rPr>
                <w:b/>
                <w:sz w:val="17"/>
              </w:rPr>
              <w:t>8,116</w:t>
            </w:r>
          </w:p>
        </w:tc>
        <w:tc>
          <w:tcPr>
            <w:tcW w:type="dxa" w:w="1440"/>
            <w:shd w:fill="FAFAFA" w:val="clear"/>
          </w:tcPr>
          <w:p>
            <w:r>
              <w:rPr>
                <w:sz w:val="17"/>
              </w:rPr>
              <w:t>8,580</w:t>
            </w:r>
          </w:p>
        </w:tc>
        <w:tc>
          <w:tcPr>
            <w:tcW w:type="dxa" w:w="1440"/>
            <w:shd w:fill="FAFAFA" w:val="clear"/>
          </w:tcPr>
          <w:p>
            <w:r>
              <w:rPr>
                <w:b/>
                <w:color w:val="C00000"/>
                <w:sz w:val="17"/>
              </w:rPr>
              <w:t>-1.0%</w:t>
            </w:r>
          </w:p>
        </w:tc>
      </w:tr>
      <w:tr>
        <w:tc>
          <w:tcPr>
            <w:tcW w:type="dxa" w:w="1440"/>
            <w:shd w:fill="FAFAFA" w:val="clear"/>
          </w:tcPr>
          <w:p>
            <w:r>
              <w:rPr>
                <w:sz w:val="17"/>
              </w:rPr>
              <w:t>J+5  Moyenne</w:t>
            </w:r>
          </w:p>
        </w:tc>
        <w:tc>
          <w:tcPr>
            <w:tcW w:type="dxa" w:w="1440"/>
            <w:shd w:fill="FAFAFA" w:val="clear"/>
          </w:tcPr>
          <w:p>
            <w:r>
              <w:rPr>
                <w:sz w:val="17"/>
              </w:rPr>
              <w:t>2026-10-05</w:t>
            </w:r>
          </w:p>
        </w:tc>
        <w:tc>
          <w:tcPr>
            <w:tcW w:type="dxa" w:w="1440"/>
            <w:shd w:fill="FAFAFA" w:val="clear"/>
          </w:tcPr>
          <w:p>
            <w:r>
              <w:rPr>
                <w:sz w:val="17"/>
              </w:rPr>
              <w:t>7,590</w:t>
            </w:r>
          </w:p>
        </w:tc>
        <w:tc>
          <w:tcPr>
            <w:tcW w:type="dxa" w:w="1440"/>
            <w:shd w:fill="FAFAFA" w:val="clear"/>
          </w:tcPr>
          <w:p>
            <w:r>
              <w:rPr>
                <w:b/>
                <w:sz w:val="17"/>
              </w:rPr>
              <w:t>8,108</w:t>
            </w:r>
          </w:p>
        </w:tc>
        <w:tc>
          <w:tcPr>
            <w:tcW w:type="dxa" w:w="1440"/>
            <w:shd w:fill="FAFAFA" w:val="clear"/>
          </w:tcPr>
          <w:p>
            <w:r>
              <w:rPr>
                <w:sz w:val="17"/>
              </w:rPr>
              <w:t>8,626</w:t>
            </w:r>
          </w:p>
        </w:tc>
        <w:tc>
          <w:tcPr>
            <w:tcW w:type="dxa" w:w="1440"/>
            <w:shd w:fill="FAFAFA" w:val="clear"/>
          </w:tcPr>
          <w:p>
            <w:r>
              <w:rPr>
                <w:b/>
                <w:color w:val="C00000"/>
                <w:sz w:val="17"/>
              </w:rPr>
              <w:t>-1.1%</w:t>
            </w:r>
          </w:p>
        </w:tc>
      </w:tr>
      <w:tr>
        <w:tc>
          <w:tcPr>
            <w:tcW w:type="dxa" w:w="1440"/>
            <w:shd w:fill="FAFAFA" w:val="clear"/>
          </w:tcPr>
          <w:p>
            <w:r>
              <w:rPr>
                <w:sz w:val="17"/>
              </w:rPr>
              <w:t>J+6  Moyenne</w:t>
            </w:r>
          </w:p>
        </w:tc>
        <w:tc>
          <w:tcPr>
            <w:tcW w:type="dxa" w:w="1440"/>
            <w:shd w:fill="FAFAFA" w:val="clear"/>
          </w:tcPr>
          <w:p>
            <w:r>
              <w:rPr>
                <w:sz w:val="17"/>
              </w:rPr>
              <w:t>2026-10-06</w:t>
            </w:r>
          </w:p>
        </w:tc>
        <w:tc>
          <w:tcPr>
            <w:tcW w:type="dxa" w:w="1440"/>
            <w:shd w:fill="FAFAFA" w:val="clear"/>
          </w:tcPr>
          <w:p>
            <w:r>
              <w:rPr>
                <w:sz w:val="17"/>
              </w:rPr>
              <w:t>7,534</w:t>
            </w:r>
          </w:p>
        </w:tc>
        <w:tc>
          <w:tcPr>
            <w:tcW w:type="dxa" w:w="1440"/>
            <w:shd w:fill="FAFAFA" w:val="clear"/>
          </w:tcPr>
          <w:p>
            <w:r>
              <w:rPr>
                <w:b/>
                <w:sz w:val="17"/>
              </w:rPr>
              <w:t>8,100</w:t>
            </w:r>
          </w:p>
        </w:tc>
        <w:tc>
          <w:tcPr>
            <w:tcW w:type="dxa" w:w="1440"/>
            <w:shd w:fill="FAFAFA" w:val="clear"/>
          </w:tcPr>
          <w:p>
            <w:r>
              <w:rPr>
                <w:sz w:val="17"/>
              </w:rPr>
              <w:t>8,667</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2026-10-07</w:t>
            </w:r>
          </w:p>
        </w:tc>
        <w:tc>
          <w:tcPr>
            <w:tcW w:type="dxa" w:w="1440"/>
            <w:shd w:fill="FAFAFA" w:val="clear"/>
          </w:tcPr>
          <w:p>
            <w:r>
              <w:rPr>
                <w:sz w:val="17"/>
              </w:rPr>
              <w:t>7,481</w:t>
            </w:r>
          </w:p>
        </w:tc>
        <w:tc>
          <w:tcPr>
            <w:tcW w:type="dxa" w:w="1440"/>
            <w:shd w:fill="FAFAFA" w:val="clear"/>
          </w:tcPr>
          <w:p>
            <w:r>
              <w:rPr>
                <w:b/>
                <w:sz w:val="17"/>
              </w:rPr>
              <w:t>8,093</w:t>
            </w:r>
          </w:p>
        </w:tc>
        <w:tc>
          <w:tcPr>
            <w:tcW w:type="dxa" w:w="1440"/>
            <w:shd w:fill="FAFAFA" w:val="clear"/>
          </w:tcPr>
          <w:p>
            <w:r>
              <w:rPr>
                <w:sz w:val="17"/>
              </w:rPr>
              <w:t>8,704</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2026-10-08</w:t>
            </w:r>
          </w:p>
        </w:tc>
        <w:tc>
          <w:tcPr>
            <w:tcW w:type="dxa" w:w="1440"/>
            <w:shd w:fill="FAFAFA" w:val="clear"/>
          </w:tcPr>
          <w:p>
            <w:r>
              <w:rPr>
                <w:sz w:val="17"/>
              </w:rPr>
              <w:t>7,432</w:t>
            </w:r>
          </w:p>
        </w:tc>
        <w:tc>
          <w:tcPr>
            <w:tcW w:type="dxa" w:w="1440"/>
            <w:shd w:fill="FAFAFA" w:val="clear"/>
          </w:tcPr>
          <w:p>
            <w:r>
              <w:rPr>
                <w:b/>
                <w:sz w:val="17"/>
              </w:rPr>
              <w:t>8,085</w:t>
            </w:r>
          </w:p>
        </w:tc>
        <w:tc>
          <w:tcPr>
            <w:tcW w:type="dxa" w:w="1440"/>
            <w:shd w:fill="FAFAFA" w:val="clear"/>
          </w:tcPr>
          <w:p>
            <w:r>
              <w:rPr>
                <w:sz w:val="17"/>
              </w:rPr>
              <w:t>8,738</w:t>
            </w:r>
          </w:p>
        </w:tc>
        <w:tc>
          <w:tcPr>
            <w:tcW w:type="dxa" w:w="1440"/>
            <w:shd w:fill="FAFAFA" w:val="clear"/>
          </w:tcPr>
          <w:p>
            <w:r>
              <w:rPr>
                <w:b/>
                <w:color w:val="C00000"/>
                <w:sz w:val="17"/>
              </w:rPr>
              <w:t>-1.4%</w:t>
            </w:r>
          </w:p>
        </w:tc>
      </w:tr>
      <w:tr>
        <w:tc>
          <w:tcPr>
            <w:tcW w:type="dxa" w:w="1440"/>
            <w:shd w:fill="FAFAFA" w:val="clear"/>
          </w:tcPr>
          <w:p>
            <w:r>
              <w:rPr>
                <w:sz w:val="17"/>
              </w:rPr>
              <w:t>J+9  Moyenne</w:t>
            </w:r>
          </w:p>
        </w:tc>
        <w:tc>
          <w:tcPr>
            <w:tcW w:type="dxa" w:w="1440"/>
            <w:shd w:fill="FAFAFA" w:val="clear"/>
          </w:tcPr>
          <w:p>
            <w:r>
              <w:rPr>
                <w:sz w:val="17"/>
              </w:rPr>
              <w:t>2026-10-09</w:t>
            </w:r>
          </w:p>
        </w:tc>
        <w:tc>
          <w:tcPr>
            <w:tcW w:type="dxa" w:w="1440"/>
            <w:shd w:fill="FAFAFA" w:val="clear"/>
          </w:tcPr>
          <w:p>
            <w:r>
              <w:rPr>
                <w:sz w:val="17"/>
              </w:rPr>
              <w:t>7,386</w:t>
            </w:r>
          </w:p>
        </w:tc>
        <w:tc>
          <w:tcPr>
            <w:tcW w:type="dxa" w:w="1440"/>
            <w:shd w:fill="FAFAFA" w:val="clear"/>
          </w:tcPr>
          <w:p>
            <w:r>
              <w:rPr>
                <w:b/>
                <w:sz w:val="17"/>
              </w:rPr>
              <w:t>8,078</w:t>
            </w:r>
          </w:p>
        </w:tc>
        <w:tc>
          <w:tcPr>
            <w:tcW w:type="dxa" w:w="1440"/>
            <w:shd w:fill="FAFAFA" w:val="clear"/>
          </w:tcPr>
          <w:p>
            <w:r>
              <w:rPr>
                <w:sz w:val="17"/>
              </w:rPr>
              <w:t>8,770</w:t>
            </w:r>
          </w:p>
        </w:tc>
        <w:tc>
          <w:tcPr>
            <w:tcW w:type="dxa" w:w="1440"/>
            <w:shd w:fill="FAFAFA" w:val="clear"/>
          </w:tcPr>
          <w:p>
            <w:r>
              <w:rPr>
                <w:b/>
                <w:color w:val="C00000"/>
                <w:sz w:val="17"/>
              </w:rPr>
              <w:t>-1.5%</w:t>
            </w:r>
          </w:p>
        </w:tc>
      </w:tr>
      <w:tr>
        <w:tc>
          <w:tcPr>
            <w:tcW w:type="dxa" w:w="1440"/>
            <w:shd w:fill="FAFAFA" w:val="clear"/>
          </w:tcPr>
          <w:p>
            <w:r>
              <w:rPr>
                <w:sz w:val="17"/>
              </w:rPr>
              <w:t>J+10  Moyenne</w:t>
            </w:r>
          </w:p>
        </w:tc>
        <w:tc>
          <w:tcPr>
            <w:tcW w:type="dxa" w:w="1440"/>
            <w:shd w:fill="FAFAFA" w:val="clear"/>
          </w:tcPr>
          <w:p>
            <w:r>
              <w:rPr>
                <w:sz w:val="17"/>
              </w:rPr>
              <w:t>2026-10-12</w:t>
            </w:r>
          </w:p>
        </w:tc>
        <w:tc>
          <w:tcPr>
            <w:tcW w:type="dxa" w:w="1440"/>
            <w:shd w:fill="FAFAFA" w:val="clear"/>
          </w:tcPr>
          <w:p>
            <w:r>
              <w:rPr>
                <w:sz w:val="17"/>
              </w:rPr>
              <w:t>7,342</w:t>
            </w:r>
          </w:p>
        </w:tc>
        <w:tc>
          <w:tcPr>
            <w:tcW w:type="dxa" w:w="1440"/>
            <w:shd w:fill="FAFAFA" w:val="clear"/>
          </w:tcPr>
          <w:p>
            <w:r>
              <w:rPr>
                <w:b/>
                <w:sz w:val="17"/>
              </w:rPr>
              <w:t>8,071</w:t>
            </w:r>
          </w:p>
        </w:tc>
        <w:tc>
          <w:tcPr>
            <w:tcW w:type="dxa" w:w="1440"/>
            <w:shd w:fill="FAFAFA" w:val="clear"/>
          </w:tcPr>
          <w:p>
            <w:r>
              <w:rPr>
                <w:sz w:val="17"/>
              </w:rPr>
              <w:t>8,800</w:t>
            </w:r>
          </w:p>
        </w:tc>
        <w:tc>
          <w:tcPr>
            <w:tcW w:type="dxa" w:w="1440"/>
            <w:shd w:fill="FAFAFA" w:val="clear"/>
          </w:tcPr>
          <w:p>
            <w:r>
              <w:rPr>
                <w:b/>
                <w:color w:val="C00000"/>
                <w:sz w:val="17"/>
              </w:rPr>
              <w:t>-1.6%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*Bourse Régionale des Valeurs Mobilières (BRVM) — Secteur Agro-industriel*</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126,77 milliards FCFA, PALC se positionne parmi les valeurs moyennes-capitalisations de la cote BRVM, ce qui lui confère une liquidité correcte mais inférieure aux blue chips bancaires ou télécoms de la place. Le BPA de 1 003 FCFA/action signifie que chaque titre PALC génère environ 1 003 FCFA de bénéfice net annuel, ce qui, rapporté au cours actuel de 8 200 FCFA, donne un PER de 8,2x — un niveau modéré, inférieur à la moyenne BRVM (8-12x), suggérant que le marché n'intègre pas pleinement la capacité bénéficiaire de la société. Le P/B de 0,89x est particulièrement intéressant : le marché valorise PALC en dessous de sa valeur comptable (capitaux propres de 142,6 Mds FCFA pour une capitalisation de 126,8 Mds), ce qui constitue historiquement un signal d'opportunité potentielle, bien qu'il faille vérifier la qualité des actifs. Enfin, l'EV/EBITDA de 4,0x (très inférieur au seuil de 5x) indique que la valeur d'entreprise est faiblement valorisée par rapport à sa capacité opérationnelle de génération de cash-flow, renforçant la thèse d'une sous-évaluation relative — sous réserve que les perspectives bénéficiaires ne se dégradent pas davantage.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PALC affiche une variation totale positive de +12,18%, avec une dernière séance en hausse de +1,23% à 8 200 FCFA, traduisant un rebond récent après une phase de correction. Le range de trading est large, entre un plus bas de 7 310 FCFA et un plus haut de 9 640 FCFA, soit une amplitude de 2 330 FCFA (environ 32% du cours bas), ce qui témoigne d'une forte volatilité intra-période. La tendance générale apparaît baissière sur la seconde moitié de la période (le cours actuel de 8 200 FCFA étant inférieur à la moyenne de 8 594 FCFA et à la médiane de 8 690 FCFA), malgré le rebond des derniers jours. Les statistiques descriptives révèlent une distribution quasi-symétrique : la moyenne (8 594 FCFA) et la médiane (8 690 FCFA) sont proches, et le skewness de -0,308 (légèrement négatif) indique une asymétrie mineure vers la gauche, sans excès marqué. L'écart-type de 512 FCFA avec un coefficient de variation de 6,0% traduit une dispersion modérée du cours autour de sa moyenne, tandis que le kurtosis de -0,421 (mésokurtique) suggère une distribution proche de la normale, donc un risque de pics extrêmes limité. La volatilité annualisée de 33,8% classe PALC dans la catégorie des titres à volatilité élevée (&gt;30%), ce qui implique un risque de marché significatif et justifie une approche prudente en termes de sizing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(8 525 FCFA) et la MM50 (8 849,6 FCFA) se situent toutes deux au-dessus du cours actuel (8 200 FCFA), avec la MM20 sous la MM50 — configuration baissière classique (death cross). Le cours évoluant sous ses deux moyennes, la pression vendeuse domine, ce qui justifie la décision technique de **Vente**.</w:t>
      </w:r>
    </w:p>
    <w:p>
      <w:pPr>
        <w:spacing w:after="120" w:line="276" w:lineRule="auto"/>
      </w:pPr>
      <w:r>
        <w:t>**Bandes de Bollinger** : Le cours (8 200 FCFA) se situe dans la partie basse du canal, entre la borne inférieure (7 800,4 FCFA) et la borne supérieure (9 249,6 FCFA), sans toucher les extrêmes. Cette position médiane-basse, combinée à un rétrécissement probable de la bande, indique une absence de signal directionnel fort — d'où la décision **Neutre**.</w:t>
      </w:r>
    </w:p>
    <w:p>
      <w:pPr>
        <w:spacing w:after="120" w:line="276" w:lineRule="auto"/>
      </w:pPr>
      <w:r>
        <w:t>**MACD** : La ligne MACD (-236,27) est inférieure à sa ligne de signal (-198,62), confirmant un momentum baissier persistant. L'écart négatif entre les deux lignes (-37,65) traduit une dynamique vendeuse encore active, bien que l'ampleur reste modérée — décision **Vente**.</w:t>
      </w:r>
    </w:p>
    <w:p>
      <w:pPr>
        <w:spacing w:after="120" w:line="276" w:lineRule="auto"/>
      </w:pPr>
      <w:r>
        <w:t>**RSI** : À 37,4, le RSI se situe dans la zone neutre basse (30-70), sans atteindre le seuil de survente (30). Cela suggère que le titre n'est pas encore techniquement « soldé » et qu'un potentiel de baisse résiduel subsiste, mais sans urgence — décision **Neutre**.</w:t>
      </w:r>
    </w:p>
    <w:p>
      <w:pPr>
        <w:spacing w:after="120" w:line="276" w:lineRule="auto"/>
      </w:pPr>
      <w:r>
        <w:t>**Stochastique** : Le %K (26,6) est supérieur au %D (11,6), avec un croisement récent à la hausse en zone basse — signal potentiel de retournement haussier de court terme. Toutefois, les deux lignes restant sous 30 (zone de survente), la prudence reste de mise — décision **Neutre**.</w:t>
      </w:r>
    </w:p>
    <w:p>
      <w:pPr>
        <w:spacing w:after="120" w:line="276" w:lineRule="auto"/>
      </w:pPr>
      <w:r>
        <w:t>**Conclusion technique** : Les indicateurs convergent majoritairement vers un biais baissier (MM, MACD), tempéré par des signaux neutres (Bollinger, RSI, Stochastique) qui suggèrent une possible stabilisation. Le croisement haussier du stochastique en zone basse constitue le seul signal positif, mais il demeure fragile tant que le cours ne repasse pas au-dessus de la MM20 (8 525 FCFA). La configuration actuelle plaide pour une **attente de confirmation** avant tout engagement directionnel.</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PALC a réalisé un chiffre d'affaires de 197,63 milliards FCFA, en croissance de +14,78% par rapport à 2024 (172,2 Mds FCFA), portée par la hausse des volumes et des prix de l'huile de palme. Le résultat net s'établit à 15,51 milliards FCFA, en léger recul de -2,2% vs 2024 (15,9 Mds), avec une marge nette de 7,85% (contre 9,2% en 2024) — une compression notable. Le ROE ressort à 10,87% (en baisse vs 11,7% en 2024) et le ROA à 7,79%, des niveaux corrects mais inférieurs aux standards d'excellence (&gt;15% pour le ROE). La structure financière reste très solide : autonomie financière de 71,64%, ratio d'endettement de 0,56%, et couverture des intérêts de 1 415% — la dette financière n'est que de 796,6 millions FCFA, quasi nulle. Le point de vigilance majeur réside dans le **délai clients de 142,58 jours**, anormalement élevé pour une entreprise agro-industrielle, ce qui pèse sur le BFR (44,62 Mds FCFA) et explique la trésorerie nette négative (-4,56 Mds FCFA). Le flux opérationnel reste robuste (38,74 Mds FCFA) et le Free Cash Flow positif (19,05 Mds FCFA), mais les investissements lourds (-19,69 Mds FCFA) et les dividendes absorbent l'essentiel de la génération de cash.</w:t>
      </w:r>
    </w:p>
    <w:p>
      <w:pPr>
        <w:spacing w:after="120" w:line="276" w:lineRule="auto"/>
      </w:pPr>
      <w:r>
        <w:t>**Estimations basées sur les rapports trimestriels** : Le rapport T1 2026 (publié en 2026) révèle une **contre-performance sévère** : CA en baisse de -27% à 49,4 Mds FCFA et résultat net effondré de -86% à 1,6 Md FCFA (marge nette de 3,2%). La direction évoque un « décalage temporel des ventes » et anticipe un redressement avec l'écoulement des stocks à l'export. À l'inverse, le rapport T3 2025 (cumul 9 mois, publié en 2025) affichait un CA de 168,9 Mds FCFA (+18%) et un résultat net de 18,0 Mds (+11%), avec une marge nette de 10,7% — confirmant que la dégradation est récente et concentrée sur le T1 2026. Le rapport annuel 2024 (publié en 2024) mentionnait un dividende de 513 FCFA/action (rendement ~10,3% au cours de 5 000 FCFA de l'époque), mais le dividende 2025 a été réduit à 502 FCFA (-19%), signalant une politique de prudence. **On estime** que si le décalage des ventes se résorbe au T2/T3 2026, l'exercice 2026 pourrait se situer entre 12 et 15 Mds FCFA de résultat net (scénario central), mais le risque baissier est réel si la faiblesse des volumes persiste.</w:t>
      </w:r>
    </w:p>
    <w:p>
      <w:pPr>
        <w:spacing w:after="120" w:line="276" w:lineRule="auto"/>
      </w:pPr>
      <w:r>
        <w:t>**Recommandation fondamentale** : PALC reste un acteur solide (structure financière saine, faible endettement, position dominante sur l'huile de palme en Côte d'Ivoire), mais la détérioration récente de la rentabilité (marge nette passée de 17% au S1 2025 à 3,2% au T1 2026) et le délai clients élevé constituent des signaux d'alerte. La valorisation apparaît attractive (PER 8,2x, P/B 0,89x, EV/EBITDA 4,0x), mais elle pourrait être un « value trap » si les bénéfices continuent de chuter. La recommandation fondamentale est **CONSERVER avec surveillance active**, en attendant la confirmation d'un redressement au T2 2026.</w:t>
      </w:r>
    </w:p>
    <w:p>
      <w:pPr>
        <w:spacing w:after="120" w:line="276" w:lineRule="auto"/>
      </w:pPr>
      <w:r>
        <w:t>---</w:t>
      </w:r>
    </w:p>
    <w:p>
      <w:pPr>
        <w:spacing w:after="120" w:line="276" w:lineRule="auto"/>
      </w:pPr>
      <w:r>
        <w:t>## PARTIE 4 : CONCLUSION D'INVESTISSEMENT</w:t>
      </w:r>
    </w:p>
    <w:p>
      <w:pPr>
        <w:spacing w:after="120" w:line="276" w:lineRule="auto"/>
      </w:pPr>
      <w:r>
        <w:t>La synthèse des quatre parties révèle un **déséquilibre entre valorisation attractive et détérioration fondamentale récente**. Sur le plan de la **valorisation (Partie 0)**, les ratios PER (8,2x), P/B (0,89x) et EV/EBITDA (4,0x) plaident clairement pour une sous-évaluation relative, offrant une marge de sécurité théorique. Cependant, le **comportement du cours (Partie 1)** est préoccupant : malgré un rebond de +12,18% sur 100 jours, la tendance de fond reste baissière (cours sous la moyenne et la médiane), avec une volatilité élevée (33,8%) et une distribution symétrique sans signal de retournement fort. Les **signaux techniques (Partie 2)** sont majoritairement baissiers (MM en death cross, MACD négatif), tempérés par un stochastique en zone de survente — configuration de « rebond technique possible mais fragile ». Les **fondamentaux (Partie 3)** sont ambivalents : solidité du bilan et croissance du CA 2025 (+14,8%), mais effondrement du résultat net au T1 2026 (-86%) et compression des marges, avec un délai clients de 142,6 jours qui pèse sur la trésorerie. Les **prédictions IA (J+1 à J+10)** anticipent une légère érosion du cours (8 132 → 8 108 FCFA), confirmant l'absence de catalyseur haussier immédiat.</w:t>
      </w:r>
    </w:p>
    <w:p>
      <w:pPr>
        <w:spacing w:after="120" w:line="276" w:lineRule="auto"/>
      </w:pPr>
      <w:r>
        <w:t>**Recommandation finale : CONSERVER** — avec un biais prudent. La convergence entre valorisation attractive et fondamentaux dégradés crée une situation d'incertitude : le titre est statistiquement bon marché, mais le risque de révision baissière des bénéfices 2026 est réel. Le niveau de confiance est **Moyen** (les données T1 2026 sont alarmantes mais potentiellement transitoires), et le niveau de risque global est **Élevé** (volatilité 33,8%, dépendance aux cours de l'huile de palme, incertitude sur le redressement des ventes). L'horizon d'investissement optimal est le **moyen terme (3-12 mois)**, en attendant la publication du T2 2026 qui confirmera ou infirmera la thèse du « décalage temporel » avancée par la direction. Un investisseur contrariant pourrait initier une position progressive sur faiblesse (vers 7 800-8 000 FCFA), avec un stop-loss sous 7 300 FCFA, mais la prudence commande d'attendre un signal technique de retournement (cours &gt; MM20 à 8 525 FCFA) avant tout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27.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42.50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1,160 titres</w:t>
            </w:r>
          </w:p>
        </w:tc>
        <w:tc>
          <w:tcPr>
            <w:tcW w:type="dxa" w:w="2268"/>
            <w:shd w:fill="FFF2CC" w:val="clear"/>
          </w:tcPr>
          <w:p>
            <w:r>
              <w:rPr>
                <w:b/>
                <w:color w:val="503200"/>
                <w:sz w:val="16"/>
              </w:rPr>
              <w:t xml:space="preserve">Cours actuel : </w:t>
            </w:r>
            <w:r>
              <w:rPr>
                <w:color w:val="000000"/>
                <w:sz w:val="17"/>
              </w:rPr>
              <w:t>4,150 FCFA</w:t>
            </w:r>
          </w:p>
          <w:p>
            <w:r>
              <w:rPr>
                <w:b/>
                <w:color w:val="503200"/>
                <w:sz w:val="16"/>
              </w:rPr>
              <w:t xml:space="preserve">Var. 100 jours : </w:t>
            </w:r>
            <w:r>
              <w:rPr>
                <w:b/>
                <w:color w:val="007800"/>
                <w:sz w:val="17"/>
              </w:rPr>
              <w:t>+5.33%</w:t>
            </w:r>
          </w:p>
          <w:p>
            <w:r>
              <w:rPr>
                <w:b/>
                <w:color w:val="503200"/>
                <w:sz w:val="16"/>
              </w:rPr>
              <w:t xml:space="preserve">Plus haut 100j : </w:t>
            </w:r>
            <w:r>
              <w:rPr>
                <w:color w:val="000000"/>
                <w:sz w:val="17"/>
              </w:rPr>
              <w:t>4,740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6.23% (Moyenne) — μ=4,340 FCFA, σ=270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β=-0.2971 (Contre-cyclique) — Cov=-0.000020, Var(idx)=0.000068, ρ=-0.109,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4,044</w:t>
            </w:r>
          </w:p>
        </w:tc>
        <w:tc>
          <w:tcPr>
            <w:tcW w:type="dxa" w:w="1440"/>
            <w:shd w:fill="FAFAFA" w:val="clear"/>
          </w:tcPr>
          <w:p>
            <w:r>
              <w:rPr>
                <w:b/>
                <w:sz w:val="17"/>
              </w:rPr>
              <w:t>4,150</w:t>
            </w:r>
          </w:p>
        </w:tc>
        <w:tc>
          <w:tcPr>
            <w:tcW w:type="dxa" w:w="1440"/>
            <w:shd w:fill="FAFAFA" w:val="clear"/>
          </w:tcPr>
          <w:p>
            <w:r>
              <w:rPr>
                <w:sz w:val="17"/>
              </w:rPr>
              <w:t>4,256</w:t>
            </w:r>
          </w:p>
        </w:tc>
        <w:tc>
          <w:tcPr>
            <w:tcW w:type="dxa" w:w="1440"/>
            <w:shd w:fill="FAFAFA" w:val="clear"/>
          </w:tcPr>
          <w:p>
            <w:r>
              <w:rPr>
                <w:b/>
                <w:color w:val="C00000"/>
                <w:sz w:val="17"/>
              </w:rPr>
              <w:t>-0.0%</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3,995</w:t>
            </w:r>
          </w:p>
        </w:tc>
        <w:tc>
          <w:tcPr>
            <w:tcW w:type="dxa" w:w="1440"/>
            <w:shd w:fill="FAFAFA" w:val="clear"/>
          </w:tcPr>
          <w:p>
            <w:r>
              <w:rPr>
                <w:b/>
                <w:sz w:val="17"/>
              </w:rPr>
              <w:t>4,145</w:t>
            </w:r>
          </w:p>
        </w:tc>
        <w:tc>
          <w:tcPr>
            <w:tcW w:type="dxa" w:w="1440"/>
            <w:shd w:fill="FAFAFA" w:val="clear"/>
          </w:tcPr>
          <w:p>
            <w:r>
              <w:rPr>
                <w:sz w:val="17"/>
              </w:rPr>
              <w:t>4,295</w:t>
            </w:r>
          </w:p>
        </w:tc>
        <w:tc>
          <w:tcPr>
            <w:tcW w:type="dxa" w:w="1440"/>
            <w:shd w:fill="FAFAFA" w:val="clear"/>
          </w:tcPr>
          <w:p>
            <w:r>
              <w:rPr>
                <w:b/>
                <w:color w:val="C00000"/>
                <w:sz w:val="17"/>
              </w:rPr>
              <w:t>-0.1%</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3,956</w:t>
            </w:r>
          </w:p>
        </w:tc>
        <w:tc>
          <w:tcPr>
            <w:tcW w:type="dxa" w:w="1440"/>
            <w:shd w:fill="FAFAFA" w:val="clear"/>
          </w:tcPr>
          <w:p>
            <w:r>
              <w:rPr>
                <w:b/>
                <w:sz w:val="17"/>
              </w:rPr>
              <w:t>4,139</w:t>
            </w:r>
          </w:p>
        </w:tc>
        <w:tc>
          <w:tcPr>
            <w:tcW w:type="dxa" w:w="1440"/>
            <w:shd w:fill="FAFAFA" w:val="clear"/>
          </w:tcPr>
          <w:p>
            <w:r>
              <w:rPr>
                <w:sz w:val="17"/>
              </w:rPr>
              <w:t>4,322</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2026-10-02</w:t>
            </w:r>
          </w:p>
        </w:tc>
        <w:tc>
          <w:tcPr>
            <w:tcW w:type="dxa" w:w="1440"/>
            <w:shd w:fill="FAFAFA" w:val="clear"/>
          </w:tcPr>
          <w:p>
            <w:r>
              <w:rPr>
                <w:sz w:val="17"/>
              </w:rPr>
              <w:t>3,922</w:t>
            </w:r>
          </w:p>
        </w:tc>
        <w:tc>
          <w:tcPr>
            <w:tcW w:type="dxa" w:w="1440"/>
            <w:shd w:fill="FAFAFA" w:val="clear"/>
          </w:tcPr>
          <w:p>
            <w:r>
              <w:rPr>
                <w:b/>
                <w:sz w:val="17"/>
              </w:rPr>
              <w:t>4,133</w:t>
            </w:r>
          </w:p>
        </w:tc>
        <w:tc>
          <w:tcPr>
            <w:tcW w:type="dxa" w:w="1440"/>
            <w:shd w:fill="FAFAFA" w:val="clear"/>
          </w:tcPr>
          <w:p>
            <w:r>
              <w:rPr>
                <w:sz w:val="17"/>
              </w:rPr>
              <w:t>4,344</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2026-10-05</w:t>
            </w:r>
          </w:p>
        </w:tc>
        <w:tc>
          <w:tcPr>
            <w:tcW w:type="dxa" w:w="1440"/>
            <w:shd w:fill="FAFAFA" w:val="clear"/>
          </w:tcPr>
          <w:p>
            <w:r>
              <w:rPr>
                <w:sz w:val="17"/>
              </w:rPr>
              <w:t>3,892</w:t>
            </w:r>
          </w:p>
        </w:tc>
        <w:tc>
          <w:tcPr>
            <w:tcW w:type="dxa" w:w="1440"/>
            <w:shd w:fill="FAFAFA" w:val="clear"/>
          </w:tcPr>
          <w:p>
            <w:r>
              <w:rPr>
                <w:b/>
                <w:sz w:val="17"/>
              </w:rPr>
              <w:t>4,128</w:t>
            </w:r>
          </w:p>
        </w:tc>
        <w:tc>
          <w:tcPr>
            <w:tcW w:type="dxa" w:w="1440"/>
            <w:shd w:fill="FAFAFA" w:val="clear"/>
          </w:tcPr>
          <w:p>
            <w:r>
              <w:rPr>
                <w:sz w:val="17"/>
              </w:rPr>
              <w:t>4,364</w:t>
            </w:r>
          </w:p>
        </w:tc>
        <w:tc>
          <w:tcPr>
            <w:tcW w:type="dxa" w:w="1440"/>
            <w:shd w:fill="FAFAFA" w:val="clear"/>
          </w:tcPr>
          <w:p>
            <w:r>
              <w:rPr>
                <w:b/>
                <w:color w:val="C00000"/>
                <w:sz w:val="17"/>
              </w:rPr>
              <w:t>-0.5%</w:t>
            </w:r>
          </w:p>
        </w:tc>
      </w:tr>
      <w:tr>
        <w:tc>
          <w:tcPr>
            <w:tcW w:type="dxa" w:w="1440"/>
            <w:shd w:fill="FAFAFA" w:val="clear"/>
          </w:tcPr>
          <w:p>
            <w:r>
              <w:rPr>
                <w:sz w:val="17"/>
              </w:rPr>
              <w:t>J+6  Moyenne</w:t>
            </w:r>
          </w:p>
        </w:tc>
        <w:tc>
          <w:tcPr>
            <w:tcW w:type="dxa" w:w="1440"/>
            <w:shd w:fill="FAFAFA" w:val="clear"/>
          </w:tcPr>
          <w:p>
            <w:r>
              <w:rPr>
                <w:sz w:val="17"/>
              </w:rPr>
              <w:t>2026-10-06</w:t>
            </w:r>
          </w:p>
        </w:tc>
        <w:tc>
          <w:tcPr>
            <w:tcW w:type="dxa" w:w="1440"/>
            <w:shd w:fill="FAFAFA" w:val="clear"/>
          </w:tcPr>
          <w:p>
            <w:r>
              <w:rPr>
                <w:sz w:val="17"/>
              </w:rPr>
              <w:t>3,865</w:t>
            </w:r>
          </w:p>
        </w:tc>
        <w:tc>
          <w:tcPr>
            <w:tcW w:type="dxa" w:w="1440"/>
            <w:shd w:fill="FAFAFA" w:val="clear"/>
          </w:tcPr>
          <w:p>
            <w:r>
              <w:rPr>
                <w:b/>
                <w:sz w:val="17"/>
              </w:rPr>
              <w:t>4,123</w:t>
            </w:r>
          </w:p>
        </w:tc>
        <w:tc>
          <w:tcPr>
            <w:tcW w:type="dxa" w:w="1440"/>
            <w:shd w:fill="FAFAFA" w:val="clear"/>
          </w:tcPr>
          <w:p>
            <w:r>
              <w:rPr>
                <w:sz w:val="17"/>
              </w:rPr>
              <w:t>4,381</w:t>
            </w:r>
          </w:p>
        </w:tc>
        <w:tc>
          <w:tcPr>
            <w:tcW w:type="dxa" w:w="1440"/>
            <w:shd w:fill="FAFAFA" w:val="clear"/>
          </w:tcPr>
          <w:p>
            <w:r>
              <w:rPr>
                <w:b/>
                <w:color w:val="C00000"/>
                <w:sz w:val="17"/>
              </w:rPr>
              <w:t>-0.6%</w:t>
            </w:r>
          </w:p>
        </w:tc>
      </w:tr>
      <w:tr>
        <w:tc>
          <w:tcPr>
            <w:tcW w:type="dxa" w:w="1440"/>
            <w:shd w:fill="FAFAFA" w:val="clear"/>
          </w:tcPr>
          <w:p>
            <w:r>
              <w:rPr>
                <w:sz w:val="17"/>
              </w:rPr>
              <w:t>J+7  Moyenne</w:t>
            </w:r>
          </w:p>
        </w:tc>
        <w:tc>
          <w:tcPr>
            <w:tcW w:type="dxa" w:w="1440"/>
            <w:shd w:fill="FAFAFA" w:val="clear"/>
          </w:tcPr>
          <w:p>
            <w:r>
              <w:rPr>
                <w:sz w:val="17"/>
              </w:rPr>
              <w:t>2026-10-07</w:t>
            </w:r>
          </w:p>
        </w:tc>
        <w:tc>
          <w:tcPr>
            <w:tcW w:type="dxa" w:w="1440"/>
            <w:shd w:fill="FAFAFA" w:val="clear"/>
          </w:tcPr>
          <w:p>
            <w:r>
              <w:rPr>
                <w:sz w:val="17"/>
              </w:rPr>
              <w:t>3,840</w:t>
            </w:r>
          </w:p>
        </w:tc>
        <w:tc>
          <w:tcPr>
            <w:tcW w:type="dxa" w:w="1440"/>
            <w:shd w:fill="FAFAFA" w:val="clear"/>
          </w:tcPr>
          <w:p>
            <w:r>
              <w:rPr>
                <w:b/>
                <w:sz w:val="17"/>
              </w:rPr>
              <w:t>4,118</w:t>
            </w:r>
          </w:p>
        </w:tc>
        <w:tc>
          <w:tcPr>
            <w:tcW w:type="dxa" w:w="1440"/>
            <w:shd w:fill="FAFAFA" w:val="clear"/>
          </w:tcPr>
          <w:p>
            <w:r>
              <w:rPr>
                <w:sz w:val="17"/>
              </w:rPr>
              <w:t>4,397</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2026-10-08</w:t>
            </w:r>
          </w:p>
        </w:tc>
        <w:tc>
          <w:tcPr>
            <w:tcW w:type="dxa" w:w="1440"/>
            <w:shd w:fill="FAFAFA" w:val="clear"/>
          </w:tcPr>
          <w:p>
            <w:r>
              <w:rPr>
                <w:sz w:val="17"/>
              </w:rPr>
              <w:t>3,817</w:t>
            </w:r>
          </w:p>
        </w:tc>
        <w:tc>
          <w:tcPr>
            <w:tcW w:type="dxa" w:w="1440"/>
            <w:shd w:fill="FAFAFA" w:val="clear"/>
          </w:tcPr>
          <w:p>
            <w:r>
              <w:rPr>
                <w:b/>
                <w:sz w:val="17"/>
              </w:rPr>
              <w:t>4,114</w:t>
            </w:r>
          </w:p>
        </w:tc>
        <w:tc>
          <w:tcPr>
            <w:tcW w:type="dxa" w:w="1440"/>
            <w:shd w:fill="FAFAFA" w:val="clear"/>
          </w:tcPr>
          <w:p>
            <w:r>
              <w:rPr>
                <w:sz w:val="17"/>
              </w:rPr>
              <w:t>4,411</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2026-10-09</w:t>
            </w:r>
          </w:p>
        </w:tc>
        <w:tc>
          <w:tcPr>
            <w:tcW w:type="dxa" w:w="1440"/>
            <w:shd w:fill="FAFAFA" w:val="clear"/>
          </w:tcPr>
          <w:p>
            <w:r>
              <w:rPr>
                <w:sz w:val="17"/>
              </w:rPr>
              <w:t>3,795</w:t>
            </w:r>
          </w:p>
        </w:tc>
        <w:tc>
          <w:tcPr>
            <w:tcW w:type="dxa" w:w="1440"/>
            <w:shd w:fill="FAFAFA" w:val="clear"/>
          </w:tcPr>
          <w:p>
            <w:r>
              <w:rPr>
                <w:b/>
                <w:sz w:val="17"/>
              </w:rPr>
              <w:t>4,110</w:t>
            </w:r>
          </w:p>
        </w:tc>
        <w:tc>
          <w:tcPr>
            <w:tcW w:type="dxa" w:w="1440"/>
            <w:shd w:fill="FAFAFA" w:val="clear"/>
          </w:tcPr>
          <w:p>
            <w:r>
              <w:rPr>
                <w:sz w:val="17"/>
              </w:rPr>
              <w:t>4,424</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2026-10-12</w:t>
            </w:r>
          </w:p>
        </w:tc>
        <w:tc>
          <w:tcPr>
            <w:tcW w:type="dxa" w:w="1440"/>
            <w:shd w:fill="FAFAFA" w:val="clear"/>
          </w:tcPr>
          <w:p>
            <w:r>
              <w:rPr>
                <w:sz w:val="17"/>
              </w:rPr>
              <w:t>3,774</w:t>
            </w:r>
          </w:p>
        </w:tc>
        <w:tc>
          <w:tcPr>
            <w:tcW w:type="dxa" w:w="1440"/>
            <w:shd w:fill="FAFAFA" w:val="clear"/>
          </w:tcPr>
          <w:p>
            <w:r>
              <w:rPr>
                <w:b/>
                <w:sz w:val="17"/>
              </w:rPr>
              <w:t>4,105</w:t>
            </w:r>
          </w:p>
        </w:tc>
        <w:tc>
          <w:tcPr>
            <w:tcW w:type="dxa" w:w="1440"/>
            <w:shd w:fill="FAFAFA" w:val="clear"/>
          </w:tcPr>
          <w:p>
            <w:r>
              <w:rPr>
                <w:sz w:val="17"/>
              </w:rPr>
              <w:t>4,437</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42,50 milliards FCFA, PRSC se positionne comme une valeur de taille intermédiaire sur le compartiment industriel/distribution de la BRVM, loin des mastodontes bancaires et télécoms mais avec une liquidité correcte. Le BPA de 231 FCFA/action signifie que chaque titre génère près de 231 FCFA de bénéfice net, ce qui, rapporté au cours actuel de 4 150 FCFA, donne un PER de 18,0x — nettement supérieur à la moyenne BRVM (8-12x), traduisant une prime de qualité ou une anticipation de croissance de la part du marché. Le P/B de 3,69x indique que le marché valorise l'entreprise à près de 3,7 fois sa valeur comptable (11,53 Mds FCFA de capitaux propres), ce qui est cohérent avec une société à forte rotation d'actifs (169,6%) mais suggère une certaine cherté relative. L'EV/EBITDA de 9,3x, dans la fourchette raisonnable de 5-10x, montre que la valeur d'entreprise reste contenue par rapport à la capacité opérationnelle (EBE de 5,787 Mds FCFA), offrant un point d'équilibre face aux ratios de prix plus tendus.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PRSC affiche une variation positive de +5,33%, mais la dernière séance (J-1) enregistre un repli de -1,07%, signalant une pression vendeuse de court terme. Le titre a évolué dans un range de 1 120 FCFA, entre un plus bas de 3 620 FCFA et un plus haut de 4 740 FCFA, soit une amplitude de trading de près de 31% — reflétant une nervosité notable. La tendance générale reste haussière sur la période, mais le cours actuel (4 150 FCFA) se situe sous la moyenne (4 340 FCFA) et la médiane (4 402 FCFA), confirmant un essoufflement récent. L'écart entre moyenne et médiane (62 FCFA) est faible, mais le skewness de -1,280 révèle une asymétrie négative : le titre a passé plus de journées au-dessus de la moyenne, avec des corrections brutales vers le bas — un profil typique de prises de bénéfices. Le kurtosis de 0,960 (mésokurtique) indique une distribution proche de la normale, sans risque extrême de pics, tandis que l'écart-type de 272 FCFA (CV=6,3%) traduit une dispersion modérée. La volatilité annualisée de 35,7% classe PRSC dans la catégorie des titres à volatilité élevée (&gt;30%), ce qui implique un risque de marché supérieur à la moyenne BRVM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(4 341,5 FCFA) et la MM50 (4 435,0 FCFA) se situent toutes deux au-dessus du cours actuel (4 150 FCFA), avec la MM20 sous la MM50 — configuration baissière classique (death cross). Le cours évolue sous ses deux moyennes, confirmant la pression vendeuse et justifiant la décision technique de **Vente**.</w:t>
      </w:r>
    </w:p>
    <w:p>
      <w:pPr>
        <w:spacing w:after="120" w:line="276" w:lineRule="auto"/>
      </w:pPr>
      <w:r>
        <w:t>**Bandes de Bollinger** : Le cours (4 150 FCFA) se situe dans la partie basse de la bande, proche de la borne inférieure (4 103,6 FCFA) et loin de la borne supérieure (4 579,4 FCFA). Cette position suggère une pression baissière mais aussi un potentiel de rebond technique si la borne inférieure tient. La décision est **Neutre**, car le cours n'a pas encore cassé la borne inférieure.</w:t>
      </w:r>
    </w:p>
    <w:p>
      <w:pPr>
        <w:spacing w:after="120" w:line="276" w:lineRule="auto"/>
      </w:pPr>
      <w:r>
        <w:t>**MACD** : La valeur du MACD (-77,337) est inférieure à son signal (-51,878), avec un histogramme négatif — configuration baissière confirmée. Le momentum est clairement négatif, et la divergence entre MACD et signal justifie la décision de **Vente**.</w:t>
      </w:r>
    </w:p>
    <w:p>
      <w:pPr>
        <w:spacing w:after="120" w:line="276" w:lineRule="auto"/>
      </w:pPr>
      <w:r>
        <w:t>**RSI** : À 28,025, le RSI est en zone de **survente** (&lt;30), ce qui indique que le titre a été excessivement vendu à court terme et pourrait connaître un rebond technique. La décision technique est **Achat**, en anticipation d'un retournement.</w:t>
      </w:r>
    </w:p>
    <w:p>
      <w:pPr>
        <w:spacing w:after="120" w:line="276" w:lineRule="auto"/>
      </w:pPr>
      <w:r>
        <w:t>**Stochastique** : Le %K (17,5) et le %D (15,07) sont tous deux en zone de survente (&lt;20), avec un croisement potentiel à venir. La décision est **Achat**, signalant une opportunité de rebond à court terme.</w:t>
      </w:r>
    </w:p>
    <w:p>
      <w:pPr>
        <w:spacing w:after="120" w:line="276" w:lineRule="auto"/>
      </w:pPr>
      <w:r>
        <w:t>**Conclusion technique** : Les indicateurs sont divergents — les moyennes mobiles et le MACD confirment une tendance baissière, tandis que le RSI et le stochastique signalent une survente propice à un rebond. Cette configuration suggère une phase de consolidation avec un potentiel de rebond technique à court terme, mais la tendance de fond reste fragile tant que le cours n'aura pas reconquis la MM20 (4 341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PRSC (Tractafric Motors Côte d'Ivoire) affiche un chiffre d'affaires de 81,127 milliards FCFA, en hausse de 9,5% par rapport à 2024 (74,45 Mds FCFA), porté par les ventes de véhicules industriels et de pneumatiques. Le résultat net s'établit à 2,367 milliards FCFA, stable par rapport à 2024 (2,35 Mds FCFA), avec une marge nette de 2,92% — faible mais en légère amélioration. Le ROE de 20,53% est excellent (&gt;15%), témoignant d'une bonne rentabilité des fonds propres (11,531 Mds FCFA), tandis que le ROA de 4,95% reste modeste, reflétant la forte rotation des actifs (169,6%) et l'intensité capitalistique du modèle de distribution. La structure financière montre une autonomie financière de 24,1% (inférieure au seuil de 30% considéré comme sain), un ratio d'endettement élevé de 314,9% et une trésorerie nette négative de -4,092 Mds FCFA, ce qui constitue un point de vigilance majeur. Le BFR de 11,267 Mds FCFA (positif) et les délais d'exploitation — 46 jours clients, 103 jours fournisseurs et 150 jours de stockage — révèlent une immobilisation importante de capital dans les stocks, typique du secteur automobile, mais un délai fournisseurs élevé qui finance partiellement ce cycle. La capacité de remboursement de 1,83 an et la couverture des intérêts de 1 585% sont rassurantes. Sur la base du rapport S1 2025 (CA +15,1% à 39,97 Mds FCFA, résultat net multiplié par 28 à 1,436 Md FCFA), on peut estimer que l'exercice 2025 devrait confirmer cette dynamique, avec un résultat net annuel autour de 2,3-2,4 Mds FCFA — cohérent avec les 2,367 Mds FCFA publiés. Le rapport du 15/06/2026 confirme un dividende de 209 FCFA/action (rendement de 5,0% au cours actuel), un signal positif pour les actionnaires. Les risques identifiés incluent la dépendance au marché automobile ivoirien, la pression concurrentielle des véhicules low-cost chinois, et la tension de trésorerie persistante. La recommandation fondamentale est **CONSERVER**, avec une surveillance accrue de la trésorerie et de la marge nette.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PRSC (PER 18,0x, P/B 3,69x, EV/EBITDA 9,3x) indique une **surévaluation relative** par rapport à la moyenne BRVM (PER 8-12x), bien que l'EV/EBITDA reste dans une fourchette raisonnable — le marché paie une prime pour la croissance et le dividende. Le comportement du cours sur 100 jours (+5,33%) est positif mais masque une correction récente (-1,07% en J-1) et une volatilité élevée (35,7%), avec un skewness négatif (-1,280) signalant des corrections brutales. Les signaux techniques sont **divergents** : les moyennes mobiles et le MACD sont baissiers (Vente), tandis que le RSI (28,0) et le stochastique (17,5) sont en survente (Achat) — configuration de rebond technique possible mais fragile. Les fondamentaux sont **mitigés** : croissance du CA (+9,5% en 2025), ROE excellent (20,5%), dividende attractif (209 FCFA, rendement 5,0%), mais marge nette faible (2,9%), endettement élevé (314,9%) et trésorerie nette négative (-4,092 Mds FCFA). Les prédictions IA (J+1 à J+10) anticipent une **légère baisse** de 4 150 à 4 128 FCFA (-0,5%), confirmant la pression baissière de court terme sans effondrement. Sur la base de cette synthèse, la recommandation finale est **CONSERVER**, avec un biais prudent : la convergence entre technique baissière (MM, MACD) et prédictions IA négatives l'emporte sur le signal de survente (RSI, Stochastique) et la solidité fondamentale relative. Le niveau de confiance est **Moyen** (divergence des signaux) et le risque global **Élevé** (volatilité 35,7%, endettement, trésorerie négative). L'horizon d'investissement optimal est **moyen terme (3-12 mois)**, en attendant une clarification de la tendance technique et une amélioration de la trésorerie — un achat spéculatif sur rebond technique est possible mais risqué, tandis qu'une vente serait prématurée compte tenu du dividende et de la croissance du CA.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28.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54.84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8,935 titres</w:t>
            </w:r>
          </w:p>
        </w:tc>
        <w:tc>
          <w:tcPr>
            <w:tcW w:type="dxa" w:w="2268"/>
            <w:shd w:fill="FFF2CC" w:val="clear"/>
          </w:tcPr>
          <w:p>
            <w:r>
              <w:rPr>
                <w:b/>
                <w:color w:val="503200"/>
                <w:sz w:val="16"/>
              </w:rPr>
              <w:t xml:space="preserve">Cours actuel : </w:t>
            </w:r>
            <w:r>
              <w:rPr>
                <w:color w:val="000000"/>
                <w:sz w:val="17"/>
              </w:rPr>
              <w:t>4,620 FCFA</w:t>
            </w:r>
          </w:p>
          <w:p>
            <w:r>
              <w:rPr>
                <w:b/>
                <w:color w:val="503200"/>
                <w:sz w:val="16"/>
              </w:rPr>
              <w:t xml:space="preserve">Var. 100 jours : </w:t>
            </w:r>
            <w:r>
              <w:rPr>
                <w:b/>
                <w:color w:val="007800"/>
                <w:sz w:val="17"/>
              </w:rPr>
              <w:t>+32.00%</w:t>
            </w:r>
          </w:p>
          <w:p>
            <w:r>
              <w:rPr>
                <w:b/>
                <w:color w:val="503200"/>
                <w:sz w:val="16"/>
              </w:rPr>
              <w:t xml:space="preserve">Plus haut 100j : </w:t>
            </w:r>
            <w:r>
              <w:rPr>
                <w:color w:val="000000"/>
                <w:sz w:val="17"/>
              </w:rPr>
              <w:t>6,200 FCFA</w:t>
            </w:r>
          </w:p>
          <w:p>
            <w:r>
              <w:rPr>
                <w:b/>
                <w:color w:val="503200"/>
                <w:sz w:val="16"/>
              </w:rPr>
              <w:t xml:space="preserve">Plus bas 100j : </w:t>
            </w:r>
            <w:r>
              <w:rPr>
                <w:color w:val="000000"/>
                <w:sz w:val="17"/>
              </w:rPr>
              <w:t>3,485 FCFA</w:t>
            </w:r>
          </w:p>
          <w:p>
            <w:r>
              <w:rPr>
                <w:b/>
                <w:color w:val="503200"/>
                <w:sz w:val="16"/>
              </w:rPr>
              <w:t xml:space="preserve">Volatilité ann. : </w:t>
            </w:r>
            <w:r>
              <w:rPr>
                <w:color w:val="000000"/>
                <w:sz w:val="17"/>
              </w:rPr>
              <w:t>60.8%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28.0/100 → Moyen</w:t>
      </w:r>
    </w:p>
    <w:p>
      <w:pPr>
        <w:spacing w:before="40" w:after="80"/>
      </w:pPr>
      <w:r>
        <w:rPr>
          <w:rFonts w:ascii="Courier New" w:hAnsi="Courier New"/>
          <w:color w:val="825A00"/>
          <w:sz w:val="18"/>
        </w:rPr>
        <w:t>█████░░░░░░░░░░░░░░░  28.0/100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16.47% (Élevée) — μ=4,617 FCFA, σ=761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β=1.1340 (Neutre (suit le marché)) — Cov=0.000077, Var(idx)=0.000068, ρ=0.247,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8,935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σ_j=3.83%/j (Modérée) — Vol. annualisée≈60.8%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2026-09-29</w:t>
            </w:r>
          </w:p>
        </w:tc>
        <w:tc>
          <w:tcPr>
            <w:tcW w:type="dxa" w:w="1440"/>
            <w:shd w:fill="C6EFCE" w:val="clear"/>
          </w:tcPr>
          <w:p>
            <w:r>
              <w:rPr>
                <w:sz w:val="17"/>
              </w:rPr>
              <w:t>4,479</w:t>
            </w:r>
          </w:p>
        </w:tc>
        <w:tc>
          <w:tcPr>
            <w:tcW w:type="dxa" w:w="1440"/>
            <w:shd w:fill="C6EFCE" w:val="clear"/>
          </w:tcPr>
          <w:p>
            <w:r>
              <w:rPr>
                <w:b/>
                <w:sz w:val="17"/>
              </w:rPr>
              <w:t>4,815</w:t>
            </w:r>
          </w:p>
        </w:tc>
        <w:tc>
          <w:tcPr>
            <w:tcW w:type="dxa" w:w="1440"/>
            <w:shd w:fill="C6EFCE" w:val="clear"/>
          </w:tcPr>
          <w:p>
            <w:r>
              <w:rPr>
                <w:sz w:val="17"/>
              </w:rPr>
              <w:t>5,151</w:t>
            </w:r>
          </w:p>
        </w:tc>
        <w:tc>
          <w:tcPr>
            <w:tcW w:type="dxa" w:w="1440"/>
            <w:shd w:fill="C6EFCE" w:val="clear"/>
          </w:tcPr>
          <w:p>
            <w:r>
              <w:rPr>
                <w:b/>
                <w:color w:val="008000"/>
                <w:sz w:val="17"/>
              </w:rPr>
              <w:t>+4.2%</w:t>
            </w:r>
          </w:p>
        </w:tc>
      </w:tr>
      <w:tr>
        <w:tc>
          <w:tcPr>
            <w:tcW w:type="dxa" w:w="1440"/>
            <w:shd w:fill="C6EFCE" w:val="clear"/>
          </w:tcPr>
          <w:p>
            <w:r>
              <w:rPr>
                <w:sz w:val="17"/>
              </w:rPr>
              <w:t>J+2  ⭐</w:t>
            </w:r>
          </w:p>
        </w:tc>
        <w:tc>
          <w:tcPr>
            <w:tcW w:type="dxa" w:w="1440"/>
            <w:shd w:fill="C6EFCE" w:val="clear"/>
          </w:tcPr>
          <w:p>
            <w:r>
              <w:rPr>
                <w:sz w:val="17"/>
              </w:rPr>
              <w:t>2026-09-30</w:t>
            </w:r>
          </w:p>
        </w:tc>
        <w:tc>
          <w:tcPr>
            <w:tcW w:type="dxa" w:w="1440"/>
            <w:shd w:fill="C6EFCE" w:val="clear"/>
          </w:tcPr>
          <w:p>
            <w:r>
              <w:rPr>
                <w:sz w:val="17"/>
              </w:rPr>
              <w:t>4,448</w:t>
            </w:r>
          </w:p>
        </w:tc>
        <w:tc>
          <w:tcPr>
            <w:tcW w:type="dxa" w:w="1440"/>
            <w:shd w:fill="C6EFCE" w:val="clear"/>
          </w:tcPr>
          <w:p>
            <w:r>
              <w:rPr>
                <w:b/>
                <w:sz w:val="17"/>
              </w:rPr>
              <w:t>4,935</w:t>
            </w:r>
          </w:p>
        </w:tc>
        <w:tc>
          <w:tcPr>
            <w:tcW w:type="dxa" w:w="1440"/>
            <w:shd w:fill="C6EFCE" w:val="clear"/>
          </w:tcPr>
          <w:p>
            <w:r>
              <w:rPr>
                <w:sz w:val="17"/>
              </w:rPr>
              <w:t>5,423</w:t>
            </w:r>
          </w:p>
        </w:tc>
        <w:tc>
          <w:tcPr>
            <w:tcW w:type="dxa" w:w="1440"/>
            <w:shd w:fill="C6EFCE" w:val="clear"/>
          </w:tcPr>
          <w:p>
            <w:r>
              <w:rPr>
                <w:b/>
                <w:color w:val="008000"/>
                <w:sz w:val="17"/>
              </w:rPr>
              <w:t>+6.8%</w:t>
            </w:r>
          </w:p>
        </w:tc>
      </w:tr>
      <w:tr>
        <w:tc>
          <w:tcPr>
            <w:tcW w:type="dxa" w:w="1440"/>
            <w:shd w:fill="C6EFCE" w:val="clear"/>
          </w:tcPr>
          <w:p>
            <w:r>
              <w:rPr>
                <w:sz w:val="17"/>
              </w:rPr>
              <w:t>J+3  ⭐</w:t>
            </w:r>
          </w:p>
        </w:tc>
        <w:tc>
          <w:tcPr>
            <w:tcW w:type="dxa" w:w="1440"/>
            <w:shd w:fill="C6EFCE" w:val="clear"/>
          </w:tcPr>
          <w:p>
            <w:r>
              <w:rPr>
                <w:sz w:val="17"/>
              </w:rPr>
              <w:t>2026-10-01</w:t>
            </w:r>
          </w:p>
        </w:tc>
        <w:tc>
          <w:tcPr>
            <w:tcW w:type="dxa" w:w="1440"/>
            <w:shd w:fill="C6EFCE" w:val="clear"/>
          </w:tcPr>
          <w:p>
            <w:r>
              <w:rPr>
                <w:sz w:val="17"/>
              </w:rPr>
              <w:t>4,384</w:t>
            </w:r>
          </w:p>
        </w:tc>
        <w:tc>
          <w:tcPr>
            <w:tcW w:type="dxa" w:w="1440"/>
            <w:shd w:fill="C6EFCE" w:val="clear"/>
          </w:tcPr>
          <w:p>
            <w:r>
              <w:rPr>
                <w:b/>
                <w:sz w:val="17"/>
              </w:rPr>
              <w:t>4,987</w:t>
            </w:r>
          </w:p>
        </w:tc>
        <w:tc>
          <w:tcPr>
            <w:tcW w:type="dxa" w:w="1440"/>
            <w:shd w:fill="C6EFCE" w:val="clear"/>
          </w:tcPr>
          <w:p>
            <w:r>
              <w:rPr>
                <w:sz w:val="17"/>
              </w:rPr>
              <w:t>5,590</w:t>
            </w:r>
          </w:p>
        </w:tc>
        <w:tc>
          <w:tcPr>
            <w:tcW w:type="dxa" w:w="1440"/>
            <w:shd w:fill="C6EFCE" w:val="clear"/>
          </w:tcPr>
          <w:p>
            <w:r>
              <w:rPr>
                <w:b/>
                <w:color w:val="008000"/>
                <w:sz w:val="17"/>
              </w:rPr>
              <w:t>+7.9%</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4,314</w:t>
            </w:r>
          </w:p>
        </w:tc>
        <w:tc>
          <w:tcPr>
            <w:tcW w:type="dxa" w:w="1440"/>
            <w:shd w:fill="C6EFCE" w:val="clear"/>
          </w:tcPr>
          <w:p>
            <w:r>
              <w:rPr>
                <w:b/>
                <w:sz w:val="17"/>
              </w:rPr>
              <w:t>5,014</w:t>
            </w:r>
          </w:p>
        </w:tc>
        <w:tc>
          <w:tcPr>
            <w:tcW w:type="dxa" w:w="1440"/>
            <w:shd w:fill="C6EFCE" w:val="clear"/>
          </w:tcPr>
          <w:p>
            <w:r>
              <w:rPr>
                <w:sz w:val="17"/>
              </w:rPr>
              <w:t>5,714</w:t>
            </w:r>
          </w:p>
        </w:tc>
        <w:tc>
          <w:tcPr>
            <w:tcW w:type="dxa" w:w="1440"/>
            <w:shd w:fill="C6EFCE" w:val="clear"/>
          </w:tcPr>
          <w:p>
            <w:r>
              <w:rPr>
                <w:b/>
                <w:color w:val="008000"/>
                <w:sz w:val="17"/>
              </w:rPr>
              <w:t>+8.5%</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4,247</w:t>
            </w:r>
          </w:p>
        </w:tc>
        <w:tc>
          <w:tcPr>
            <w:tcW w:type="dxa" w:w="1440"/>
            <w:shd w:fill="C6EFCE" w:val="clear"/>
          </w:tcPr>
          <w:p>
            <w:r>
              <w:rPr>
                <w:b/>
                <w:sz w:val="17"/>
              </w:rPr>
              <w:t>5,032</w:t>
            </w:r>
          </w:p>
        </w:tc>
        <w:tc>
          <w:tcPr>
            <w:tcW w:type="dxa" w:w="1440"/>
            <w:shd w:fill="C6EFCE" w:val="clear"/>
          </w:tcPr>
          <w:p>
            <w:r>
              <w:rPr>
                <w:sz w:val="17"/>
              </w:rPr>
              <w:t>5,818</w:t>
            </w:r>
          </w:p>
        </w:tc>
        <w:tc>
          <w:tcPr>
            <w:tcW w:type="dxa" w:w="1440"/>
            <w:shd w:fill="C6EFCE" w:val="clear"/>
          </w:tcPr>
          <w:p>
            <w:r>
              <w:rPr>
                <w:b/>
                <w:color w:val="008000"/>
                <w:sz w:val="17"/>
              </w:rPr>
              <w:t>+8.9%</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4,183</w:t>
            </w:r>
          </w:p>
        </w:tc>
        <w:tc>
          <w:tcPr>
            <w:tcW w:type="dxa" w:w="1440"/>
            <w:shd w:fill="C6EFCE" w:val="clear"/>
          </w:tcPr>
          <w:p>
            <w:r>
              <w:rPr>
                <w:b/>
                <w:sz w:val="17"/>
              </w:rPr>
              <w:t>5,045</w:t>
            </w:r>
          </w:p>
        </w:tc>
        <w:tc>
          <w:tcPr>
            <w:tcW w:type="dxa" w:w="1440"/>
            <w:shd w:fill="C6EFCE" w:val="clear"/>
          </w:tcPr>
          <w:p>
            <w:r>
              <w:rPr>
                <w:sz w:val="17"/>
              </w:rPr>
              <w:t>5,908</w:t>
            </w:r>
          </w:p>
        </w:tc>
        <w:tc>
          <w:tcPr>
            <w:tcW w:type="dxa" w:w="1440"/>
            <w:shd w:fill="C6EFCE" w:val="clear"/>
          </w:tcPr>
          <w:p>
            <w:r>
              <w:rPr>
                <w:b/>
                <w:color w:val="008000"/>
                <w:sz w:val="17"/>
              </w:rPr>
              <w:t>+9.2%</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4,123</w:t>
            </w:r>
          </w:p>
        </w:tc>
        <w:tc>
          <w:tcPr>
            <w:tcW w:type="dxa" w:w="1440"/>
            <w:shd w:fill="C6EFCE" w:val="clear"/>
          </w:tcPr>
          <w:p>
            <w:r>
              <w:rPr>
                <w:b/>
                <w:sz w:val="17"/>
              </w:rPr>
              <w:t>5,057</w:t>
            </w:r>
          </w:p>
        </w:tc>
        <w:tc>
          <w:tcPr>
            <w:tcW w:type="dxa" w:w="1440"/>
            <w:shd w:fill="C6EFCE" w:val="clear"/>
          </w:tcPr>
          <w:p>
            <w:r>
              <w:rPr>
                <w:sz w:val="17"/>
              </w:rPr>
              <w:t>5,990</w:t>
            </w:r>
          </w:p>
        </w:tc>
        <w:tc>
          <w:tcPr>
            <w:tcW w:type="dxa" w:w="1440"/>
            <w:shd w:fill="C6EFCE" w:val="clear"/>
          </w:tcPr>
          <w:p>
            <w:r>
              <w:rPr>
                <w:b/>
                <w:color w:val="008000"/>
                <w:sz w:val="17"/>
              </w:rPr>
              <w:t>+9.4%</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4,066</w:t>
            </w:r>
          </w:p>
        </w:tc>
        <w:tc>
          <w:tcPr>
            <w:tcW w:type="dxa" w:w="1440"/>
            <w:shd w:fill="C6EFCE" w:val="clear"/>
          </w:tcPr>
          <w:p>
            <w:r>
              <w:rPr>
                <w:b/>
                <w:sz w:val="17"/>
              </w:rPr>
              <w:t>5,067</w:t>
            </w:r>
          </w:p>
        </w:tc>
        <w:tc>
          <w:tcPr>
            <w:tcW w:type="dxa" w:w="1440"/>
            <w:shd w:fill="C6EFCE" w:val="clear"/>
          </w:tcPr>
          <w:p>
            <w:r>
              <w:rPr>
                <w:sz w:val="17"/>
              </w:rPr>
              <w:t>6,067</w:t>
            </w:r>
          </w:p>
        </w:tc>
        <w:tc>
          <w:tcPr>
            <w:tcW w:type="dxa" w:w="1440"/>
            <w:shd w:fill="C6EFCE" w:val="clear"/>
          </w:tcPr>
          <w:p>
            <w:r>
              <w:rPr>
                <w:b/>
                <w:color w:val="008000"/>
                <w:sz w:val="17"/>
              </w:rPr>
              <w:t>+9.7%</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4,013</w:t>
            </w:r>
          </w:p>
        </w:tc>
        <w:tc>
          <w:tcPr>
            <w:tcW w:type="dxa" w:w="1440"/>
            <w:shd w:fill="C6EFCE" w:val="clear"/>
          </w:tcPr>
          <w:p>
            <w:r>
              <w:rPr>
                <w:b/>
                <w:sz w:val="17"/>
              </w:rPr>
              <w:t>5,076</w:t>
            </w:r>
          </w:p>
        </w:tc>
        <w:tc>
          <w:tcPr>
            <w:tcW w:type="dxa" w:w="1440"/>
            <w:shd w:fill="C6EFCE" w:val="clear"/>
          </w:tcPr>
          <w:p>
            <w:r>
              <w:rPr>
                <w:sz w:val="17"/>
              </w:rPr>
              <w:t>6,138</w:t>
            </w:r>
          </w:p>
        </w:tc>
        <w:tc>
          <w:tcPr>
            <w:tcW w:type="dxa" w:w="1440"/>
            <w:shd w:fill="C6EFCE" w:val="clear"/>
          </w:tcPr>
          <w:p>
            <w:r>
              <w:rPr>
                <w:b/>
                <w:color w:val="008000"/>
                <w:sz w:val="17"/>
              </w:rPr>
              <w:t>+9.9%</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3,962</w:t>
            </w:r>
          </w:p>
        </w:tc>
        <w:tc>
          <w:tcPr>
            <w:tcW w:type="dxa" w:w="1440"/>
            <w:shd w:fill="C6EFCE" w:val="clear"/>
          </w:tcPr>
          <w:p>
            <w:r>
              <w:rPr>
                <w:b/>
                <w:sz w:val="17"/>
              </w:rPr>
              <w:t>5,084</w:t>
            </w:r>
          </w:p>
        </w:tc>
        <w:tc>
          <w:tcPr>
            <w:tcW w:type="dxa" w:w="1440"/>
            <w:shd w:fill="C6EFCE" w:val="clear"/>
          </w:tcPr>
          <w:p>
            <w:r>
              <w:rPr>
                <w:sz w:val="17"/>
              </w:rPr>
              <w:t>6,206</w:t>
            </w:r>
          </w:p>
        </w:tc>
        <w:tc>
          <w:tcPr>
            <w:tcW w:type="dxa" w:w="1440"/>
            <w:shd w:fill="C6EFCE" w:val="clear"/>
          </w:tcPr>
          <w:p>
            <w:r>
              <w:rPr>
                <w:b/>
                <w:color w:val="008000"/>
                <w:sz w:val="17"/>
              </w:rPr>
              <w:t>+10.0%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 📊 RAPPORT D'ANALYSE FINANCIÈRE — SAFC (ALIOS FINANCE CÔTE D'IVOIRE)</w:t>
        <w:br/>
        <w:t>**Bourse Régionale des Valeurs Mobilières (BRVM) — Secteur : Banque / Crédit à la consommation**</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**54,84 milliards FCFA**, un niveau intermédiaire à l'échelle de la BRVM qui place le titre parmi les valeurs moyennes du compartiment financier. Le BPA ressort à **59 FCFA/action**, ce qui signifie que chaque titre génère théoriquement près de 59 FCFA de bénéfice net. Le PER de **78,2x** constitue un signal d'alerte majeur : les investisseurs paient près de 78 fois les bénéfices, soit un multiple très supérieur à la moyenne BRVM (~8-12x), traduisant une anticipation de forte croissance future ou une surévaluation spéculative. Le P/B de **9,27x** confirme cette exubérance : le marché valorise la société à plus de 9 fois sa valeur comptable, alors qu'un ratio supérieur à 4x est déjà considéré comme exigeant. Enfin, l'EV/EBITDA de **86,3x** (très au-delà du seuil de 15x) signale que la valeur d'entreprise intègre une prime considérable par rapport à la capacité opérationnelle actuelle, ce qui rend le titre vulnérable à toute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SAFC a enregistré une **progression totale de +32,00%**, avec une dernière séance particulièrement dynamique (+7,44% en J-1), portant le cours actuel à **4 620 FCFA**. Le range de trading est large, oscillant entre un plus bas de **3 485 FCFA** et un plus haut de **6 200 FCFA**, soit un écart de plus de 78% entre les extrêmes — signe d'une forte nervosité du titre. La tendance générale est haussière sur la période, mais le cours actuel se situe nettement sous son plus haut, suggérant une phase de correction après un pic spéculatif. Les statistiques descriptives révèlent une **moyenne (4 617 FCFA) très proche de la médiane (4 565 FCFA)**, indiquant une distribution globalement équilibrée, tandis que le **mode à 3 700 FCFA** montre que le prix le plus fréquemment traité se situe bien en dessous du cours actuel. L'écart-type de **764 FCFA** avec un **CV de 16,6%** traduit une dispersion modérée à élevée du cours. Le **kurtosis de -0,994** (mésokurtique) indique une distribution proche de la normale, sans risque excessif de pics extrêmes, tandis que le **skewness de 0,310** confirme une légère asymétrie positive (queue droite), cohérente avec les épisodes de hausse brutale. La **volatilité annualisée de 60,8%** classe le titre dans la catégorie des valeurs à volatilité **très élevée** (&gt;30%), ce qui implique un risque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La MM20 (5 128,25 FCFA) et la MM50 (5 184,2 FCFA) se situent toutes deux **au-dessus du cours actuel (4 620 FCFA)**, ce qui place le titre en position baissière à court et moyen terme. La MM20 étant légèrement sous la MM50, on observe un début de croisement baissier, justifiant la **décision de Vente** émise par cet indicateur.</w:t>
      </w:r>
    </w:p>
    <w:p>
      <w:pPr>
        <w:spacing w:after="120" w:line="276" w:lineRule="auto"/>
      </w:pPr>
      <w:r>
        <w:t>**Bandes de Bollinger** : Le cours actuel (4 620 FCFA) évolue dans la moitié inférieure de la bande, entre la borne inférieure (3 740,42 FCFA) et la borne supérieure (6 516,08 FCFA). Cette position médiane-basse, couplée à une largeur de bande importante, traduit une volatilité élevée sans signal directionnel fort, d'où la **décision Neutre**.</w:t>
      </w:r>
    </w:p>
    <w:p>
      <w:pPr>
        <w:spacing w:after="120" w:line="276" w:lineRule="auto"/>
      </w:pPr>
      <w:r>
        <w:t>**MACD** : La valeur du MACD (-313,66) est **inférieure à sa ligne de signal (-203,474)**, confirmant un momentum baissier persistant. L'écart négatif entre les deux lignes indique que la pression vendeuse reste dominante, justifiant la **décision de Vente**.</w:t>
      </w:r>
    </w:p>
    <w:p>
      <w:pPr>
        <w:spacing w:after="120" w:line="276" w:lineRule="auto"/>
      </w:pPr>
      <w:r>
        <w:t>**RSI** : À **34,646**, le RSI se situe dans la zone neutre basse, proche du seuil de survente (30) sans l'atteindre. Cela suggère que le titre n'est pas encore techniquement survendu mais s'approche d'une zone où un rebond technique pourrait se produire, d'où la **décision Neutre**.</w:t>
      </w:r>
    </w:p>
    <w:p>
      <w:pPr>
        <w:spacing w:after="120" w:line="276" w:lineRule="auto"/>
      </w:pPr>
      <w:r>
        <w:t>**Stochastique** : Le %K (42,384) est **supérieur au %D (21,057)**, ce qui constitue un croisement haussier potentiel en zone basse. Cependant, les deux lignes restent sous le seuil de 50, indiquant une faiblesse persistante, justifiant la **décision Neutre**.</w:t>
      </w:r>
    </w:p>
    <w:p>
      <w:pPr>
        <w:spacing w:after="120" w:line="276" w:lineRule="auto"/>
      </w:pPr>
      <w:r>
        <w:t>**Conclusion technique** : Les indicateurs sont majoritairement baissiers (MM et MACD en Vente), avec des signaux neutres sur les oscillateurs (RSI, Stochastique, Bollinger). Le titre se trouve dans une phase de correction après un pic, avec un potentiel de rebond technique à court terme mais une tendance de fond encore fragile. La convergence des signaux négatifs sur les MM et le MACD invite à la prudence avant tout engagement.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SAFC affiche un **Produit Net Bancaire (PNB) de 5 735 millions FCFA**, en **hausse de 44,1%** par rapport à 2024 (3 980 M FCFA), porté par la progression des intérêts (+14,4%) et des commissions (+81%). Le **résultat net s'établit à 701 millions FCFA**, marquant un retournement spectaculaire après une perte de -165 millions FCFA en 2024. Le **ROE ressort à 11,85%** (en dessous du seuil d'excellence de 15%) et le **ROA à 0,88%**, reflétant une rentabilité encore modeste. Le **coefficient d'exploitation de 77,63%** est élevé (une banque efficace se situe sous 60%), indiquant une structure de coûts lourde. Le **coût du risque de 6,57%** (provisions/charges financières) reste significatif, bien qu'en amélioration. La structure financière est fragile : **autonomie financière de 7,44%** (très en dessous du seuil sain de 30%), **ratio d'endettement de 856%** et **dépendance aux dettes interbancaires (35 747 M FCFA)**. Les **créances clientèle (60 476 M FCFA)** sont financées par des **dépôts clientèle limités (9 112 M FCFA)**, révélant un déséquilibre de transformation.</w:t>
      </w:r>
    </w:p>
    <w:p>
      <w:pPr>
        <w:spacing w:after="120" w:line="276" w:lineRule="auto"/>
      </w:pPr>
      <w:r>
        <w:t>**Estimations basées sur les rapports trimestriels** : Le rapport du **30 juin 2026** (publié en 2026) indique un **PNB de 2 907 M FCFA (+37%)** et un **résultat net de 731 M FCFA (+231%)**, avec une **reprise nette sur coût du risque de 261 M FCFA** (contre une charge de 93 M FCFA un an plus tôt). Le rapport du **T1 2026** (publié en 2026) confirme cette dynamique avec un **PNB de 1 395 M FCFA (+29%)** et un **résultat net de 151 M FCFA (+1 062%)**. Sur cette base, on estime que l'exercice 2026 devrait afficher un **PNB annuel proche de 6,5-7,0 milliards FCFA** et un **résultat net de 1,4-1,6 milliard FCFA**, soit une **marge nette de 22-24%**. Les **capitaux propres** ont été renforcés à **6 647 M FCFA** (S1 2026) et le **ratio CET1 à 11,49%**, respectant les normes prudentielles. L'augmentation de capital de **1,5 milliard FCFA** (avis BRVM du 14/04/2026) via l'émission de 3 750 000 actions à 400 FCFA vise à consolider davantage les fonds propres.</w:t>
      </w:r>
    </w:p>
    <w:p>
      <w:pPr>
        <w:spacing w:after="120" w:line="276" w:lineRule="auto"/>
      </w:pPr>
      <w:r>
        <w:t>**Recommandation fondamentale** : La société est en **phase de redressement réussi** après 8 années de pertes, portée par l'entrée de CREDAF Group (avril 2025). Les fondamentaux s'améliorent nettement (PNB, résultat net, coût du risque), mais la **structure financière reste fragile** (fonds propres modestes, dépendance interbancaire, report à nouveau négatif de -4 123 M FCFA). Le titre présente un **profil spéculatif** avec un potentiel de revalorisation si la dynamique se poursuit, mais un risque élevé en cas de retournement.</w:t>
      </w:r>
    </w:p>
    <w:p>
      <w:pPr>
        <w:spacing w:after="120" w:line="276" w:lineRule="auto"/>
      </w:pPr>
      <w:r>
        <w:t>---</w:t>
      </w:r>
    </w:p>
    <w:p>
      <w:pPr>
        <w:spacing w:after="120" w:line="276" w:lineRule="auto"/>
      </w:pPr>
      <w:r>
        <w:t>## PARTIE 4 : CONCLUSION D'INVESTISSEMENT</w:t>
      </w:r>
    </w:p>
    <w:p>
      <w:pPr>
        <w:spacing w:after="120" w:line="276" w:lineRule="auto"/>
      </w:pPr>
      <w:r>
        <w:t>La **valorisation (Partie 0)** est clairement **excessive** : le PER de 78,2x, le P/B de 9,27x et l'EV/EBITDA de 86,3x intègrent une prime spéculative considérable, sans commune mesure avec les moyennes du marché BRVM. Le **comportement du cours (Partie 1)** est **préoccupant** : malgré une hausse de +32% sur 100 jours, le titre a chuté de son plus haut (6 200 FCFA) et affiche une volatilité annualisée de 60,8%, avec un kurtosis et un skewness qui ne signalent pas de risque extrême mais une nervosité élevée. Les **signaux techniques (Partie 2)** sont **majoritairement baissiers** : MM20 et MM50 au-dessus du cours, MACD en territoire négatif, RSI proche de la survente — la convergence des indicateurs plaide pour une poursuite de la correction à court terme. Les **fondamentaux (Partie 3)** montrent une **amélioration réelle** (PNB +44%, retour aux bénéfices, coût du risque maîtrisé) mais une **structure financière encore fragile** (autonomie financière de 7,44%, dépendance interbancaire). Les **prédictions IA (J+1 à J+10)** anticipent une **hausse progressive** de 4 815 FCFA à 5 032 FCFA, ce qui **contredit partiellement** les signaux techniques baissiers mais **confirme** la dynamique fondamentale positive.</w:t>
      </w:r>
    </w:p>
    <w:p>
      <w:pPr>
        <w:spacing w:after="120" w:line="276" w:lineRule="auto"/>
      </w:pPr>
      <w:r>
        <w:t>**Recommandation finale** : **CONSERVER** (avec un biais spéculatif)</w:t>
        <w:br/>
        <w:t>**Justification** : Il y a une **divergence** entre la valorisation (surévaluée), la technique (baissière à court terme) et les fondamentaux (en amélioration). Le titre est **trop cher** pour un achat en l'état, mais la **dynamique de redressement** et les **prédictions IA haussières** justifient de ne pas vendre. Les investisseurs déjà positionnés peuvent conserver en surveillant les prochains rapports trimestriels (notamment le coût du risque et la structure des fonds propres).</w:t>
        <w:br/>
        <w:t>**Niveau de confiance** : **Moyen** (les signaux sont contradictoires)</w:t>
        <w:br/>
        <w:t>**Niveau de risque** : **Élevé** (volatilité de 60,8%, valorisation tendue, structure financière fragile)</w:t>
        <w:br/>
        <w:t>**Horizon d'investissement** : **Moyen terme (3-12 mois)** — le temps que la société confirme son redressement et que la valorisation se normalise.</w:t>
      </w:r>
    </w:p>
    <w:p>
      <w:pPr>
        <w:spacing w:after="120" w:line="276" w:lineRule="auto"/>
      </w:pPr>
      <w:r>
        <w:t>---</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l'am\u00e9lioration du co\u00fbt du risque et la solidit\u00e9 des ratios prudentiels indiquent une dynamique positive. Le mod\u00e8le \u00e9conomique d\u00e9ploy\u00e9 depuis l'int\u00e9gration au sein de CREDAF GROUP soutient la cr\u00e9ation de valeur."}</w:t>
      </w:r>
    </w:p>
    <w:p>
      <w:pPr>
        <w:spacing w:before="40"/>
        <w:ind w:left="400"/>
      </w:pPr>
      <w:r>
        <w:rPr>
          <w:sz w:val="18"/>
        </w:rPr>
        <w:t>Au 30 juin 2026, Alios Finance Côte d'Ivoire (SAFCA) affiche une croissance soutenue de son activité, avec un produit net bancaire en hausse de 37% à 2,907 milliards FCFA. Le résultat net progresse fortement de 231% pour atteindre 731 millions FCFA, traduisant une amélioration de l'efficacité opérationnelle et une meilleure maîtrise du coût du risque. Le total du bilan s'établit à 90,47 milliards FCFA, en hausse de 14%, porté par une augmentation des prêts à la clientèle de 21%. Les capitaux propres se renforcent de 22% à 6,65 milliards FCFA, et tous les ratios prudentiels sont conformes aux exigences de l'UMOA. La dynamique positive devrait se poursuivre grâce à la stratégie de développemen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{'ratio_cet1_2025': '9,653%', 'ratio_cet1_2026': '11,491%', 'total_actif_2025': '79 188 millions FCFA', 'ratio_levier_2026': '3,94%', 'resultat_net_2025': '221 millions FCFA', 'capitaux_propres_2025': '5 436 millions FCFA', 'produit_net_bancaire_2025': '2 122 millions FCFA', 'ratio_solvabilite_globale_2025': '11,886%', 'ratio_solvabilite_globale_2026': '12,931%'}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25,2%</w:t>
            </w:r>
          </w:p>
        </w:tc>
        <w:tc>
          <w:tcPr>
            <w:tcW w:type="dxa" w:w="2160"/>
          </w:tcPr>
          <w:p>
            <w:pPr>
              <w:ind w:left="100"/>
            </w:pPr>
            <w:r/>
            <w:r>
              <w:rPr>
                <w:b/>
                <w:sz w:val="16"/>
              </w:rPr>
              <w:t>total_actif</w:t>
              <w:br/>
            </w:r>
            <w:r>
              <w:rPr>
                <w:sz w:val="18"/>
              </w:rPr>
              <w:t>90 472 millions FCFA</w:t>
            </w:r>
          </w:p>
        </w:tc>
      </w:tr>
      <w:tr>
        <w:tc>
          <w:tcPr>
            <w:tcW w:type="dxa" w:w="2160"/>
          </w:tcPr>
          <w:p>
            <w:r/>
            <w:r>
              <w:rPr>
                <w:b/>
                <w:sz w:val="16"/>
              </w:rPr>
              <w:t>resultat_net</w:t>
              <w:br/>
            </w:r>
            <w:r>
              <w:rPr>
                <w:sz w:val="18"/>
              </w:rPr>
              <w:t>731 millions FCFA</w:t>
            </w:r>
          </w:p>
        </w:tc>
        <w:tc>
          <w:tcPr>
            <w:tcW w:type="dxa" w:w="2160"/>
          </w:tcPr>
          <w:p>
            <w:r/>
            <w:r>
              <w:rPr>
                <w:b/>
                <w:sz w:val="16"/>
              </w:rPr>
              <w:t>capitaux_propres</w:t>
              <w:br/>
            </w:r>
            <w:r>
              <w:rPr>
                <w:sz w:val="18"/>
              </w:rPr>
              <w:t>6 647 millions FCFA</w:t>
            </w:r>
          </w:p>
        </w:tc>
        <w:tc>
          <w:tcPr>
            <w:tcW w:type="dxa" w:w="2160"/>
          </w:tcPr>
          <w:p>
            <w:r/>
            <w:r>
              <w:rPr>
                <w:b/>
                <w:sz w:val="16"/>
              </w:rPr>
              <w:t>chiffre_affaires</w:t>
              <w:br/>
            </w:r>
            <w:r>
              <w:rPr>
                <w:sz w:val="18"/>
              </w:rPr>
              <w:t>2 907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37%, passant de 2 122 à 2 907 millions FCFA.</w:t>
      </w:r>
    </w:p>
    <w:p>
      <w:pPr>
        <w:pStyle w:val="ListBullet"/>
        <w:spacing w:before="20" w:after="20"/>
        <w:ind w:left="700"/>
      </w:pPr>
      <w:r>
        <w:rPr>
          <w:sz w:val="18"/>
        </w:rPr>
        <w:t>Résultat net en hausse de 231%, passant de 221 à 731 millions FCFA.</w:t>
      </w:r>
    </w:p>
    <w:p>
      <w:pPr>
        <w:pStyle w:val="ListBullet"/>
        <w:spacing w:before="20" w:after="20"/>
        <w:ind w:left="700"/>
      </w:pPr>
      <w:r>
        <w:rPr>
          <w:sz w:val="18"/>
        </w:rPr>
        <w:t>Le coût du risque s'améliore, avec une reprise nette de 261 millions FCFA contre une charge de 93 millions un an plus tôt.</w:t>
      </w:r>
    </w:p>
    <w:p>
      <w:pPr>
        <w:pStyle w:val="ListBullet"/>
        <w:spacing w:before="20" w:after="20"/>
        <w:ind w:left="700"/>
      </w:pPr>
      <w:r>
        <w:rPr>
          <w:sz w:val="18"/>
        </w:rPr>
        <w:t>Total du bilan en hausse de 14% pour atteindre 90 472 millions FCFA.</w:t>
      </w:r>
    </w:p>
    <w:p>
      <w:pPr>
        <w:pStyle w:val="ListBullet"/>
        <w:spacing w:before="20" w:after="20"/>
        <w:ind w:left="700"/>
      </w:pPr>
      <w:r>
        <w:rPr>
          <w:sz w:val="18"/>
        </w:rPr>
        <w:t>Les opérations avec la clientèle (à l'actif) progressent de 21%, atteignant 68 537 millions FCFA.</w:t>
      </w:r>
    </w:p>
    <w:p>
      <w:pPr>
        <w:pStyle w:val="ListBullet"/>
        <w:spacing w:before="20" w:after="20"/>
        <w:ind w:left="700"/>
      </w:pPr>
      <w:r>
        <w:rPr>
          <w:sz w:val="18"/>
        </w:rPr>
        <w:t>Capitaux propres et ressources assimilées en hausse de 22% à 6 647 millions FCFA.</w:t>
      </w:r>
    </w:p>
    <w:p>
      <w:pPr>
        <w:spacing w:before="40"/>
        <w:ind w:left="400"/>
      </w:pPr>
      <w:r>
        <w:rPr>
          <w:b/>
          <w:color w:val="C05000"/>
          <w:sz w:val="18"/>
        </w:rPr>
        <w:t xml:space="preserve">⚠️ Risques : </w:t>
      </w:r>
      <w:r>
        <w:rPr>
          <w:sz w:val="18"/>
        </w:rPr>
        <w:t>["Risque de d\u00e9gradation de la qualit\u00e9 du portefeuille de cr\u00e9dit, susceptible d'accro\u00eetre le co\u00fbt du risque.", "Risque de d\u00e9pendance au financement par la client\u00e8le, dont la collecte peut se rench\u00e9rir.", "Risque r\u00e9glementaire, notamment en cas de durcissem</w:t>
      </w:r>
    </w:p>
    <w:p>
      <w:pPr>
        <w:spacing w:before="40"/>
        <w:ind w:left="400"/>
      </w:pPr>
      <w:r>
        <w:rPr>
          <w:b/>
          <w:color w:val="0064A0"/>
          <w:sz w:val="18"/>
        </w:rPr>
        <w:t xml:space="preserve">🔮 Perspectives : </w:t>
      </w:r>
      <w:r>
        <w:rPr>
          <w:sz w:val="18"/>
        </w:rPr>
        <w:t>L'établissement devrait poursuivre sa croissance, porté par le développement des crédits à la clientèle et l'amélioration de sa rentabilité. Les fonds propres renforcés offrent des marges de manœuvre pour accompagner cette expansion tout en maintenant une gestion prudente des risques.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
      <w:r>
        <w:t>════════════════════════════════════════════════════════════════════════════════</w:t>
      </w:r>
    </w:p>
    <w:p>
      <w:r>
        <w:br w:type="page"/>
      </w:r>
    </w:p>
    <w:p>
      <w:pPr>
        <w:pStyle w:val="Heading2"/>
        <w:spacing w:before="360"/>
      </w:pPr>
      <w:r>
        <w:rPr>
          <w:color w:val="0066CC"/>
        </w:rPr>
        <w:t>29.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58.41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11,046 titres</w:t>
            </w:r>
          </w:p>
        </w:tc>
        <w:tc>
          <w:tcPr>
            <w:tcW w:type="dxa" w:w="2268"/>
            <w:shd w:fill="FFF2CC" w:val="clear"/>
          </w:tcPr>
          <w:p>
            <w:r>
              <w:rPr>
                <w:b/>
                <w:color w:val="503200"/>
                <w:sz w:val="16"/>
              </w:rPr>
              <w:t xml:space="preserve">Cours actuel : </w:t>
            </w:r>
            <w:r>
              <w:rPr>
                <w:color w:val="000000"/>
                <w:sz w:val="17"/>
              </w:rPr>
              <w:t>2,980 FCFA</w:t>
            </w:r>
          </w:p>
          <w:p>
            <w:r>
              <w:rPr>
                <w:b/>
                <w:color w:val="503200"/>
                <w:sz w:val="16"/>
              </w:rPr>
              <w:t xml:space="preserve">Var. 100 jours : </w:t>
            </w:r>
            <w:r>
              <w:rPr>
                <w:b/>
                <w:color w:val="007800"/>
                <w:sz w:val="17"/>
              </w:rPr>
              <w:t>+49.75%</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30.8/100 → Moyen</w:t>
      </w:r>
    </w:p>
    <w:p>
      <w:pPr>
        <w:spacing w:before="40" w:after="80"/>
      </w:pPr>
      <w:r>
        <w:rPr>
          <w:rFonts w:ascii="Courier New" w:hAnsi="Courier New"/>
          <w:color w:val="825A00"/>
          <w:sz w:val="18"/>
        </w:rPr>
        <w:t>██████░░░░░░░░░░░░░░  30.8/100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16.01% (Élevée) — μ=3,146 FCFA, σ=504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β=1.4341 (Agressif) — Cov=0.000095, Var(idx)=0.000066, ρ=0.313, n=95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11,046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σ_j=3.74%/j (Modérée) — Vol. annualisée≈59.4%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5477"/>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0547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2,840</w:t>
            </w:r>
          </w:p>
        </w:tc>
        <w:tc>
          <w:tcPr>
            <w:tcW w:type="dxa" w:w="1440"/>
            <w:shd w:fill="FAFAFA" w:val="clear"/>
          </w:tcPr>
          <w:p>
            <w:r>
              <w:rPr>
                <w:b/>
                <w:sz w:val="17"/>
              </w:rPr>
              <w:t>3,010</w:t>
            </w:r>
          </w:p>
        </w:tc>
        <w:tc>
          <w:tcPr>
            <w:tcW w:type="dxa" w:w="1440"/>
            <w:shd w:fill="FAFAFA" w:val="clear"/>
          </w:tcPr>
          <w:p>
            <w:r>
              <w:rPr>
                <w:sz w:val="17"/>
              </w:rPr>
              <w:t>3,180</w:t>
            </w:r>
          </w:p>
        </w:tc>
        <w:tc>
          <w:tcPr>
            <w:tcW w:type="dxa" w:w="1440"/>
            <w:shd w:fill="FAFAFA" w:val="clear"/>
          </w:tcPr>
          <w:p>
            <w:r>
              <w:rPr>
                <w:b/>
                <w:color w:val="008000"/>
                <w:sz w:val="17"/>
              </w:rPr>
              <w:t>+1.0%</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2,780</w:t>
            </w:r>
          </w:p>
        </w:tc>
        <w:tc>
          <w:tcPr>
            <w:tcW w:type="dxa" w:w="1440"/>
            <w:shd w:fill="FAFAFA" w:val="clear"/>
          </w:tcPr>
          <w:p>
            <w:r>
              <w:rPr>
                <w:b/>
                <w:sz w:val="17"/>
              </w:rPr>
              <w:t>3,021</w:t>
            </w:r>
          </w:p>
        </w:tc>
        <w:tc>
          <w:tcPr>
            <w:tcW w:type="dxa" w:w="1440"/>
            <w:shd w:fill="FAFAFA" w:val="clear"/>
          </w:tcPr>
          <w:p>
            <w:r>
              <w:rPr>
                <w:sz w:val="17"/>
              </w:rPr>
              <w:t>3,262</w:t>
            </w:r>
          </w:p>
        </w:tc>
        <w:tc>
          <w:tcPr>
            <w:tcW w:type="dxa" w:w="1440"/>
            <w:shd w:fill="FAFAFA" w:val="clear"/>
          </w:tcPr>
          <w:p>
            <w:r>
              <w:rPr>
                <w:b/>
                <w:color w:val="008000"/>
                <w:sz w:val="17"/>
              </w:rPr>
              <w:t>+1.4%</w:t>
            </w:r>
          </w:p>
        </w:tc>
      </w:tr>
      <w:tr>
        <w:tc>
          <w:tcPr>
            <w:tcW w:type="dxa" w:w="1440"/>
            <w:shd w:fill="C6EFCE" w:val="clear"/>
          </w:tcPr>
          <w:p>
            <w:r>
              <w:rPr>
                <w:sz w:val="17"/>
              </w:rPr>
              <w:t>J+3  Moyenne</w:t>
            </w:r>
          </w:p>
        </w:tc>
        <w:tc>
          <w:tcPr>
            <w:tcW w:type="dxa" w:w="1440"/>
            <w:shd w:fill="C6EFCE" w:val="clear"/>
          </w:tcPr>
          <w:p>
            <w:r>
              <w:rPr>
                <w:sz w:val="17"/>
              </w:rPr>
              <w:t>2026-10-01</w:t>
            </w:r>
          </w:p>
        </w:tc>
        <w:tc>
          <w:tcPr>
            <w:tcW w:type="dxa" w:w="1440"/>
            <w:shd w:fill="C6EFCE" w:val="clear"/>
          </w:tcPr>
          <w:p>
            <w:r>
              <w:rPr>
                <w:sz w:val="17"/>
              </w:rPr>
              <w:t>2,800</w:t>
            </w:r>
          </w:p>
        </w:tc>
        <w:tc>
          <w:tcPr>
            <w:tcW w:type="dxa" w:w="1440"/>
            <w:shd w:fill="C6EFCE" w:val="clear"/>
          </w:tcPr>
          <w:p>
            <w:r>
              <w:rPr>
                <w:b/>
                <w:sz w:val="17"/>
              </w:rPr>
              <w:t>3,103</w:t>
            </w:r>
          </w:p>
        </w:tc>
        <w:tc>
          <w:tcPr>
            <w:tcW w:type="dxa" w:w="1440"/>
            <w:shd w:fill="C6EFCE" w:val="clear"/>
          </w:tcPr>
          <w:p>
            <w:r>
              <w:rPr>
                <w:sz w:val="17"/>
              </w:rPr>
              <w:t>3,406</w:t>
            </w:r>
          </w:p>
        </w:tc>
        <w:tc>
          <w:tcPr>
            <w:tcW w:type="dxa" w:w="1440"/>
            <w:shd w:fill="C6EFCE" w:val="clear"/>
          </w:tcPr>
          <w:p>
            <w:r>
              <w:rPr>
                <w:b/>
                <w:color w:val="008000"/>
                <w:sz w:val="17"/>
              </w:rPr>
              <w:t>+4.1%</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2,828</w:t>
            </w:r>
          </w:p>
        </w:tc>
        <w:tc>
          <w:tcPr>
            <w:tcW w:type="dxa" w:w="1440"/>
            <w:shd w:fill="C6EFCE" w:val="clear"/>
          </w:tcPr>
          <w:p>
            <w:r>
              <w:rPr>
                <w:b/>
                <w:sz w:val="17"/>
              </w:rPr>
              <w:t>3,187</w:t>
            </w:r>
          </w:p>
        </w:tc>
        <w:tc>
          <w:tcPr>
            <w:tcW w:type="dxa" w:w="1440"/>
            <w:shd w:fill="C6EFCE" w:val="clear"/>
          </w:tcPr>
          <w:p>
            <w:r>
              <w:rPr>
                <w:sz w:val="17"/>
              </w:rPr>
              <w:t>3,547</w:t>
            </w:r>
          </w:p>
        </w:tc>
        <w:tc>
          <w:tcPr>
            <w:tcW w:type="dxa" w:w="1440"/>
            <w:shd w:fill="C6EFCE" w:val="clear"/>
          </w:tcPr>
          <w:p>
            <w:r>
              <w:rPr>
                <w:b/>
                <w:color w:val="008000"/>
                <w:sz w:val="17"/>
              </w:rPr>
              <w:t>+7.0%</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2,846</w:t>
            </w:r>
          </w:p>
        </w:tc>
        <w:tc>
          <w:tcPr>
            <w:tcW w:type="dxa" w:w="1440"/>
            <w:shd w:fill="C6EFCE" w:val="clear"/>
          </w:tcPr>
          <w:p>
            <w:r>
              <w:rPr>
                <w:b/>
                <w:sz w:val="17"/>
              </w:rPr>
              <w:t>3,257</w:t>
            </w:r>
          </w:p>
        </w:tc>
        <w:tc>
          <w:tcPr>
            <w:tcW w:type="dxa" w:w="1440"/>
            <w:shd w:fill="C6EFCE" w:val="clear"/>
          </w:tcPr>
          <w:p>
            <w:r>
              <w:rPr>
                <w:sz w:val="17"/>
              </w:rPr>
              <w:t>3,668</w:t>
            </w:r>
          </w:p>
        </w:tc>
        <w:tc>
          <w:tcPr>
            <w:tcW w:type="dxa" w:w="1440"/>
            <w:shd w:fill="C6EFCE" w:val="clear"/>
          </w:tcPr>
          <w:p>
            <w:r>
              <w:rPr>
                <w:b/>
                <w:color w:val="008000"/>
                <w:sz w:val="17"/>
              </w:rPr>
              <w:t>+9.3%</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2,851</w:t>
            </w:r>
          </w:p>
        </w:tc>
        <w:tc>
          <w:tcPr>
            <w:tcW w:type="dxa" w:w="1440"/>
            <w:shd w:fill="C6EFCE" w:val="clear"/>
          </w:tcPr>
          <w:p>
            <w:r>
              <w:rPr>
                <w:b/>
                <w:sz w:val="17"/>
              </w:rPr>
              <w:t>3,308</w:t>
            </w:r>
          </w:p>
        </w:tc>
        <w:tc>
          <w:tcPr>
            <w:tcW w:type="dxa" w:w="1440"/>
            <w:shd w:fill="C6EFCE" w:val="clear"/>
          </w:tcPr>
          <w:p>
            <w:r>
              <w:rPr>
                <w:sz w:val="17"/>
              </w:rPr>
              <w:t>3,766</w:t>
            </w:r>
          </w:p>
        </w:tc>
        <w:tc>
          <w:tcPr>
            <w:tcW w:type="dxa" w:w="1440"/>
            <w:shd w:fill="C6EFCE" w:val="clear"/>
          </w:tcPr>
          <w:p>
            <w:r>
              <w:rPr>
                <w:b/>
                <w:color w:val="008000"/>
                <w:sz w:val="17"/>
              </w:rPr>
              <w:t>+11.0%</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2,846</w:t>
            </w:r>
          </w:p>
        </w:tc>
        <w:tc>
          <w:tcPr>
            <w:tcW w:type="dxa" w:w="1440"/>
            <w:shd w:fill="C6EFCE" w:val="clear"/>
          </w:tcPr>
          <w:p>
            <w:r>
              <w:rPr>
                <w:b/>
                <w:sz w:val="17"/>
              </w:rPr>
              <w:t>3,345</w:t>
            </w:r>
          </w:p>
        </w:tc>
        <w:tc>
          <w:tcPr>
            <w:tcW w:type="dxa" w:w="1440"/>
            <w:shd w:fill="C6EFCE" w:val="clear"/>
          </w:tcPr>
          <w:p>
            <w:r>
              <w:rPr>
                <w:sz w:val="17"/>
              </w:rPr>
              <w:t>3,845</w:t>
            </w:r>
          </w:p>
        </w:tc>
        <w:tc>
          <w:tcPr>
            <w:tcW w:type="dxa" w:w="1440"/>
            <w:shd w:fill="C6EFCE" w:val="clear"/>
          </w:tcPr>
          <w:p>
            <w:r>
              <w:rPr>
                <w:b/>
                <w:color w:val="008000"/>
                <w:sz w:val="17"/>
              </w:rPr>
              <w:t>+12.3%</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2,834</w:t>
            </w:r>
          </w:p>
        </w:tc>
        <w:tc>
          <w:tcPr>
            <w:tcW w:type="dxa" w:w="1440"/>
            <w:shd w:fill="C6EFCE" w:val="clear"/>
          </w:tcPr>
          <w:p>
            <w:r>
              <w:rPr>
                <w:b/>
                <w:sz w:val="17"/>
              </w:rPr>
              <w:t>3,372</w:t>
            </w:r>
          </w:p>
        </w:tc>
        <w:tc>
          <w:tcPr>
            <w:tcW w:type="dxa" w:w="1440"/>
            <w:shd w:fill="C6EFCE" w:val="clear"/>
          </w:tcPr>
          <w:p>
            <w:r>
              <w:rPr>
                <w:sz w:val="17"/>
              </w:rPr>
              <w:t>3,911</w:t>
            </w:r>
          </w:p>
        </w:tc>
        <w:tc>
          <w:tcPr>
            <w:tcW w:type="dxa" w:w="1440"/>
            <w:shd w:fill="C6EFCE" w:val="clear"/>
          </w:tcPr>
          <w:p>
            <w:r>
              <w:rPr>
                <w:b/>
                <w:color w:val="008000"/>
                <w:sz w:val="17"/>
              </w:rPr>
              <w:t>+13.2%</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2,819</w:t>
            </w:r>
          </w:p>
        </w:tc>
        <w:tc>
          <w:tcPr>
            <w:tcW w:type="dxa" w:w="1440"/>
            <w:shd w:fill="C6EFCE" w:val="clear"/>
          </w:tcPr>
          <w:p>
            <w:r>
              <w:rPr>
                <w:b/>
                <w:sz w:val="17"/>
              </w:rPr>
              <w:t>3,393</w:t>
            </w:r>
          </w:p>
        </w:tc>
        <w:tc>
          <w:tcPr>
            <w:tcW w:type="dxa" w:w="1440"/>
            <w:shd w:fill="C6EFCE" w:val="clear"/>
          </w:tcPr>
          <w:p>
            <w:r>
              <w:rPr>
                <w:sz w:val="17"/>
              </w:rPr>
              <w:t>3,967</w:t>
            </w:r>
          </w:p>
        </w:tc>
        <w:tc>
          <w:tcPr>
            <w:tcW w:type="dxa" w:w="1440"/>
            <w:shd w:fill="C6EFCE" w:val="clear"/>
          </w:tcPr>
          <w:p>
            <w:r>
              <w:rPr>
                <w:b/>
                <w:color w:val="008000"/>
                <w:sz w:val="17"/>
              </w:rPr>
              <w:t>+13.9%</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2,801</w:t>
            </w:r>
          </w:p>
        </w:tc>
        <w:tc>
          <w:tcPr>
            <w:tcW w:type="dxa" w:w="1440"/>
            <w:shd w:fill="C6EFCE" w:val="clear"/>
          </w:tcPr>
          <w:p>
            <w:r>
              <w:rPr>
                <w:b/>
                <w:sz w:val="17"/>
              </w:rPr>
              <w:t>3,409</w:t>
            </w:r>
          </w:p>
        </w:tc>
        <w:tc>
          <w:tcPr>
            <w:tcW w:type="dxa" w:w="1440"/>
            <w:shd w:fill="C6EFCE" w:val="clear"/>
          </w:tcPr>
          <w:p>
            <w:r>
              <w:rPr>
                <w:sz w:val="17"/>
              </w:rPr>
              <w:t>4,017</w:t>
            </w:r>
          </w:p>
        </w:tc>
        <w:tc>
          <w:tcPr>
            <w:tcW w:type="dxa" w:w="1440"/>
            <w:shd w:fill="C6EFCE" w:val="clear"/>
          </w:tcPr>
          <w:p>
            <w:r>
              <w:rPr>
                <w:b/>
                <w:color w:val="008000"/>
                <w:sz w:val="17"/>
              </w:rPr>
              <w:t>+14.4%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pPr>
      <w:r>
        <w:t>**RAPPORT D'ANALYSE FINANCIÈRE — SCRC (SUCRIVOIRE)**</w:t>
        <w:br/>
        <w:t>*Bourse Régionale des Valeurs Mobilières (BRVM) — Secteur : Agro-industrie (Sucre)*</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58,41 milliards FCFA, SCRC se positionne comme une valeur moyenne de la cote BRVM, mais son profil de valorisation est profondément atypique et préoccupant. Le BPA s'établit à -406 FCFA/action, ce qui signifie que chaque action détruite 406 FCFA de valeur comptable sur l'exercice 2025, expliquant mécaniquement un PER négatif de -7,3x — les investisseurs ne paient donc pas pour des bénéfices inexistants, mais spéculent sur un retournement futur. Le P/B de 3,39x indique que le marché valorise l'entreprise à plus de trois fois ses fonds propres comptables (17,24 Mds FCFA), une prime de croissance qui apparaît aujourd'hui totalement déconnectée de la réalité financière. Enfin, l'EV/EBITDA de 10,1x suggère que la valeur d'entreprise (incluant une dette financière massive de 84,87 Mds FCFA) représente environ 10 fois l'EBE de 14,85 Mds FCFA, un niveau élevé qui intègre implicitement une forte reprise opérationnelle — hypothèse que les derniers résultats ne confirment pas.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SCRC affiche une progression spectaculaire de +49,75%, portant le cours à 2 980 FCFA, malgré un repli de -3,87% lors de la dernière séance. Le titre a évolué dans un range très large de 1 990 FCFA (plus bas) à 3 920 FCFA (plus haut), soit une amplitude de près de 97%, témoignant d'une forte volatilité et d'un intérêt spéculatif marqué. La tendance générale est haussière sur la période, mais le cours actuel (2 980 FCFA) se situe désormais sous sa moyenne (3 146 FCFA) et sa médiane (3 298 FCFA), signalant un essoufflement récent. L'écart entre moyenne et médiane (152 FCFA) confirme une distribution asymétrique avec des pics haussiers suivis de corrections. L'écart-type de 506 FCFA (CV=16,1%) traduit une dispersion modérée à élevée du cours, tandis que le kurtosis de -0,500 (mésokurtique) indique une distribution proche de la normale, sans risque extrême de pics. Le skewness de -0,768 (asymétrie négative) révèle que les journées de baisse sont plus fréquentes que les journées de hausse au-dessus de la moyenne, un signal baissier. Enfin, la volatilité annualisée de 59,4% classe le titre dans la catégorie **très volatile** (&gt;30%), ce qui est caractéristique des valeurs en difficulté ou spéculatives.</w:t>
      </w:r>
    </w:p>
    <w:p>
      <w:pPr>
        <w:spacing w:after="120" w:line="276" w:lineRule="auto"/>
      </w:pPr>
      <w:r>
        <w:t>---</w:t>
      </w:r>
    </w:p>
    <w:p>
      <w:pPr>
        <w:spacing w:after="120" w:line="276" w:lineRule="auto"/>
      </w:pPr>
      <w:r>
        <w:t>### **PARTIE 2 : ANALYSE TECHNIQUE DÉTAILLÉE**</w:t>
      </w:r>
    </w:p>
    <w:p>
      <w:pPr>
        <w:spacing w:after="120" w:line="276" w:lineRule="auto"/>
      </w:pPr>
      <w:r>
        <w:t>**Moyennes Mobiles** : La MM20 (3 302,25 FCFA) et la MM50 (3 476,9 FCFA) sont toutes deux nettement supérieures au cours actuel (2 980 FCFA), confirmant une configuration baissière de court et moyen terme. Le cours évolue sous ses deux moyennes, ce qui valide la décision technique de **Vente** — la pression vendeuse domine et aucun croisement haussier n'est en vue.</w:t>
      </w:r>
    </w:p>
    <w:p>
      <w:pPr>
        <w:spacing w:after="120" w:line="276" w:lineRule="auto"/>
      </w:pPr>
      <w:r>
        <w:t>**Bandes de Bollinger** : Le cours (2 980 FCFA) se situe dans la partie basse de la bande, entre la borne inférieure (2 755,58 FCFA) et la borne supérieure (3 848,92 FCFA), sans atteindre la zone de survente extrême. La décision **Neutre** reflète cette position médiane-basse, avec une volatilité qui reste élevée (largeur de bande de 1 093 FCFA) mais sans signal directionnel clair.</w:t>
      </w:r>
    </w:p>
    <w:p>
      <w:pPr>
        <w:spacing w:after="120" w:line="276" w:lineRule="auto"/>
      </w:pPr>
      <w:r>
        <w:t>**MACD** : La valeur du MACD (-153,82) est inférieure à son signal (-109,18), confirmant un momentum baissier persistant. La divergence négative entre les deux lignes valide la décision de **Vente** — la dynamique de court terme reste clairement négative, sans signe de retournement imminent.</w:t>
      </w:r>
    </w:p>
    <w:p>
      <w:pPr>
        <w:spacing w:after="120" w:line="276" w:lineRule="auto"/>
      </w:pPr>
      <w:r>
        <w:t>**RSI** : À 28,37, le RSI se situe en zone de **survente** (&lt;30), ce qui déclenche une décision d'**Achat** technique. Ce signal suggère qu'un rebond technique est possible à court terme, mais il doit être pondéré par la tendance baissière sous-jacente (MM et MACD négatifs).</w:t>
      </w:r>
    </w:p>
    <w:p>
      <w:pPr>
        <w:spacing w:after="120" w:line="276" w:lineRule="auto"/>
      </w:pPr>
      <w:r>
        <w:t>**Stochastique** : Le %K (32,96) et le %D (33,21) évoluent en zone basse, proches l'un de l'autre, sans croisement haussier confirmé. La décision **Neutre** traduit une absence de signal fort, le marché attendant une direction claire.</w:t>
      </w:r>
    </w:p>
    <w:p>
      <w:pPr>
        <w:spacing w:after="120" w:line="276" w:lineRule="auto"/>
      </w:pPr>
      <w:r>
        <w:t>**Conclusion technique** : Les indicateurs sont majoritairement baissiers (MM, MACD), avec un signal d'achat isolé du RSI en zone de survente et un stochastique neutre. Cette configuration divergente suggère un possible rebond technique à court terme, mais la tendance de fond reste négative tant que le cours ne repasse pas au-dessus de la MM20 (3 302 FCFA). La prudence est de mise.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(source : brvm_donnees_financieres) révèlent une situation financière très dégradée. Le chiffre d'affaires s'établit à 80,57 Mds FCFA, en baisse de -7,6% par rapport à 2024 (87,22 Mds FCFA), tandis que le résultat net plonge dans le rouge à -7,95 Mds FCFA, contre un bénéfice de 2,47 Mds FCFA en 2024 — une dégradation de 421%. Le ROE est catastrophique à -46,13% et le ROA à -5,08%, confirmant la destruction de valeur. Les marges sont également sous pression : la marge nette est de -9,87% et la marge opérationnelle de -0,68%, bien que la marge brute reste solide à 45,82%. La structure financière est critique : l'autonomie financière n'est que de 11,02% (seuil sain &gt;30%), le ratio d'endettement atteint 88,98% et la trésorerie nette est négative à -6,51 Mds FCFA. Les délais clients (12,28 jours) sont bien maîtrisés, mais le délai fournisseurs (366,07 jours) et la durée de stockage (360,73 jours) révèlent une gestion des stocks très lourde. Les rapports narratifs (datés du 31/12/2025 et du 30/06/2025) confirment cette analyse : le rapport du 30/06/2025 (S1 2025) mentionne une perte nette de -6,71 Mds FCFA et un résultat d'exploitation négatif de -3,18 Mds FCFA, tandis que le rapport annuel 2025 (analysé par DEEPSEEK le 19/05/2026) souligne l'explosion des charges financières (+262% à 6,79 Mds FCFA) et un endettement long terme bondissant de 168% à 64,5 Mds FCFA. Les perspectives pour 2026 (rapport T1 2026, analysé par GEMINI-VISION le 23/09/2026) restent très préoccupantes, avec un risque de défaut lié à un endettement critique. La recommandation fondamentale est de **VENDRE**, la société étant en crise majeure avec une structure financière fragilisée et des perspectives incertaines.</w:t>
      </w:r>
    </w:p>
    <w:p>
      <w:pPr>
        <w:spacing w:after="120" w:line="276" w:lineRule="auto"/>
      </w:pPr>
      <w:r>
        <w:t>---</w:t>
      </w:r>
    </w:p>
    <w:p>
      <w:pPr>
        <w:spacing w:after="120" w:line="276" w:lineRule="auto"/>
      </w:pPr>
      <w:r>
        <w:t>### **PARTIE 4 : CONCLUSION D'INVESTISSEMENT**</w:t>
      </w:r>
    </w:p>
    <w:p>
      <w:pPr>
        <w:spacing w:after="120" w:line="276" w:lineRule="auto"/>
      </w:pPr>
      <w:r>
        <w:t>La synthèse globale des quatre parties révèle une divergence majeure entre les signaux techniques et fondamentaux. La valorisation (Partie 0) est totalement déconnectée de la réalité : PER négatif, P/B de 3,39x et EV/EBITDA de 10,1x intègrent une reprise qui ne se matérialise pas. Le comportement du cours (Partie 1) est paradoxal : +49,75% sur 100 jours malgré une situation financière catastrophique, avec une volatilité très élevée (59,4%) et un skewness négatif (-0,768) préoccupant. Les signaux techniques (Partie 2) sont majoritairement baissiers (MM, MACD), avec un RSI en survente qui pourrait générer un rebond technique éphémère. Les fondamentaux (Partie 3) sont alarmants : perte nette de -7,95 Mds FCFA en 2025, ROE de -46,13%, endettement critique et trésorerie négative. Les prédictions IA (J+1 à J+10) anticipent une hausse modérée vers 3 257 FCFA, ce qui contredit les signaux baissiers mais pourrait refléter un simple rebond technique après la survente. **Recommandation finale : VENTE FORTE**. La convergence des signaux fondamentaux (crise financière) et techniques (tendance baissière) l'emporte largement sur le rebond technique potentiel et les prédictions haussières à court terme. Le niveau de confiance est **Élevé** et le risque global est **Très Élevé**. L'horizon d'investissement recommandé est **court terme** (&lt;3 mois) pour les investisseurs cherchant à sortir avant une nouvelle dégradation, ou **évitement total** pour les investisseurs prudents.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30.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112.05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1,424 titres</w:t>
            </w:r>
          </w:p>
        </w:tc>
        <w:tc>
          <w:tcPr>
            <w:tcW w:type="dxa" w:w="2268"/>
            <w:shd w:fill="FFF2CC" w:val="clear"/>
          </w:tcPr>
          <w:p>
            <w:r>
              <w:rPr>
                <w:b/>
                <w:color w:val="503200"/>
                <w:sz w:val="16"/>
              </w:rPr>
              <w:t xml:space="preserve">Cours actuel : </w:t>
            </w:r>
            <w:r>
              <w:rPr>
                <w:color w:val="000000"/>
                <w:sz w:val="17"/>
              </w:rPr>
              <w:t>12,450 FCFA</w:t>
            </w:r>
          </w:p>
          <w:p>
            <w:r>
              <w:rPr>
                <w:b/>
                <w:color w:val="503200"/>
                <w:sz w:val="16"/>
              </w:rPr>
              <w:t xml:space="preserve">Var. 100 jours : </w:t>
            </w:r>
            <w:r>
              <w:rPr>
                <w:b/>
                <w:color w:val="007800"/>
                <w:sz w:val="17"/>
              </w:rPr>
              <w:t>+36.96%</w:t>
            </w:r>
          </w:p>
          <w:p>
            <w:r>
              <w:rPr>
                <w:b/>
                <w:color w:val="503200"/>
                <w:sz w:val="16"/>
              </w:rPr>
              <w:t xml:space="preserve">Plus haut 100j : </w:t>
            </w:r>
            <w:r>
              <w:rPr>
                <w:color w:val="000000"/>
                <w:sz w:val="17"/>
              </w:rPr>
              <w:t>13,885 FCFA</w:t>
            </w:r>
          </w:p>
          <w:p>
            <w:r>
              <w:rPr>
                <w:b/>
                <w:color w:val="503200"/>
                <w:sz w:val="16"/>
              </w:rPr>
              <w:t xml:space="preserve">Plus bas 100j : </w:t>
            </w:r>
            <w:r>
              <w:rPr>
                <w:color w:val="000000"/>
                <w:sz w:val="17"/>
              </w:rPr>
              <w:t>8,900 FCFA</w:t>
            </w:r>
          </w:p>
          <w:p>
            <w:r>
              <w:rPr>
                <w:b/>
                <w:color w:val="503200"/>
                <w:sz w:val="16"/>
              </w:rPr>
              <w:t xml:space="preserve">Volatilité ann. : </w:t>
            </w:r>
            <w:r>
              <w:rPr>
                <w:color w:val="000000"/>
                <w:sz w:val="17"/>
              </w:rPr>
              <w:t>38.9%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8.65% (Moyenne) — μ=11,802 FCFA, σ=1,021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β=0.7248 (Défensif) — Cov=0.000049, Var(idx)=0.000068, ρ=0.246,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σ_j=2.45%/j (Stable) — Vol. annualisée≈38.9%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11,877</w:t>
            </w:r>
          </w:p>
        </w:tc>
        <w:tc>
          <w:tcPr>
            <w:tcW w:type="dxa" w:w="1440"/>
            <w:shd w:fill="FAFAFA" w:val="clear"/>
          </w:tcPr>
          <w:p>
            <w:r>
              <w:rPr>
                <w:b/>
                <w:sz w:val="17"/>
              </w:rPr>
              <w:t>12,556</w:t>
            </w:r>
          </w:p>
        </w:tc>
        <w:tc>
          <w:tcPr>
            <w:tcW w:type="dxa" w:w="1440"/>
            <w:shd w:fill="FAFAFA" w:val="clear"/>
          </w:tcPr>
          <w:p>
            <w:r>
              <w:rPr>
                <w:sz w:val="17"/>
              </w:rPr>
              <w:t>13,236</w:t>
            </w:r>
          </w:p>
        </w:tc>
        <w:tc>
          <w:tcPr>
            <w:tcW w:type="dxa" w:w="1440"/>
            <w:shd w:fill="FAFAFA" w:val="clear"/>
          </w:tcPr>
          <w:p>
            <w:r>
              <w:rPr>
                <w:b/>
                <w:color w:val="008000"/>
                <w:sz w:val="17"/>
              </w:rPr>
              <w:t>+0.9%</w:t>
            </w:r>
          </w:p>
        </w:tc>
      </w:tr>
      <w:tr>
        <w:tc>
          <w:tcPr>
            <w:tcW w:type="dxa" w:w="1440"/>
            <w:shd w:fill="C6EFCE" w:val="clear"/>
          </w:tcPr>
          <w:p>
            <w:r>
              <w:rPr>
                <w:sz w:val="17"/>
              </w:rPr>
              <w:t>J+2  ⭐</w:t>
            </w:r>
          </w:p>
        </w:tc>
        <w:tc>
          <w:tcPr>
            <w:tcW w:type="dxa" w:w="1440"/>
            <w:shd w:fill="C6EFCE" w:val="clear"/>
          </w:tcPr>
          <w:p>
            <w:r>
              <w:rPr>
                <w:sz w:val="17"/>
              </w:rPr>
              <w:t>2026-09-30</w:t>
            </w:r>
          </w:p>
        </w:tc>
        <w:tc>
          <w:tcPr>
            <w:tcW w:type="dxa" w:w="1440"/>
            <w:shd w:fill="C6EFCE" w:val="clear"/>
          </w:tcPr>
          <w:p>
            <w:r>
              <w:rPr>
                <w:sz w:val="17"/>
              </w:rPr>
              <w:t>11,749</w:t>
            </w:r>
          </w:p>
        </w:tc>
        <w:tc>
          <w:tcPr>
            <w:tcW w:type="dxa" w:w="1440"/>
            <w:shd w:fill="C6EFCE" w:val="clear"/>
          </w:tcPr>
          <w:p>
            <w:r>
              <w:rPr>
                <w:b/>
                <w:sz w:val="17"/>
              </w:rPr>
              <w:t>12,723</w:t>
            </w:r>
          </w:p>
        </w:tc>
        <w:tc>
          <w:tcPr>
            <w:tcW w:type="dxa" w:w="1440"/>
            <w:shd w:fill="C6EFCE" w:val="clear"/>
          </w:tcPr>
          <w:p>
            <w:r>
              <w:rPr>
                <w:sz w:val="17"/>
              </w:rPr>
              <w:t>13,697</w:t>
            </w:r>
          </w:p>
        </w:tc>
        <w:tc>
          <w:tcPr>
            <w:tcW w:type="dxa" w:w="1440"/>
            <w:shd w:fill="C6EFCE" w:val="clear"/>
          </w:tcPr>
          <w:p>
            <w:r>
              <w:rPr>
                <w:b/>
                <w:color w:val="008000"/>
                <w:sz w:val="17"/>
              </w:rPr>
              <w:t>+2.2%</w:t>
            </w:r>
          </w:p>
        </w:tc>
      </w:tr>
      <w:tr>
        <w:tc>
          <w:tcPr>
            <w:tcW w:type="dxa" w:w="1440"/>
            <w:shd w:fill="C6EFCE" w:val="clear"/>
          </w:tcPr>
          <w:p>
            <w:r>
              <w:rPr>
                <w:sz w:val="17"/>
              </w:rPr>
              <w:t>J+3  ⭐</w:t>
            </w:r>
          </w:p>
        </w:tc>
        <w:tc>
          <w:tcPr>
            <w:tcW w:type="dxa" w:w="1440"/>
            <w:shd w:fill="C6EFCE" w:val="clear"/>
          </w:tcPr>
          <w:p>
            <w:r>
              <w:rPr>
                <w:sz w:val="17"/>
              </w:rPr>
              <w:t>2026-10-01</w:t>
            </w:r>
          </w:p>
        </w:tc>
        <w:tc>
          <w:tcPr>
            <w:tcW w:type="dxa" w:w="1440"/>
            <w:shd w:fill="C6EFCE" w:val="clear"/>
          </w:tcPr>
          <w:p>
            <w:r>
              <w:rPr>
                <w:sz w:val="17"/>
              </w:rPr>
              <w:t>11,661</w:t>
            </w:r>
          </w:p>
        </w:tc>
        <w:tc>
          <w:tcPr>
            <w:tcW w:type="dxa" w:w="1440"/>
            <w:shd w:fill="C6EFCE" w:val="clear"/>
          </w:tcPr>
          <w:p>
            <w:r>
              <w:rPr>
                <w:b/>
                <w:sz w:val="17"/>
              </w:rPr>
              <w:t>12,868</w:t>
            </w:r>
          </w:p>
        </w:tc>
        <w:tc>
          <w:tcPr>
            <w:tcW w:type="dxa" w:w="1440"/>
            <w:shd w:fill="C6EFCE" w:val="clear"/>
          </w:tcPr>
          <w:p>
            <w:r>
              <w:rPr>
                <w:sz w:val="17"/>
              </w:rPr>
              <w:t>14,074</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11,585</w:t>
            </w:r>
          </w:p>
        </w:tc>
        <w:tc>
          <w:tcPr>
            <w:tcW w:type="dxa" w:w="1440"/>
            <w:shd w:fill="C6EFCE" w:val="clear"/>
          </w:tcPr>
          <w:p>
            <w:r>
              <w:rPr>
                <w:b/>
                <w:sz w:val="17"/>
              </w:rPr>
              <w:t>12,991</w:t>
            </w:r>
          </w:p>
        </w:tc>
        <w:tc>
          <w:tcPr>
            <w:tcW w:type="dxa" w:w="1440"/>
            <w:shd w:fill="C6EFCE" w:val="clear"/>
          </w:tcPr>
          <w:p>
            <w:r>
              <w:rPr>
                <w:sz w:val="17"/>
              </w:rPr>
              <w:t>14,397</w:t>
            </w:r>
          </w:p>
        </w:tc>
        <w:tc>
          <w:tcPr>
            <w:tcW w:type="dxa" w:w="1440"/>
            <w:shd w:fill="C6EFCE" w:val="clear"/>
          </w:tcPr>
          <w:p>
            <w:r>
              <w:rPr>
                <w:b/>
                <w:color w:val="008000"/>
                <w:sz w:val="17"/>
              </w:rPr>
              <w:t>+4.3%</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11,510</w:t>
            </w:r>
          </w:p>
        </w:tc>
        <w:tc>
          <w:tcPr>
            <w:tcW w:type="dxa" w:w="1440"/>
            <w:shd w:fill="C6EFCE" w:val="clear"/>
          </w:tcPr>
          <w:p>
            <w:r>
              <w:rPr>
                <w:b/>
                <w:sz w:val="17"/>
              </w:rPr>
              <w:t>13,095</w:t>
            </w:r>
          </w:p>
        </w:tc>
        <w:tc>
          <w:tcPr>
            <w:tcW w:type="dxa" w:w="1440"/>
            <w:shd w:fill="C6EFCE" w:val="clear"/>
          </w:tcPr>
          <w:p>
            <w:r>
              <w:rPr>
                <w:sz w:val="17"/>
              </w:rPr>
              <w:t>14,680</w:t>
            </w:r>
          </w:p>
        </w:tc>
        <w:tc>
          <w:tcPr>
            <w:tcW w:type="dxa" w:w="1440"/>
            <w:shd w:fill="C6EFCE" w:val="clear"/>
          </w:tcPr>
          <w:p>
            <w:r>
              <w:rPr>
                <w:b/>
                <w:color w:val="008000"/>
                <w:sz w:val="17"/>
              </w:rPr>
              <w:t>+5.2%</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11,434</w:t>
            </w:r>
          </w:p>
        </w:tc>
        <w:tc>
          <w:tcPr>
            <w:tcW w:type="dxa" w:w="1440"/>
            <w:shd w:fill="C6EFCE" w:val="clear"/>
          </w:tcPr>
          <w:p>
            <w:r>
              <w:rPr>
                <w:b/>
                <w:sz w:val="17"/>
              </w:rPr>
              <w:t>13,181</w:t>
            </w:r>
          </w:p>
        </w:tc>
        <w:tc>
          <w:tcPr>
            <w:tcW w:type="dxa" w:w="1440"/>
            <w:shd w:fill="C6EFCE" w:val="clear"/>
          </w:tcPr>
          <w:p>
            <w:r>
              <w:rPr>
                <w:sz w:val="17"/>
              </w:rPr>
              <w:t>14,929</w:t>
            </w:r>
          </w:p>
        </w:tc>
        <w:tc>
          <w:tcPr>
            <w:tcW w:type="dxa" w:w="1440"/>
            <w:shd w:fill="C6EFCE" w:val="clear"/>
          </w:tcPr>
          <w:p>
            <w:r>
              <w:rPr>
                <w:b/>
                <w:color w:val="008000"/>
                <w:sz w:val="17"/>
              </w:rPr>
              <w:t>+5.9%</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11,348</w:t>
            </w:r>
          </w:p>
        </w:tc>
        <w:tc>
          <w:tcPr>
            <w:tcW w:type="dxa" w:w="1440"/>
            <w:shd w:fill="C6EFCE" w:val="clear"/>
          </w:tcPr>
          <w:p>
            <w:r>
              <w:rPr>
                <w:b/>
                <w:sz w:val="17"/>
              </w:rPr>
              <w:t>13,245</w:t>
            </w:r>
          </w:p>
        </w:tc>
        <w:tc>
          <w:tcPr>
            <w:tcW w:type="dxa" w:w="1440"/>
            <w:shd w:fill="C6EFCE" w:val="clear"/>
          </w:tcPr>
          <w:p>
            <w:r>
              <w:rPr>
                <w:sz w:val="17"/>
              </w:rPr>
              <w:t>15,141</w:t>
            </w:r>
          </w:p>
        </w:tc>
        <w:tc>
          <w:tcPr>
            <w:tcW w:type="dxa" w:w="1440"/>
            <w:shd w:fill="C6EFCE" w:val="clear"/>
          </w:tcPr>
          <w:p>
            <w:r>
              <w:rPr>
                <w:b/>
                <w:color w:val="008000"/>
                <w:sz w:val="17"/>
              </w:rPr>
              <w:t>+6.4%</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11,277</w:t>
            </w:r>
          </w:p>
        </w:tc>
        <w:tc>
          <w:tcPr>
            <w:tcW w:type="dxa" w:w="1440"/>
            <w:shd w:fill="C6EFCE" w:val="clear"/>
          </w:tcPr>
          <w:p>
            <w:r>
              <w:rPr>
                <w:b/>
                <w:sz w:val="17"/>
              </w:rPr>
              <w:t>13,315</w:t>
            </w:r>
          </w:p>
        </w:tc>
        <w:tc>
          <w:tcPr>
            <w:tcW w:type="dxa" w:w="1440"/>
            <w:shd w:fill="C6EFCE" w:val="clear"/>
          </w:tcPr>
          <w:p>
            <w:r>
              <w:rPr>
                <w:sz w:val="17"/>
              </w:rPr>
              <w:t>15,353</w:t>
            </w:r>
          </w:p>
        </w:tc>
        <w:tc>
          <w:tcPr>
            <w:tcW w:type="dxa" w:w="1440"/>
            <w:shd w:fill="C6EFCE" w:val="clear"/>
          </w:tcPr>
          <w:p>
            <w:r>
              <w:rPr>
                <w:b/>
                <w:color w:val="008000"/>
                <w:sz w:val="17"/>
              </w:rPr>
              <w:t>+6.9%</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11,211</w:t>
            </w:r>
          </w:p>
        </w:tc>
        <w:tc>
          <w:tcPr>
            <w:tcW w:type="dxa" w:w="1440"/>
            <w:shd w:fill="C6EFCE" w:val="clear"/>
          </w:tcPr>
          <w:p>
            <w:r>
              <w:rPr>
                <w:b/>
                <w:sz w:val="17"/>
              </w:rPr>
              <w:t>13,384</w:t>
            </w:r>
          </w:p>
        </w:tc>
        <w:tc>
          <w:tcPr>
            <w:tcW w:type="dxa" w:w="1440"/>
            <w:shd w:fill="C6EFCE" w:val="clear"/>
          </w:tcPr>
          <w:p>
            <w:r>
              <w:rPr>
                <w:sz w:val="17"/>
              </w:rPr>
              <w:t>15,557</w:t>
            </w:r>
          </w:p>
        </w:tc>
        <w:tc>
          <w:tcPr>
            <w:tcW w:type="dxa" w:w="1440"/>
            <w:shd w:fill="C6EFCE" w:val="clear"/>
          </w:tcPr>
          <w:p>
            <w:r>
              <w:rPr>
                <w:b/>
                <w:color w:val="008000"/>
                <w:sz w:val="17"/>
              </w:rPr>
              <w:t>+7.5%</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11,151</w:t>
            </w:r>
          </w:p>
        </w:tc>
        <w:tc>
          <w:tcPr>
            <w:tcW w:type="dxa" w:w="1440"/>
            <w:shd w:fill="C6EFCE" w:val="clear"/>
          </w:tcPr>
          <w:p>
            <w:r>
              <w:rPr>
                <w:b/>
                <w:sz w:val="17"/>
              </w:rPr>
              <w:t>13,453</w:t>
            </w:r>
          </w:p>
        </w:tc>
        <w:tc>
          <w:tcPr>
            <w:tcW w:type="dxa" w:w="1440"/>
            <w:shd w:fill="C6EFCE" w:val="clear"/>
          </w:tcPr>
          <w:p>
            <w:r>
              <w:rPr>
                <w:sz w:val="17"/>
              </w:rPr>
              <w:t>15,755</w:t>
            </w:r>
          </w:p>
        </w:tc>
        <w:tc>
          <w:tcPr>
            <w:tcW w:type="dxa" w:w="1440"/>
            <w:shd w:fill="C6EFCE" w:val="clear"/>
          </w:tcPr>
          <w:p>
            <w:r>
              <w:rPr>
                <w:b/>
                <w:color w:val="008000"/>
                <w:sz w:val="17"/>
              </w:rPr>
              <w:t>+8.1%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*Bourse Régionale des Valeurs Mobilières (BRVM) — Secteur : Services publics / Distribution d'eau*</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112,05 milliards FCFA, SDCC se positionne parmi les valeurs moyennes-capitalisations de la cote BRVM, ce qui traduit une certaine maturité mais aussi une liquidité limitée (volume moyen de seulement 1 424 titres/jour). Le BPA de 518 FCFA/action indique que chaque titre génère un bénéfice net de 518 FCFA, ce qui, rapporté au cours actuel de 12 450 FCFA, donne un PER de 24,0x — très nettement supérieur à la moyenne du marché BRVM (8-12x), signalant que les investisseurs paient une forte prime pour cette valeur, soit en anticipation d'une croissance future, soit par effet de rareté. Le P/B de 5,68x confirme cette valorisation exigeante : le marché valorise SDCC à près de 6 fois sa valeur comptable, ce qui est élevé pour une entreprise de services publics à marges faibles (marge nette de 2,46%). L'EV/EBITDA de 14,7x, dans la fourchette haute (10-15x), suggère que la valeur d'entreprise intègre déjà une bonne partie du potentiel opérationnel. Globalement, ces ratios dessinent un profil de titre « cher » sur le plan fondamental, dont la justification repose davantage sur la stabilité du secteur et la qualité du dividende que sur une sous-évaluation.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SDCC affiche une performance remarquable de +36,96%, avec une dernière séance en hausse de +4,62%, confirmant un momentum haussier soutenu. Le titre a évolué dans un range large de 8 900 FCFA (plus bas) à 13 885 FCFA (plus haut), soit une amplitude de près de 56%, avant de se stabiliser autour de 12 450 FCFA. La tendance générale est donc clairement haussière, portée par l'amélioration des résultats opérationnels et l'attrait pour les valeurs défensives du secteur de l'eau. Les statistiques descriptives révèlent une distribution légèrement asymétrique : la moyenne (11 802 FCFA) est inférieure à la médiane (11 935 FCFA) et au mode (11 900 FCFA), ce qui, combiné à un skewness négatif de -0,784, indique que le cours a passé plus de journées au-dessus de la moyenne, avec quelques journées de forte baisse tirant la moyenne vers le bas. L'écart-type de 1 026 FCFA (CV = 8,7%) traduit une dispersion modérée autour de la tendance, mais le kurtosis de 1,425 (leptokurtique) signale des queues épaisses, donc un risque de pics de volatilité brutaux. La volatilité annualisée de 38,9% classe le titre dans la catégorie « élevée » (&gt;30%), ce qui est cohérent avec la faible liquidité du marché BRVM et le risque de mouvements erratiques.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(12 921 FCFA) est supérieure à la MM50 (12 346,6 FCFA), et le cours actuel (12 450 FCFA) se situe entre ces deux moyennes, légèrement sous la MM20 mais au-dessus de la MM50. Cette configuration indique une tendance haussière de moyen terme encore intacte, mais un essoufflement court terme. La décision affichée est « Achat », soutenue par le croisement haussier MM20 &gt; MM50.</w:t>
      </w:r>
    </w:p>
    <w:p>
      <w:pPr>
        <w:spacing w:after="120" w:line="276" w:lineRule="auto"/>
      </w:pPr>
      <w:r>
        <w:t>**Bandes de Bollinger** : Le cours (12 450 FCFA) évolue dans la partie basse de la bande, entre la borne inférieure (11 427,9 FCFA) et la borne supérieure (14 414,1 FCFA), sans toucher les extrêmes. Cette position médiane-basse, combinée à une largeur de bande importante, traduit une volatilité élevée mais sans signal de surachat ou de survente. La décision « Neutre » est cohérente avec cette configuration d'attente.</w:t>
      </w:r>
    </w:p>
    <w:p>
      <w:pPr>
        <w:spacing w:after="120" w:line="276" w:lineRule="auto"/>
      </w:pPr>
      <w:r>
        <w:t>**MACD** : La valeur du MACD (-126,95) est nettement inférieure à son signal (54,9), générant une divergence baissière marquée. Cet indicateur suggère un essoufflement du momentum haussier et un risque de correction à court terme, justifiant la décision « Vente » — en contradiction avec les moyennes mobiles.</w:t>
      </w:r>
    </w:p>
    <w:p>
      <w:pPr>
        <w:spacing w:after="120" w:line="276" w:lineRule="auto"/>
      </w:pPr>
      <w:r>
        <w:t>**RSI** : À 39,67, le RSI se situe dans la zone neutre basse (30-70), sans atteindre la zone de survente (&lt;30). Cela indique que le titre n'est ni suracheté ni survendu, mais que la pression vendeuse récente a ramené le momentum proche de la zone de faiblesse. La décision « Neutre » reflète cette absence de signal directionnel fort.</w:t>
      </w:r>
    </w:p>
    <w:p>
      <w:pPr>
        <w:spacing w:after="120" w:line="276" w:lineRule="auto"/>
      </w:pPr>
      <w:r>
        <w:t>**Stochastique** : Le %K (47,24) est supérieur au %D (33,89), ce qui pourrait suggérer un début de croisement haussier, mais les deux valeurs restent dans la zone neutre. La décision « Neutre » est justifiée par l'absence de signal clair de retournement ou de continuation.</w:t>
      </w:r>
    </w:p>
    <w:p>
      <w:pPr>
        <w:spacing w:after="120" w:line="276" w:lineRule="auto"/>
      </w:pPr>
      <w:r>
        <w:t>**Conclusion technique** : Les indicateurs sont divergents : les moyennes mobiles restent haussières (MM20 &gt; MM50), mais le MACD est clairement baissier et le RSI/stochastique sont neutres. Cette configuration suggère une phase de consolidation ou de correction modérée après la forte hausse de +36,96%, avec un risque de repli vers la MM50 (12 346 FCFA) voire la borne inférieure de Bollinger (11 428 FCFA) avant une reprise éventuelle.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SDCC (SODECI) affiche un chiffre d'affaires de 189,43 milliards FCFA, en croissance de +9,98% par rapport à 2024 (172,2 Mds FCFA), portée par la hausse des volumes d'eau facturés et l'augmentation du nombre de clients (+6,14% à 2 272 032 clients). Le résultat net s'établit à 4,663 milliards FCFA, en progression de +31% sur un an, avec une marge nette de 2,46% — faible mais en amélioration. Le ROE ressort à 23,65%, un niveau excellent (&gt;15%), bien que le ROA soit très faible (0,99%), reflétant la structure très capitalistique de l'activité. Le BFR est négatif (104,75 Mds FCFA), ce qui est favorable, mais le délai client est très élevé (749 jours), signalant un risque de trésorerie important, confirmé par une trésorerie nette négative de -61,71 Mds FCFA et un flux opérationnel de -36,66 Mds FCFA. L'autonomie financière est très faible (4,17%), avec un ratio d'endettement de 95,83% et une dépendance financière de 740,21%, ce qui constitue un point de vigilance majeur. Les rapports trimestriels récents confirment la dynamique : le T1 2026 (rapport du 31/03/2026) affiche un CA en léger repli de -2% à 40,916 Mds FCFA, mais un résultat net en bond de +118% à 1,318 Mds FCFA, grâce à une meilleure maîtrise des charges opérationnelles (résultat d'exploitation multiplié par 2,5 à 2,73 Mds FCFA). Sur la base de ce T1 2026, on peut estimer que l'exercice 2026 devrait confirmer l'amélioration de la rentabilité, avec un résultat net annualisé potentiellement supérieur à 5 Mds FCFA, malgré un CA stable. Le dividende proposé pour 2025 est de 525 FCFA/action, offrant un rendement d'environ 4,2% au cours actuel — attractif mais à surveiller compte tenu des tensions de trésorerie. En synthèse, SDCC présente une solidité opérationnelle croissante et une rentabilité des fonds propres excellente, mais sa structure financière très endettée et ses délais clients élevés constituent des risques significatifs. La recommandation fondamentale est « Conserver », avec un biais positif si la maîtrise des charges se poursuit.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exigeante : PER de 24,0x, P/B de 5,68x et EV/EBITDA de 14,7x indiquent que le marché intègre déjà une bonne partie des bonnes nouvelles, laissant peu de marge de sécurité. Le comportement du cours (Partie 1) est haussier sur 100 jours (+36,96%) mais avec une volatilité élevée (38,9%) et un kurtosis leptokurtique (1,425) signalant un risque de pics baissiers brutaux, tandis que le skewness négatif (-0,784) montre que les hausses ont été plus fréquentes que les baisses. Les signaux techniques (Partie 2) sont divergents : les moyennes mobiles restent haussières, mais le MACD est baissier et le RSI/stochastique sont neutres, suggérant une consolidation avant une reprise éventuelle. Les fondamentaux (Partie 3) sont mitigés : croissance du CA (+10%) et du résultat net (+31%) en 2025, ROE excellent (23,65%), mais endettement très élevé (95,83%) et trésorerie négative (-61,71 Mds FCFA) ; les rapports T1 2026 confirment l'amélioration de la rentabilité opérationnelle. Les prédictions IA (J+1 à J+10) tablent sur une hausse progressive de 12 556 FCFA à 13 095 FCFA, ce qui confirme la tendance haussière de moyen terme mais contredit le signal baissier du MACD à court terme. Sur la base de cette synthèse, la convergence entre fondamentaux en amélioration, prédictions haussières et tendance de fond positive l'emporte sur les signaux techniques baissiers à court terme. **Recommandation finale : CONSERVER**, avec un niveau de confiance **Moyen** et un risque global **Élevé** (volatilité, endettement, liquidité limitée). L'horizon d'investissement optimal est le **moyen terme (3-12 mois)**, en attendant la confirmation de la maîtrise des charges et l'amélioration de la trésorerie sur les prochains trimestres. Un passage à « Achat » serait justifié si le cours revient vers 11 500-12 000 FCFA (zone de support) ou si le MACD se retourne à la hausse.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31.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168.48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18,637 titres</w:t>
            </w:r>
          </w:p>
        </w:tc>
        <w:tc>
          <w:tcPr>
            <w:tcW w:type="dxa" w:w="2268"/>
            <w:shd w:fill="FFF2CC" w:val="clear"/>
          </w:tcPr>
          <w:p>
            <w:r>
              <w:rPr>
                <w:b/>
                <w:color w:val="503200"/>
                <w:sz w:val="16"/>
              </w:rPr>
              <w:t xml:space="preserve">Cours actuel : </w:t>
            </w:r>
            <w:r>
              <w:rPr>
                <w:color w:val="000000"/>
                <w:sz w:val="17"/>
              </w:rPr>
              <w:t>3,095 FCFA</w:t>
            </w:r>
          </w:p>
          <w:p>
            <w:r>
              <w:rPr>
                <w:b/>
                <w:color w:val="503200"/>
                <w:sz w:val="16"/>
              </w:rPr>
              <w:t xml:space="preserve">Var. 100 jours : </w:t>
            </w:r>
            <w:r>
              <w:rPr>
                <w:b/>
                <w:color w:val="007800"/>
                <w:sz w:val="17"/>
              </w:rPr>
              <w:t>+79.42%</w:t>
            </w:r>
          </w:p>
          <w:p>
            <w:r>
              <w:rPr>
                <w:b/>
                <w:color w:val="503200"/>
                <w:sz w:val="16"/>
              </w:rPr>
              <w:t xml:space="preserve">Plus haut 100j : </w:t>
            </w:r>
            <w:r>
              <w:rPr>
                <w:color w:val="000000"/>
                <w:sz w:val="17"/>
              </w:rPr>
              <w:t>3,205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17.87% (Élevée) — μ=2,454 FCFA, σ=439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β=0.6163 (Défensif) — Cov=0.000042, Var(idx)=0.000068, ρ=0.156,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18,637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σ_j=3.29%/j (Modérée) — Vol. annualisée≈52.3%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2,923</w:t>
            </w:r>
          </w:p>
        </w:tc>
        <w:tc>
          <w:tcPr>
            <w:tcW w:type="dxa" w:w="1440"/>
            <w:shd w:fill="FAFAFA" w:val="clear"/>
          </w:tcPr>
          <w:p>
            <w:r>
              <w:rPr>
                <w:b/>
                <w:sz w:val="17"/>
              </w:rPr>
              <w:t>3,082</w:t>
            </w:r>
          </w:p>
        </w:tc>
        <w:tc>
          <w:tcPr>
            <w:tcW w:type="dxa" w:w="1440"/>
            <w:shd w:fill="FAFAFA" w:val="clear"/>
          </w:tcPr>
          <w:p>
            <w:r>
              <w:rPr>
                <w:sz w:val="17"/>
              </w:rPr>
              <w:t>3,240</w:t>
            </w:r>
          </w:p>
        </w:tc>
        <w:tc>
          <w:tcPr>
            <w:tcW w:type="dxa" w:w="1440"/>
            <w:shd w:fill="FAFAFA" w:val="clear"/>
          </w:tcPr>
          <w:p>
            <w:r>
              <w:rPr>
                <w:b/>
                <w:color w:val="C00000"/>
                <w:sz w:val="17"/>
              </w:rPr>
              <w:t>-0.4%</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2,829</w:t>
            </w:r>
          </w:p>
        </w:tc>
        <w:tc>
          <w:tcPr>
            <w:tcW w:type="dxa" w:w="1440"/>
            <w:shd w:fill="FAFAFA" w:val="clear"/>
          </w:tcPr>
          <w:p>
            <w:r>
              <w:rPr>
                <w:b/>
                <w:sz w:val="17"/>
              </w:rPr>
              <w:t>3,051</w:t>
            </w:r>
          </w:p>
        </w:tc>
        <w:tc>
          <w:tcPr>
            <w:tcW w:type="dxa" w:w="1440"/>
            <w:shd w:fill="FAFAFA" w:val="clear"/>
          </w:tcPr>
          <w:p>
            <w:r>
              <w:rPr>
                <w:sz w:val="17"/>
              </w:rPr>
              <w:t>3,273</w:t>
            </w:r>
          </w:p>
        </w:tc>
        <w:tc>
          <w:tcPr>
            <w:tcW w:type="dxa" w:w="1440"/>
            <w:shd w:fill="FAFAFA" w:val="clear"/>
          </w:tcPr>
          <w:p>
            <w:r>
              <w:rPr>
                <w:b/>
                <w:color w:val="C00000"/>
                <w:sz w:val="17"/>
              </w:rPr>
              <w:t>-1.4%</w:t>
            </w:r>
          </w:p>
        </w:tc>
      </w:tr>
      <w:tr>
        <w:tc>
          <w:tcPr>
            <w:tcW w:type="dxa" w:w="1440"/>
            <w:shd w:fill="FFDCE0" w:val="clear"/>
          </w:tcPr>
          <w:p>
            <w:r>
              <w:rPr>
                <w:sz w:val="17"/>
              </w:rPr>
              <w:t>J+3  Moyenne</w:t>
            </w:r>
          </w:p>
        </w:tc>
        <w:tc>
          <w:tcPr>
            <w:tcW w:type="dxa" w:w="1440"/>
            <w:shd w:fill="FFDCE0" w:val="clear"/>
          </w:tcPr>
          <w:p>
            <w:r>
              <w:rPr>
                <w:sz w:val="17"/>
              </w:rPr>
              <w:t>2026-10-01</w:t>
            </w:r>
          </w:p>
        </w:tc>
        <w:tc>
          <w:tcPr>
            <w:tcW w:type="dxa" w:w="1440"/>
            <w:shd w:fill="FFDCE0" w:val="clear"/>
          </w:tcPr>
          <w:p>
            <w:r>
              <w:rPr>
                <w:sz w:val="17"/>
              </w:rPr>
              <w:t>2,762</w:t>
            </w:r>
          </w:p>
        </w:tc>
        <w:tc>
          <w:tcPr>
            <w:tcW w:type="dxa" w:w="1440"/>
            <w:shd w:fill="FFDCE0" w:val="clear"/>
          </w:tcPr>
          <w:p>
            <w:r>
              <w:rPr>
                <w:b/>
                <w:sz w:val="17"/>
              </w:rPr>
              <w:t>3,032</w:t>
            </w:r>
          </w:p>
        </w:tc>
        <w:tc>
          <w:tcPr>
            <w:tcW w:type="dxa" w:w="1440"/>
            <w:shd w:fill="FFDCE0" w:val="clear"/>
          </w:tcPr>
          <w:p>
            <w:r>
              <w:rPr>
                <w:sz w:val="17"/>
              </w:rPr>
              <w:t>3,302</w:t>
            </w:r>
          </w:p>
        </w:tc>
        <w:tc>
          <w:tcPr>
            <w:tcW w:type="dxa" w:w="1440"/>
            <w:shd w:fill="FFDCE0" w:val="clear"/>
          </w:tcPr>
          <w:p>
            <w:r>
              <w:rPr>
                <w:b/>
                <w:color w:val="C00000"/>
                <w:sz w:val="17"/>
              </w:rPr>
              <w:t>-2.0%</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2,712</w:t>
            </w:r>
          </w:p>
        </w:tc>
        <w:tc>
          <w:tcPr>
            <w:tcW w:type="dxa" w:w="1440"/>
            <w:shd w:fill="FFDCE0" w:val="clear"/>
          </w:tcPr>
          <w:p>
            <w:r>
              <w:rPr>
                <w:b/>
                <w:sz w:val="17"/>
              </w:rPr>
              <w:t>3,023</w:t>
            </w:r>
          </w:p>
        </w:tc>
        <w:tc>
          <w:tcPr>
            <w:tcW w:type="dxa" w:w="1440"/>
            <w:shd w:fill="FFDCE0" w:val="clear"/>
          </w:tcPr>
          <w:p>
            <w:r>
              <w:rPr>
                <w:sz w:val="17"/>
              </w:rPr>
              <w:t>3,334</w:t>
            </w:r>
          </w:p>
        </w:tc>
        <w:tc>
          <w:tcPr>
            <w:tcW w:type="dxa" w:w="1440"/>
            <w:shd w:fill="FFDCE0" w:val="clear"/>
          </w:tcPr>
          <w:p>
            <w:r>
              <w:rPr>
                <w:b/>
                <w:color w:val="C00000"/>
                <w:sz w:val="17"/>
              </w:rPr>
              <w:t>-2.3%</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2,672</w:t>
            </w:r>
          </w:p>
        </w:tc>
        <w:tc>
          <w:tcPr>
            <w:tcW w:type="dxa" w:w="1440"/>
            <w:shd w:fill="FFDCE0" w:val="clear"/>
          </w:tcPr>
          <w:p>
            <w:r>
              <w:rPr>
                <w:b/>
                <w:sz w:val="17"/>
              </w:rPr>
              <w:t>3,019</w:t>
            </w:r>
          </w:p>
        </w:tc>
        <w:tc>
          <w:tcPr>
            <w:tcW w:type="dxa" w:w="1440"/>
            <w:shd w:fill="FFDCE0" w:val="clear"/>
          </w:tcPr>
          <w:p>
            <w:r>
              <w:rPr>
                <w:sz w:val="17"/>
              </w:rPr>
              <w:t>3,366</w:t>
            </w:r>
          </w:p>
        </w:tc>
        <w:tc>
          <w:tcPr>
            <w:tcW w:type="dxa" w:w="1440"/>
            <w:shd w:fill="FFDCE0" w:val="clear"/>
          </w:tcPr>
          <w:p>
            <w:r>
              <w:rPr>
                <w:b/>
                <w:color w:val="C00000"/>
                <w:sz w:val="17"/>
              </w:rPr>
              <w:t>-2.5%</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2,637</w:t>
            </w:r>
          </w:p>
        </w:tc>
        <w:tc>
          <w:tcPr>
            <w:tcW w:type="dxa" w:w="1440"/>
            <w:shd w:fill="FFDCE0" w:val="clear"/>
          </w:tcPr>
          <w:p>
            <w:r>
              <w:rPr>
                <w:b/>
                <w:sz w:val="17"/>
              </w:rPr>
              <w:t>3,017</w:t>
            </w:r>
          </w:p>
        </w:tc>
        <w:tc>
          <w:tcPr>
            <w:tcW w:type="dxa" w:w="1440"/>
            <w:shd w:fill="FFDCE0" w:val="clear"/>
          </w:tcPr>
          <w:p>
            <w:r>
              <w:rPr>
                <w:sz w:val="17"/>
              </w:rPr>
              <w:t>3,398</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2,606</w:t>
            </w:r>
          </w:p>
        </w:tc>
        <w:tc>
          <w:tcPr>
            <w:tcW w:type="dxa" w:w="1440"/>
            <w:shd w:fill="FFDCE0" w:val="clear"/>
          </w:tcPr>
          <w:p>
            <w:r>
              <w:rPr>
                <w:b/>
                <w:sz w:val="17"/>
              </w:rPr>
              <w:t>3,016</w:t>
            </w:r>
          </w:p>
        </w:tc>
        <w:tc>
          <w:tcPr>
            <w:tcW w:type="dxa" w:w="1440"/>
            <w:shd w:fill="FFDCE0" w:val="clear"/>
          </w:tcPr>
          <w:p>
            <w:r>
              <w:rPr>
                <w:sz w:val="17"/>
              </w:rPr>
              <w:t>3,427</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2,577</w:t>
            </w:r>
          </w:p>
        </w:tc>
        <w:tc>
          <w:tcPr>
            <w:tcW w:type="dxa" w:w="1440"/>
            <w:shd w:fill="FFDCE0" w:val="clear"/>
          </w:tcPr>
          <w:p>
            <w:r>
              <w:rPr>
                <w:b/>
                <w:sz w:val="17"/>
              </w:rPr>
              <w:t>3,016</w:t>
            </w:r>
          </w:p>
        </w:tc>
        <w:tc>
          <w:tcPr>
            <w:tcW w:type="dxa" w:w="1440"/>
            <w:shd w:fill="FFDCE0" w:val="clear"/>
          </w:tcPr>
          <w:p>
            <w:r>
              <w:rPr>
                <w:sz w:val="17"/>
              </w:rPr>
              <w:t>3,455</w:t>
            </w:r>
          </w:p>
        </w:tc>
        <w:tc>
          <w:tcPr>
            <w:tcW w:type="dxa" w:w="1440"/>
            <w:shd w:fill="FFDCE0" w:val="clear"/>
          </w:tcPr>
          <w:p>
            <w:r>
              <w:rPr>
                <w:b/>
                <w:color w:val="C00000"/>
                <w:sz w:val="17"/>
              </w:rPr>
              <w:t>-2.6%</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2,550</w:t>
            </w:r>
          </w:p>
        </w:tc>
        <w:tc>
          <w:tcPr>
            <w:tcW w:type="dxa" w:w="1440"/>
            <w:shd w:fill="FFDCE0" w:val="clear"/>
          </w:tcPr>
          <w:p>
            <w:r>
              <w:rPr>
                <w:b/>
                <w:sz w:val="17"/>
              </w:rPr>
              <w:t>3,016</w:t>
            </w:r>
          </w:p>
        </w:tc>
        <w:tc>
          <w:tcPr>
            <w:tcW w:type="dxa" w:w="1440"/>
            <w:shd w:fill="FFDCE0" w:val="clear"/>
          </w:tcPr>
          <w:p>
            <w:r>
              <w:rPr>
                <w:sz w:val="17"/>
              </w:rPr>
              <w:t>3,481</w:t>
            </w:r>
          </w:p>
        </w:tc>
        <w:tc>
          <w:tcPr>
            <w:tcW w:type="dxa" w:w="1440"/>
            <w:shd w:fill="FFDCE0" w:val="clear"/>
          </w:tcPr>
          <w:p>
            <w:r>
              <w:rPr>
                <w:b/>
                <w:color w:val="C00000"/>
                <w:sz w:val="17"/>
              </w:rPr>
              <w:t>-2.6%</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2,525</w:t>
            </w:r>
          </w:p>
        </w:tc>
        <w:tc>
          <w:tcPr>
            <w:tcW w:type="dxa" w:w="1440"/>
            <w:shd w:fill="FFDCE0" w:val="clear"/>
          </w:tcPr>
          <w:p>
            <w:r>
              <w:rPr>
                <w:b/>
                <w:sz w:val="17"/>
              </w:rPr>
              <w:t>3,016</w:t>
            </w:r>
          </w:p>
        </w:tc>
        <w:tc>
          <w:tcPr>
            <w:tcW w:type="dxa" w:w="1440"/>
            <w:shd w:fill="FFDCE0" w:val="clear"/>
          </w:tcPr>
          <w:p>
            <w:r>
              <w:rPr>
                <w:sz w:val="17"/>
              </w:rPr>
              <w:t>3,506</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ACTION SDSC (AGL CÔTE D'IVOIRE)**</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168,48 milliards FCFA, SDSC s'impose comme une valeur de premier plan de la cote BRVM, ce qui traduit la taille substantielle de son activité logistique (CA 2024 de 85,6 milliards FCFA). Le BPA de 387 FCFA/action signifie que chaque titre génère près de 387 FCFA de bénéfice net, mais ce chiffre est calculé sur le résultat net 2024 (21,07 Mds FCFA) — or, le résultat net 2025 s'est effondré à 0,78 milliard FCFA, ce qui ramènerait le BPA réel à environ 14 FCFA et ferait exploser le PER à plus de 200x. Le PER affiché de 8,0x (contre une moyenne BRVM de 8-12x) suggère une sous-évaluation apparente, mais cette lecture est trompeuse car elle repose sur des bénéfices 2024 non récurrents. Le P/B de 2,17x indique que le marché valorise l'entreprise à plus du double de ses capitaux propres (77,8 Mds FCFA en 2024), soit une prime de croissance qui n'est plus justifiée par la rentabilité actuelle. Enfin, l'EV/EBITDA de 36,4x est très exigeant (seuil d'alerte &gt;15x), signalant que la valeur d'entreprise intègre des anticipations de résultats opérationnels que la société n'arrive plus à délivrer.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+79,42%, avec une dernière séance en hausse de +6,72%, portant le cours à 3 095 FCFA. Le titre a évolué dans un range très large, entre un plus bas de 1 650 FCFA et un plus haut de 3 205 FCFA, soit un écart de plus de 94% entre les extrêmes, ce qui témoigne d'une tendance nettement haussière mais aussi d'une forte nervosité. La moyenne (2 454 FCFA) est inférieure à la médiane (2 538 FCFA), ce qui indique une distribution légèrement tirée vers le bas par des séances de faiblesse, tandis que le mode à 2 800 FCFA montre que le cours a longtemps stationné autour de ce niveau avant son envolée finale. L'écart-type de 441 FCFA avec un coefficient de variation de 18,0% traduit une dispersion modérée du cours autour de sa moyenne. Le kurtosis de -0,987 (mésokurtique) indique une distribution proche de la normale, sans pics extrêmes fréquents, tandis que le skewness de -0,382 (distribution symétrique) suggère un léger biais baissier, c'est-à-dire que les baisses ont été marginalement plus amples que les hausses. La volatilité annualisée de 52,3% classe le titre dans la catégorie des valeurs à volatilité élevée (&gt;30%), ce qui implique un risque de correction significatif après un tel rallye.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(2 992,75 FCFA) et la MM50 (2 810,5 FCFA) sont toutes deux inférieures au cours actuel (3 095 FCFA), et la MM20 est au-dessus de la MM50, configurant un croisement haussier classique. Cette configuration en « golden cross » justifie la décision d'achat, mais l'écart important entre le cours et la MM50 (+10,1%) suggère un risque de retour à la moyenne.</w:t>
      </w:r>
    </w:p>
    <w:p>
      <w:pPr>
        <w:spacing w:after="120" w:line="276" w:lineRule="auto"/>
      </w:pPr>
      <w:r>
        <w:t>**Bandes de Bollinger** : Le cours (3 095 FCFA) se situe à l'intérieur des bandes, entre la borne inférieure (2 749,19 FCFA) et la borne supérieure (3 236,31 FCFA), mais plus proche de la borne haute. Cette position, combinée à un rétrécissement des bandes, indique une volatilité en compression et un potentiel de breakout, justifiant la décision neutre dans l'attente d'une direction claire.</w:t>
      </w:r>
    </w:p>
    <w:p>
      <w:pPr>
        <w:spacing w:after="120" w:line="276" w:lineRule="auto"/>
      </w:pPr>
      <w:r>
        <w:t>**MACD** : La valeur du MACD (33,188) est inférieure à son signal (51,325), générant une divergence baissière alors que le cours continue de monter. Ce phénomène de « bearish divergence » signale un essoufflement du momentum haussier et justifie la décision de vente, car la dynamique positive s'affaiblit malgré la hausse des prix.</w:t>
      </w:r>
    </w:p>
    <w:p>
      <w:pPr>
        <w:spacing w:after="120" w:line="276" w:lineRule="auto"/>
      </w:pPr>
      <w:r>
        <w:t>**RSI** : À 50,246, le RSI se situe exactement dans la zone neutre (30-70), sans signal de surachat ni de survente. Cette position médiane indique un équilibre entre acheteurs et vendeurs, justifiant la décision neutre, mais elle contraste avec la hausse récente du cours, suggérant que la progression n'est pas soutenue par une pression acheteuse forte.</w:t>
      </w:r>
    </w:p>
    <w:p>
      <w:pPr>
        <w:spacing w:after="120" w:line="276" w:lineRule="auto"/>
      </w:pPr>
      <w:r>
        <w:t>**Stochastique** : Le %K (100,0) est au maximum absolu, tandis que le %D (44,828) est nettement en dessous, créant un croisement baissier imminent. Le %K à 100 signale un surachat extrême et une probabilité élevée de retournement à court terme, justifiant pleinement la décision de vente.</w:t>
      </w:r>
    </w:p>
    <w:p>
      <w:pPr>
        <w:spacing w:after="120" w:line="276" w:lineRule="auto"/>
      </w:pPr>
      <w:r>
        <w:t>**Conclusion technique** : Les indicateurs présentent une divergence préoccupante : les moyennes mobiles restent haussières, mais le MACD, le stochastique et la position du cours dans les bandes de Bollinger signalent un essoufflement et un risque de correction. Le RSI neutre et le stochastique en surachat extrême suggèrent que le rallye de +79% est mature et qu'une consolidation, voire un repli, est probable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(états financiers annuels) dressent un tableau contrasté : le chiffre d'affaires s'établit à 85,643 milliards FCFA, en croissance de +3,65% sur un an, avec un résultat net de 21,069 milliards FCFA, un ROE excellent de 27,08% et un ROA de 11,20%. La marge nette de 24,60% et la marge opérationnelle de 1,10% révèlent cependant une dépendance aux produits financiers, tandis que le délai client de 466,94 jours constitue un signal d'alerte majeur sur le risque de trésorerie, même si le BFR de 17,874 milliards FCFA reste contenu et que la trésorerie nette de 15,617 milliards FCFA offre un coussin de sécurité. L'autonomie financière de 41,36% et la solvabilité générale de 170,53% témoignent d'une structure bilancielle saine, mais le ratio de couverture des intérêts de 77,85% et la capacité de remboursement de 0,56 an restent corrects. Les rapports narratifs de 2025 révèlent une dégradation brutale : selon le rapport annuel 2025 (analysé par DeepSeek le 05/08/2026), le CA progresse à 92,004 milliards FCFA (+7,43%), mais le résultat net s'effondre à 0,785 milliard FCFA (-96%), avec un résultat d'exploitation négatif de -2,271 milliards FCFA et une marge nette tombée à 0,85%. Le rapport du T3 2025 (30/09/2025) confirme cette tendance avec un résultat net trimestriel de 4,341 milliards FCFA en chute de 77%, tandis que le rapport du S1 2025 (30/06/2025) affichait déjà une perte nette de -427 millions FCFA. Les rapports des commissaires aux comptes (Deloitte/ECR, analysés le 19/09/2026) signalent des manquements réglementaires (retard de publication, non-respect des articles 23 et 525 de l'AU OHADA) et un risque significatif sur les comptes « débours » (12,574 milliards FCFA). Sur la base du T1 2025 (CA +6,2%, résultat net -193 millions FCFA) et du T3 2025 (CA +7,4%, résultat net -77%), on estime que l'exercice 2026 devrait bénéficier de la croissance du CA et de la trésorerie abondante (74,78 milliards FCFA), mais la rentabilité restera sous pression si les produits financiers ne se redressent pas. La recommandation fondamentale est de **conserver** le titre avec une vigilance accrue : la solidité du bilan et la croissance du CA sont des atouts, mais l'effondrement de la rentabilité, la réduction drastique du dividende (-89%) et les faiblesses de gouvernance constituent des risques majeurs.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présente un paradoxe : le PER de 8,0x et le P/B de 2,17x suggèrent une sous-évaluation apparente, mais l'EV/EBITDA de 36,4x et l'effondrement du résultat net 2025 rendent ces ratios trompeurs, le titre étant en réalité surévalué sur la base des bénéfices récurrents. Le comportement du cours (Partie 1) est haussier (+79,42%) mais préoccupant : la volatilité annualisée de 52,3%, le skewness négatif (-0,382) et le kurtosis proche de la normale (-0,987) indiquent un rallye mature exposé à une correction. Les signaux techniques (Partie 2) sont divergents : les moyennes mobiles restent haussières, mais le MACD baissier, le stochastique en surachat extrême (%K=100) et la position du cours dans les bandes de Bollinger signalent un essoufflement imminent. Les fondamentaux (Partie 3) sont mitigés : la croissance du CA (+7,4% en 2025) et la trésorerie abondante (74,78 milliards FCFA) sont des atouts, mais l'effondrement du résultat net (-96%), la marge nette de 0,85% et les manquements réglementaires pèsent lourdement. Les prédictions IA (J+1 à J+10) anticipent une trajectoire baissière graduelle, de 3 082 FCFA à 3 019 FCFA, confirmant la thèse d'une correction technique après le rallye. Sur la base de cette synthèse globale, la recommandation finale est **CONSERVER**, avec un niveau de confiance **Moyen** et un niveau de risque **Élevé**. La convergence entre la technique (signaux baissiers à court terme), les fondamentaux (dégradation de la rentabilité) et les prédictions IA (repli progressif) justifie une position attentiste, tandis que la valorisation et la solidité du bilan empêchent une recommandation de vente. L'horizon d'investissement optimal est le **moyen terme (3-12 mois)**, en surveillant la capacité de la direction à restaurer les marges opérationnelles et à clarifier sa politique de dividende.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"Le document ne fournit aucune donn\u00e9e financi\u00e8re permettant d\u2019\u00e9mettre une recommandation d\u2019achat ou de vente. En l\u2019absence d\u2019informations, une position neutre est retenue par d\u00e9faut."}</w:t>
      </w:r>
    </w:p>
    <w:p>
      <w:pPr>
        <w:spacing w:before="40"/>
        <w:ind w:left="400"/>
      </w:pPr>
      <w:r>
        <w:rPr>
          <w:sz w:val="18"/>
        </w:rPr>
        <w:t>Le document fourni ne contient que l’intitulé des états financiers de synthèse d’AGL au 31/12/2025. Aucun chiffre, commentaire ou détail comptable n’est inclus. Il est donc impossible d’évaluer la situation financière réelle de la société. Les états financiers annoncés sont exprimés en milliers de FCFA. Une analyse fiable nécessitera la publication des données complètes, notamment le bilan, le compte de résultat et les flux de trésorerie.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40"/>
        <w:ind w:left="400"/>
      </w:pPr>
      <w:r>
        <w:rPr>
          <w:b/>
          <w:color w:val="C05000"/>
          <w:sz w:val="18"/>
        </w:rPr>
        <w:t xml:space="preserve">⚠️ Risques : </w:t>
      </w:r>
      <w:r>
        <w:rPr>
          <w:sz w:val="18"/>
        </w:rPr>
        <w: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40"/>
        <w:ind w:left="400"/>
      </w:pPr>
      <w:r>
        <w:rPr>
          <w:sz w:val="18"/>
        </w:rPr>
        <w:t>AGL Côte d'Ivoire, S.A. a vu ses états financiers annuels de l'exercice clos le 31 décembre 2025 certifiés sans réserve par ses commissaires aux comptes (Deloitte Côte d'Ivoire et ECR International), qui concluent à une image fidèle du résultat et du patrimoine conformément au SYSCOHADA révisé. Le chiffre d'affaires s'établit à 92 004 millions FCFA, soit 98,37% du total des produits des activités ordinaires, porté par des métiers diversifiés (consignation, manutention, transit maritime, fret aérien/express, transport ferroviaire, agence de voyage et location immobilière). Les auditeurs ont identifié deux points clés d'audit : la reconnaissance du chiffre d'affaires, exposée à un risque d'ant</w:t>
      </w:r>
      <w:r>
        <w:rPr>
          <w:sz w:val="18"/>
        </w:rPr>
        <w: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
      <w:r>
        <w:t>════════════════════════════════════════════════════════════════════════════════</w:t>
      </w:r>
    </w:p>
    <w:p>
      <w:r>
        <w:br w:type="page"/>
      </w:r>
    </w:p>
    <w:p>
      <w:pPr>
        <w:pStyle w:val="Heading2"/>
        <w:spacing w:before="360"/>
      </w:pPr>
      <w:r>
        <w:rPr>
          <w:color w:val="0066CC"/>
        </w:rPr>
        <w:t>32.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6,046 titres</w:t>
            </w:r>
          </w:p>
        </w:tc>
        <w:tc>
          <w:tcPr>
            <w:tcW w:type="dxa" w:w="2268"/>
            <w:shd w:fill="FFF2CC" w:val="clear"/>
          </w:tcPr>
          <w:p>
            <w:r>
              <w:rPr>
                <w:b/>
                <w:color w:val="503200"/>
                <w:sz w:val="16"/>
              </w:rPr>
              <w:t xml:space="preserve">Cours actuel : </w:t>
            </w:r>
            <w:r>
              <w:rPr>
                <w:color w:val="000000"/>
                <w:sz w:val="17"/>
              </w:rPr>
              <w:t>1,495 FCFA</w:t>
            </w:r>
          </w:p>
          <w:p>
            <w:r>
              <w:rPr>
                <w:b/>
                <w:color w:val="503200"/>
                <w:sz w:val="16"/>
              </w:rPr>
              <w:t xml:space="preserve">Var. 100 jours : </w:t>
            </w:r>
            <w:r>
              <w:rPr>
                <w:b/>
                <w:color w:val="B40000"/>
                <w:sz w:val="17"/>
              </w:rPr>
              <w:t>-16.94%</w:t>
            </w:r>
          </w:p>
          <w:p>
            <w:r>
              <w:rPr>
                <w:b/>
                <w:color w:val="503200"/>
                <w:sz w:val="16"/>
              </w:rPr>
              <w:t xml:space="preserve">Plus haut 100j : </w:t>
            </w:r>
            <w:r>
              <w:rPr>
                <w:color w:val="000000"/>
                <w:sz w:val="17"/>
              </w:rPr>
              <w:t>1,800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13.3/100 → Faible</w:t>
      </w:r>
    </w:p>
    <w:p>
      <w:pPr>
        <w:spacing w:before="40" w:after="80"/>
      </w:pPr>
      <w:r>
        <w:rPr>
          <w:rFonts w:ascii="Courier New" w:hAnsi="Courier New"/>
          <w:color w:val="006400"/>
          <w:sz w:val="18"/>
        </w:rPr>
        <w:t>██░░░░░░░░░░░░░░░░░░  13.3/100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4.53% (Faible) — μ=1,527 FCFA, σ=69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β=1.1500 (Neutre (suit le marché)) — Cov=0.000043, Var(idx)=0.000037, ρ=0.239, n=91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σ_j=2.97%/j (Stable) — Vol. annualisée≈47.2%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6976"/>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2026-09-29</w:t>
            </w:r>
          </w:p>
        </w:tc>
        <w:tc>
          <w:tcPr>
            <w:tcW w:type="dxa" w:w="1440"/>
            <w:shd w:fill="FFDCE0" w:val="clear"/>
          </w:tcPr>
          <w:p>
            <w:r>
              <w:rPr>
                <w:sz w:val="17"/>
              </w:rPr>
              <w:t>1,238</w:t>
            </w:r>
          </w:p>
        </w:tc>
        <w:tc>
          <w:tcPr>
            <w:tcW w:type="dxa" w:w="1440"/>
            <w:shd w:fill="FFDCE0" w:val="clear"/>
          </w:tcPr>
          <w:p>
            <w:r>
              <w:rPr>
                <w:b/>
                <w:sz w:val="17"/>
              </w:rPr>
              <w:t>1,440</w:t>
            </w:r>
          </w:p>
        </w:tc>
        <w:tc>
          <w:tcPr>
            <w:tcW w:type="dxa" w:w="1440"/>
            <w:shd w:fill="FFDCE0" w:val="clear"/>
          </w:tcPr>
          <w:p>
            <w:r>
              <w:rPr>
                <w:sz w:val="17"/>
              </w:rPr>
              <w:t>1,642</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SEMC (BRVM)**</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37,66 milliards FCFA, un niveau modeste à l'échelle de la BRVM qui la positionne parmi les valeurs de taille intermédiaire du compartiment industriel. Les ratios de valorisation boursière (BPA, PER, P/B, EV/EBITDA) ne sont pas calculables en l'état, les données financières structurées nécessaires (résultat net par action, capitaux propres, EBITDA) n'étant pas disponibles dans la base de données structurée pour l'exercice le plus récent. Toutefois, en croisant les rapports narratifs disponibles — notamment celui de l'exercice 2023 faisant état d'un résultat net de 1,01 milliard FCFA — et la capitalisation actuelle, on peut estimer un PER implicite très élevé (supérieur à 35x), bien au-dessus de la moyenne BRVM (~8-12x), ce qui suggère une valorisation tendue au regard des bénéfices récents. Cette situation s'explique par la chute de 74 % du résultat net en 2023 et l'absence de dividende, rendant le titre dépendant d'un redressement futur de la rentabilité.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 enregistré une variation totale de -16,94 %, avec une dernière séance en repli de -1,64 %, confirmant une dynamique baissière persistante. Le cours actuel de 1 495 FCFA se situe dans la partie basse du range de trading établi entre 1 350 FCFA (plus bas) et 1 800 FCFA (plus haut), soit un écart de 450 FCFA reflétant une tendance clairement baissière sur la période. Les statistiques descriptives révèlent une moyenne de 1 527 FCFA légèrement supérieure à la médiane de 1 520 FCFA, avec un mode à 1 500 FCFA, indiquant une distribution faiblement asymétrique avec une concentration des échanges autour de 1 500-1 520 FCFA. L'écart-type de 69 FCFA et le coefficient de variation de 4,5 % traduisent une dispersion modérée du cours, mais la volatilité annualisée de 47,2 % classe le titre dans la catégorie à volatilité élevée (&gt;30 %), ce qui implique un risque de fluctuation important. Le kurtosis de 1,652 (leptokurtique) signale des queues épaisses, donc un risque de pics de volatilité brutaux, tandis que le skewness de 0,558 (asymétrie positive) indique que les journées sous la moyenne sont plus fréquentes que celles au-dessus, un signal baissier. Le volume moyen de 6 046 titres par jour reste modéré, limitant la liquidité du titre.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(1 540,75 FCFA) et la MM50 (1 499,20 FCFA) encadrent le cours actuel de 1 495 FCFA, qui évolue légèrement sous la MM50 et nettement sous la MM20. Cette configuration suggère une pression baissière de court terme, bien que la décision affichée soit "Achat" — probablement liée au croisement haussier potentiel de la MM50 au-dessus de la MM20 ou à une lecture de support dynamique.</w:t>
      </w:r>
    </w:p>
    <w:p>
      <w:pPr>
        <w:spacing w:after="120" w:line="276" w:lineRule="auto"/>
      </w:pPr>
      <w:r>
        <w:t>**Bandes de Bollinger** : Le cours (1 495 FCFA) se situe dans la moitié inférieure de la bande, entre la borne inférieure (1 459,69 FCFA) et la borne supérieure (1 621,81 FCFA), sans atteindre les extrêmes. La décision "Neutre" reflète l'absence de signal de surachat ou de survente, avec une volatilité contenue dans les bandes.</w:t>
      </w:r>
    </w:p>
    <w:p>
      <w:pPr>
        <w:spacing w:after="120" w:line="276" w:lineRule="auto"/>
      </w:pPr>
      <w:r>
        <w:t>**MACD** : La valeur du MACD (6,472) est inférieure à son signal (10,459), générant une divergence baissière et un momentum négatif. La décision "Vente" confirme la perte de dynamique haussière et suggère une poursuite de la correction à court terme.</w:t>
      </w:r>
    </w:p>
    <w:p>
      <w:pPr>
        <w:spacing w:after="120" w:line="276" w:lineRule="auto"/>
      </w:pPr>
      <w:r>
        <w:t>**RSI** : À 49,533, le RSI se situe en zone neutre (30-70), sans signal de surachat ni de survente. La décision "Neutre" indique un équilibre entre acheteurs et vendeurs, sans force directionnelle claire.</w:t>
      </w:r>
    </w:p>
    <w:p>
      <w:pPr>
        <w:spacing w:after="120" w:line="276" w:lineRule="auto"/>
      </w:pPr>
      <w:r>
        <w:t>**Stochastique** : Le %K (34,615) est inférieur au %D (57,692), avec un croisement baissier en zone basse, signalant une pression vendeuse persistante. La décision "Neutre" tempère ce signal, le niveau n'étant pas encore en zone de survente extrême.</w:t>
      </w:r>
    </w:p>
    <w:p>
      <w:pPr>
        <w:spacing w:after="120" w:line="276" w:lineRule="auto"/>
      </w:pPr>
      <w:r>
        <w:t>**Conclusion technique** : Les indicateurs techniques présentent un tableau mitigé à tendance baissière : le MACD est clairement vendeur, le stochastique montre un croisement baissier, et le cours évolue sous ses moyennes mobiles. Seule la décision "Achat" des MM20/MM50 apporte un contrepoint haussier, mais elle est isolée. Le RSI et les bandes de Bollinger en zone neutre suggèrent une absence de signal fort, ce qui plaide pour une prudence à court terme.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L'analyse fondamentale de SEMC s'appuie sur les rapports financiers officiels disponibles, dont les plus récents datent du 31 décembre 2023 (exercice 2023) et du 31 décembre 2022 (exercice 2022), complétés par des rapports trimestriels de 2023. **Pour l'exercice 2023**, le chiffre d'affaires s'élève à 27,88 milliards FCFA, en baisse de 6 % par rapport aux 29,60 milliards FCFA de 2022, tandis que le résultat net chute de 74 % à 1,01 milliard FCFA (contre 3,86 milliards FCFA en 2022), avec une marge nette de 3,6 % (vs 13,0 % en 2022). Le ROE et le ROA ne sont pas explicitement fournis pour 2023, mais la dégradation de la rentabilité est manifeste. **Pour l'exercice 2022**, le rapport du 31 décembre 2022 fait état d'un CA consolidé de 125,4 milliards FCFA (contre 110,2 milliards en 2021, +13,8 %), d'un résultat net de 12,8 milliards FCFA (+18,5 %), d'une marge nette de 10,2 %, d'un ROE de 18,4 % et d'un ROA de 9,2 %. **Le rapport trimestriel du T1 2023** (daté du 31 mars 2023) indique un CA de 7,65 milliards FCFA (+16,5 %) et un résultat net de 855,65 millions FCFA (+37,9 %), avec une marge nette de 11,2 % — des performances qui contrastent fortement avec l'effondrement constaté sur l'ensemble de l'exercice 2023, suggérant une dégradation brutale au second semestre. **Sur la base de ces éléments**, on estime que l'exercice 2024 devrait marquer un rebond, l'objectif affiché étant de 32 milliards FCFA de CA (+18 %), porté par les bouchons couronnes et les exportations. Le rachat par Sonoco Products Company (finalisé en décembre 2024) constitue un levier stratégique majeur, mais la suspension de la cote BRVM depuis janvier 2024 (flottant insuffisant : 10,42 % vs 15 % requis) limite la liquidité et l'accès aux financements. La solidité financière reste fragile : trésorerie de 3,35 milliards FCFA, endettement fournisseurs de 16,7 milliards FCFA, et absence de dividende pour la deuxième année consécutive. **En conclusion**, les fondamentaux présentent des risques élevés (dépendance clients, concurrence du PET, suspension de cote) mais aussi des opportunités (synergies Sonoco, croissance des bouchons, relance export), justifiant une position de conservation prudente.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dessine un tableau contrasté pour SEMC. **Sur le plan de la valorisation (Partie 0)**, l'absence de ratios calculables et le PER implicite très élevé (&gt;35x) suggèrent une surévaluation au regard des bénéfices 2023, bien que cette lecture soit à nuancer par les perspectives de rebond. **Le comportement du cours (Partie 1)** est clairement baissier (-16,94 % sur 100 jours), avec une volatilité élevée (47,2 %), un kurtosis leptokurtique (risque de pics) et un skewness positif (pression baissière), des statistiques préoccupantes pour un investisseur averse au risque. **Les signaux techniques (Partie 2)** sont majoritairement baissiers (MACD vendeur, stochastique baissier, cours sous les MM), avec un RSI et des bandes de Bollinger neutres, et seule la décision "Achat" des MM apporte un contrepoint isolé. **Les fondamentaux (Partie 3)** révèlent une dégradation sévère en 2023 (résultat net -74 %, marge nette à 3,6 %), mais les rapports trimestriels de 2023 et les objectifs 2024 laissent entrevoir un rebond, soutenu par le rachat par Sonoco et la croissance des bouchons couronnes. **Les prédictions IA (J+1 à J+10)** anticipent un cours de 1 440 FCFA, soit une baisse de -3,7 % par rapport au cours actuel de 1 495 FCFA, confirmant la tendance baissière de court terme. **En synthèse**, la convergence entre la valorisation tendue, le comportement baissier du cours, les signaux techniques majoritairement négatifs et les prédictions IA à la baisse plaide pour une **VENTE** à court terme, avec un niveau de confiance **Moyen** et un risque global **Élevé**. Toutefois, les fondamentaux à moyen terme (rebond 2024, synergies Sonoco) pourraient justifier une **CONSERVATION** pour les investisseurs déjà positionnés, avec un horizon d'investissement de **moyen terme (3-12 mois)** en attendant la confirmation du redressement opérationnel et la levée de la suspension de la cote.</w:t>
      </w:r>
    </w:p>
    <w:p/>
    <w:p/>
    <w:p>
      <w:r>
        <w:t>════════════════════════════════════════════════════════════════════════════════</w:t>
      </w:r>
    </w:p>
    <w:p>
      <w:r>
        <w:br w:type="page"/>
      </w:r>
    </w:p>
    <w:p>
      <w:pPr>
        <w:pStyle w:val="Heading2"/>
        <w:spacing w:before="360"/>
      </w:pPr>
      <w:r>
        <w:rPr>
          <w:color w:val="0066CC"/>
        </w:rPr>
        <w:t>33.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1194.67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4,961 titres</w:t>
            </w:r>
          </w:p>
        </w:tc>
        <w:tc>
          <w:tcPr>
            <w:tcW w:type="dxa" w:w="2268"/>
            <w:shd w:fill="FFF2CC" w:val="clear"/>
          </w:tcPr>
          <w:p>
            <w:r>
              <w:rPr>
                <w:b/>
                <w:color w:val="503200"/>
                <w:sz w:val="16"/>
              </w:rPr>
              <w:t xml:space="preserve">Cours actuel : </w:t>
            </w:r>
            <w:r>
              <w:rPr>
                <w:color w:val="000000"/>
                <w:sz w:val="17"/>
              </w:rPr>
              <w:t>38,400 FCFA</w:t>
            </w:r>
          </w:p>
          <w:p>
            <w:r>
              <w:rPr>
                <w:b/>
                <w:color w:val="503200"/>
                <w:sz w:val="16"/>
              </w:rPr>
              <w:t xml:space="preserve">Var. 100 jours : </w:t>
            </w:r>
            <w:r>
              <w:rPr>
                <w:b/>
                <w:color w:val="007800"/>
                <w:sz w:val="17"/>
              </w:rPr>
              <w:t>+16.36%</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33,000 FCFA</w:t>
            </w:r>
          </w:p>
          <w:p>
            <w:r>
              <w:rPr>
                <w:b/>
                <w:color w:val="503200"/>
                <w:sz w:val="16"/>
              </w:rPr>
              <w:t xml:space="preserve">Volatilité ann. : </w:t>
            </w:r>
            <w:r>
              <w:rPr>
                <w:color w:val="000000"/>
                <w:sz w:val="17"/>
              </w:rPr>
              <w:t>21.8%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3.52% (Faible) — μ=37,983 FCFA, σ=1,337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β=0.5143 (Défensif) — Cov=0.000035, Var(idx)=0.000068, ρ=0.309,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4,961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σ_j=1.37%/j (Stable) — Vol. annualisée≈21.8%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37,039</w:t>
            </w:r>
          </w:p>
        </w:tc>
        <w:tc>
          <w:tcPr>
            <w:tcW w:type="dxa" w:w="1440"/>
            <w:shd w:fill="FAFAFA" w:val="clear"/>
          </w:tcPr>
          <w:p>
            <w:r>
              <w:rPr>
                <w:b/>
                <w:sz w:val="17"/>
              </w:rPr>
              <w:t>38,137</w:t>
            </w:r>
          </w:p>
        </w:tc>
        <w:tc>
          <w:tcPr>
            <w:tcW w:type="dxa" w:w="1440"/>
            <w:shd w:fill="FAFAFA" w:val="clear"/>
          </w:tcPr>
          <w:p>
            <w:r>
              <w:rPr>
                <w:sz w:val="17"/>
              </w:rPr>
              <w:t>39,235</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36,467</w:t>
            </w:r>
          </w:p>
        </w:tc>
        <w:tc>
          <w:tcPr>
            <w:tcW w:type="dxa" w:w="1440"/>
            <w:shd w:fill="FAFAFA" w:val="clear"/>
          </w:tcPr>
          <w:p>
            <w:r>
              <w:rPr>
                <w:b/>
                <w:sz w:val="17"/>
              </w:rPr>
              <w:t>38,015</w:t>
            </w:r>
          </w:p>
        </w:tc>
        <w:tc>
          <w:tcPr>
            <w:tcW w:type="dxa" w:w="1440"/>
            <w:shd w:fill="FAFAFA" w:val="clear"/>
          </w:tcPr>
          <w:p>
            <w:r>
              <w:rPr>
                <w:sz w:val="17"/>
              </w:rPr>
              <w:t>39,563</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36,003</w:t>
            </w:r>
          </w:p>
        </w:tc>
        <w:tc>
          <w:tcPr>
            <w:tcW w:type="dxa" w:w="1440"/>
            <w:shd w:fill="FAFAFA" w:val="clear"/>
          </w:tcPr>
          <w:p>
            <w:r>
              <w:rPr>
                <w:b/>
                <w:sz w:val="17"/>
              </w:rPr>
              <w:t>37,892</w:t>
            </w:r>
          </w:p>
        </w:tc>
        <w:tc>
          <w:tcPr>
            <w:tcW w:type="dxa" w:w="1440"/>
            <w:shd w:fill="FAFAFA" w:val="clear"/>
          </w:tcPr>
          <w:p>
            <w:r>
              <w:rPr>
                <w:sz w:val="17"/>
              </w:rPr>
              <w:t>39,782</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2026-10-02</w:t>
            </w:r>
          </w:p>
        </w:tc>
        <w:tc>
          <w:tcPr>
            <w:tcW w:type="dxa" w:w="1440"/>
            <w:shd w:fill="FAFAFA" w:val="clear"/>
          </w:tcPr>
          <w:p>
            <w:r>
              <w:rPr>
                <w:sz w:val="17"/>
              </w:rPr>
              <w:t>35,601</w:t>
            </w:r>
          </w:p>
        </w:tc>
        <w:tc>
          <w:tcPr>
            <w:tcW w:type="dxa" w:w="1440"/>
            <w:shd w:fill="FAFAFA" w:val="clear"/>
          </w:tcPr>
          <w:p>
            <w:r>
              <w:rPr>
                <w:b/>
                <w:sz w:val="17"/>
              </w:rPr>
              <w:t>37,776</w:t>
            </w:r>
          </w:p>
        </w:tc>
        <w:tc>
          <w:tcPr>
            <w:tcW w:type="dxa" w:w="1440"/>
            <w:shd w:fill="FAFAFA" w:val="clear"/>
          </w:tcPr>
          <w:p>
            <w:r>
              <w:rPr>
                <w:sz w:val="17"/>
              </w:rPr>
              <w:t>39,951</w:t>
            </w:r>
          </w:p>
        </w:tc>
        <w:tc>
          <w:tcPr>
            <w:tcW w:type="dxa" w:w="1440"/>
            <w:shd w:fill="FAFAFA" w:val="clear"/>
          </w:tcPr>
          <w:p>
            <w:r>
              <w:rPr>
                <w:b/>
                <w:color w:val="C00000"/>
                <w:sz w:val="17"/>
              </w:rPr>
              <w:t>-1.6%</w:t>
            </w:r>
          </w:p>
        </w:tc>
      </w:tr>
      <w:tr>
        <w:tc>
          <w:tcPr>
            <w:tcW w:type="dxa" w:w="1440"/>
            <w:shd w:fill="FAFAFA" w:val="clear"/>
          </w:tcPr>
          <w:p>
            <w:r>
              <w:rPr>
                <w:sz w:val="17"/>
              </w:rPr>
              <w:t>J+5  Moyenne</w:t>
            </w:r>
          </w:p>
        </w:tc>
        <w:tc>
          <w:tcPr>
            <w:tcW w:type="dxa" w:w="1440"/>
            <w:shd w:fill="FAFAFA" w:val="clear"/>
          </w:tcPr>
          <w:p>
            <w:r>
              <w:rPr>
                <w:sz w:val="17"/>
              </w:rPr>
              <w:t>2026-10-05</w:t>
            </w:r>
          </w:p>
        </w:tc>
        <w:tc>
          <w:tcPr>
            <w:tcW w:type="dxa" w:w="1440"/>
            <w:shd w:fill="FAFAFA" w:val="clear"/>
          </w:tcPr>
          <w:p>
            <w:r>
              <w:rPr>
                <w:sz w:val="17"/>
              </w:rPr>
              <w:t>35,241</w:t>
            </w:r>
          </w:p>
        </w:tc>
        <w:tc>
          <w:tcPr>
            <w:tcW w:type="dxa" w:w="1440"/>
            <w:shd w:fill="FAFAFA" w:val="clear"/>
          </w:tcPr>
          <w:p>
            <w:r>
              <w:rPr>
                <w:b/>
                <w:sz w:val="17"/>
              </w:rPr>
              <w:t>37,665</w:t>
            </w:r>
          </w:p>
        </w:tc>
        <w:tc>
          <w:tcPr>
            <w:tcW w:type="dxa" w:w="1440"/>
            <w:shd w:fill="FAFAFA" w:val="clear"/>
          </w:tcPr>
          <w:p>
            <w:r>
              <w:rPr>
                <w:sz w:val="17"/>
              </w:rPr>
              <w:t>40,090</w:t>
            </w:r>
          </w:p>
        </w:tc>
        <w:tc>
          <w:tcPr>
            <w:tcW w:type="dxa" w:w="1440"/>
            <w:shd w:fill="FAFAFA" w:val="clear"/>
          </w:tcPr>
          <w:p>
            <w:r>
              <w:rPr>
                <w:b/>
                <w:color w:val="C00000"/>
                <w:sz w:val="17"/>
              </w:rPr>
              <w:t>-1.9%</w:t>
            </w:r>
          </w:p>
        </w:tc>
      </w:tr>
      <w:tr>
        <w:tc>
          <w:tcPr>
            <w:tcW w:type="dxa" w:w="1440"/>
            <w:shd w:fill="FFDCE0" w:val="clear"/>
          </w:tcPr>
          <w:p>
            <w:r>
              <w:rPr>
                <w:sz w:val="17"/>
              </w:rPr>
              <w:t>J+6  Moyenne</w:t>
            </w:r>
          </w:p>
        </w:tc>
        <w:tc>
          <w:tcPr>
            <w:tcW w:type="dxa" w:w="1440"/>
            <w:shd w:fill="FFDCE0" w:val="clear"/>
          </w:tcPr>
          <w:p>
            <w:r>
              <w:rPr>
                <w:sz w:val="17"/>
              </w:rPr>
              <w:t>2026-10-06</w:t>
            </w:r>
          </w:p>
        </w:tc>
        <w:tc>
          <w:tcPr>
            <w:tcW w:type="dxa" w:w="1440"/>
            <w:shd w:fill="FFDCE0" w:val="clear"/>
          </w:tcPr>
          <w:p>
            <w:r>
              <w:rPr>
                <w:sz w:val="17"/>
              </w:rPr>
              <w:t>34,909</w:t>
            </w:r>
          </w:p>
        </w:tc>
        <w:tc>
          <w:tcPr>
            <w:tcW w:type="dxa" w:w="1440"/>
            <w:shd w:fill="FFDCE0" w:val="clear"/>
          </w:tcPr>
          <w:p>
            <w:r>
              <w:rPr>
                <w:b/>
                <w:sz w:val="17"/>
              </w:rPr>
              <w:t>37,558</w:t>
            </w:r>
          </w:p>
        </w:tc>
        <w:tc>
          <w:tcPr>
            <w:tcW w:type="dxa" w:w="1440"/>
            <w:shd w:fill="FFDCE0" w:val="clear"/>
          </w:tcPr>
          <w:p>
            <w:r>
              <w:rPr>
                <w:sz w:val="17"/>
              </w:rPr>
              <w:t>40,206</w:t>
            </w:r>
          </w:p>
        </w:tc>
        <w:tc>
          <w:tcPr>
            <w:tcW w:type="dxa" w:w="1440"/>
            <w:shd w:fill="FFDCE0" w:val="clear"/>
          </w:tcPr>
          <w:p>
            <w:r>
              <w:rPr>
                <w:b/>
                <w:color w:val="C00000"/>
                <w:sz w:val="17"/>
              </w:rPr>
              <w:t>-2.2%</w:t>
            </w:r>
          </w:p>
        </w:tc>
      </w:tr>
      <w:tr>
        <w:tc>
          <w:tcPr>
            <w:tcW w:type="dxa" w:w="1440"/>
            <w:shd w:fill="FFDCE0" w:val="clear"/>
          </w:tcPr>
          <w:p>
            <w:r>
              <w:rPr>
                <w:sz w:val="17"/>
              </w:rPr>
              <w:t>J+7  Moyenne</w:t>
            </w:r>
          </w:p>
        </w:tc>
        <w:tc>
          <w:tcPr>
            <w:tcW w:type="dxa" w:w="1440"/>
            <w:shd w:fill="FFDCE0" w:val="clear"/>
          </w:tcPr>
          <w:p>
            <w:r>
              <w:rPr>
                <w:sz w:val="17"/>
              </w:rPr>
              <w:t>2026-10-07</w:t>
            </w:r>
          </w:p>
        </w:tc>
        <w:tc>
          <w:tcPr>
            <w:tcW w:type="dxa" w:w="1440"/>
            <w:shd w:fill="FFDCE0" w:val="clear"/>
          </w:tcPr>
          <w:p>
            <w:r>
              <w:rPr>
                <w:sz w:val="17"/>
              </w:rPr>
              <w:t>34,601</w:t>
            </w:r>
          </w:p>
        </w:tc>
        <w:tc>
          <w:tcPr>
            <w:tcW w:type="dxa" w:w="1440"/>
            <w:shd w:fill="FFDCE0" w:val="clear"/>
          </w:tcPr>
          <w:p>
            <w:r>
              <w:rPr>
                <w:b/>
                <w:sz w:val="17"/>
              </w:rPr>
              <w:t>37,453</w:t>
            </w:r>
          </w:p>
        </w:tc>
        <w:tc>
          <w:tcPr>
            <w:tcW w:type="dxa" w:w="1440"/>
            <w:shd w:fill="FFDCE0" w:val="clear"/>
          </w:tcPr>
          <w:p>
            <w:r>
              <w:rPr>
                <w:sz w:val="17"/>
              </w:rPr>
              <w:t>40,306</w:t>
            </w:r>
          </w:p>
        </w:tc>
        <w:tc>
          <w:tcPr>
            <w:tcW w:type="dxa" w:w="1440"/>
            <w:shd w:fill="FFDCE0" w:val="clear"/>
          </w:tcPr>
          <w:p>
            <w:r>
              <w:rPr>
                <w:b/>
                <w:color w:val="C00000"/>
                <w:sz w:val="17"/>
              </w:rPr>
              <w:t>-2.5%</w:t>
            </w:r>
          </w:p>
        </w:tc>
      </w:tr>
      <w:tr>
        <w:tc>
          <w:tcPr>
            <w:tcW w:type="dxa" w:w="1440"/>
            <w:shd w:fill="FFDCE0" w:val="clear"/>
          </w:tcPr>
          <w:p>
            <w:r>
              <w:rPr>
                <w:sz w:val="17"/>
              </w:rPr>
              <w:t>J+8  Moyenne</w:t>
            </w:r>
          </w:p>
        </w:tc>
        <w:tc>
          <w:tcPr>
            <w:tcW w:type="dxa" w:w="1440"/>
            <w:shd w:fill="FFDCE0" w:val="clear"/>
          </w:tcPr>
          <w:p>
            <w:r>
              <w:rPr>
                <w:sz w:val="17"/>
              </w:rPr>
              <w:t>2026-10-08</w:t>
            </w:r>
          </w:p>
        </w:tc>
        <w:tc>
          <w:tcPr>
            <w:tcW w:type="dxa" w:w="1440"/>
            <w:shd w:fill="FFDCE0" w:val="clear"/>
          </w:tcPr>
          <w:p>
            <w:r>
              <w:rPr>
                <w:sz w:val="17"/>
              </w:rPr>
              <w:t>34,310</w:t>
            </w:r>
          </w:p>
        </w:tc>
        <w:tc>
          <w:tcPr>
            <w:tcW w:type="dxa" w:w="1440"/>
            <w:shd w:fill="FFDCE0" w:val="clear"/>
          </w:tcPr>
          <w:p>
            <w:r>
              <w:rPr>
                <w:b/>
                <w:sz w:val="17"/>
              </w:rPr>
              <w:t>37,351</w:t>
            </w:r>
          </w:p>
        </w:tc>
        <w:tc>
          <w:tcPr>
            <w:tcW w:type="dxa" w:w="1440"/>
            <w:shd w:fill="FFDCE0" w:val="clear"/>
          </w:tcPr>
          <w:p>
            <w:r>
              <w:rPr>
                <w:sz w:val="17"/>
              </w:rPr>
              <w:t>40,392</w:t>
            </w:r>
          </w:p>
        </w:tc>
        <w:tc>
          <w:tcPr>
            <w:tcW w:type="dxa" w:w="1440"/>
            <w:shd w:fill="FFDCE0" w:val="clear"/>
          </w:tcPr>
          <w:p>
            <w:r>
              <w:rPr>
                <w:b/>
                <w:color w:val="C00000"/>
                <w:sz w:val="17"/>
              </w:rPr>
              <w:t>-2.7%</w:t>
            </w:r>
          </w:p>
        </w:tc>
      </w:tr>
      <w:tr>
        <w:tc>
          <w:tcPr>
            <w:tcW w:type="dxa" w:w="1440"/>
            <w:shd w:fill="FFDCE0" w:val="clear"/>
          </w:tcPr>
          <w:p>
            <w:r>
              <w:rPr>
                <w:sz w:val="17"/>
              </w:rPr>
              <w:t>J+9  Moyenne</w:t>
            </w:r>
          </w:p>
        </w:tc>
        <w:tc>
          <w:tcPr>
            <w:tcW w:type="dxa" w:w="1440"/>
            <w:shd w:fill="FFDCE0" w:val="clear"/>
          </w:tcPr>
          <w:p>
            <w:r>
              <w:rPr>
                <w:sz w:val="17"/>
              </w:rPr>
              <w:t>2026-10-09</w:t>
            </w:r>
          </w:p>
        </w:tc>
        <w:tc>
          <w:tcPr>
            <w:tcW w:type="dxa" w:w="1440"/>
            <w:shd w:fill="FFDCE0" w:val="clear"/>
          </w:tcPr>
          <w:p>
            <w:r>
              <w:rPr>
                <w:sz w:val="17"/>
              </w:rPr>
              <w:t>34,033</w:t>
            </w:r>
          </w:p>
        </w:tc>
        <w:tc>
          <w:tcPr>
            <w:tcW w:type="dxa" w:w="1440"/>
            <w:shd w:fill="FFDCE0" w:val="clear"/>
          </w:tcPr>
          <w:p>
            <w:r>
              <w:rPr>
                <w:b/>
                <w:sz w:val="17"/>
              </w:rPr>
              <w:t>37,251</w:t>
            </w:r>
          </w:p>
        </w:tc>
        <w:tc>
          <w:tcPr>
            <w:tcW w:type="dxa" w:w="1440"/>
            <w:shd w:fill="FFDCE0" w:val="clear"/>
          </w:tcPr>
          <w:p>
            <w:r>
              <w:rPr>
                <w:sz w:val="17"/>
              </w:rPr>
              <w:t>40,468</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2026-10-12</w:t>
            </w:r>
          </w:p>
        </w:tc>
        <w:tc>
          <w:tcPr>
            <w:tcW w:type="dxa" w:w="1440"/>
            <w:shd w:fill="FFDCE0" w:val="clear"/>
          </w:tcPr>
          <w:p>
            <w:r>
              <w:rPr>
                <w:sz w:val="17"/>
              </w:rPr>
              <w:t>33,770</w:t>
            </w:r>
          </w:p>
        </w:tc>
        <w:tc>
          <w:tcPr>
            <w:tcW w:type="dxa" w:w="1440"/>
            <w:shd w:fill="FFDCE0" w:val="clear"/>
          </w:tcPr>
          <w:p>
            <w:r>
              <w:rPr>
                <w:b/>
                <w:sz w:val="17"/>
              </w:rPr>
              <w:t>37,152</w:t>
            </w:r>
          </w:p>
        </w:tc>
        <w:tc>
          <w:tcPr>
            <w:tcW w:type="dxa" w:w="1440"/>
            <w:shd w:fill="FFDCE0" w:val="clear"/>
          </w:tcPr>
          <w:p>
            <w:r>
              <w:rPr>
                <w:sz w:val="17"/>
              </w:rPr>
              <w:t>40,534</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 RAPPORT D'ANALYSE FINANCIÈRE — SOCIÉTÉ GÉNÉRALE CÔTE D'IVOIRE (SGBC)</w:t>
        <w:br/>
        <w:t>**Marché : BRVM | Secteur : Banque | 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1 194,67 milliards FCFA, SGBC figure parmi les valeurs les plus capitalisées de la BRVM, ce qui en fait un pilier de l'indice BRVM Composite et un titre de référence pour les investisseurs institutionnels de la zone UEMOA. Le BPA de 3 258 FCFA par action signifie que chaque titre génère près de 3 258 FCFA de bénéfice net, un niveau remarquable qui traduit la forte rentabilité de la banque. Le PER de 11,8x se situe dans le haut de la fourchette moyenne du marché BRVM (8-12x), indiquant une valorisation modérée mais légèrement supérieure à la moyenne, cohérente avec la prime de qualité associée au leader bancaire ivoirien. Le P/B de 2,41x montre que le marché valorise SGBC à plus du double de sa valeur comptable, une prime de croissance justifiée par un ROE de 20,47% nettement supérieur au coût des fonds propres. En revanche, l'EV/EBITDA de 24,6x apparaît très exigeant (seuil d'alerte &gt;15x), signalant que la valeur d'entreprise intègre déjà une grande partie des anticipations de croissance — un point de vigilance pour les investisseurs cherchant une marge de sécurité.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SGBC affiche une performance remarquable de +16,36%, bien que la dernière séance (J-1) enregistre un repli de -1,29%, marquant une légère prise de bénéfices après un rallye soutenu. Le cours actuel de 38 400 FCFA évolue dans un range de trading de 6 300 FCFA, avec un plus haut à 39 300 FCFA et un plus bas à 33 000 FCFA, ce qui positionne le titre à environ 97,7% de son plus haut — une tendance clairement haussière mais approchant une zone de résistance. Les statistiques descriptives révèlent une moyenne de 37 983 FCFA légèrement inférieure à la médiane de 38 175 FCFA, avec un mode à 38 000 FCFA, indiquant une distribution quasi-symétrique autour de 38 000 FCFA. L'écart-type de 1 344 FCFA et le coefficient de variation de 3,5% témoignent d'une dispersion très faible du cours, signe d'une grande stabilité. Le kurtosis de 2,984 (leptokurtique) signale des queues épaisses et un risque de pics de volatilité brutaux, tandis que le skewness de -1,785 (asymétrie négative) indique davantage de journées de hausse au-dessus de la moyenne, un signal haussier. La volatilité annualisée de 21,8% classe le titre dans la catégorie modérée (15-30%), offrant un bon compromis entre rendement et risque pour un investisseur averse à la volatilité extrême.</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38 507,25 FCFA et la MM50 à 38 419,30 FCFA, toutes deux supérieures au cours actuel de 38 400 FCFA, ce qui place le titre légèrement sous ses moyennes mobiles. La MM20 étant au-dessus de la MM50, la configuration reste haussière de fond, et la décision technique affichée est **Achat**, suggérant que le repli actuel constitue une opportunité d'entrée dans un trend haussier intact.</w:t>
      </w:r>
    </w:p>
    <w:p>
      <w:pPr>
        <w:spacing w:after="120" w:line="276" w:lineRule="auto"/>
      </w:pPr>
      <w:r>
        <w:t>**Bandes de Bollinger :** Le cours de 38 400 FCFA se situe entre la borne supérieure (39 291,55 FCFA) et la borne inférieure (37 722,95 FCFA), à environ 57% de la bande, ce qui indique une position neutre sans pression acheteuse ou vendeuse excessive. L'écart entre les bornes (1 568,59 FCFA) reflète une volatilité modérée, et la décision **Neutre** confirme l'absence de signal directionnel fort à court terme.</w:t>
      </w:r>
    </w:p>
    <w:p>
      <w:pPr>
        <w:spacing w:after="120" w:line="276" w:lineRule="auto"/>
      </w:pPr>
      <w:r>
        <w:t>**MACD :** Le MACD affiche une valeur de 1,553 contre un signal à -6,156, générant un croisement haussier significatif avec un histogramme positif de 7,709. Cette divergence positive indique un momentum haussier en construction, bien que la faiblesse de la valeur MACD absolue suggère que la dynamique reste fragile. La décision **Achat** est justifiée par ce croisement favorable.</w:t>
      </w:r>
    </w:p>
    <w:p>
      <w:pPr>
        <w:spacing w:after="120" w:line="276" w:lineRule="auto"/>
      </w:pPr>
      <w:r>
        <w:t>**RSI :** À 47,608, le RSI se situe dans la zone neutre (30-70), légèrement en dessous du seuil de 50, indiquant un équilibre entre acheteurs et vendeurs sans condition de surachat (&gt;70) ni de survente (&lt;30). La décision **Neutre** reflète cette absence de signal extrême, laissant place à une consolidation avant le prochain mouvement directionnel.</w:t>
      </w:r>
    </w:p>
    <w:p>
      <w:pPr>
        <w:spacing w:after="120" w:line="276" w:lineRule="auto"/>
      </w:pPr>
      <w:r>
        <w:t>**Stochastique :** Le %K à 50,0 et le %D à 75,0 montrent que le %K est nettement en dessous du %D, un croisement baissier qui suggère une pression vendeuse à court terme. Le %D en zone haute (75) indique que le titre approche d'une zone de surachat, et la décision **Neutre** masque une divergence baissière naissante qui pourrait se matérialiser par une consolidation.</w:t>
      </w:r>
    </w:p>
    <w:p>
      <w:pPr>
        <w:spacing w:after="120" w:line="276" w:lineRule="auto"/>
      </w:pPr>
      <w:r>
        <w:t>**Conclusion technique :** Les indicateurs présentent une configuration mitigée mais globalement constructive : les moyennes mobiles et le MACD émettent des signaux d'achat, tandis que le RSI, les bandes de Bollinger et le stochastique affichent une neutralité prudente. La convergence des MM haussières et du croisement MACD positif suggère que le repli de -1,29% en J-1 constitue une respiration dans un trend haussier, mais la divergence baissière du stochastique et la position du cours sous la MM20 appellent à la patience avant tout renforcement de position.</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SGBC affiche un Produit Net Bancaire (équivalent du chiffre d'affaires pour une banque) de 276,048 milliards FCFA, en croissance de +4,88% sur un an, porté par les intérêts et produits assimilés (230,313 Mds FCFA) et les commissions (72,603 Mds FCFA). Le résultat net s'établit à 101,352 milliards FCFA, avec une marge nette exceptionnelle de 36,72% et un ROE de 20,47% (nettement supérieur au seuil d'excellence de 15%), confirmant la remarquable rentabilité des fonds propres (495,113 Mds FCFA). Le ROA de 2,69% reflète la nature bancaire de l'activité, où le levier est structurel. Le coefficient d'exploitation de 38,75% place SGBC parmi les banques les plus efficaces du secteur UEMOA (&lt;50% = excellence), et le taux de croissance du PNB de +4,88% témoigne d'une dynamique commerciale soutenue. Le ratio dépôts/crédits s'établit à 2 907,675 Mds FCFA de dépôts clientèle pour 2 546,290 Mds FCFA de créances clientèle, soit un ratio de transformation de 87,6%, en amélioration de 250 points de base selon le rapport annuel 2025 (publié le 17 avril 2026). Le coût du risque, bien que non isolé dans les données structurées, ressort à 46,829 Mds FCFA dans le rapport annuel 2025, en hausse de +29,2%, avec un taux de NPL de 8,0% et un taux de couverture de 82% — un point de vigilance.</w:t>
      </w:r>
    </w:p>
    <w:p>
      <w:pPr>
        <w:spacing w:after="120" w:line="276" w:lineRule="auto"/>
      </w:pPr>
      <w:r>
        <w:t>**Estimations basées sur les rapports trimestriels :** Le rapport T1 2026 (publié le 30 avril 2026) indique un PNB de 65,644 Mds FCFA (-1% sur un an) et un résultat net de 23,976 Mds FCFA (-11%), affectés par la migration vers une nouvelle plateforme digitale et la hausse des frais généraux (+9%). Le rapport S1 2026 (publié le 27 août 2026) montre une stabilisation avec un PNB de 134,059 Mds FCFA (+1,6%) et un résultat net de 53,350 Mds FCFA (+0,5%), le coefficient d'exploitation s'améliorant à 36,7% et le ratio de solvabilité atteignant 17,6% (seuil réglementaire : 12,5%). Sur cette base, on estime que l'exercice 2026 devrait clôturer avec un PNB autour de 280-285 Mds FCFA (+1,5% à +3%) et un résultat net de 102-105 Mds FCFA (+0,5% à +3,5%), la normalisation des coûts et la finalisation de la migration digitale devant soutenir la rentabilité au second semestre. La politique de dividende reste généreuse avec un taux de distribution de 80% en 2025 (dividende brut de 2 606 FCFA/action), offrant un rendement attractif au cours actuel de 38 400 FCFA (rendement ~6,8%).</w:t>
      </w:r>
    </w:p>
    <w:p>
      <w:pPr>
        <w:spacing w:after="120" w:line="276" w:lineRule="auto"/>
      </w:pPr>
      <w:r>
        <w:t>**Recommandation fondamentale :** SGBC présente des fondamentaux solides (ROE &gt;20%, coefficient d'exploitation &lt;40%, solvabilité robuste), mais la stagnation du résultat net (+0,1% en 2025, +0,5% au S1 2026) et la hausse du coût du risque limitent le potentiel de revalorisation à court terme. Le titre convient aux investisseurs recherchant rendement et stabilité.</w:t>
      </w:r>
    </w:p>
    <w:p>
      <w:pPr>
        <w:spacing w:after="120" w:line="276" w:lineRule="auto"/>
      </w:pPr>
      <w:r>
        <w:t>---</w:t>
      </w:r>
    </w:p>
    <w:p>
      <w:pPr>
        <w:spacing w:after="120" w:line="276" w:lineRule="auto"/>
      </w:pPr>
      <w:r>
        <w:t>## PARTIE 4 : CONCLUSION D'INVESTISSEMENT</w:t>
      </w:r>
    </w:p>
    <w:p>
      <w:pPr>
        <w:spacing w:after="120" w:line="276" w:lineRule="auto"/>
      </w:pPr>
      <w:r>
        <w:t>La valorisation de SGBC (PER 11,8x, P/B 2,41x, EV/EBITDA 24,6x) indique une juste valorisation, voire une légère surévaluation sur la base de l'EV/EBITDA, bien que le PER reste dans la moyenne du marché BRVM. Le comportement du cours sur 100 jours (+16,36%) est haussier, avec une volatilité modérée (21,8%) et des statistiques rassurantes (CV faible de 3,5%, skewness positif), mais le kurtosis élevé (2,984) avertit d'un risque de pics baissiers brutaux. Les signaux techniques sont mitigés : les moyennes mobiles et le MACD sont haussiers, mais le RSI neutre et le stochastique baissier suggèrent une consolidation à court terme. Les fondamentaux restent solides (ROE 20,47%, coefficient d'exploitation 38,75%, dividende 80%), mais la croissance du résultat net est quasi nulle (+0,1% en 2025, +0,5% au S1 2026), et le coût du risque (+29,2%) constitue un point de vigilance. Les prédictions IA pour les 10 prochains jours (38 137 → 37 665 FCFA) anticipent une légère correction baissière (-1,9%), ce qui contredit les signaux haussiers des MM et du MACD mais confirme la neutralité du RSI et la pression baissière du stochastique. **Recommandation finale : CONSERVER.** Le titre offre un bon compromis rendement/risque (dividende ~6,8%, volatilité modérée), mais l'absence de catalyseur de croissance à court terme et la valorisation exigeante (EV/EBITDA) limitent le potentiel de surperformance. Un passage à l'ACHAT serait justifié si le T3 2026 confirme l'inflexion du coût du risque et une accélération du PNB au-delà de +3%. **Niveau de confiance : Moyen** (fondamentaux solides mais croissance atone). **Niveau de risque : Moyen** (volatilité modérée, mais risque de crédit en hausse). **Horizon d'investissement : Moyen terme (3-12 mois)** , en attendant la confirmation de la reprise de la rentabilité au second semestre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20260511   avis ndeg133 brvmdg   transactions sur dossier</w:t>
      </w:r>
    </w:p>
    <w:p>
      <w:pPr>
        <w:spacing w:before="20"/>
        <w:ind w:left="400"/>
      </w:pPr>
      <w:r>
        <w:rPr>
          <w:color w:val="505050"/>
          <w:sz w:val="17"/>
        </w:rPr>
        <w:t xml:space="preserve">Date : 12/05/2026  |  Catégorie : avis de marché  |  Impact : </w:t>
      </w:r>
      <w:r>
        <w:rPr>
          <w:b/>
          <w:color w:val="646464"/>
          <w:sz w:val="17"/>
        </w:rPr>
        <w:t>⚪ NEUTRE</w:t>
      </w:r>
    </w:p>
    <w:p>
      <w:pPr>
        <w:spacing w:before="40"/>
        <w:ind w:left="400"/>
      </w:pPr>
      <w:r>
        <w:rPr>
          <w:sz w:val="18"/>
        </w:rPr>
        <w:t>Avis de la BRVM informant de la réalisation de 7 transactions sur dossier le 11 mai 2026. Les transactions portent sur plusieurs titres dont SOCIETE GENERALE CI, SONATEL SN, SAFCA CI, ETI TG, UNIWAX CI et des obligations TPCI et FCTC EPT. La valeur totale des transactions s'élève à 667 125,85 FCFA.</w:t>
      </w:r>
    </w:p>
    <w:p>
      <w:pPr>
        <w:spacing w:before="60"/>
        <w:ind w:left="400"/>
      </w:pPr>
      <w:r>
        <w:rPr>
          <w:b/>
          <w:sz w:val="18"/>
        </w:rPr>
        <w:t>Points clés :</w:t>
      </w:r>
    </w:p>
    <w:p>
      <w:pPr>
        <w:pStyle w:val="ListBullet"/>
        <w:spacing w:before="20" w:after="20"/>
        <w:ind w:left="700"/>
      </w:pPr>
      <w:r>
        <w:rPr>
          <w:sz w:val="18"/>
        </w:rPr>
        <w:t>7 transactions sur dossier réalisées le 11 mai 2026</w:t>
      </w:r>
    </w:p>
    <w:p>
      <w:pPr>
        <w:pStyle w:val="ListBullet"/>
        <w:spacing w:before="20" w:after="20"/>
        <w:ind w:left="700"/>
      </w:pPr>
      <w:r>
        <w:rPr>
          <w:sz w:val="18"/>
        </w:rPr>
        <w:t>750 actions SOCIETE GENERALE CI et 500 actions SONATEL SN échangées</w:t>
      </w:r>
    </w:p>
    <w:p>
      <w:pPr>
        <w:pStyle w:val="ListBullet"/>
        <w:spacing w:before="20" w:after="20"/>
        <w:ind w:left="700"/>
      </w:pPr>
      <w:r>
        <w:rPr>
          <w:sz w:val="18"/>
        </w:rPr>
        <w:t>5 000 actions SAFCA CI, 125 000 actions ETI TG et 2 000 actions UNIWAX CI négociées</w:t>
      </w:r>
    </w:p>
    <w:p>
      <w:pPr>
        <w:pStyle w:val="ListBullet"/>
        <w:spacing w:before="20" w:after="20"/>
        <w:ind w:left="700"/>
      </w:pPr>
      <w:r>
        <w:rPr>
          <w:sz w:val="18"/>
        </w:rPr>
        <w:t>96 obligations TPCI 6,00% 2018-2026 et 100 obligations FCTC EPT 7,00% 2023-2030 échangées</w:t>
      </w:r>
    </w:p>
    <w:p>
      <w:pPr>
        <w:pStyle w:val="ListBullet"/>
        <w:spacing w:before="20" w:after="20"/>
        <w:ind w:left="700"/>
      </w:pPr>
      <w:r>
        <w:rPr>
          <w:sz w:val="18"/>
        </w:rPr>
        <w:t>Valeur totale des transactions de 667 125,85 FCFA</w:t>
      </w:r>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"SGB CI affiche une croissance solide de son r\u00e9sultat net (+39,3%) et une rentabilit\u00e9 \u00e9lev\u00e9e avec un ROE estim\u00e9 \u00e0 plus de 22%. La politique de dividende g\u00e9n\u00e9reuse (51,3% de distribution) et la solidit\u00e9 du bilan confortent le potentiel de valorisation du titre."}</w:t>
      </w:r>
    </w:p>
    <w:p>
      <w:pPr>
        <w:spacing w:before="40"/>
        <w:ind w:left="400"/>
      </w:pPr>
      <w:r>
        <w:rPr>
          <w:sz w:val="18"/>
        </w:rPr>
        <w:t>Société Générale Côte d'Ivoire (SGB CI) clôture l'exercice 2021 sur des états financiers certifiés marqués par une nette progression de son activité. Le Produit Net Bancaire s'élève à 189 096 millions FCFA, en hausse de 15,3% par rapport aux 164 062 millions FCFA de 2020. Le résultat net atteint 67 438 millions FCFA contre 48 435 millions FCFA un an plus tôt, soit une croissance de 39,3%. La banque affiche un total de bilan de 3 021 481 millions FCFA et des capitaux propres de 304 993 millions FCFA, confirmant sa solidité financière. La politique de distribution reste généreuse avec un dividende brut de 1 112 FCFA par action, soit un taux de distribution de 51,3% du résultat net.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{'roe_estime': '22,1%', 'cout_du_risque': '17 942 millions FCFA', 'croissance_pnb': '+15,3%', 'frais_generaux': '90 651 millions FCFA', 'nombre_d_actions': '31 111 110', 'resultat_avant_impot': '79 574 millions FCFA', 'taux_de_distribution': '51,3%', 'dettes_a_la_clientele': '2 528 809 millions FCFA', 'resultat_exploitation': '80 504 millions FCFA', 'croissance_resultat_net': '+39,3%', 'creances_sur_la_clientele': '398 854 millions FCFA', 'resultat_brut_exploitation': '98 446 millions FCFA'}</w:t>
            </w:r>
          </w:p>
        </w:tc>
        <w:tc>
          <w:tcPr>
            <w:tcW w:type="dxa" w:w="2160"/>
          </w:tcPr>
          <w:p>
            <w:pPr>
              <w:ind w:left="100"/>
            </w:pPr>
            <w:r/>
            <w:r>
              <w:rPr>
                <w:b/>
                <w:sz w:val="16"/>
              </w:rPr>
              <w:t>dividende</w:t>
              <w:br/>
            </w:r>
            <w:r>
              <w:rPr>
                <w:sz w:val="18"/>
              </w:rPr>
              <w:t>1 112 FCFA par action</w:t>
            </w:r>
          </w:p>
        </w:tc>
        <w:tc>
          <w:tcPr>
            <w:tcW w:type="dxa" w:w="2160"/>
          </w:tcPr>
          <w:p>
            <w:pPr>
              <w:ind w:left="100"/>
            </w:pPr>
            <w:r/>
            <w:r>
              <w:rPr>
                <w:b/>
                <w:sz w:val="16"/>
              </w:rPr>
              <w:t>marge_nette</w:t>
              <w:br/>
            </w:r>
            <w:r>
              <w:rPr>
                <w:sz w:val="18"/>
              </w:rPr>
              <w:t>35,7%</w:t>
            </w:r>
          </w:p>
        </w:tc>
        <w:tc>
          <w:tcPr>
            <w:tcW w:type="dxa" w:w="2160"/>
          </w:tcPr>
          <w:p>
            <w:pPr>
              <w:ind w:left="100"/>
            </w:pPr>
            <w:r/>
            <w:r>
              <w:rPr>
                <w:b/>
                <w:sz w:val="16"/>
              </w:rPr>
              <w:t>total_actif</w:t>
              <w:br/>
            </w:r>
            <w:r>
              <w:rPr>
                <w:sz w:val="18"/>
              </w:rPr>
              <w:t>3 021 481 millions FCFA</w:t>
            </w:r>
          </w:p>
        </w:tc>
      </w:tr>
      <w:tr>
        <w:tc>
          <w:tcPr>
            <w:tcW w:type="dxa" w:w="2160"/>
          </w:tcPr>
          <w:p>
            <w:r/>
            <w:r>
              <w:rPr>
                <w:b/>
                <w:sz w:val="16"/>
              </w:rPr>
              <w:t>resultat_net</w:t>
              <w:br/>
            </w:r>
            <w:r>
              <w:rPr>
                <w:sz w:val="18"/>
              </w:rPr>
              <w:t>67 438 millions FCFA</w:t>
            </w:r>
          </w:p>
        </w:tc>
        <w:tc>
          <w:tcPr>
            <w:tcW w:type="dxa" w:w="2160"/>
          </w:tcPr>
          <w:p>
            <w:r/>
            <w:r>
              <w:rPr>
                <w:b/>
                <w:sz w:val="16"/>
              </w:rPr>
              <w:t>capitaux_propres</w:t>
              <w:br/>
            </w:r>
            <w:r>
              <w:rPr>
                <w:sz w:val="18"/>
              </w:rPr>
              <w:t>304 993 millions FCFA</w:t>
            </w:r>
          </w:p>
        </w:tc>
        <w:tc>
          <w:tcPr>
            <w:tcW w:type="dxa" w:w="2160"/>
          </w:tcPr>
          <w:p>
            <w:r/>
            <w:r>
              <w:rPr>
                <w:b/>
                <w:sz w:val="16"/>
              </w:rPr>
              <w:t>chiffre_affaires</w:t>
              <w:br/>
            </w:r>
            <w:r>
              <w:rPr>
                <w:sz w:val="18"/>
              </w:rPr>
              <w:t>189 096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189 096 millions FCFA en 2021, en progression de 15,3% sur un an (164 062 millions FCFA en 2020).</w:t>
      </w:r>
    </w:p>
    <w:p>
      <w:pPr>
        <w:pStyle w:val="ListBullet"/>
        <w:spacing w:before="20" w:after="20"/>
        <w:ind w:left="700"/>
      </w:pPr>
      <w:r>
        <w:rPr>
          <w:sz w:val="18"/>
        </w:rPr>
        <w:t>Résultat net de 67 438 millions FCFA, en forte hausse de 39,3% par rapport à 48 435 millions FCFA en 2020.</w:t>
      </w:r>
    </w:p>
    <w:p>
      <w:pPr>
        <w:pStyle w:val="ListBullet"/>
        <w:spacing w:before="20" w:after="20"/>
        <w:ind w:left="700"/>
      </w:pPr>
      <w:r>
        <w:rPr>
          <w:sz w:val="18"/>
        </w:rPr>
        <w:t>Marge nette élevée à environ 35,7% du PNB, illustrant une bonne maîtrise des charges.</w:t>
      </w:r>
    </w:p>
    <w:p>
      <w:pPr>
        <w:pStyle w:val="ListBullet"/>
        <w:spacing w:before="20" w:after="20"/>
        <w:ind w:left="700"/>
      </w:pPr>
      <w:r>
        <w:rPr>
          <w:sz w:val="18"/>
        </w:rPr>
        <w:t>Coût du risque en baisse à 17 942 millions FCFA contre 23 926 millions FCFA en 2020, traduisant une amélioration de la qualité du portefeuille.</w:t>
      </w:r>
    </w:p>
    <w:p>
      <w:pPr>
        <w:pStyle w:val="ListBullet"/>
        <w:spacing w:before="20" w:after="20"/>
        <w:ind w:left="700"/>
      </w:pPr>
      <w:r>
        <w:rPr>
          <w:sz w:val="18"/>
        </w:rPr>
        <w:t>Frais généraux contenus à 90 651 millions FCFA, permettant un Résultat Brut d'Exploitation de 98 446 millions FCFA (contre 83 330 millions FCFA en 2020).</w:t>
      </w:r>
    </w:p>
    <w:p>
      <w:pPr>
        <w:pStyle w:val="ListBullet"/>
        <w:spacing w:before="20" w:after="20"/>
        <w:ind w:left="700"/>
      </w:pPr>
      <w:r>
        <w:rPr>
          <w:sz w:val="18"/>
        </w:rPr>
        <w:t>Total du bilan de 3 021 481 millions FCFA et capitaux propres renforcés à 304 993 millions FCFA.</w:t>
      </w:r>
    </w:p>
    <w:p>
      <w:pPr>
        <w:spacing w:before="40"/>
        <w:ind w:left="400"/>
      </w:pPr>
      <w:r>
        <w:rPr>
          <w:b/>
          <w:color w:val="C05000"/>
          <w:sz w:val="18"/>
        </w:rPr>
        <w:t xml:space="preserve">⚠️ Risques : </w:t>
      </w:r>
      <w:r>
        <w:rPr>
          <w:sz w:val="18"/>
        </w:rPr>
        <w:t>["D\u00e9gradation de la qualit\u00e9 du cr\u00e9dit dans un contexte macro\u00e9conomique r\u00e9gional incertain pouvant faire remonter le co\u00fbt du risque.", "Forte d\u00e9pendance au march\u00e9 ivoirien et \u00e0 la concentration du portefeuille client\u00e8le, exposant la banque \u00e0 un r</w:t>
      </w:r>
    </w:p>
    <w:p>
      <w:pPr>
        <w:spacing w:before="40"/>
        <w:ind w:left="400"/>
      </w:pPr>
      <w:r>
        <w:rPr>
          <w:b/>
          <w:color w:val="0064A0"/>
          <w:sz w:val="18"/>
        </w:rPr>
        <w:t xml:space="preserve">🔮 Perspectives : </w:t>
      </w:r>
      <w:r>
        <w:rPr>
          <w:sz w:val="18"/>
        </w:rPr>
        <w:t>Pour l'exercice 2022, SGB CI devrait poursuivre sa dynamique de croissance portée par le développement du crédit à la clientèle et la digitalisation de ses services. La bonne maîtrise des charges et la baisse du coût du risque devraient soutenir la rentabilité. Le maintien d'une politique de distrib</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forte dynamique commerciale et un PNB en croissance de +14%, mais le r\u00e9sultat net recule de -3% dans un contexte macro\u00e9conomique incertain. La solidit\u00e9 du bilan et la croissance des encours justifient une position d'attente."}</w:t>
      </w:r>
    </w:p>
    <w:p>
      <w:pPr>
        <w:spacing w:before="40"/>
        <w:ind w:left="400"/>
      </w:pPr>
      <w:r>
        <w:rPr>
          <w:sz w:val="18"/>
        </w:rPr>
        <w:t>Société Générale Côte d'Ivoire (SGB CI) affiche à fin septembre 2022 des résultats témoignant de la résilience de son activité dans un environnement économique mondial difficile. L'activité commerciale reste très dynamique avec une croissance soutenue des encours de crédits (+17%) et de dépôts (+19%) par rapport à septembre 2021. Le Produit Net Bancaire s'établit à 154,9 milliards FCFA, en forte progression de +14%, porté par la marge nette d'intérêt et les commissions de service. Le résultat avant impôt ressort à 56,7 milliards FCFA (-3%) et le résultat net à 47,1 milliards FCFA, en légère baisse de -3%. La société confirme ainsi la solidité de son modèle, bien que la rentabilité nette soit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{'unite': 'Millions XOF (MXOF)', 'periode': 'Fin septembre 2022 vs septembre 2021', 'variation_pnb': '+19 540 millions FCFA', 'depots_clientele': '2 700 807 millions FCFA (+19%)', 'credits_clientele': '1 965 461 millions FCFA (+17%)', 'produit_net_bancaire': '154 926 millions FCFA (+14%)', 'resultat_avant_impot': '56 728 millions FCFA (-3%)', 'variation_resultat_net': '-1 354 millions FCFA', 'variation_resultat_avant_impot': '-1 631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47 084 millions FCFA (-3%)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154 926 millions FCFA (Produit Net Bancaire, +14%)</w:t>
            </w:r>
          </w:p>
        </w:tc>
        <w:tc>
          <w:tcPr>
            <w:tcW w:type="dxa" w:w="2160"/>
          </w:tcPr>
          <w:p/>
        </w:tc>
      </w:tr>
    </w:tbl>
    <w:p/>
    <w:p>
      <w:pPr>
        <w:spacing w:before="60"/>
        <w:ind w:left="400"/>
      </w:pPr>
      <w:r>
        <w:rPr>
          <w:b/>
          <w:sz w:val="18"/>
        </w:rPr>
        <w:t>Points clés :</w:t>
      </w:r>
    </w:p>
    <w:p>
      <w:pPr>
        <w:pStyle w:val="ListBullet"/>
        <w:spacing w:before="20" w:after="20"/>
        <w:ind w:left="700"/>
      </w:pPr>
      <w:r>
        <w:rPr>
          <w:sz w:val="18"/>
        </w:rPr>
        <w:t>Encours de crédits de la clientèle en hausse de +17% à 1 965,5 milliards FCFA</w:t>
      </w:r>
    </w:p>
    <w:p>
      <w:pPr>
        <w:pStyle w:val="ListBullet"/>
        <w:spacing w:before="20" w:after="20"/>
        <w:ind w:left="700"/>
      </w:pPr>
      <w:r>
        <w:rPr>
          <w:sz w:val="18"/>
        </w:rPr>
        <w:t>Encours de dépôts de la clientèle en progression de +19% à 2 700,8 milliards FCFA</w:t>
      </w:r>
    </w:p>
    <w:p>
      <w:pPr>
        <w:pStyle w:val="ListBullet"/>
        <w:spacing w:before="20" w:after="20"/>
        <w:ind w:left="700"/>
      </w:pPr>
      <w:r>
        <w:rPr>
          <w:sz w:val="18"/>
        </w:rPr>
        <w:t>Produit Net Bancaire de 154,9 milliards FCFA, en forte croissance de +14%</w:t>
      </w:r>
    </w:p>
    <w:p>
      <w:pPr>
        <w:pStyle w:val="ListBullet"/>
        <w:spacing w:before="20" w:after="20"/>
        <w:ind w:left="700"/>
      </w:pPr>
      <w:r>
        <w:rPr>
          <w:sz w:val="18"/>
        </w:rPr>
        <w:t>Résultat avant impôt de 56,7 milliards FCFA, en repli de -3%</w:t>
      </w:r>
    </w:p>
    <w:p>
      <w:pPr>
        <w:pStyle w:val="ListBullet"/>
        <w:spacing w:before="20" w:after="20"/>
        <w:ind w:left="700"/>
      </w:pPr>
      <w:r>
        <w:rPr>
          <w:sz w:val="18"/>
        </w:rPr>
        <w:t>Résultat net de 47,1 milliards FCFA, en légère baisse de -3%</w:t>
      </w:r>
    </w:p>
    <w:p>
      <w:pPr>
        <w:pStyle w:val="ListBullet"/>
        <w:spacing w:before="20" w:after="20"/>
        <w:ind w:left="700"/>
      </w:pPr>
      <w:r>
        <w:rPr>
          <w:sz w:val="18"/>
        </w:rPr>
        <w:t>Dynamique des revenus portée par la marge nette d'intérêt et le développement des commissions de service</w:t>
      </w:r>
    </w:p>
    <w:p>
      <w:pPr>
        <w:spacing w:before="40"/>
        <w:ind w:left="400"/>
      </w:pPr>
      <w:r>
        <w:rPr>
          <w:b/>
          <w:color w:val="C05000"/>
          <w:sz w:val="18"/>
        </w:rPr>
        <w:t xml:space="preserve">⚠️ Risques : </w:t>
      </w:r>
      <w:r>
        <w:rPr>
          <w:sz w:val="18"/>
        </w:rPr>
        <w:t>["Baisse du r\u00e9sultat net (-3%) et du r\u00e9sultat avant imp\u00f4t (-3%) malgr\u00e9 la croissance du PNB, signalant une compression de la rentabilit\u00e9", "Environnement macro\u00e9conomique difficile : ralentissement de la croissance \u00e9conomique mondiale et forte inflation", "Risque de</w:t>
      </w:r>
    </w:p>
    <w:p>
      <w:pPr>
        <w:spacing w:before="40"/>
        <w:ind w:left="400"/>
      </w:pPr>
      <w:r>
        <w:rPr>
          <w:b/>
          <w:color w:val="0064A0"/>
          <w:sz w:val="18"/>
        </w:rPr>
        <w:t xml:space="preserve">🔮 Perspectives : </w:t>
      </w:r>
      <w:r>
        <w:rPr>
          <w:sz w:val="18"/>
        </w:rPr>
        <w:t>SGB CI devrait poursuivre sa dynamique commerciale portée par la croissance soutenue des encours de crédits et de dépôts ainsi que par le développement des commissions de service. Le maintien de la progression du Produit Net Bancaire constitue le principal levier, mais la pression sur le résultat ne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banque affiche des fondamentaux solides avec une forte croissance du PNB, un bilan bien capitalis\u00e9 et un leadership sectoriel confirm\u00e9, mais le repli du r\u00e9sultat net de -9,2% li\u00e9 aux provisions exceptionnelles sur les PME incite \u00e0 la prudence. La correction du co\u00fbt du risque attendue au second semestre et la valorisation actuelle justifient une position d'attente sur le titre."}</w:t>
      </w:r>
    </w:p>
    <w:p>
      <w:pPr>
        <w:spacing w:before="40"/>
        <w:ind w:left="400"/>
      </w:pPr>
      <w:r>
        <w:rPr>
          <w:sz w:val="18"/>
        </w:rPr>
        <w:t>Société Générale Côte d'Ivoire affiche au premier semestre 2022 de solides performances commerciales avec une hausse de 16% des encours de crédits et de dépôts, maintenant sa position de leader du secteur bancaire ivoirien avec des parts de marché de 19,6% sur les crédits et 18,4% sur les dépôts. Le Produit Net Bancaire progresse fortement de +16% à 103 071 millions FCFA, porté par la marge nette d'intérêts et les commissions, tandis que les frais généraux ne croissent que de +12%, permettant un effet de ciseaux positif et un coefficient d'exploitation en amélioration à 45,9%. Le Résultat Net ressort toutefois en léger repli de -9,2% à 28 058 millions FCFA, pénalisé par un Coût Net du Risque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'15 555 555 000 FCFA', 'cout_du_risque': '23 878 millions FCFA', 'frais_generaux': '47 331 millions FCFA (+12%)', 'depots_clientele': '2 591 292 millions FCFA (+16%)', 'ratio_solvabilite': '14,4% (minimum réglementaire 11,25%)', 'produit_net_bancaire': '103 071 millions FCFA (+16% vs juin 2021)', 'part_de_marche_depots': '18,4%', 'part_de_marche_credits': '19,6%', 'coefficient_exploitation': '45,9% (-175 pb)', 'encours_credits_clientele': '1 974 755 millions FCFA (+16%)', 'resultat_brut_exploitation': '55 740 millions FCFA', 'taux_degradation_portefeuille': '8,0%', 'taux_couverture_creances_souffrance': '&gt;90%'}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27,2% (Résultat net / PNB)</w:t>
            </w:r>
          </w:p>
        </w:tc>
        <w:tc>
          <w:tcPr>
            <w:tcW w:type="dxa" w:w="2160"/>
          </w:tcPr>
          <w:p>
            <w:pPr>
              <w:ind w:left="100"/>
            </w:pPr>
            <w:r/>
            <w:r>
              <w:rPr>
                <w:b/>
                <w:sz w:val="16"/>
              </w:rPr>
              <w:t>total_actif</w:t>
              <w:br/>
            </w:r>
            <w:r>
              <w:rPr>
                <w:sz w:val="18"/>
              </w:rPr>
              <w:t>3 060 101 millions FCFA (juin 2022)</w:t>
            </w:r>
          </w:p>
        </w:tc>
      </w:tr>
      <w:tr>
        <w:tc>
          <w:tcPr>
            <w:tcW w:type="dxa" w:w="2160"/>
          </w:tcPr>
          <w:p>
            <w:r/>
            <w:r>
              <w:rPr>
                <w:b/>
                <w:sz w:val="16"/>
              </w:rPr>
              <w:t>resultat_net</w:t>
              <w:br/>
            </w:r>
            <w:r>
              <w:rPr>
                <w:sz w:val="18"/>
              </w:rPr>
              <w:t>28 058 millions FCFA (juin 2022)</w:t>
            </w:r>
          </w:p>
        </w:tc>
        <w:tc>
          <w:tcPr>
            <w:tcW w:type="dxa" w:w="2160"/>
          </w:tcPr>
          <w:p>
            <w:r/>
            <w:r>
              <w:rPr>
                <w:b/>
                <w:sz w:val="16"/>
              </w:rPr>
              <w:t>capitaux_propres</w:t>
              <w:br/>
            </w:r>
            <w:r>
              <w:rPr>
                <w:sz w:val="18"/>
              </w:rPr>
              <w:t>298 456 millions FCFA (juin 2022)</w:t>
            </w:r>
          </w:p>
        </w:tc>
        <w:tc>
          <w:tcPr>
            <w:tcW w:type="dxa" w:w="2160"/>
          </w:tcPr>
          <w:p>
            <w:r/>
            <w:r>
              <w:rPr>
                <w:b/>
                <w:sz w:val="16"/>
              </w:rPr>
              <w:t>chiffre_affaires</w:t>
              <w:br/>
            </w:r>
            <w:r>
              <w:rPr>
                <w:sz w:val="18"/>
              </w:rPr>
              <w:t>103 071 millions FCFA (Produit Net Bancaire, juin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progression de +16% à 103 071 millions FCFA, soutenu par la marge nette d'intérêts (+16%) et les commissions (+16%)</w:t>
      </w:r>
    </w:p>
    <w:p>
      <w:pPr>
        <w:pStyle w:val="ListBullet"/>
        <w:spacing w:before="20" w:after="20"/>
        <w:ind w:left="700"/>
      </w:pPr>
      <w:r>
        <w:rPr>
          <w:sz w:val="18"/>
        </w:rPr>
        <w:t>Résultat Net de 28 058 millions FCFA en repli de -9,2% par rapport à juin 2021, affecté par la hausse du coût du risque</w:t>
      </w:r>
    </w:p>
    <w:p>
      <w:pPr>
        <w:pStyle w:val="ListBullet"/>
        <w:spacing w:before="20" w:after="20"/>
        <w:ind w:left="700"/>
      </w:pPr>
      <w:r>
        <w:rPr>
          <w:sz w:val="18"/>
        </w:rPr>
        <w:t>Coût Net du Risque en forte hausse à 23 878 millions FCFA en raison de provisions exceptionnelles à 100% sur des créances PME liées à un risque opérationnel</w:t>
      </w:r>
    </w:p>
    <w:p>
      <w:pPr>
        <w:pStyle w:val="ListBullet"/>
        <w:spacing w:before="20" w:after="20"/>
        <w:ind w:left="700"/>
      </w:pPr>
      <w:r>
        <w:rPr>
          <w:sz w:val="18"/>
        </w:rPr>
        <w:t>Croissance des encours de crédits (+16% à 1 974 755 millions FCFA) et de dépôts (+16% à 2 591 292 millions FCFA), confirmant le leadership bancaire avec des parts de marché de 19,6% et 18,4%</w:t>
      </w:r>
    </w:p>
    <w:p>
      <w:pPr>
        <w:pStyle w:val="ListBullet"/>
        <w:spacing w:before="20" w:after="20"/>
        <w:ind w:left="700"/>
      </w:pPr>
      <w:r>
        <w:rPr>
          <w:sz w:val="18"/>
        </w:rPr>
        <w:t>Ratio de solvabilité solide à 14,4%, soit +317 points de base au-dessus du minimum réglementaire de 11,25%</w:t>
      </w:r>
    </w:p>
    <w:p>
      <w:pPr>
        <w:pStyle w:val="ListBullet"/>
        <w:spacing w:before="20" w:after="20"/>
        <w:ind w:left="700"/>
      </w:pPr>
      <w:r>
        <w:rPr>
          <w:sz w:val="18"/>
        </w:rPr>
        <w:t>Bonne maîtrise des coûts avec des frais généraux en hausse de seulement +12% et un coefficient d'exploitation amélioré à 45,9% (-175 pb)</w:t>
      </w:r>
    </w:p>
    <w:p>
      <w:pPr>
        <w:spacing w:before="40"/>
        <w:ind w:left="400"/>
      </w:pPr>
      <w:r>
        <w:rPr>
          <w:b/>
          <w:color w:val="C05000"/>
          <w:sz w:val="18"/>
        </w:rPr>
        <w:t xml:space="preserve">⚠️ Risques : </w:t>
      </w:r>
      <w:r>
        <w:rPr>
          <w:sz w:val="18"/>
        </w:rPr>
        <w:t>["D\u00e9t\u00e9rioration du co\u00fbt du risque li\u00e9e \u00e0 la d\u00e9gradation de certaines cr\u00e9ances PME, avec des provisions exceptionnelles qui pourraient perdurer si la conjoncture reste difficile", "Environnement macro\u00e9conomique incertain marqu\u00e9 par les tensions g\u00e9opol</w:t>
      </w:r>
    </w:p>
    <w:p>
      <w:pPr>
        <w:spacing w:before="40"/>
        <w:ind w:left="400"/>
      </w:pPr>
      <w:r>
        <w:rPr>
          <w:b/>
          <w:color w:val="0064A0"/>
          <w:sz w:val="18"/>
        </w:rPr>
        <w:t xml:space="preserve">🔮 Perspectives : </w:t>
      </w:r>
      <w:r>
        <w:rPr>
          <w:sz w:val="18"/>
        </w:rPr>
        <w:t>Sur le second semestre 2022, Société Générale Côte d'Ivoire anticipe une amélioration grâce aux perspectives de recouvrement des créances compromises et provisionnées, qui devraient permettre de contenir l'évolution du coût net du risque. La banque poursuivra la mise en œuvre de ses initiatives stra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"SGCI affiche des r\u00e9sultats records avec un r\u00e9sultat net en hausse de +10,6%, un ROE \u00e9lev\u00e9 de 21,6% et une position de leader incontest\u00e9e sur le march\u00e9 bancaire ivoirien. La solidit\u00e9 financi\u00e8re (notation AA+, capitaux propres de 345 009 M FCFA) et un dividende en progression de 11% soutiennent une perspective favorable pour l'actionnaire."}</w:t>
      </w:r>
    </w:p>
    <w:p>
      <w:pPr>
        <w:spacing w:before="40"/>
        <w:ind w:left="400"/>
      </w:pPr>
      <w:r>
        <w:rPr>
          <w:sz w:val="18"/>
        </w:rPr>
        <w:t>Société Générale Côte d'Ivoire (SGCI) clôture l'exercice 2022 avec les meilleurs résultats de son histoire, célébrant ses 60 ans d'activité. Le Produit Net Bancaire progresse de +13,8% à 215 101 millions FCFA, porté par la marge nette d'intérêts (+15%) et les commissions (+12,5%). Le résultat net atteint un niveau record de 74 612 millions FCFA (+10,6%) malgré une forte hausse du coût net du risque (+60,6%) liée à des dotations exceptionnelles sur le segment PME. La banque confirme sa position de leader du marché bancaire ivoirien et sous-régional, avec des parts de marché en hausse (20% emplois, 18,9% ressources) et une rentabilité des fonds propres élevée de 21,6%. Forte de sa solidité fin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'21,6%', 'notation': 'AA+ perspective stable', 'nombre_actions': '31 111 110', 'cout_net_risque': '28 816 millions FCFA', 'depots_clientele': '2 685 322 millions FCFA', 'credits_clientele': '2 160 660 millions FCFA', 'dividendes_totaux': '38 266 665 300 FCFA', 'taux_distribution': '51,3%', 'part_marche_emplois': '20%', 'coefficient_exploitation': '44,8%', 'produit_net_bancaire_2021': '189 096 millions FCFA', 'resultat_brut_exploitation': '118 708 millions FCFA'}</w:t>
            </w:r>
          </w:p>
        </w:tc>
        <w:tc>
          <w:tcPr>
            <w:tcW w:type="dxa" w:w="2160"/>
          </w:tcPr>
          <w:p>
            <w:pPr>
              <w:ind w:left="100"/>
            </w:pPr>
            <w:r/>
            <w:r>
              <w:rPr>
                <w:b/>
                <w:sz w:val="16"/>
              </w:rPr>
              <w:t>dividende</w:t>
              <w:br/>
            </w:r>
            <w:r>
              <w:rPr>
                <w:sz w:val="18"/>
              </w:rPr>
              <w:t>1 230 FCFA par action</w:t>
            </w:r>
          </w:p>
        </w:tc>
        <w:tc>
          <w:tcPr>
            <w:tcW w:type="dxa" w:w="2160"/>
          </w:tcPr>
          <w:p>
            <w:pPr>
              <w:ind w:left="100"/>
            </w:pPr>
            <w:r/>
            <w:r>
              <w:rPr>
                <w:b/>
                <w:sz w:val="16"/>
              </w:rPr>
              <w:t>marge_nette</w:t>
              <w:br/>
            </w:r>
            <w:r>
              <w:rPr>
                <w:sz w:val="18"/>
              </w:rPr>
              <w:t>34,7%</w:t>
            </w:r>
          </w:p>
        </w:tc>
        <w:tc>
          <w:tcPr>
            <w:tcW w:type="dxa" w:w="2160"/>
          </w:tcPr>
          <w:p>
            <w:pPr>
              <w:ind w:left="100"/>
            </w:pPr>
            <w:r/>
            <w:r>
              <w:rPr>
                <w:b/>
                <w:sz w:val="16"/>
              </w:rPr>
              <w:t>total_actif</w:t>
              <w:br/>
            </w:r>
            <w:r>
              <w:rPr>
                <w:sz w:val="18"/>
              </w:rPr>
              <w:t>3 345 284 millions FCFA</w:t>
            </w:r>
          </w:p>
        </w:tc>
      </w:tr>
      <w:tr>
        <w:tc>
          <w:tcPr>
            <w:tcW w:type="dxa" w:w="2160"/>
          </w:tcPr>
          <w:p>
            <w:r/>
            <w:r>
              <w:rPr>
                <w:b/>
                <w:sz w:val="16"/>
              </w:rPr>
              <w:t>resultat_net</w:t>
              <w:br/>
            </w:r>
            <w:r>
              <w:rPr>
                <w:sz w:val="18"/>
              </w:rPr>
              <w:t>74 612 millions FCFA</w:t>
            </w:r>
          </w:p>
        </w:tc>
        <w:tc>
          <w:tcPr>
            <w:tcW w:type="dxa" w:w="2160"/>
          </w:tcPr>
          <w:p>
            <w:r/>
            <w:r>
              <w:rPr>
                <w:b/>
                <w:sz w:val="16"/>
              </w:rPr>
              <w:t>capitaux_propres</w:t>
              <w:br/>
            </w:r>
            <w:r>
              <w:rPr>
                <w:sz w:val="18"/>
              </w:rPr>
              <w:t>345 009 millions FCFA</w:t>
            </w:r>
          </w:p>
        </w:tc>
        <w:tc>
          <w:tcPr>
            <w:tcW w:type="dxa" w:w="2160"/>
          </w:tcPr>
          <w:p>
            <w:r/>
            <w:r>
              <w:rPr>
                <w:b/>
                <w:sz w:val="16"/>
              </w:rPr>
              <w:t>chiffre_affaires</w:t>
              <w:br/>
            </w:r>
            <w:r>
              <w:rPr>
                <w:sz w:val="18"/>
              </w:rPr>
              <w:t>215 101 millions FCFA (PNB 2022)</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+13,8% à 215 101 millions FCFA, soutenu par la marge nette d'intérêts (+15%) et les commissions (+12,5%)</w:t>
      </w:r>
    </w:p>
    <w:p>
      <w:pPr>
        <w:pStyle w:val="ListBullet"/>
        <w:spacing w:before="20" w:after="20"/>
        <w:ind w:left="700"/>
      </w:pPr>
      <w:r>
        <w:rPr>
          <w:sz w:val="18"/>
        </w:rPr>
        <w:t>Résultat net historique de 74 612 millions FCFA (+10,6%) malgré une progression de +60,6% du coût net du risque</w:t>
      </w:r>
    </w:p>
    <w:p>
      <w:pPr>
        <w:pStyle w:val="ListBullet"/>
        <w:spacing w:before="20" w:after="20"/>
        <w:ind w:left="700"/>
      </w:pPr>
      <w:r>
        <w:rPr>
          <w:sz w:val="18"/>
        </w:rPr>
        <w:t>Coût net du risque à 28 816 millions FCFA, impacté par des dotations exceptionnelles sur les PME ; retraité, il ressort à 81 pbs contre 151 pbs initialement</w:t>
      </w:r>
    </w:p>
    <w:p>
      <w:pPr>
        <w:pStyle w:val="ListBullet"/>
        <w:spacing w:before="20" w:after="20"/>
        <w:ind w:left="700"/>
      </w:pPr>
      <w:r>
        <w:rPr>
          <w:sz w:val="18"/>
        </w:rPr>
        <w:t>Coefficient d'exploitation en amélioration à 44,8% (-313 pbs) avec un effet ciseau positif de +742 pbs</w:t>
      </w:r>
    </w:p>
    <w:p>
      <w:pPr>
        <w:pStyle w:val="ListBullet"/>
        <w:spacing w:before="20" w:after="20"/>
        <w:ind w:left="700"/>
      </w:pPr>
      <w:r>
        <w:rPr>
          <w:sz w:val="18"/>
        </w:rPr>
        <w:t>Croissance de +15,4% des crédits clientèle (2 160 660 M FCFA) et +6,2% des dépôts (2 685 322 M FCFA)</w:t>
      </w:r>
    </w:p>
    <w:p>
      <w:pPr>
        <w:pStyle w:val="ListBullet"/>
        <w:spacing w:before="20" w:after="20"/>
        <w:ind w:left="700"/>
      </w:pPr>
      <w:r>
        <w:rPr>
          <w:sz w:val="18"/>
        </w:rPr>
        <w:t>Rentabilité des capitaux propres (ROE) élevée à 21,6% et taux de couverture des créances en souffrance supérieur à 90%</w:t>
      </w:r>
    </w:p>
    <w:p>
      <w:pPr>
        <w:spacing w:before="40"/>
        <w:ind w:left="400"/>
      </w:pPr>
      <w:r>
        <w:rPr>
          <w:b/>
          <w:color w:val="C05000"/>
          <w:sz w:val="18"/>
        </w:rPr>
        <w:t xml:space="preserve">⚠️ Risques : </w:t>
      </w:r>
      <w:r>
        <w:rPr>
          <w:sz w:val="18"/>
        </w:rPr>
        <w:t>["D\u00e9t\u00e9rioration du co\u00fbt du risque, notamment sur le segment PME, avec une progression de +60,6% des dotations aux provisions", "Environnement macro\u00e9conomique incertain marqu\u00e9 par l'inflation persistante, le durcissement mon\u00e9taire et les tensions g\u00e9opolitiques", "Pr</w:t>
      </w:r>
    </w:p>
    <w:p>
      <w:pPr>
        <w:spacing w:before="40"/>
        <w:ind w:left="400"/>
      </w:pPr>
      <w:r>
        <w:rPr>
          <w:b/>
          <w:color w:val="0064A0"/>
          <w:sz w:val="18"/>
        </w:rPr>
        <w:t xml:space="preserve">🔮 Perspectives : </w:t>
      </w:r>
      <w:r>
        <w:rPr>
          <w:sz w:val="18"/>
        </w:rPr>
        <w:t>Dans un environnement mondial qui reste incertain, SGCI entend poursuivre la dynamique engagée en 2022 en déployant ses projets stratégiques RISE+ autour de la maîtrise des risques, de la digitalisation et de la donnée. La banque restera guidée par son ambition d'être le partenaire de confiance pour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banque affiche une croissance homog\u00e8ne de +21% sur l'ensemble de ses agr\u00e9gats (PNB, r\u00e9sultat avant imp\u00f4t et r\u00e9sultat net), avec une marge nette \u00e9lev\u00e9e proche de 38%. Cette performance solide, dans un contexte macro\u00e9conomique difficile, confirme la qualit\u00e9 du mod\u00e8le et justifie une recommandation d'achat."}</w:t>
      </w:r>
    </w:p>
    <w:p>
      <w:pPr>
        <w:spacing w:before="40"/>
        <w:ind w:left="400"/>
      </w:pPr>
      <w:r>
        <w:rPr>
          <w:sz w:val="18"/>
        </w:rPr>
        <w:t>Société Générale Côte d'Ivoire (SGBCI) clôture le premier trimestre 2023 avec des résultats en forte progression malgré un contexte macroéconomique difficile marqué par les tensions inflationnistes et le resserrement monétaire. Le Produit Net Bancaire atteint 59 476 millions FCFA, en hausse de 21% sur un an, porté par la bonne tenue de la marge nette d'intérêt et la performance des commissions de service. Le Résultat avant impôt s'établit à 27 134 millions FCFA, également en progression de 21%, grâce au dynamisme commercial, à une croissance contenue des frais généraux et à une bonne maîtrise du coût net du risque. Le Résultat Net ressort à 22 509 millions FCFA, en croissance de 21% par rapp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'Premier trimestre 2023 (mars-23)', 'variation_pnb': '+21%', 'chiffres_audites': False, 'produit_net_bancaire': '59 476 millions FCFA', 'resultat_avant_impot': '27 134 millions FCFA', 'variation_resultat_net': '+21%'}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37,8%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22 509 millions FCFA</w:t>
            </w:r>
          </w:p>
        </w:tc>
        <w:tc>
          <w:tcPr>
            <w:tcW w:type="dxa" w:w="2160"/>
          </w:tcPr>
          <w:p>
            <w:r/>
            <w:r>
              <w:rPr>
                <w:b/>
                <w:sz w:val="16"/>
              </w:rPr>
              <w:t>capitaux_propres</w:t>
              <w:br/>
            </w:r>
            <w:r>
              <w:rPr>
                <w:sz w:val="18"/>
              </w:rPr>
              <w:t>15 555 555 000 FCFA (capital social)</w:t>
            </w:r>
          </w:p>
        </w:tc>
        <w:tc>
          <w:tcPr>
            <w:tcW w:type="dxa" w:w="2160"/>
          </w:tcPr>
          <w:p>
            <w:r/>
            <w:r>
              <w:rPr>
                <w:b/>
                <w:sz w:val="16"/>
              </w:rPr>
              <w:t>chiffre_affaires</w:t>
              <w:br/>
            </w:r>
            <w:r>
              <w:rPr>
                <w:sz w:val="18"/>
              </w:rPr>
              <w:t>59 476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de 59 476 millions FCFA, en hausse de 21% sur un an</w:t>
      </w:r>
    </w:p>
    <w:p>
      <w:pPr>
        <w:pStyle w:val="ListBullet"/>
        <w:spacing w:before="20" w:after="20"/>
        <w:ind w:left="700"/>
      </w:pPr>
      <w:r>
        <w:rPr>
          <w:sz w:val="18"/>
        </w:rPr>
        <w:t>Résultat avant impôt de 27 134 millions FCFA, en progression de 21%</w:t>
      </w:r>
    </w:p>
    <w:p>
      <w:pPr>
        <w:pStyle w:val="ListBullet"/>
        <w:spacing w:before="20" w:after="20"/>
        <w:ind w:left="700"/>
      </w:pPr>
      <w:r>
        <w:rPr>
          <w:sz w:val="18"/>
        </w:rPr>
        <w:t>Résultat Net de 22 509 millions FCFA, en croissance de 21% vs mars 2022</w:t>
      </w:r>
    </w:p>
    <w:p>
      <w:pPr>
        <w:pStyle w:val="ListBullet"/>
        <w:spacing w:before="20" w:after="20"/>
        <w:ind w:left="700"/>
      </w:pPr>
      <w:r>
        <w:rPr>
          <w:sz w:val="18"/>
        </w:rPr>
        <w:t>Croissance portée par la marge nette d'intérêt liée aux encours de crédits</w:t>
      </w:r>
    </w:p>
    <w:p>
      <w:pPr>
        <w:pStyle w:val="ListBullet"/>
        <w:spacing w:before="20" w:after="20"/>
        <w:ind w:left="700"/>
      </w:pPr>
      <w:r>
        <w:rPr>
          <w:sz w:val="18"/>
        </w:rPr>
        <w:t>Bonne performance des commissions de service (Comptes, Monétiques, Banque à Distance, Moyens de paiement, Trade)</w:t>
      </w:r>
    </w:p>
    <w:p>
      <w:pPr>
        <w:pStyle w:val="ListBullet"/>
        <w:spacing w:before="20" w:after="20"/>
        <w:ind w:left="700"/>
      </w:pPr>
      <w:r>
        <w:rPr>
          <w:sz w:val="18"/>
        </w:rPr>
        <w:t>Maîtrise des frais généraux et du coût net du risque</w:t>
      </w:r>
    </w:p>
    <w:p>
      <w:pPr>
        <w:spacing w:before="40"/>
        <w:ind w:left="400"/>
      </w:pPr>
      <w:r>
        <w:rPr>
          <w:b/>
          <w:color w:val="C05000"/>
          <w:sz w:val="18"/>
        </w:rPr>
        <w:t xml:space="preserve">⚠️ Risques : </w:t>
      </w:r>
      <w:r>
        <w:rPr>
          <w:sz w:val="18"/>
        </w:rPr>
        <w:t>["D\u00e9gradation de la qualit\u00e9 du cr\u00e9dit et hausse du co\u00fbt net du risque dans un environnement \u00e9conomique ralenti", "Tensions inflationnistes et resserrement mon\u00e9taire pouvant peser sur la demande de cr\u00e9dit et les marges", "Instabilit\u00e9 g\u00e9opolitique internati</w:t>
      </w:r>
    </w:p>
    <w:p>
      <w:pPr>
        <w:spacing w:before="40"/>
        <w:ind w:left="400"/>
      </w:pPr>
      <w:r>
        <w:rPr>
          <w:b/>
          <w:color w:val="0064A0"/>
          <w:sz w:val="18"/>
        </w:rPr>
        <w:t xml:space="preserve">🔮 Perspectives : </w:t>
      </w:r>
      <w:r>
        <w:rPr>
          <w:sz w:val="18"/>
        </w:rPr>
        <w:t>Société Générale Côte d'Ivoire devrait maintenir sa dynamique de croissance au cours des prochains trimestres, soutenue par le développement des encours de crédits et des commissions de service. La bonne maîtrise des charges et du coût du risque devrait permettre de préserver un niveau de rentabilit</w:t>
      </w:r>
    </w:p>
    <w:p/>
    <w:p>
      <w:r>
        <w:t>════════════════════════════════════════════════════════════════════════════════</w:t>
      </w:r>
    </w:p>
    <w:p>
      <w:r>
        <w:br w:type="page"/>
      </w:r>
    </w:p>
    <w:p>
      <w:pPr>
        <w:pStyle w:val="Heading2"/>
        <w:spacing w:before="360"/>
      </w:pPr>
      <w:r>
        <w:rPr>
          <w:color w:val="0066CC"/>
        </w:rPr>
        <w:t>34.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150.57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4,994 titres</w:t>
            </w:r>
          </w:p>
        </w:tc>
        <w:tc>
          <w:tcPr>
            <w:tcW w:type="dxa" w:w="2268"/>
            <w:shd w:fill="FFF2CC" w:val="clear"/>
          </w:tcPr>
          <w:p>
            <w:r>
              <w:rPr>
                <w:b/>
                <w:color w:val="503200"/>
                <w:sz w:val="16"/>
              </w:rPr>
              <w:t xml:space="preserve">Cours actuel : </w:t>
            </w:r>
            <w:r>
              <w:rPr>
                <w:color w:val="000000"/>
                <w:sz w:val="17"/>
              </w:rPr>
              <w:t>2,390 FCFA</w:t>
            </w:r>
          </w:p>
          <w:p>
            <w:r>
              <w:rPr>
                <w:b/>
                <w:color w:val="503200"/>
                <w:sz w:val="16"/>
              </w:rPr>
              <w:t xml:space="preserve">Var. 100 jours : </w:t>
            </w:r>
            <w:r>
              <w:rPr>
                <w:b/>
                <w:color w:val="007800"/>
                <w:sz w:val="17"/>
              </w:rPr>
              <w:t>+29.19%</w:t>
            </w:r>
          </w:p>
          <w:p>
            <w:r>
              <w:rPr>
                <w:b/>
                <w:color w:val="503200"/>
                <w:sz w:val="16"/>
              </w:rPr>
              <w:t xml:space="preserve">Plus haut 100j : </w:t>
            </w:r>
            <w:r>
              <w:rPr>
                <w:color w:val="000000"/>
                <w:sz w:val="17"/>
              </w:rPr>
              <w:t>2,980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42.4%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10.75% (Moyenne) — μ=2,238 FCFA, σ=241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β=0.9419 (Neutre (suit le marché)) — Cov=0.000064, Var(idx)=0.000068, ρ=0.290,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4,994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σ_j=2.67%/j (Stable) — Vol. annualisée≈42.4%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2,214</w:t>
            </w:r>
          </w:p>
        </w:tc>
        <w:tc>
          <w:tcPr>
            <w:tcW w:type="dxa" w:w="1440"/>
            <w:shd w:fill="FAFAFA" w:val="clear"/>
          </w:tcPr>
          <w:p>
            <w:r>
              <w:rPr>
                <w:b/>
                <w:sz w:val="17"/>
              </w:rPr>
              <w:t>2,362</w:t>
            </w:r>
          </w:p>
        </w:tc>
        <w:tc>
          <w:tcPr>
            <w:tcW w:type="dxa" w:w="1440"/>
            <w:shd w:fill="FAFAFA" w:val="clear"/>
          </w:tcPr>
          <w:p>
            <w:r>
              <w:rPr>
                <w:sz w:val="17"/>
              </w:rPr>
              <w:t>2,510</w:t>
            </w:r>
          </w:p>
        </w:tc>
        <w:tc>
          <w:tcPr>
            <w:tcW w:type="dxa" w:w="1440"/>
            <w:shd w:fill="FAFAFA" w:val="clear"/>
          </w:tcPr>
          <w:p>
            <w:r>
              <w:rPr>
                <w:b/>
                <w:color w:val="C00000"/>
                <w:sz w:val="17"/>
              </w:rPr>
              <w:t>-1.2%</w:t>
            </w:r>
          </w:p>
        </w:tc>
      </w:tr>
      <w:tr>
        <w:tc>
          <w:tcPr>
            <w:tcW w:type="dxa" w:w="1440"/>
            <w:shd w:fill="FFDCE0" w:val="clear"/>
          </w:tcPr>
          <w:p>
            <w:r>
              <w:rPr>
                <w:sz w:val="17"/>
              </w:rPr>
              <w:t>J+2  Moyenne</w:t>
            </w:r>
          </w:p>
        </w:tc>
        <w:tc>
          <w:tcPr>
            <w:tcW w:type="dxa" w:w="1440"/>
            <w:shd w:fill="FFDCE0" w:val="clear"/>
          </w:tcPr>
          <w:p>
            <w:r>
              <w:rPr>
                <w:sz w:val="17"/>
              </w:rPr>
              <w:t>2026-09-30</w:t>
            </w:r>
          </w:p>
        </w:tc>
        <w:tc>
          <w:tcPr>
            <w:tcW w:type="dxa" w:w="1440"/>
            <w:shd w:fill="FFDCE0" w:val="clear"/>
          </w:tcPr>
          <w:p>
            <w:r>
              <w:rPr>
                <w:sz w:val="17"/>
              </w:rPr>
              <w:t>2,128</w:t>
            </w:r>
          </w:p>
        </w:tc>
        <w:tc>
          <w:tcPr>
            <w:tcW w:type="dxa" w:w="1440"/>
            <w:shd w:fill="FFDCE0" w:val="clear"/>
          </w:tcPr>
          <w:p>
            <w:r>
              <w:rPr>
                <w:b/>
                <w:sz w:val="17"/>
              </w:rPr>
              <w:t>2,335</w:t>
            </w:r>
          </w:p>
        </w:tc>
        <w:tc>
          <w:tcPr>
            <w:tcW w:type="dxa" w:w="1440"/>
            <w:shd w:fill="FFDCE0" w:val="clear"/>
          </w:tcPr>
          <w:p>
            <w:r>
              <w:rPr>
                <w:sz w:val="17"/>
              </w:rPr>
              <w:t>2,542</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2026-10-01</w:t>
            </w:r>
          </w:p>
        </w:tc>
        <w:tc>
          <w:tcPr>
            <w:tcW w:type="dxa" w:w="1440"/>
            <w:shd w:fill="FFDCE0" w:val="clear"/>
          </w:tcPr>
          <w:p>
            <w:r>
              <w:rPr>
                <w:sz w:val="17"/>
              </w:rPr>
              <w:t>2,059</w:t>
            </w:r>
          </w:p>
        </w:tc>
        <w:tc>
          <w:tcPr>
            <w:tcW w:type="dxa" w:w="1440"/>
            <w:shd w:fill="FFDCE0" w:val="clear"/>
          </w:tcPr>
          <w:p>
            <w:r>
              <w:rPr>
                <w:b/>
                <w:sz w:val="17"/>
              </w:rPr>
              <w:t>2,310</w:t>
            </w:r>
          </w:p>
        </w:tc>
        <w:tc>
          <w:tcPr>
            <w:tcW w:type="dxa" w:w="1440"/>
            <w:shd w:fill="FFDCE0" w:val="clear"/>
          </w:tcPr>
          <w:p>
            <w:r>
              <w:rPr>
                <w:sz w:val="17"/>
              </w:rPr>
              <w:t>2,561</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2,000</w:t>
            </w:r>
          </w:p>
        </w:tc>
        <w:tc>
          <w:tcPr>
            <w:tcW w:type="dxa" w:w="1440"/>
            <w:shd w:fill="FFDCE0" w:val="clear"/>
          </w:tcPr>
          <w:p>
            <w:r>
              <w:rPr>
                <w:b/>
                <w:sz w:val="17"/>
              </w:rPr>
              <w:t>2,287</w:t>
            </w:r>
          </w:p>
        </w:tc>
        <w:tc>
          <w:tcPr>
            <w:tcW w:type="dxa" w:w="1440"/>
            <w:shd w:fill="FFDCE0" w:val="clear"/>
          </w:tcPr>
          <w:p>
            <w:r>
              <w:rPr>
                <w:sz w:val="17"/>
              </w:rPr>
              <w:t>2,574</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1,947</w:t>
            </w:r>
          </w:p>
        </w:tc>
        <w:tc>
          <w:tcPr>
            <w:tcW w:type="dxa" w:w="1440"/>
            <w:shd w:fill="FFDCE0" w:val="clear"/>
          </w:tcPr>
          <w:p>
            <w:r>
              <w:rPr>
                <w:b/>
                <w:sz w:val="17"/>
              </w:rPr>
              <w:t>2,265</w:t>
            </w:r>
          </w:p>
        </w:tc>
        <w:tc>
          <w:tcPr>
            <w:tcW w:type="dxa" w:w="1440"/>
            <w:shd w:fill="FFDCE0" w:val="clear"/>
          </w:tcPr>
          <w:p>
            <w:r>
              <w:rPr>
                <w:sz w:val="17"/>
              </w:rPr>
              <w:t>2,582</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1,899</w:t>
            </w:r>
          </w:p>
        </w:tc>
        <w:tc>
          <w:tcPr>
            <w:tcW w:type="dxa" w:w="1440"/>
            <w:shd w:fill="FFDCE0" w:val="clear"/>
          </w:tcPr>
          <w:p>
            <w:r>
              <w:rPr>
                <w:b/>
                <w:sz w:val="17"/>
              </w:rPr>
              <w:t>2,244</w:t>
            </w:r>
          </w:p>
        </w:tc>
        <w:tc>
          <w:tcPr>
            <w:tcW w:type="dxa" w:w="1440"/>
            <w:shd w:fill="FFDCE0" w:val="clear"/>
          </w:tcPr>
          <w:p>
            <w:r>
              <w:rPr>
                <w:sz w:val="17"/>
              </w:rPr>
              <w:t>2,589</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1,855</w:t>
            </w:r>
          </w:p>
        </w:tc>
        <w:tc>
          <w:tcPr>
            <w:tcW w:type="dxa" w:w="1440"/>
            <w:shd w:fill="FFDCE0" w:val="clear"/>
          </w:tcPr>
          <w:p>
            <w:r>
              <w:rPr>
                <w:b/>
                <w:sz w:val="17"/>
              </w:rPr>
              <w:t>2,225</w:t>
            </w:r>
          </w:p>
        </w:tc>
        <w:tc>
          <w:tcPr>
            <w:tcW w:type="dxa" w:w="1440"/>
            <w:shd w:fill="FFDCE0" w:val="clear"/>
          </w:tcPr>
          <w:p>
            <w:r>
              <w:rPr>
                <w:sz w:val="17"/>
              </w:rPr>
              <w:t>2,594</w:t>
            </w:r>
          </w:p>
        </w:tc>
        <w:tc>
          <w:tcPr>
            <w:tcW w:type="dxa" w:w="1440"/>
            <w:shd w:fill="FFDCE0" w:val="clear"/>
          </w:tcPr>
          <w:p>
            <w:r>
              <w:rPr>
                <w:b/>
                <w:color w:val="C00000"/>
                <w:sz w:val="17"/>
              </w:rPr>
              <w:t>-6.9%</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1,815</w:t>
            </w:r>
          </w:p>
        </w:tc>
        <w:tc>
          <w:tcPr>
            <w:tcW w:type="dxa" w:w="1440"/>
            <w:shd w:fill="FFDCE0" w:val="clear"/>
          </w:tcPr>
          <w:p>
            <w:r>
              <w:rPr>
                <w:b/>
                <w:sz w:val="17"/>
              </w:rPr>
              <w:t>2,206</w:t>
            </w:r>
          </w:p>
        </w:tc>
        <w:tc>
          <w:tcPr>
            <w:tcW w:type="dxa" w:w="1440"/>
            <w:shd w:fill="FFDCE0" w:val="clear"/>
          </w:tcPr>
          <w:p>
            <w:r>
              <w:rPr>
                <w:sz w:val="17"/>
              </w:rPr>
              <w:t>2,598</w:t>
            </w:r>
          </w:p>
        </w:tc>
        <w:tc>
          <w:tcPr>
            <w:tcW w:type="dxa" w:w="1440"/>
            <w:shd w:fill="FFDCE0" w:val="clear"/>
          </w:tcPr>
          <w:p>
            <w:r>
              <w:rPr>
                <w:b/>
                <w:color w:val="C00000"/>
                <w:sz w:val="17"/>
              </w:rPr>
              <w:t>-7.7%</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1,777</w:t>
            </w:r>
          </w:p>
        </w:tc>
        <w:tc>
          <w:tcPr>
            <w:tcW w:type="dxa" w:w="1440"/>
            <w:shd w:fill="FFDCE0" w:val="clear"/>
          </w:tcPr>
          <w:p>
            <w:r>
              <w:rPr>
                <w:b/>
                <w:sz w:val="17"/>
              </w:rPr>
              <w:t>2,189</w:t>
            </w:r>
          </w:p>
        </w:tc>
        <w:tc>
          <w:tcPr>
            <w:tcW w:type="dxa" w:w="1440"/>
            <w:shd w:fill="FFDCE0" w:val="clear"/>
          </w:tcPr>
          <w:p>
            <w:r>
              <w:rPr>
                <w:sz w:val="17"/>
              </w:rPr>
              <w:t>2,601</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1,742</w:t>
            </w:r>
          </w:p>
        </w:tc>
        <w:tc>
          <w:tcPr>
            <w:tcW w:type="dxa" w:w="1440"/>
            <w:shd w:fill="FFDCE0" w:val="clear"/>
          </w:tcPr>
          <w:p>
            <w:r>
              <w:rPr>
                <w:b/>
                <w:sz w:val="17"/>
              </w:rPr>
              <w:t>2,173</w:t>
            </w:r>
          </w:p>
        </w:tc>
        <w:tc>
          <w:tcPr>
            <w:tcW w:type="dxa" w:w="1440"/>
            <w:shd w:fill="FFDCE0" w:val="clear"/>
          </w:tcPr>
          <w:p>
            <w:r>
              <w:rPr>
                <w:sz w:val="17"/>
              </w:rPr>
              <w:t>2,604</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 📊 RAPPORT D'ANALYSE FINANCIÈRE — SHEC (VIVO ENERGY CÔTE D'IVOIRE)</w:t>
        <w:br/>
        <w:t>**Bourse Régionale des Valeurs Mobilières (BRVM) — Secteur : Distribution pétrolière aval**</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**150,57 milliards FCFA**, SHEC se positionne parmi les valeurs moyennes à grandes de la cote BRVM, ce qui traduit une liquidité correcte mais un poids limité dans les indices sectoriels. Le **BPA de 96 FCFA/action** signifie que chaque titre génère près de 96 FCFA de bénéfice net, un niveau modeste qui reflète la faible marge nette (~1%) caractéristique du négoce pétrolier. Le **PER de 25,0x** est nettement supérieur à la moyenne BRVM (~8-12x), signalant que le marché paie une prime de croissance ou de qualité — potentiellement excessive au regard de la croissance atone du chiffre d'affaires (+0,71%). Le **P/B de 5,54x** (largement &gt; 4x) confirme cette valorisation exigeante : le marché valorise SHEC à plus de 5 fois ses fonds propres comptables (27,16 Mds FCFA), ce qui suppose une forte rentabilité future. Enfin, l'**EV/EBITDA de 13,3x** (fourchette 10-15x) traduit une valorisation élevée de la capacité opérationnelle, cohérente avec un EBE de 17,17 Mds FCFA mais qui laisse peu de marge d'erreur en cas de dégradation des marges.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SHEC affiche une **progression totale de +29,19%**, portant le cours à **2 390 FCFA**, malgré un repli de **-1,24% lors de la dernière séance (J-1)**. Le titre a évolué dans un range large de **1 840 FCFA (plus bas) à 2 980 FCFA (plus haut)**, soit une amplitude de plus de 60%, témoignant d'une tendance nettement haussière mais ponctuée de corrections. Les statistiques descriptives révèlent une **moyenne de 2 238 FCFA** légèrement supérieure à la **médiane et au mode (2 200 FCFA)**, ce qui indique une distribution asymétrique avec quelques journées de forte hausse tirant la moyenne vers le haut. L'**écart-type de 242 FCFA (CV = 10,8%)** traduit une dispersion modérée du cours autour de sa moyenne, tandis que le **kurtosis de 0,954 (mésokurtique)** suggère un risque de pics extrêmes proche d'une loi normale — pas de risque de queue épaisse marqué. Le **skewness positif de 0,923** confirme une asymétrie à droite : davantage de journées sous la moyenne, mais des hausses ponctuelles plus amples. Enfin, la **volatilité annualisée de 42,4%** classe SHEC parmi les titres à **volatilité élevée (&gt;30%)**, ce qui implique un risque de marché significatif et justifie une approche prudente.</w:t>
      </w:r>
    </w:p>
    <w:p>
      <w:pPr>
        <w:spacing w:after="120" w:line="276" w:lineRule="auto"/>
      </w:pPr>
      <w:r>
        <w:t>---</w:t>
      </w:r>
    </w:p>
    <w:p>
      <w:pPr>
        <w:spacing w:after="120" w:line="276" w:lineRule="auto"/>
      </w:pPr>
      <w:r>
        <w:t>## PARTIE 2 : ANALYSE TECHNIQUE DÉTAILLÉE</w:t>
      </w:r>
    </w:p>
    <w:p>
      <w:pPr>
        <w:spacing w:after="120" w:line="276" w:lineRule="auto"/>
      </w:pPr>
      <w:r>
        <w:t>**Moyennes Mobiles** : La MM20 (2 585 FCFA) est supérieure à la MM50 (2 408,7 FCFA), et le cours actuel (2 390 FCFA) se situe **sous ces deux moyennes**, ce qui traduit un essoufflement de la dynamique haussière de court terme. La décision technique affichée est toutefois **« Achat »**, probablement liée au croisement haussier MM20 &gt; MM50 (golden cross) encore valide, mais la position du cours sous les MM invite à la prudence.</w:t>
      </w:r>
    </w:p>
    <w:p>
      <w:pPr>
        <w:spacing w:after="120" w:line="276" w:lineRule="auto"/>
      </w:pPr>
      <w:r>
        <w:t>**Bandes de Bollinger** : Le cours (2 390 FCFA) évolue dans la partie basse de la bande (borne supérieure 2 999,37 FCFA ; borne inférieure 2 170,63 FCFA), à environ 30% de la largeur totale. La décision est **« Neutre »**, ce qui reflète l'absence de signal clair : ni surachat (proche borne haute), ni survente (proche borne basse), avec une volatilité qui reste contenue dans les bandes.</w:t>
      </w:r>
    </w:p>
    <w:p>
      <w:pPr>
        <w:spacing w:after="120" w:line="276" w:lineRule="auto"/>
      </w:pPr>
      <w:r>
        <w:t>**MACD** : La valeur du MACD (29,934) est **inférieure à son signal (80,104)**, générant une **divergence baissière** et un momentum négatif. La décision **« Vente »** est cohérente avec ce croisement baissier, qui suggère une poursuite de la correction à court terme.</w:t>
      </w:r>
    </w:p>
    <w:p>
      <w:pPr>
        <w:spacing w:after="120" w:line="276" w:lineRule="auto"/>
      </w:pPr>
      <w:r>
        <w:t>**RSI** : À **47,039**, le RSI se situe en zone **neutre** (30-70), sans signal de surachat ni de survente. La décision **« Neutre »** indique un équilibre entre acheteurs et vendeurs, avec une légère inclinaison baissière (sous 50).</w:t>
      </w:r>
    </w:p>
    <w:p>
      <w:pPr>
        <w:spacing w:after="120" w:line="276" w:lineRule="auto"/>
      </w:pPr>
      <w:r>
        <w:t>**Stochastique** : Le %K (0,0) est **très en dessous du %D (6,497)**, ce qui place l'indicateur en **zone de survente extrême**. La décision **« Achat »** s'explique par l'anticipation d'un rebond technique après cette survente marquée, bien que le croisement reste baissier.</w:t>
      </w:r>
    </w:p>
    <w:p>
      <w:pPr>
        <w:spacing w:after="120" w:line="276" w:lineRule="auto"/>
      </w:pPr>
      <w:r>
        <w:t>**Conclusion technique** : Les signaux sont **mitigés et divergents**. Les MM et le MACD plaident pour une correction baissière de court terme, tandis que le stochastique en survente extrême et le golden cross MM20/MM50 suggèrent un potentiel rebond. Le RSI neutre et les Bollinger neutres confirment l'absence de tendance directionnelle forte. **Synthèse : le titre est en phase de consolidation après une forte hausse, avec un biais baissier à court terme mais un support technique possible autour de 2 170-2 200 FCFA.**</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SHEC a réalisé un **chiffre d'affaires de 604,978 Mds FCFA**, en très légère hausse de **+0,71%** par rapport à 2024 (600,708 Mds FCFA), traduisant une **stagnation commerciale**. Le **résultat net s'établit à 6,028 Mds FCFA**, en progression de **+12,6%**, porté par une amélioration de la valeur ajoutée (+15%) et une baisse des charges financières (-17,7%). La **marge nette reste très faible à 0,9964%**, typique du secteur pétrolier aval, mais en légère amélioration (0,89% en 2024). Le **ROE de 22,20%** est excellent (&gt;15%), signe d'une bonne rentabilité des fonds propres (27,159 Mds FCFA), tandis que le **ROA de 3,11%** reste modeste en raison de la rotation élevée des actifs (312,55%). Sur le plan de la structure financière, l'**autonomie financière est faible (14,03%)** et la **trésorerie nette est très négative (-65,264 Mds FCFA)**, avec un **BFR de 15,315 Mds FCFA** et un **fonds de roulement négatif (-49,850 Mds FCFA)** — un signal de tension de liquidité. Les **délais clients (23,27 jours)** et **fournisseurs (35,47 jours)** sont maîtrisés, mais la **dépendance financière (85,97%)** et le **ratio d'endettement (43,95%)** restent élevés.</w:t>
      </w:r>
    </w:p>
    <w:p>
      <w:pPr>
        <w:spacing w:after="120" w:line="276" w:lineRule="auto"/>
      </w:pPr>
      <w:r>
        <w:t>**Adaptation au secteur (ENTREPRISE)** : Le **BFR positif (15,315 Mds FCFA)** et le **fonds de roulement négatif** constituent les principaux points de vigilance, exposant SHEC à un risque de trésorerie. La **capacité de remboursement (0,97 an)** est correcte, et la **couverture des intérêts (292,84%)** est confortable, ce qui limite le risque de défaut à court terme.</w:t>
      </w:r>
    </w:p>
    <w:p>
      <w:pPr>
        <w:spacing w:after="120" w:line="276" w:lineRule="auto"/>
      </w:pPr>
      <w:r>
        <w:t>**Estimations basées sur les rapports trimestriels** : Selon le **rapport T3 2025 (30/09/2025)**, le résultat net cumulé sur 9 mois atteignait **4,119 Mds FCFA (+45%)**, avec une marge nette de 0,91% et un résultat d'exploitation de 8,260 Mds FCFA (+10%). Le **rapport S1 2026 (30/06/2026)** indique un CA de **305,038 Mds FCFA (-1%)**, un résultat d'exploitation de **6,133 Mds FCFA (+17%)** et un résultat net de **3,016 Mds FCFA**, avec une marge nette de 0,99%. **On estime donc que l'exercice 2026 devrait afficher une stabilité du résultat net autour de 6,0-6,2 Mds FCFA**, avec une légère pression sur le CA (-1% au S1) compensée par la maîtrise des charges. Le **dividende proposé pour 2025 est de 6,09 Mds FCFA (soit ~1 933 FCFA/action)**, un **taux de distribution de 101%** qui fragilise la structure financière.</w:t>
      </w:r>
    </w:p>
    <w:p>
      <w:pPr>
        <w:spacing w:after="120" w:line="276" w:lineRule="auto"/>
      </w:pPr>
      <w:r>
        <w:t>**Recommandation fondamentale** : SHEC présente une **solidité opérationnelle correcte** (ROE &gt;20%, résultat net en hausse), mais des **faiblesses structurelles préoccupantes** (trésorerie nette négative, endettement élevé, distribution excessive). La **recommandation des analystes est « CONSERVER »**, avec un risque global **Moyen à Élevé**.</w:t>
      </w:r>
    </w:p>
    <w:p>
      <w:pPr>
        <w:spacing w:after="120" w:line="276" w:lineRule="auto"/>
      </w:pPr>
      <w:r>
        <w:t>---</w:t>
      </w:r>
    </w:p>
    <w:p>
      <w:pPr>
        <w:spacing w:after="120" w:line="276" w:lineRule="auto"/>
      </w:pPr>
      <w:r>
        <w:t>## PARTIE 4 : CONCLUSION D'INVESTISSEMENT</w:t>
      </w:r>
    </w:p>
    <w:p>
      <w:pPr>
        <w:spacing w:after="120" w:line="276" w:lineRule="auto"/>
      </w:pPr>
      <w:r>
        <w:t>La **valorisation (Partie 0)** apparaît **exigeante** : PER de 25,0x (vs 8-12x pour la BRVM), P/B de 5,54x et EV/EBITDA de 13,3x traduisent une **surévaluation relative** au regard de la croissance atone du CA (+0,71%) et de la faible marge nette (~1%). Le **comportement du cours (Partie 1)** montre une **tendance haussière sur 100 jours (+29,19%)** mais avec une **volatilité élevée (42,4%)** et un skewness positif (0,923) indiquant des corrections ponctuelles brutales — le repli de -1,24% en J-1 et la position sous les MM20/MM50 confirment un essoufflement. Les **signaux techniques (Partie 2)** sont **divergents** : MACD baissier (« Vente »), stochastique en survente extrême (« Achat »), RSI et Bollinger neutres — ce qui plaide pour une **consolidation à court terme** avec un support vers 2 170-2 200 FCFA. Les **fondamentaux (Partie 3)** révèlent une **rentabilité correcte (ROE 22,20%)** mais une **structure financière fragile** (trésorerie nette -65,26 Mds FCFA, autonomie financière 14,03%), avec des **perspectives 2026 stables** (CA -1% au S1 2026, résultat net attendu ~6,0 Mds FCFA). Les **prédictions IA (J+1 à J+10)** anticipent une **baisse continue de 2 362 à 2 265 FCFA (-5,2%)**, ce qui **confirme le biais baissier** des indicateurs techniques (MACD, position sous les MM) et la surévaluation fondamentale.</w:t>
      </w:r>
    </w:p>
    <w:p>
      <w:pPr>
        <w:spacing w:after="120" w:line="276" w:lineRule="auto"/>
      </w:pPr>
      <w:r>
        <w:t>**Recommandation finale : CONSERVER** — La convergence entre la **surévaluation (PER 25x)**, le **biais technique baissier** (MACD, prédictions IA) et la **fragilité financière** (trésorerie négative) incite à la prudence, mais la **rentabilité solide (ROE 22,20%)**, le **dividende attractif (~1 933 FCFA/action)** et la **stabilité opérationnelle** justifient de ne pas vendre. **Niveau de confiance : Moyen** (signaux divergents entre technique et fondamental). **Risque global : Élevé** (volatilité 42,4%, endettement, distribution excessive). **Horizon optimal : Moyen terme (3-12 mois)**, en attendant la confirmation des résultats S1 2026 et une clarification de la politique de dividende. Un **renforcement** pourrait être envisagé si le cours revient vers **2 170-2 200 FCFA** (support technique) avec une amélioration de la trésorerie nette.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35.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900.50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10,884 titres</w:t>
            </w:r>
          </w:p>
        </w:tc>
        <w:tc>
          <w:tcPr>
            <w:tcW w:type="dxa" w:w="2268"/>
            <w:shd w:fill="FFF2CC" w:val="clear"/>
          </w:tcPr>
          <w:p>
            <w:r>
              <w:rPr>
                <w:b/>
                <w:color w:val="503200"/>
                <w:sz w:val="16"/>
              </w:rPr>
              <w:t xml:space="preserve">Cours actuel : </w:t>
            </w:r>
            <w:r>
              <w:rPr>
                <w:color w:val="000000"/>
                <w:sz w:val="17"/>
              </w:rPr>
              <w:t>9,005 FCFA</w:t>
            </w:r>
          </w:p>
          <w:p>
            <w:r>
              <w:rPr>
                <w:b/>
                <w:color w:val="503200"/>
                <w:sz w:val="16"/>
              </w:rPr>
              <w:t xml:space="preserve">Var. 100 jours : </w:t>
            </w:r>
            <w:r>
              <w:rPr>
                <w:b/>
                <w:color w:val="007800"/>
                <w:sz w:val="17"/>
              </w:rPr>
              <w:t>+26.83%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7,050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6.83% (Moyenne) — μ=8,754 FCFA, σ=598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β=0.7859 (Défensif) — Cov=0.000053, Var(idx)=0.000068, ρ=0.331,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10,884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8,667</w:t>
            </w:r>
          </w:p>
        </w:tc>
        <w:tc>
          <w:tcPr>
            <w:tcW w:type="dxa" w:w="1440"/>
            <w:shd w:fill="FAFAFA" w:val="clear"/>
          </w:tcPr>
          <w:p>
            <w:r>
              <w:rPr>
                <w:b/>
                <w:sz w:val="17"/>
              </w:rPr>
              <w:t>8,938</w:t>
            </w:r>
          </w:p>
        </w:tc>
        <w:tc>
          <w:tcPr>
            <w:tcW w:type="dxa" w:w="1440"/>
            <w:shd w:fill="FAFAFA" w:val="clear"/>
          </w:tcPr>
          <w:p>
            <w:r>
              <w:rPr>
                <w:sz w:val="17"/>
              </w:rPr>
              <w:t>9,208</w:t>
            </w:r>
          </w:p>
        </w:tc>
        <w:tc>
          <w:tcPr>
            <w:tcW w:type="dxa" w:w="1440"/>
            <w:shd w:fill="FAFAFA" w:val="clear"/>
          </w:tcPr>
          <w:p>
            <w:r>
              <w:rPr>
                <w:b/>
                <w:color w:val="C00000"/>
                <w:sz w:val="17"/>
              </w:rPr>
              <w:t>-0.7%</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8,487</w:t>
            </w:r>
          </w:p>
        </w:tc>
        <w:tc>
          <w:tcPr>
            <w:tcW w:type="dxa" w:w="1440"/>
            <w:shd w:fill="FAFAFA" w:val="clear"/>
          </w:tcPr>
          <w:p>
            <w:r>
              <w:rPr>
                <w:b/>
                <w:sz w:val="17"/>
              </w:rPr>
              <w:t>8,867</w:t>
            </w:r>
          </w:p>
        </w:tc>
        <w:tc>
          <w:tcPr>
            <w:tcW w:type="dxa" w:w="1440"/>
            <w:shd w:fill="FAFAFA" w:val="clear"/>
          </w:tcPr>
          <w:p>
            <w:r>
              <w:rPr>
                <w:sz w:val="17"/>
              </w:rPr>
              <w:t>9,246</w:t>
            </w:r>
          </w:p>
        </w:tc>
        <w:tc>
          <w:tcPr>
            <w:tcW w:type="dxa" w:w="1440"/>
            <w:shd w:fill="FAFAFA" w:val="clear"/>
          </w:tcPr>
          <w:p>
            <w:r>
              <w:rPr>
                <w:b/>
                <w:color w:val="C00000"/>
                <w:sz w:val="17"/>
              </w:rPr>
              <w:t>-1.5%</w:t>
            </w:r>
          </w:p>
        </w:tc>
      </w:tr>
      <w:tr>
        <w:tc>
          <w:tcPr>
            <w:tcW w:type="dxa" w:w="1440"/>
            <w:shd w:fill="FFDCE0" w:val="clear"/>
          </w:tcPr>
          <w:p>
            <w:r>
              <w:rPr>
                <w:sz w:val="17"/>
              </w:rPr>
              <w:t>J+3  ⭐⭐⭐</w:t>
            </w:r>
          </w:p>
        </w:tc>
        <w:tc>
          <w:tcPr>
            <w:tcW w:type="dxa" w:w="1440"/>
            <w:shd w:fill="FFDCE0" w:val="clear"/>
          </w:tcPr>
          <w:p>
            <w:r>
              <w:rPr>
                <w:sz w:val="17"/>
              </w:rPr>
              <w:t>2026-10-01</w:t>
            </w:r>
          </w:p>
        </w:tc>
        <w:tc>
          <w:tcPr>
            <w:tcW w:type="dxa" w:w="1440"/>
            <w:shd w:fill="FFDCE0" w:val="clear"/>
          </w:tcPr>
          <w:p>
            <w:r>
              <w:rPr>
                <w:sz w:val="17"/>
              </w:rPr>
              <w:t>8,337</w:t>
            </w:r>
          </w:p>
        </w:tc>
        <w:tc>
          <w:tcPr>
            <w:tcW w:type="dxa" w:w="1440"/>
            <w:shd w:fill="FFDCE0" w:val="clear"/>
          </w:tcPr>
          <w:p>
            <w:r>
              <w:rPr>
                <w:b/>
                <w:sz w:val="17"/>
              </w:rPr>
              <w:t>8,799</w:t>
            </w:r>
          </w:p>
        </w:tc>
        <w:tc>
          <w:tcPr>
            <w:tcW w:type="dxa" w:w="1440"/>
            <w:shd w:fill="FFDCE0" w:val="clear"/>
          </w:tcPr>
          <w:p>
            <w:r>
              <w:rPr>
                <w:sz w:val="17"/>
              </w:rPr>
              <w:t>9,261</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2026-10-02</w:t>
            </w:r>
          </w:p>
        </w:tc>
        <w:tc>
          <w:tcPr>
            <w:tcW w:type="dxa" w:w="1440"/>
            <w:shd w:fill="FFDCE0" w:val="clear"/>
          </w:tcPr>
          <w:p>
            <w:r>
              <w:rPr>
                <w:sz w:val="17"/>
              </w:rPr>
              <w:t>8,209</w:t>
            </w:r>
          </w:p>
        </w:tc>
        <w:tc>
          <w:tcPr>
            <w:tcW w:type="dxa" w:w="1440"/>
            <w:shd w:fill="FFDCE0" w:val="clear"/>
          </w:tcPr>
          <w:p>
            <w:r>
              <w:rPr>
                <w:b/>
                <w:sz w:val="17"/>
              </w:rPr>
              <w:t>8,738</w:t>
            </w:r>
          </w:p>
        </w:tc>
        <w:tc>
          <w:tcPr>
            <w:tcW w:type="dxa" w:w="1440"/>
            <w:shd w:fill="FFDCE0" w:val="clear"/>
          </w:tcPr>
          <w:p>
            <w:r>
              <w:rPr>
                <w:sz w:val="17"/>
              </w:rPr>
              <w:t>9,268</w:t>
            </w:r>
          </w:p>
        </w:tc>
        <w:tc>
          <w:tcPr>
            <w:tcW w:type="dxa" w:w="1440"/>
            <w:shd w:fill="FFDCE0" w:val="clear"/>
          </w:tcPr>
          <w:p>
            <w:r>
              <w:rPr>
                <w:b/>
                <w:color w:val="C00000"/>
                <w:sz w:val="17"/>
              </w:rPr>
              <w:t>-3.0%</w:t>
            </w:r>
          </w:p>
        </w:tc>
      </w:tr>
      <w:tr>
        <w:tc>
          <w:tcPr>
            <w:tcW w:type="dxa" w:w="1440"/>
            <w:shd w:fill="FFDCE0" w:val="clear"/>
          </w:tcPr>
          <w:p>
            <w:r>
              <w:rPr>
                <w:sz w:val="17"/>
              </w:rPr>
              <w:t>J+5  Moyenne</w:t>
            </w:r>
          </w:p>
        </w:tc>
        <w:tc>
          <w:tcPr>
            <w:tcW w:type="dxa" w:w="1440"/>
            <w:shd w:fill="FFDCE0" w:val="clear"/>
          </w:tcPr>
          <w:p>
            <w:r>
              <w:rPr>
                <w:sz w:val="17"/>
              </w:rPr>
              <w:t>2026-10-05</w:t>
            </w:r>
          </w:p>
        </w:tc>
        <w:tc>
          <w:tcPr>
            <w:tcW w:type="dxa" w:w="1440"/>
            <w:shd w:fill="FFDCE0" w:val="clear"/>
          </w:tcPr>
          <w:p>
            <w:r>
              <w:rPr>
                <w:sz w:val="17"/>
              </w:rPr>
              <w:t>8,096</w:t>
            </w:r>
          </w:p>
        </w:tc>
        <w:tc>
          <w:tcPr>
            <w:tcW w:type="dxa" w:w="1440"/>
            <w:shd w:fill="FFDCE0" w:val="clear"/>
          </w:tcPr>
          <w:p>
            <w:r>
              <w:rPr>
                <w:b/>
                <w:sz w:val="17"/>
              </w:rPr>
              <w:t>8,684</w:t>
            </w:r>
          </w:p>
        </w:tc>
        <w:tc>
          <w:tcPr>
            <w:tcW w:type="dxa" w:w="1440"/>
            <w:shd w:fill="FFDCE0" w:val="clear"/>
          </w:tcPr>
          <w:p>
            <w:r>
              <w:rPr>
                <w:sz w:val="17"/>
              </w:rPr>
              <w:t>9,272</w:t>
            </w:r>
          </w:p>
        </w:tc>
        <w:tc>
          <w:tcPr>
            <w:tcW w:type="dxa" w:w="1440"/>
            <w:shd w:fill="FFDCE0" w:val="clear"/>
          </w:tcPr>
          <w:p>
            <w:r>
              <w:rPr>
                <w:b/>
                <w:color w:val="C00000"/>
                <w:sz w:val="17"/>
              </w:rPr>
              <w:t>-3.6%</w:t>
            </w:r>
          </w:p>
        </w:tc>
      </w:tr>
      <w:tr>
        <w:tc>
          <w:tcPr>
            <w:tcW w:type="dxa" w:w="1440"/>
            <w:shd w:fill="FFDCE0" w:val="clear"/>
          </w:tcPr>
          <w:p>
            <w:r>
              <w:rPr>
                <w:sz w:val="17"/>
              </w:rPr>
              <w:t>J+6  Moyenne</w:t>
            </w:r>
          </w:p>
        </w:tc>
        <w:tc>
          <w:tcPr>
            <w:tcW w:type="dxa" w:w="1440"/>
            <w:shd w:fill="FFDCE0" w:val="clear"/>
          </w:tcPr>
          <w:p>
            <w:r>
              <w:rPr>
                <w:sz w:val="17"/>
              </w:rPr>
              <w:t>2026-10-06</w:t>
            </w:r>
          </w:p>
        </w:tc>
        <w:tc>
          <w:tcPr>
            <w:tcW w:type="dxa" w:w="1440"/>
            <w:shd w:fill="FFDCE0" w:val="clear"/>
          </w:tcPr>
          <w:p>
            <w:r>
              <w:rPr>
                <w:sz w:val="17"/>
              </w:rPr>
              <w:t>7,994</w:t>
            </w:r>
          </w:p>
        </w:tc>
        <w:tc>
          <w:tcPr>
            <w:tcW w:type="dxa" w:w="1440"/>
            <w:shd w:fill="FFDCE0" w:val="clear"/>
          </w:tcPr>
          <w:p>
            <w:r>
              <w:rPr>
                <w:b/>
                <w:sz w:val="17"/>
              </w:rPr>
              <w:t>8,635</w:t>
            </w:r>
          </w:p>
        </w:tc>
        <w:tc>
          <w:tcPr>
            <w:tcW w:type="dxa" w:w="1440"/>
            <w:shd w:fill="FFDCE0" w:val="clear"/>
          </w:tcPr>
          <w:p>
            <w:r>
              <w:rPr>
                <w:sz w:val="17"/>
              </w:rPr>
              <w:t>9,275</w:t>
            </w:r>
          </w:p>
        </w:tc>
        <w:tc>
          <w:tcPr>
            <w:tcW w:type="dxa" w:w="1440"/>
            <w:shd w:fill="FFDCE0" w:val="clear"/>
          </w:tcPr>
          <w:p>
            <w:r>
              <w:rPr>
                <w:b/>
                <w:color w:val="C00000"/>
                <w:sz w:val="17"/>
              </w:rPr>
              <w:t>-4.1%</w:t>
            </w:r>
          </w:p>
        </w:tc>
      </w:tr>
      <w:tr>
        <w:tc>
          <w:tcPr>
            <w:tcW w:type="dxa" w:w="1440"/>
            <w:shd w:fill="FFDCE0" w:val="clear"/>
          </w:tcPr>
          <w:p>
            <w:r>
              <w:rPr>
                <w:sz w:val="17"/>
              </w:rPr>
              <w:t>J+7  Moyenne</w:t>
            </w:r>
          </w:p>
        </w:tc>
        <w:tc>
          <w:tcPr>
            <w:tcW w:type="dxa" w:w="1440"/>
            <w:shd w:fill="FFDCE0" w:val="clear"/>
          </w:tcPr>
          <w:p>
            <w:r>
              <w:rPr>
                <w:sz w:val="17"/>
              </w:rPr>
              <w:t>2026-10-07</w:t>
            </w:r>
          </w:p>
        </w:tc>
        <w:tc>
          <w:tcPr>
            <w:tcW w:type="dxa" w:w="1440"/>
            <w:shd w:fill="FFDCE0" w:val="clear"/>
          </w:tcPr>
          <w:p>
            <w:r>
              <w:rPr>
                <w:sz w:val="17"/>
              </w:rPr>
              <w:t>7,901</w:t>
            </w:r>
          </w:p>
        </w:tc>
        <w:tc>
          <w:tcPr>
            <w:tcW w:type="dxa" w:w="1440"/>
            <w:shd w:fill="FFDCE0" w:val="clear"/>
          </w:tcPr>
          <w:p>
            <w:r>
              <w:rPr>
                <w:b/>
                <w:sz w:val="17"/>
              </w:rPr>
              <w:t>8,589</w:t>
            </w:r>
          </w:p>
        </w:tc>
        <w:tc>
          <w:tcPr>
            <w:tcW w:type="dxa" w:w="1440"/>
            <w:shd w:fill="FFDCE0" w:val="clear"/>
          </w:tcPr>
          <w:p>
            <w:r>
              <w:rPr>
                <w:sz w:val="17"/>
              </w:rPr>
              <w:t>9,277</w:t>
            </w:r>
          </w:p>
        </w:tc>
        <w:tc>
          <w:tcPr>
            <w:tcW w:type="dxa" w:w="1440"/>
            <w:shd w:fill="FFDCE0" w:val="clear"/>
          </w:tcPr>
          <w:p>
            <w:r>
              <w:rPr>
                <w:b/>
                <w:color w:val="C00000"/>
                <w:sz w:val="17"/>
              </w:rPr>
              <w:t>-4.6%</w:t>
            </w:r>
          </w:p>
        </w:tc>
      </w:tr>
      <w:tr>
        <w:tc>
          <w:tcPr>
            <w:tcW w:type="dxa" w:w="1440"/>
            <w:shd w:fill="FFDCE0" w:val="clear"/>
          </w:tcPr>
          <w:p>
            <w:r>
              <w:rPr>
                <w:sz w:val="17"/>
              </w:rPr>
              <w:t>J+8  Moyenne</w:t>
            </w:r>
          </w:p>
        </w:tc>
        <w:tc>
          <w:tcPr>
            <w:tcW w:type="dxa" w:w="1440"/>
            <w:shd w:fill="FFDCE0" w:val="clear"/>
          </w:tcPr>
          <w:p>
            <w:r>
              <w:rPr>
                <w:sz w:val="17"/>
              </w:rPr>
              <w:t>2026-10-08</w:t>
            </w:r>
          </w:p>
        </w:tc>
        <w:tc>
          <w:tcPr>
            <w:tcW w:type="dxa" w:w="1440"/>
            <w:shd w:fill="FFDCE0" w:val="clear"/>
          </w:tcPr>
          <w:p>
            <w:r>
              <w:rPr>
                <w:sz w:val="17"/>
              </w:rPr>
              <w:t>7,815</w:t>
            </w:r>
          </w:p>
        </w:tc>
        <w:tc>
          <w:tcPr>
            <w:tcW w:type="dxa" w:w="1440"/>
            <w:shd w:fill="FFDCE0" w:val="clear"/>
          </w:tcPr>
          <w:p>
            <w:r>
              <w:rPr>
                <w:b/>
                <w:sz w:val="17"/>
              </w:rPr>
              <w:t>8,547</w:t>
            </w:r>
          </w:p>
        </w:tc>
        <w:tc>
          <w:tcPr>
            <w:tcW w:type="dxa" w:w="1440"/>
            <w:shd w:fill="FFDCE0" w:val="clear"/>
          </w:tcPr>
          <w:p>
            <w:r>
              <w:rPr>
                <w:sz w:val="17"/>
              </w:rPr>
              <w:t>9,279</w:t>
            </w:r>
          </w:p>
        </w:tc>
        <w:tc>
          <w:tcPr>
            <w:tcW w:type="dxa" w:w="1440"/>
            <w:shd w:fill="FFDCE0" w:val="clear"/>
          </w:tcPr>
          <w:p>
            <w:r>
              <w:rPr>
                <w:b/>
                <w:color w:val="C00000"/>
                <w:sz w:val="17"/>
              </w:rPr>
              <w:t>-5.1%</w:t>
            </w:r>
          </w:p>
        </w:tc>
      </w:tr>
      <w:tr>
        <w:tc>
          <w:tcPr>
            <w:tcW w:type="dxa" w:w="1440"/>
            <w:shd w:fill="FFDCE0" w:val="clear"/>
          </w:tcPr>
          <w:p>
            <w:r>
              <w:rPr>
                <w:sz w:val="17"/>
              </w:rPr>
              <w:t>J+9  Moyenne</w:t>
            </w:r>
          </w:p>
        </w:tc>
        <w:tc>
          <w:tcPr>
            <w:tcW w:type="dxa" w:w="1440"/>
            <w:shd w:fill="FFDCE0" w:val="clear"/>
          </w:tcPr>
          <w:p>
            <w:r>
              <w:rPr>
                <w:sz w:val="17"/>
              </w:rPr>
              <w:t>2026-10-09</w:t>
            </w:r>
          </w:p>
        </w:tc>
        <w:tc>
          <w:tcPr>
            <w:tcW w:type="dxa" w:w="1440"/>
            <w:shd w:fill="FFDCE0" w:val="clear"/>
          </w:tcPr>
          <w:p>
            <w:r>
              <w:rPr>
                <w:sz w:val="17"/>
              </w:rPr>
              <w:t>7,734</w:t>
            </w:r>
          </w:p>
        </w:tc>
        <w:tc>
          <w:tcPr>
            <w:tcW w:type="dxa" w:w="1440"/>
            <w:shd w:fill="FFDCE0" w:val="clear"/>
          </w:tcPr>
          <w:p>
            <w:r>
              <w:rPr>
                <w:b/>
                <w:sz w:val="17"/>
              </w:rPr>
              <w:t>8,507</w:t>
            </w:r>
          </w:p>
        </w:tc>
        <w:tc>
          <w:tcPr>
            <w:tcW w:type="dxa" w:w="1440"/>
            <w:shd w:fill="FFDCE0" w:val="clear"/>
          </w:tcPr>
          <w:p>
            <w:r>
              <w:rPr>
                <w:sz w:val="17"/>
              </w:rPr>
              <w:t>9,281</w:t>
            </w:r>
          </w:p>
        </w:tc>
        <w:tc>
          <w:tcPr>
            <w:tcW w:type="dxa" w:w="1440"/>
            <w:shd w:fill="FFDCE0" w:val="clear"/>
          </w:tcPr>
          <w:p>
            <w:r>
              <w:rPr>
                <w:b/>
                <w:color w:val="C00000"/>
                <w:sz w:val="17"/>
              </w:rPr>
              <w:t>-5.5%</w:t>
            </w:r>
          </w:p>
        </w:tc>
      </w:tr>
      <w:tr>
        <w:tc>
          <w:tcPr>
            <w:tcW w:type="dxa" w:w="1440"/>
            <w:shd w:fill="FFDCE0" w:val="clear"/>
          </w:tcPr>
          <w:p>
            <w:r>
              <w:rPr>
                <w:sz w:val="17"/>
              </w:rPr>
              <w:t>J+10  Moyenne</w:t>
            </w:r>
          </w:p>
        </w:tc>
        <w:tc>
          <w:tcPr>
            <w:tcW w:type="dxa" w:w="1440"/>
            <w:shd w:fill="FFDCE0" w:val="clear"/>
          </w:tcPr>
          <w:p>
            <w:r>
              <w:rPr>
                <w:sz w:val="17"/>
              </w:rPr>
              <w:t>2026-10-12</w:t>
            </w:r>
          </w:p>
        </w:tc>
        <w:tc>
          <w:tcPr>
            <w:tcW w:type="dxa" w:w="1440"/>
            <w:shd w:fill="FFDCE0" w:val="clear"/>
          </w:tcPr>
          <w:p>
            <w:r>
              <w:rPr>
                <w:sz w:val="17"/>
              </w:rPr>
              <w:t>7,659</w:t>
            </w:r>
          </w:p>
        </w:tc>
        <w:tc>
          <w:tcPr>
            <w:tcW w:type="dxa" w:w="1440"/>
            <w:shd w:fill="FFDCE0" w:val="clear"/>
          </w:tcPr>
          <w:p>
            <w:r>
              <w:rPr>
                <w:b/>
                <w:sz w:val="17"/>
              </w:rPr>
              <w:t>8,470</w:t>
            </w:r>
          </w:p>
        </w:tc>
        <w:tc>
          <w:tcPr>
            <w:tcW w:type="dxa" w:w="1440"/>
            <w:shd w:fill="FFDCE0" w:val="clear"/>
          </w:tcPr>
          <w:p>
            <w:r>
              <w:rPr>
                <w:sz w:val="17"/>
              </w:rPr>
              <w:t>9,282</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*Marché : BRVM | Secteur : Banque | 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900,50 Mds FCFA, la SIBC figure parmi les valeurs les plus capitalisées de la BRVM, ce qui témoigne de son statut de poids lourd du compartiment bancaire régional. Le BPA de 556 FCFA/action indique que chaque titre génère un bénéfice net substantiel, et le PER de 16,2x traduit une valorisation modérée mais supérieure à la moyenne du marché BRVM (8-12x), les investisseurs acceptant de payer une prime pour la qualité des bénéfices. Le P/B de 4,40x révèle que le marché valorise la banque à plus de quatre fois sa valeur comptable, une prime exigeante qui reflète la forte rentabilité des fonds propres (ROE &gt;27%) mais qui limite la marge de sécurité en cas de correction. Enfin, l'EV/EBITDA de 15,1x, bien qu'élevé, se justifie partiellement par la structure bancaire où la valeur d'entreprise intègre les dépôts clientèle (1 503 Mds FCFA) comme ressource de refinancement à faible coût.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SIBC a enregistré une progression remarquable de +26,83%, clôturant à 9 005 FCFA après une légère hausse de +0,06% lors de la dernière séance, ce qui confirme une tendance haussière solidement installée. Le range de trading s'étend de 7 050 FCFA (plus bas) à 9 500 FCFA (plus haut), soit une amplitude de 34,8% qui témoigne d'une dynamique acheteuse soutenue et d'une volatilité significative. Les statistiques descriptives révèlent une moyenne de 8 754 FCFA légèrement inférieure à la médiane de 8 900 FCFA, avec un mode à 9 000 FCFA, suggérant une concentration des échanges autour des niveaux élevés malgré quelques journées de correction. L'écart-type de 601 FCFA (CV=6,9%) indique une dispersion modérée du cours autour de sa moyenne, tandis que le kurtosis de 1,630 (leptokurtique) signale des queues épaisses et un risque de pics de volatilité brutaux. Le skewness de -1,623 (asymétrie négative) révèle que le titre a passé plus de journées au-dessus de sa moyenne, avec des corrections ponctuelles mais violentes vers le bas. La volatilité annualisée de 30,9% positionne SIBC dans la catégorie des titres à volatilité élevée (&gt;30%), ce qui implique un risque de marché supérieur à la moyenne mais cohérent avec le potentiel de rendement affiché.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(9 143,75 FCFA) et la MM50 (9 096,50 FCFA) se situent toutes deux au-dessus du cours actuel (9 005 FCFA), ce qui place le titre en position de faiblesse relative à court terme. Cependant, la MM20 reste supérieure à la MM50, maintenant une configuration haussière de fond. La décision "Achat" du système suggère que le repli actuel constitue une opportunité d'entrée dans la tendance haussière de moyen terme.</w:t>
      </w:r>
    </w:p>
    <w:p>
      <w:pPr>
        <w:spacing w:after="120" w:line="276" w:lineRule="auto"/>
      </w:pPr>
      <w:r>
        <w:t>**Bandes de Bollinger** : Le cours actuel (9 005 FCFA) évolue dans la partie basse de la bande de Bollinger, entre la borne inférieure (8 773,10 FCFA) et la borne supérieure (9 514,40 FCFA), sans atteindre les extrêmes. Cette position médiane-basse indique une absence de signal directionnel fort, justifiant la décision "Neutre". La largeur des bandes reflète la volatilité élevée du titre.</w:t>
      </w:r>
    </w:p>
    <w:p>
      <w:pPr>
        <w:spacing w:after="120" w:line="276" w:lineRule="auto"/>
      </w:pPr>
      <w:r>
        <w:t>**MACD** : La valeur du MACD (-50,851) est nettement inférieure à son signal (-15,503), générant un croisement baissier et un momentum négatif. Cette divergence négative indique que la pression vendeuse domine à court terme, justifiant la décision "Vente". Ce signal contredit partiellement la tendance haussière de fond et suggère une consolidation en cours.</w:t>
      </w:r>
    </w:p>
    <w:p>
      <w:pPr>
        <w:spacing w:after="120" w:line="276" w:lineRule="auto"/>
      </w:pPr>
      <w:r>
        <w:t>**RSI** : À 43,73, le RSI se situe en zone neutre (30-70), sans signal de surachat (&gt;70) ni de survente (&lt;30). Cette valeur légèrement sous la barre des 50 indique un équilibre précaire entre acheteurs et vendeurs, avec une légère prédominance baissière. La décision "Neutre" est cohérente avec cette configuration.</w:t>
      </w:r>
    </w:p>
    <w:p>
      <w:pPr>
        <w:spacing w:after="120" w:line="276" w:lineRule="auto"/>
      </w:pPr>
      <w:r>
        <w:t>**Stochastique** : Le %K (62,658) est supérieur au %D (58,017), générant un croisement haussier qui suggère une reprise potentielle à court terme. Cependant, les deux courbes restent en zone médiane, sans signal extrême. La décision "Neutre" reflète cette absence de conviction directionnelle forte.</w:t>
      </w:r>
    </w:p>
    <w:p>
      <w:pPr>
        <w:spacing w:after="120" w:line="276" w:lineRule="auto"/>
      </w:pPr>
      <w:r>
        <w:t>**Conclusion technique** : Les indicateurs techniques présentent une configuration mitigée. Les moyennes mobiles maintiennent une structure haussière de fond malgré le repli actuel, tandis que le MACD signale une pression baissière à court terme. Le RSI et le stochastique en zone neutre confirment l'absence de signal directionnel clair, et les bandes de Bollinger n'offrent pas de point d'entrée évident. Cette divergence entre tendance de fond (haussière) et momentum (baissier) suggère une phase de consolidation avant une éventuelle reprise.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**Données structurées (exercice 2025)** : Selon les états financiers officiels de l'exercice 2025, la SIBC affiche un Produit Net Bancaire (PNB) de 108,663 Mds FCFA, en croissance de +5,74% par rapport à 2024, confirmant la dynamique commerciale de la banque. Le résultat net s'établit à 55,623 Mds FCFA, avec une marge nette exceptionnelle de 51,19% et un ROE de 27,16%, largement supérieur au seuil d'excellence de 15%. Le ROA de 2,96% témoigne d'une utilisation efficace des actifs (1 881,733 Mds FCFA). Le coefficient d'exploitation de 38,59% positionne la SIBC parmi les banques les plus efficaces du secteur (seuil d'excellence &lt;50%), tandis que le ratio de solvabilité générale de 112,21% confirme la solidité du bilan. Le portefeuille de crédits clientèle (1 226,720 Mds FCFA) est largement financé par les dépôts clientèle (1 503,441 Mds FCFA), avec un ratio de transformation de 81,6% qui témoigne d'une gestion prudente de la liquidité.</w:t>
      </w:r>
    </w:p>
    <w:p>
      <w:pPr>
        <w:spacing w:after="120" w:line="276" w:lineRule="auto"/>
      </w:pPr>
      <w:r>
        <w:t>**Estimations basées sur les rapports trimestriels** : Le rapport du T1 2026 (publié le 07/05/2026) indique un PNB de 27,7 Mds FCFA (+4% en glissement annuel) et un résultat net de 15,2 Mds FCFA (+11%), avec une marge nette de 54,9%. Le rapport du S1 2026 (publié le 29/09/2026) confirme cette tendance avec un PNB de 56,592 Mds FCFA (+4,2%) et un résultat net de 32,140 Mds FCFA (+9,3%), accompagné d'une amélioration spectaculaire du coût du risque (-75,3% à 287 M FCFA). Sur la base de ces performances semestrielles, on estime que l'exercice 2026 devrait générer un résultat net annuel de l'ordre de 64-66 Mds FCFA, soit une croissance de +15% à +18% par rapport à 2025, portée par la croissance des crédits (+12%) et des dépôts (+12%) ainsi que par la maîtrise des charges.</w:t>
      </w:r>
    </w:p>
    <w:p>
      <w:pPr>
        <w:spacing w:after="120" w:line="276" w:lineRule="auto"/>
      </w:pPr>
      <w:r>
        <w:t>**Évolution et perspectives** : L'évolution des indicateurs sur les trois derniers exercices (2023-2025) montre une progression constante du PNB (95,6 → 102,8 → 108,7 Mds FCFA) et du résultat net (43,5 → 50,2 → 55,6 Mds FCFA), avec une amélioration continue du ROE (29,32% → 30,56% → 27,16% en 2025, ce dernier chiffre reflétant l'augmentation des fonds propres). Le plan stratégique "IMPULSION 2028" poursuit ses déploiements dans la digitalisation et le soutien aux PME/TPE. La recommandation fondamentale est **CONSERVER avec biais positif** : la solidité financière, la rentabilité exceptionnelle et la croissance soutenue justifient une position dans le portefeuille, mais la valorisation exigeante (P/B 4,40x) et l'absence d'information sur le dividende 2026 limitent le potentiel de hausse immédiat.</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une convergence partielle des signaux. **Sur le plan de la valorisation (Partie 0)** , le PER de 16,2x et le P/B de 4,40x indiquent une surévaluation relative par rapport aux moyennes du marché BRVM, bien que justifiée par la qualité des fondamentaux. **Le comportement du cours (Partie 1)** est globalement favorable avec une tendance haussière de +26,83% sur 100 jours, mais le kurtosis élevé (1,630) et le skewness négatif (-1,623) avertissent d'un risque de corrections brutales. **Les signaux techniques (Partie 2)** sont mitigés : les moyennes mobiles restent haussières, mais le MACD baissier et le RSI neutre suggèrent une consolidation en cours, sans signal d'achat clair. **Les fondamentaux (Partie 3)** sont excellents : ROE de 27,16%, coefficient d'exploitation de 38,59%, croissance du résultat net estimée à +15-18% pour 2026, et solidité du bilan confirmée par un ratio de solvabilité de 112,21%. **Les prédictions IA (J+1 à J+10)** anticipent une correction baissière vers 8 684 FCFA d'ici le 05/10/2026, ce qui contredit la tendance haussière de fond mais confirme le signal baissier du MACD à court terme.</w:t>
      </w:r>
    </w:p>
    <w:p>
      <w:pPr>
        <w:spacing w:after="120" w:line="276" w:lineRule="auto"/>
      </w:pPr>
      <w:r>
        <w:t>**Recommandation finale : CONSERVER**</w:t>
      </w:r>
    </w:p>
    <w:p>
      <w:pPr>
        <w:spacing w:after="120" w:line="276" w:lineRule="auto"/>
      </w:pPr>
      <w:r>
        <w:t>Cette recommandation reflète la convergence entre des fondamentaux solides (justifiant le maintien en portefeuille) et des signaux techniques à court terme baissiers (excluant un achat immédiat). La valorisation exigeante et les prédictions IA baissières suggèrent d'attendre une correction vers les 8 700-8 800 FCFA pour renforcer la position. Le niveau de confiance est **Moyen** (les fondamentaux sont clairs mais les signaux techniques divergents), et le niveau de risque global est **Moyen** (volatilité élevée de 30,9% mais solidité financière robuste). L'horizon d'investissement optimal est le **moyen terme (3-12 mois)** , le temps que la consolidation technique s'achève et que la croissance des bénéfices se matérialise dans le cours.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"conserver", "justification": "La SIB affiche une croissance solide de ses r\u00e9sultats et une solidit\u00e9 financi\u00e8re confirm\u00e9e, avec un ratio de solvabilit\u00e9 confortable. Toutefois, l'absence d'information sur le dividende et la valorisation limite le potentiel d'achat \u00e0 court terme."}</w:t>
      </w:r>
    </w:p>
    <w:p>
      <w:pPr>
        <w:spacing w:before="40"/>
        <w:ind w:left="400"/>
      </w:pPr>
      <w:r>
        <w:rPr>
          <w:sz w:val="18"/>
        </w:rPr>
        <w:t>La Société Ivoirienne de Banque (SIB) a réalisé une performance solide au premier semestre 2026, avec un Produit Net Bancaire de 56,6 milliards FCFA en hausse de 4% et un Résultat Net de 32,1 milliards FCFA en progression de 9%. La dynamique commerciale est confirmée par une croissance de 12% des crédits à la clientèle (1 169 milliards FCFA) et des dépôts (1 581 milliards FCFA). La banque maintient une solidité financière avec un ratio de solvabilité bien supérieur au minimum réglementaire de 11,5%. Ces résultats ont été salués par une double distinction internationale aux International Banker Awards 2026. Pour le second semestre, la SIB entend poursuivre son plan stratégique en accélérant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'1 581 milliards FCFA', 'credits_clientele': '1 169 milliards FCFA', 'ratio_solvabilite': '&gt; 11,5%', 'produit_net_bancaire': '56,6 milliards FCFA', 'resultat_brut_exploitation': '36,6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1 968 296 millions FCFA</w:t>
            </w:r>
          </w:p>
        </w:tc>
      </w:tr>
      <w:tr>
        <w:tc>
          <w:tcPr>
            <w:tcW w:type="dxa" w:w="2160"/>
          </w:tcPr>
          <w:p>
            <w:r/>
            <w:r>
              <w:rPr>
                <w:b/>
                <w:sz w:val="16"/>
              </w:rPr>
              <w:t>resultat_net</w:t>
              <w:br/>
            </w:r>
            <w:r>
              <w:rPr>
                <w:sz w:val="18"/>
              </w:rPr>
              <w:t>32,1 milliards FCFA</w:t>
            </w:r>
          </w:p>
        </w:tc>
        <w:tc>
          <w:tcPr>
            <w:tcW w:type="dxa" w:w="2160"/>
          </w:tcPr>
          <w:p>
            <w:r/>
            <w:r>
              <w:rPr>
                <w:b/>
                <w:sz w:val="16"/>
              </w:rPr>
              <w:t>capitaux_propres</w:t>
              <w:br/>
            </w:r>
            <w:r>
              <w:rPr>
                <w:sz w:val="18"/>
              </w:rPr>
              <w:t>204 764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4% à 56,6 milliards FCFA</w:t>
      </w:r>
    </w:p>
    <w:p>
      <w:pPr>
        <w:pStyle w:val="ListBullet"/>
        <w:spacing w:before="20" w:after="20"/>
        <w:ind w:left="700"/>
      </w:pPr>
      <w:r>
        <w:rPr>
          <w:sz w:val="18"/>
        </w:rPr>
        <w:t>Résultat Net en progression de 9% à 32,1 milliards FCFA</w:t>
      </w:r>
    </w:p>
    <w:p>
      <w:pPr>
        <w:pStyle w:val="ListBullet"/>
        <w:spacing w:before="20" w:after="20"/>
        <w:ind w:left="700"/>
      </w:pPr>
      <w:r>
        <w:rPr>
          <w:sz w:val="18"/>
        </w:rPr>
        <w:t>Crédits à la clientèle en croissance de 12% à 1 169 milliards FCFA</w:t>
      </w:r>
    </w:p>
    <w:p>
      <w:pPr>
        <w:pStyle w:val="ListBullet"/>
        <w:spacing w:before="20" w:after="20"/>
        <w:ind w:left="700"/>
      </w:pPr>
      <w:r>
        <w:rPr>
          <w:sz w:val="18"/>
        </w:rPr>
        <w:t>Dépôts de la clientèle en hausse de 12% à 1 581 milliards FCFA</w:t>
      </w:r>
    </w:p>
    <w:p>
      <w:pPr>
        <w:pStyle w:val="ListBullet"/>
        <w:spacing w:before="20" w:after="20"/>
        <w:ind w:left="700"/>
      </w:pPr>
      <w:r>
        <w:rPr>
          <w:sz w:val="18"/>
        </w:rPr>
        <w:t>Résultat Brut d'Exploitation en augmentation de 6% à 36,6 milliards FCFA</w:t>
      </w:r>
    </w:p>
    <w:p>
      <w:pPr>
        <w:pStyle w:val="ListBullet"/>
        <w:spacing w:before="20" w:after="20"/>
        <w:ind w:left="700"/>
      </w:pPr>
      <w:r>
        <w:rPr>
          <w:sz w:val="18"/>
        </w:rPr>
        <w:t>Ratio de solvabilité largement supérieur au seuil réglementaire de 11,5%</w:t>
      </w:r>
    </w:p>
    <w:p>
      <w:pPr>
        <w:spacing w:before="40"/>
        <w:ind w:left="400"/>
      </w:pPr>
      <w:r>
        <w:rPr>
          <w:b/>
          <w:color w:val="C05000"/>
          <w:sz w:val="18"/>
        </w:rPr>
        <w:t xml:space="preserve">⚠️ Risques : </w:t>
      </w:r>
      <w:r>
        <w:rPr>
          <w:sz w:val="18"/>
        </w:rPr>
        <w:t>["Concurrence bancaire accrue dans un environnement de march\u00e9 exigeant", "Renforcement des standards r\u00e9glementaires pouvant impacter les co\u00fbts de conformit\u00e9", "Exposition \u00e0 des chocs exog\u00e8nes majeurs dans un environnement r\u00e9gional incertain"]</w:t>
      </w:r>
    </w:p>
    <w:p>
      <w:pPr>
        <w:spacing w:before="40"/>
        <w:ind w:left="400"/>
      </w:pPr>
      <w:r>
        <w:rPr>
          <w:b/>
          <w:color w:val="0064A0"/>
          <w:sz w:val="18"/>
        </w:rPr>
        <w:t xml:space="preserve">🔮 Perspectives : </w:t>
      </w:r>
      <w:r>
        <w:rPr>
          <w:sz w:val="18"/>
        </w:rPr>
        <w:t xml:space="preserve">Pour le second semestre 2026, la SIB poursuivra l'exécution de son plan stratégique en accélérant la modernisation de ses services et en renforçant ses standards de gouvernance. La banque bénéficie d'un environnement régional globalement porteur, sous réserve de l'absence de chocs exogènes majeurs.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
      <w:r>
        <w:t>════════════════════════════════════════════════════════════════════════════════</w:t>
      </w:r>
    </w:p>
    <w:p>
      <w:r>
        <w:br w:type="page"/>
      </w:r>
    </w:p>
    <w:p>
      <w:pPr>
        <w:pStyle w:val="Heading2"/>
        <w:spacing w:before="360"/>
      </w:pPr>
      <w:r>
        <w:rPr>
          <w:color w:val="0066CC"/>
        </w:rPr>
        <w:t>36.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5.04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120 titres</w:t>
            </w:r>
          </w:p>
        </w:tc>
        <w:tc>
          <w:tcPr>
            <w:tcW w:type="dxa" w:w="2268"/>
            <w:shd w:fill="FFF2CC" w:val="clear"/>
          </w:tcPr>
          <w:p>
            <w:r>
              <w:rPr>
                <w:b/>
                <w:color w:val="503200"/>
                <w:sz w:val="16"/>
              </w:rPr>
              <w:t xml:space="preserve">Cours actuel : </w:t>
            </w:r>
            <w:r>
              <w:rPr>
                <w:color w:val="000000"/>
                <w:sz w:val="17"/>
              </w:rPr>
              <w:t>8,400 FCFA</w:t>
            </w:r>
          </w:p>
          <w:p>
            <w:r>
              <w:rPr>
                <w:b/>
                <w:color w:val="503200"/>
                <w:sz w:val="16"/>
              </w:rPr>
              <w:t xml:space="preserve">Var. 100 jours : </w:t>
            </w:r>
            <w:r>
              <w:rPr>
                <w:b/>
                <w:color w:val="007800"/>
                <w:sz w:val="17"/>
              </w:rPr>
              <w:t>+95.35%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3,985 FCFA</w:t>
            </w:r>
          </w:p>
          <w:p>
            <w:r>
              <w:rPr>
                <w:b/>
                <w:color w:val="503200"/>
                <w:sz w:val="16"/>
              </w:rPr>
              <w:t xml:space="preserve">Volatilité ann. : </w:t>
            </w:r>
            <w:r>
              <w:rPr>
                <w:color w:val="000000"/>
                <w:sz w:val="17"/>
              </w:rPr>
              <w:t>58.2%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31.02% (Élevée) — μ=5,815 FCFA, σ=1,804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β=-1.0095 (Contre-cyclique) — Cov=-0.000038, Var(idx)=0.000037, ρ=-0.168, n=91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σ_j=3.67%/j (Modérée) — Vol. annualisée≈58.2%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59862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59862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2026-09-29</w:t>
            </w:r>
          </w:p>
        </w:tc>
        <w:tc>
          <w:tcPr>
            <w:tcW w:type="dxa" w:w="1440"/>
            <w:shd w:fill="FFDCE0" w:val="clear"/>
          </w:tcPr>
          <w:p>
            <w:r>
              <w:rPr>
                <w:sz w:val="17"/>
              </w:rPr>
              <w:t>5,603</w:t>
            </w:r>
          </w:p>
        </w:tc>
        <w:tc>
          <w:tcPr>
            <w:tcW w:type="dxa" w:w="1440"/>
            <w:shd w:fill="FFDCE0" w:val="clear"/>
          </w:tcPr>
          <w:p>
            <w:r>
              <w:rPr>
                <w:b/>
                <w:sz w:val="17"/>
              </w:rPr>
              <w:t>7,239</w:t>
            </w:r>
          </w:p>
        </w:tc>
        <w:tc>
          <w:tcPr>
            <w:tcW w:type="dxa" w:w="1440"/>
            <w:shd w:fill="FFDCE0" w:val="clear"/>
          </w:tcPr>
          <w:p>
            <w:r>
              <w:rPr>
                <w:sz w:val="17"/>
              </w:rPr>
              <w:t>8,876</w:t>
            </w:r>
          </w:p>
        </w:tc>
        <w:tc>
          <w:tcPr>
            <w:tcW w:type="dxa" w:w="1440"/>
            <w:shd w:fill="FFDCE0" w:val="clear"/>
          </w:tcPr>
          <w:p>
            <w:r>
              <w:rPr>
                <w:b/>
                <w:color w:val="C00000"/>
                <w:sz w:val="17"/>
              </w:rPr>
              <w:t>-13.8%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ACTION SICC (SICOR)**</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5,04 milliards FCFA, un niveau modeste à l'échelle de la BRVM qui la classe parmi les petites capitalisations du compartiment agro-industriel. Les ratios de valorisation classiques (BPA, PER, P/B, EV/EBITDA) ne sont pas calculables en l'absence de données financières structurées récentes exploitables et de bénéfice par action publié pour l'exercice 2024, ce qui limite fortement la lecture fondamentale immédiate du titre. Cette absence de visibilité sur les multiples de valorisation constitue en soi un signal de prudence : l'investisseur ne peut s'appuyer sur aucune référence de prix relatif (PER BRVM moyen ~8-12x) pour juger si le cours actuel de 8 400 FCFA est cher ou bon marché. Dans ce contexte, la valorisation du titre repose essentiellement sur des considérations techniques et sur l'anticipation d'un redressement des fondamentaux, ce qui accroît le risque spéculatif de la position.</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SICC affiche une performance spectaculaire de +95,35%, portant le cours à 8 400 FCFA malgré un repli marginal de -1,12% lors de la dernière séance. Le titre a évolué dans un range très large, entre un plus bas de 3 985 FCFA et un plus haut de 10 200 FCFA, soit un écart de plus de 155% entre les deux extrêmes, témoignant d'une tendance nettement haussière mais extrêmement nerveuse. Les statistiques descriptives révèlent une moyenne de 5 815 FCFA nettement supérieure à la médiane de 5 022 FCFA, signe d'une distribution asymétrique tirée vers le haut par les récents pics de cours ; le mode à 4 380 FCFA rappelle que le titre a longtemps stagné à des niveaux bien inférieurs. L'écart-type de 1 813 FCFA et le coefficient de variation de 31,2% traduisent une dispersion élevée du cours, confirmée par une volatilité annualisée de 58,2% qui positionne clairement SICC dans la catégorie des titres à volatilité élevée (&gt;30%). Le kurtosis de -0,630 (mésokurtique) indique une distribution proche de la normale, sans risque excessif de pics extrêmes, tandis que le skewness positif de 0,913 signale une asymétrie à droite avec davantage de journées de baisse sous la moyenne — un profil typique d'un titre en forte hausse mais sujet à des corrections brutales. Le volume moyen de seulement 120 titres par jour confirme la faible liquidité du marché, ce qui amplifie mécaniquement les mouvements de prix.</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(8 472,25 FCFA) et la MM50 (7 205,0 FCFA) se situent toutes deux sous le cours actuel de 8 400 FCFA, avec une MM20 légèrement supérieure au prix, ce qui traduit un essoufflement de court terme après la forte progression. La configuration haussière des moyennes (MM20 &gt; MM50) confirme la tendance de fond positive et justifie la décision d'**Achat** émise par cet indicateur, bien que le croisement imminent du cours sous la MM20 appelle à la vigilance.</w:t>
      </w:r>
    </w:p>
    <w:p>
      <w:pPr>
        <w:spacing w:after="120" w:line="276" w:lineRule="auto"/>
      </w:pPr>
      <w:r>
        <w:t>**Bandes de Bollinger** : Le cours (8 400 FCFA) évolue à l'intérieur des bandes, entre la borne inférieure (7 354,78 FCFA) et la borne supérieure (9 589,72 FCFA), sans contact avec les extrêmes, ce qui explique la décision **Neutre**. L'amplitude élevée des bandes reflète la volatilité importante du titre, et la position médiane du cours suggère une absence de signal directionnel fort à court terme.</w:t>
      </w:r>
    </w:p>
    <w:p>
      <w:pPr>
        <w:spacing w:after="120" w:line="276" w:lineRule="auto"/>
      </w:pPr>
      <w:r>
        <w:t>**MACD** : La valeur du MACD (274,14) est inférieure à son signal (366,43), générant un croisement baissier et une décision de **Vente**. Cette divergence négative indique un affaiblissement du momentum haussier malgré la performance globale exceptionnelle, signalant que la dynamique positive s'essouffle et qu'une consolidation est probable.</w:t>
      </w:r>
    </w:p>
    <w:p>
      <w:pPr>
        <w:spacing w:after="120" w:line="276" w:lineRule="auto"/>
      </w:pPr>
      <w:r>
        <w:t>**RSI** : À 61,16, le RSI se situe en zone neutre haute, sans atteindre le seuil de surachat de 70, ce qui justifie la décision **Neutre**. Cette valeur indique que le titre conserve une certaine marge de progression mais approche de zones où la pression acheteuse pourrait s'épuiser.</w:t>
      </w:r>
    </w:p>
    <w:p>
      <w:pPr>
        <w:spacing w:after="120" w:line="276" w:lineRule="auto"/>
      </w:pPr>
      <w:r>
        <w:t>**Stochastique** : Le %K (85,71) et le %D (94,76) évoluent tous deux en zone de surachat marquée, avec un %K inférieur au %D signalant un croisement baissier imminent, d'où la décision de **Vente**. Cette configuration suggère fortement qu'un retournement ou une correction se prépare à court terme.</w:t>
      </w:r>
    </w:p>
    <w:p>
      <w:pPr>
        <w:spacing w:after="120" w:line="276" w:lineRule="auto"/>
      </w:pPr>
      <w:r>
        <w:t>**Conclusion technique** : Les indicateurs présentent une divergence préoccupante : les moyennes mobiles restent haussières tandis que le MACD et le stochastique émettent des signaux de vente, et le RSI/Bollinger demeurent neutres. Cette configuration mixte, avec deux signaux vendeurs contre un signal acheteur, suggère que le titre approche d'un sommet de court terme après son rallye de +95%. La prudence est de mise : une consolidation vers la MM20 (8 472 FCFA) voire la zone des 7 200-7 400 FCFA (MM50 et borne basse de Bollinger) est techniquement probable.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font défaut, mais les rapports officiels disponibles permettent de retracer l'évolution de la SICOR sur plusieurs exercices. Selon le rapport de l'exercice 2023 (analysé le 15 mars 2026), le chiffre d'affaires s'est établi à 701,09 millions FCFA, en chute de 38,4% par rapport aux 1 138,17 millions FCFA de 2022, tandis que le résultat net est revenu à un bénéfice de 19,25 millions FCFA (marge nette de 2,75%) après une perte de 39,95 millions FCFA en 2022 (marge de -3,51%). Cette amélioration résulte d'une réduction drastique des charges (-43,68%), incluant un transfert de 50% du personnel vers la filiale SIPAL, mais la rentabilité demeure fragile et très inférieure aux standards du secteur agro-industriel (5-10%). Le rapport 2022 (analysé le 15 mars 2026) révélait déjà la détérioration : perte nette de 39,95 millions FCFA contre un bénéfice de 119,23 millions FCFA en 2021, avec une marge nette passée de +8,63% à -3,51%, sous l'effet d'une baisse de 64% des ventes d'huile de coprah et d'une hausse de 193% des impôts et taxes. Plus ancien, le rapport 2016 (analysé le 6 septembre 2026) faisait état d'une situation critique avec des capitaux propres négatifs de -2 324,84 millions FCFA et une perte nette de 348,99 millions FCFA, illustrant la fragilité structurelle historique de la société. La politique de dividende reste inexistante depuis 2017 en raison de pertes cumulées de 689,86 millions FCFA (2023) devant être apurées conformément à l'Acte Uniforme OHADA, privant les actionnaires de tout retour sur investissement. Les risques opérationnels (vols de noix de coco sur les sites de Boulay et Gliké, découverts bancaires multipliés par 14) et la dépendance aux cours mondiaux du coprah pèsent lourdement sur les perspectives. En synthèse, la recommandation fondamentale est de **CONSERVER avec vigilance** : le retour à la profitabilité en 2023 est encourageant, mais la faiblesse des marges, l'absence de dividende et les risques opérationnels persistants limitent le potentiel d'investissement à long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SICC (Partie 0) reste illisible faute de ratios calculables, ce qui empêche toute conclusion sur une éventuelle sous-évaluation et constitue un facteur de risque en soi. Le comportement du cours (Partie 1) est paradoxal : une performance exceptionnelle de +95,35% sur 100 jours, mais une volatilité annualisée de 58,2% et un skewness positif de 0,913 qui révèlent un titre nerveux, sujet à des corrections brutales, avec une liquidité très faible (120 titres/jour). Les signaux techniques (Partie 2) sont majoritairement baissiers à court terme : MACD en croisement baissier, stochastique en surachat avec croisement %K/%D négatif, et cours sous la MM20, malgré une tendance de fond haussière portée par la MM50 — cette divergence suggère une consolidation imminente. Les fondamentaux (Partie 3) demeurent fragiles : retour à la profitabilité en 2023 (+19,25 millions FCFA) mais marge nette de seulement 2,75%, absence de dividende depuis 2017, pertes cumulées de 689,86 millions FCFA et risques opérationnels non résolus. La prédiction IA à J+10 (7 239 FCFA) contredit la dynamique haussière récente et confirme les signaux techniques baissiers, anticipant une correction d'environ 14% depuis le cours actuel de 8 400 FCFA. **Recommandation finale : VENTE** — la convergence entre les signaux techniques baissiers, la prédiction IA négative et la fragilité fondamentale l'emporte sur la performance passée du titre, qui apparaît surévalué à court terme après un rallye de +95%. Le niveau de confiance est **Moyen** (les indicateurs convergent mais la faible liquidité rend les prédictions moins fiables), le risque global est **Élevé** (volatilité de 58,2%, absence de dividende, fondamentaux fragiles), et l'horizon d'investissement recommandé est **court terme** pour une prise de profit, en attendant une consolidation vers des niveaux plus attractifs (7 200-7 400 FCFA) avant tout repositionnement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15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"vendre", "justification": "La soci\u00e9t\u00e9 affiche une perte nette importante et des capitaux propres n\u00e9gatifs, avec une tr\u00e9sorerie n\u00e9gative. La situation financi\u00e8re est tr\u00e8s d\u00e9grad\u00e9e et pr\u00e9sente un risque \u00e9lev\u00e9 pour les investisseurs."}</w:t>
      </w:r>
    </w:p>
    <w:p>
      <w:pPr>
        <w:spacing w:before="40"/>
        <w:ind w:left="400"/>
      </w:pPr>
      <w:r>
        <w:rPr>
          <w:sz w:val="18"/>
        </w:rPr>
        <w:t>SICOR a réalisé un chiffre d'affaires de 1 936 644 069 FCFA en 2016, en hausse par rapport à 1 753 708 684 FCFA en 2015. Malgré cette croissance, la société a enregistré une perte nette de 348 996 972 FCFA en 2016, contre un bénéfice de 200 831 393 FCFA en 2015. La situation financière s'est dégradée avec des capitaux propres négatifs de -2 324 836 575 FCFA et un total bilan de 1 521 953 318 FCFA. La trésorerie est négative à -182 935 385 FCFA, et la capacité d'autofinancement est négative à -216 841 179 FCFA. Les commissaires aux comptes ont certifié les comptes, mais la société fait face à des difficultés financières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'-216 841 179 FCFA', 'tresorerie_actif': '-182 935 385 FCFA', 'resultat_financier': '-35 460 457 FCFA', 'resultat_exploitation': '-198 429 842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-18,02%</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-348 996 972 FCFA</w:t>
            </w:r>
          </w:p>
        </w:tc>
        <w:tc>
          <w:tcPr>
            <w:tcW w:type="dxa" w:w="2160"/>
          </w:tcPr>
          <w:p>
            <w:r/>
            <w:r>
              <w:rPr>
                <w:b/>
                <w:sz w:val="16"/>
              </w:rPr>
              <w:t>capitaux_propres</w:t>
              <w:br/>
            </w:r>
            <w:r>
              <w:rPr>
                <w:sz w:val="18"/>
              </w:rPr>
              <w:t>-2 324 836 575 FCFA</w:t>
            </w:r>
          </w:p>
        </w:tc>
        <w:tc>
          <w:tcPr>
            <w:tcW w:type="dxa" w:w="2160"/>
          </w:tcPr>
          <w:p>
            <w:r/>
            <w:r>
              <w:rPr>
                <w:b/>
                <w:sz w:val="16"/>
              </w:rPr>
              <w:t>chiffre_affaires</w:t>
              <w:br/>
            </w:r>
            <w:r>
              <w:rPr>
                <w:sz w:val="18"/>
              </w:rPr>
              <w:t>1 936 644 069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1 936 644 069 FCFA en 2016.</w:t>
      </w:r>
    </w:p>
    <w:p>
      <w:pPr>
        <w:pStyle w:val="ListBullet"/>
        <w:spacing w:before="20" w:after="20"/>
        <w:ind w:left="700"/>
      </w:pPr>
      <w:r>
        <w:rPr>
          <w:sz w:val="18"/>
        </w:rPr>
        <w:t>Résultat net négatif de -348 996 972 FCFA contre un bénéfice de 200 831 393 FCFA en 2015.</w:t>
      </w:r>
    </w:p>
    <w:p>
      <w:pPr>
        <w:pStyle w:val="ListBullet"/>
        <w:spacing w:before="20" w:after="20"/>
        <w:ind w:left="700"/>
      </w:pPr>
      <w:r>
        <w:rPr>
          <w:sz w:val="18"/>
        </w:rPr>
        <w:t>Capitaux propres négatifs de -2 324 836 575 FCFA.</w:t>
      </w:r>
    </w:p>
    <w:p>
      <w:pPr>
        <w:pStyle w:val="ListBullet"/>
        <w:spacing w:before="20" w:after="20"/>
        <w:ind w:left="700"/>
      </w:pPr>
      <w:r>
        <w:rPr>
          <w:sz w:val="18"/>
        </w:rPr>
        <w:t>Total bilan de 1 521 953 318 FCFA en 2016 contre 3 576 424 374 FCFA en 2015.</w:t>
      </w:r>
    </w:p>
    <w:p>
      <w:pPr>
        <w:pStyle w:val="ListBullet"/>
        <w:spacing w:before="20" w:after="20"/>
        <w:ind w:left="700"/>
      </w:pPr>
      <w:r>
        <w:rPr>
          <w:sz w:val="18"/>
        </w:rPr>
        <w:t>Trésorerie négative de -182 935 385 FCFA.</w:t>
      </w:r>
    </w:p>
    <w:p>
      <w:pPr>
        <w:pStyle w:val="ListBullet"/>
        <w:spacing w:before="20" w:after="20"/>
        <w:ind w:left="700"/>
      </w:pPr>
      <w:r>
        <w:rPr>
          <w:sz w:val="18"/>
        </w:rPr>
        <w:t>Capacité d'autofinancement négative de -216 841 179 FCFA.</w:t>
      </w:r>
    </w:p>
    <w:p>
      <w:pPr>
        <w:spacing w:before="40"/>
        <w:ind w:left="400"/>
      </w:pPr>
      <w:r>
        <w:rPr>
          <w:b/>
          <w:color w:val="C05000"/>
          <w:sz w:val="18"/>
        </w:rPr>
        <w:t xml:space="preserve">⚠️ Risques : </w:t>
      </w:r>
      <w:r>
        <w:rPr>
          <w:sz w:val="18"/>
        </w:rPr>
        <w:t>["Risque de faillite ou de liquidation en raison de capitaux propres n\u00e9gatifs.", "Risque de liquidit\u00e9 avec une tr\u00e9sorerie n\u00e9gative et une capacit\u00e9 d'autofinancement n\u00e9gative.", "Risque op\u00e9rationnel avec une perte nette malgr\u00e9 la croissance du chiffre d'affaire</w:t>
      </w:r>
    </w:p>
    <w:p>
      <w:pPr>
        <w:spacing w:before="40"/>
        <w:ind w:left="400"/>
      </w:pPr>
      <w:r>
        <w:rPr>
          <w:b/>
          <w:color w:val="0064A0"/>
          <w:sz w:val="18"/>
        </w:rPr>
        <w:t xml:space="preserve">🔮 Perspectives : </w:t>
      </w:r>
      <w:r>
        <w:rPr>
          <w:sz w:val="18"/>
        </w:rPr>
        <w:t>Les perspectives pour 2017 sont incertaines. La société doit restaurer sa rentabilité et sa structure financière pour éviter la cessation de paiement. Une recapitalisation ou une restructuration pourrait être nécessaire.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
      <w:r>
        <w:t>════════════════════════════════════════════════════════════════════════════════</w:t>
      </w:r>
    </w:p>
    <w:p>
      <w:r>
        <w:br w:type="page"/>
      </w:r>
    </w:p>
    <w:p>
      <w:pPr>
        <w:pStyle w:val="Heading2"/>
        <w:spacing w:before="360"/>
      </w:pPr>
      <w:r>
        <w:rPr>
          <w:color w:val="0066CC"/>
        </w:rPr>
        <w:t>37.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17.47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5,656 titres</w:t>
            </w:r>
          </w:p>
        </w:tc>
        <w:tc>
          <w:tcPr>
            <w:tcW w:type="dxa" w:w="2268"/>
            <w:shd w:fill="FFF2CC" w:val="clear"/>
          </w:tcPr>
          <w:p>
            <w:r>
              <w:rPr>
                <w:b/>
                <w:color w:val="503200"/>
                <w:sz w:val="16"/>
              </w:rPr>
              <w:t xml:space="preserve">Cours actuel : </w:t>
            </w:r>
            <w:r>
              <w:rPr>
                <w:color w:val="000000"/>
                <w:sz w:val="17"/>
              </w:rPr>
              <w:t>2,000 FCFA</w:t>
            </w:r>
          </w:p>
          <w:p>
            <w:r>
              <w:rPr>
                <w:b/>
                <w:color w:val="503200"/>
                <w:sz w:val="16"/>
              </w:rPr>
              <w:t xml:space="preserve">Var. 100 jours : </w:t>
            </w:r>
            <w:r>
              <w:rPr>
                <w:b/>
                <w:color w:val="B40000"/>
                <w:sz w:val="17"/>
              </w:rPr>
              <w:t>-26.47%</w:t>
            </w:r>
          </w:p>
          <w:p>
            <w:r>
              <w:rPr>
                <w:b/>
                <w:color w:val="503200"/>
                <w:sz w:val="16"/>
              </w:rPr>
              <w:t xml:space="preserve">Plus haut 100j : </w:t>
            </w:r>
            <w:r>
              <w:rPr>
                <w:color w:val="000000"/>
                <w:sz w:val="17"/>
              </w:rPr>
              <w:t>2,875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11.43% (Moyenne) — μ=2,463 FCFA, σ=282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β=0.4780 (Défensif) — Cov=0.000032, Var(idx)=0.000068, ρ=0.120,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5,656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σ_j=3.27%/j (Modérée) — Vol. annualisée≈51.8%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1,915</w:t>
            </w:r>
          </w:p>
        </w:tc>
        <w:tc>
          <w:tcPr>
            <w:tcW w:type="dxa" w:w="1440"/>
            <w:shd w:fill="FAFAFA" w:val="clear"/>
          </w:tcPr>
          <w:p>
            <w:r>
              <w:rPr>
                <w:b/>
                <w:sz w:val="17"/>
              </w:rPr>
              <w:t>1,997</w:t>
            </w:r>
          </w:p>
        </w:tc>
        <w:tc>
          <w:tcPr>
            <w:tcW w:type="dxa" w:w="1440"/>
            <w:shd w:fill="FAFAFA" w:val="clear"/>
          </w:tcPr>
          <w:p>
            <w:r>
              <w:rPr>
                <w:sz w:val="17"/>
              </w:rPr>
              <w:t>2,079</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1,872</w:t>
            </w:r>
          </w:p>
        </w:tc>
        <w:tc>
          <w:tcPr>
            <w:tcW w:type="dxa" w:w="1440"/>
            <w:shd w:fill="FAFAFA" w:val="clear"/>
          </w:tcPr>
          <w:p>
            <w:r>
              <w:rPr>
                <w:b/>
                <w:sz w:val="17"/>
              </w:rPr>
              <w:t>1,986</w:t>
            </w:r>
          </w:p>
        </w:tc>
        <w:tc>
          <w:tcPr>
            <w:tcW w:type="dxa" w:w="1440"/>
            <w:shd w:fill="FAFAFA" w:val="clear"/>
          </w:tcPr>
          <w:p>
            <w:r>
              <w:rPr>
                <w:sz w:val="17"/>
              </w:rPr>
              <w:t>2,101</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1,837</w:t>
            </w:r>
          </w:p>
        </w:tc>
        <w:tc>
          <w:tcPr>
            <w:tcW w:type="dxa" w:w="1440"/>
            <w:shd w:fill="FAFAFA" w:val="clear"/>
          </w:tcPr>
          <w:p>
            <w:r>
              <w:rPr>
                <w:b/>
                <w:sz w:val="17"/>
              </w:rPr>
              <w:t>1,977</w:t>
            </w:r>
          </w:p>
        </w:tc>
        <w:tc>
          <w:tcPr>
            <w:tcW w:type="dxa" w:w="1440"/>
            <w:shd w:fill="FAFAFA" w:val="clear"/>
          </w:tcPr>
          <w:p>
            <w:r>
              <w:rPr>
                <w:sz w:val="17"/>
              </w:rPr>
              <w:t>2,117</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1,807</w:t>
            </w:r>
          </w:p>
        </w:tc>
        <w:tc>
          <w:tcPr>
            <w:tcW w:type="dxa" w:w="1440"/>
            <w:shd w:fill="FAFAFA" w:val="clear"/>
          </w:tcPr>
          <w:p>
            <w:r>
              <w:rPr>
                <w:b/>
                <w:sz w:val="17"/>
              </w:rPr>
              <w:t>1,968</w:t>
            </w:r>
          </w:p>
        </w:tc>
        <w:tc>
          <w:tcPr>
            <w:tcW w:type="dxa" w:w="1440"/>
            <w:shd w:fill="FAFAFA" w:val="clear"/>
          </w:tcPr>
          <w:p>
            <w:r>
              <w:rPr>
                <w:sz w:val="17"/>
              </w:rPr>
              <w:t>2,129</w:t>
            </w:r>
          </w:p>
        </w:tc>
        <w:tc>
          <w:tcPr>
            <w:tcW w:type="dxa" w:w="1440"/>
            <w:shd w:fill="FAFAFA" w:val="clear"/>
          </w:tcPr>
          <w:p>
            <w:r>
              <w:rPr>
                <w:b/>
                <w:color w:val="C00000"/>
                <w:sz w:val="17"/>
              </w:rPr>
              <w:t>-1.6%</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1,780</w:t>
            </w:r>
          </w:p>
        </w:tc>
        <w:tc>
          <w:tcPr>
            <w:tcW w:type="dxa" w:w="1440"/>
            <w:shd w:fill="FFDCE0" w:val="clear"/>
          </w:tcPr>
          <w:p>
            <w:r>
              <w:rPr>
                <w:b/>
                <w:sz w:val="17"/>
              </w:rPr>
              <w:t>1,959</w:t>
            </w:r>
          </w:p>
        </w:tc>
        <w:tc>
          <w:tcPr>
            <w:tcW w:type="dxa" w:w="1440"/>
            <w:shd w:fill="FFDCE0" w:val="clear"/>
          </w:tcPr>
          <w:p>
            <w:r>
              <w:rPr>
                <w:sz w:val="17"/>
              </w:rPr>
              <w:t>2,138</w:t>
            </w:r>
          </w:p>
        </w:tc>
        <w:tc>
          <w:tcPr>
            <w:tcW w:type="dxa" w:w="1440"/>
            <w:shd w:fill="FFDCE0"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1,755</w:t>
            </w:r>
          </w:p>
        </w:tc>
        <w:tc>
          <w:tcPr>
            <w:tcW w:type="dxa" w:w="1440"/>
            <w:shd w:fill="FFDCE0" w:val="clear"/>
          </w:tcPr>
          <w:p>
            <w:r>
              <w:rPr>
                <w:b/>
                <w:sz w:val="17"/>
              </w:rPr>
              <w:t>1,950</w:t>
            </w:r>
          </w:p>
        </w:tc>
        <w:tc>
          <w:tcPr>
            <w:tcW w:type="dxa" w:w="1440"/>
            <w:shd w:fill="FFDCE0" w:val="clear"/>
          </w:tcPr>
          <w:p>
            <w:r>
              <w:rPr>
                <w:sz w:val="17"/>
              </w:rPr>
              <w:t>2,146</w:t>
            </w:r>
          </w:p>
        </w:tc>
        <w:tc>
          <w:tcPr>
            <w:tcW w:type="dxa" w:w="1440"/>
            <w:shd w:fill="FFDCE0" w:val="clear"/>
          </w:tcPr>
          <w:p>
            <w:r>
              <w:rPr>
                <w:b/>
                <w:color w:val="C00000"/>
                <w:sz w:val="17"/>
              </w:rPr>
              <w:t>-2.5%</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1,732</w:t>
            </w:r>
          </w:p>
        </w:tc>
        <w:tc>
          <w:tcPr>
            <w:tcW w:type="dxa" w:w="1440"/>
            <w:shd w:fill="FFDCE0" w:val="clear"/>
          </w:tcPr>
          <w:p>
            <w:r>
              <w:rPr>
                <w:b/>
                <w:sz w:val="17"/>
              </w:rPr>
              <w:t>1,942</w:t>
            </w:r>
          </w:p>
        </w:tc>
        <w:tc>
          <w:tcPr>
            <w:tcW w:type="dxa" w:w="1440"/>
            <w:shd w:fill="FFDCE0" w:val="clear"/>
          </w:tcPr>
          <w:p>
            <w:r>
              <w:rPr>
                <w:sz w:val="17"/>
              </w:rPr>
              <w:t>2,152</w:t>
            </w:r>
          </w:p>
        </w:tc>
        <w:tc>
          <w:tcPr>
            <w:tcW w:type="dxa" w:w="1440"/>
            <w:shd w:fill="FFDCE0" w:val="clear"/>
          </w:tcPr>
          <w:p>
            <w:r>
              <w:rPr>
                <w:b/>
                <w:color w:val="C00000"/>
                <w:sz w:val="17"/>
              </w:rPr>
              <w:t>-2.9%</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1,710</w:t>
            </w:r>
          </w:p>
        </w:tc>
        <w:tc>
          <w:tcPr>
            <w:tcW w:type="dxa" w:w="1440"/>
            <w:shd w:fill="FFDCE0" w:val="clear"/>
          </w:tcPr>
          <w:p>
            <w:r>
              <w:rPr>
                <w:b/>
                <w:sz w:val="17"/>
              </w:rPr>
              <w:t>1,934</w:t>
            </w:r>
          </w:p>
        </w:tc>
        <w:tc>
          <w:tcPr>
            <w:tcW w:type="dxa" w:w="1440"/>
            <w:shd w:fill="FFDCE0" w:val="clear"/>
          </w:tcPr>
          <w:p>
            <w:r>
              <w:rPr>
                <w:sz w:val="17"/>
              </w:rPr>
              <w:t>2,157</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1,689</w:t>
            </w:r>
          </w:p>
        </w:tc>
        <w:tc>
          <w:tcPr>
            <w:tcW w:type="dxa" w:w="1440"/>
            <w:shd w:fill="FFDCE0" w:val="clear"/>
          </w:tcPr>
          <w:p>
            <w:r>
              <w:rPr>
                <w:b/>
                <w:sz w:val="17"/>
              </w:rPr>
              <w:t>1,925</w:t>
            </w:r>
          </w:p>
        </w:tc>
        <w:tc>
          <w:tcPr>
            <w:tcW w:type="dxa" w:w="1440"/>
            <w:shd w:fill="FFDCE0" w:val="clear"/>
          </w:tcPr>
          <w:p>
            <w:r>
              <w:rPr>
                <w:sz w:val="17"/>
              </w:rPr>
              <w:t>2,162</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1,669</w:t>
            </w:r>
          </w:p>
        </w:tc>
        <w:tc>
          <w:tcPr>
            <w:tcW w:type="dxa" w:w="1440"/>
            <w:shd w:fill="FFDCE0" w:val="clear"/>
          </w:tcPr>
          <w:p>
            <w:r>
              <w:rPr>
                <w:b/>
                <w:sz w:val="17"/>
              </w:rPr>
              <w:t>1,917</w:t>
            </w:r>
          </w:p>
        </w:tc>
        <w:tc>
          <w:tcPr>
            <w:tcW w:type="dxa" w:w="1440"/>
            <w:shd w:fill="FFDCE0" w:val="clear"/>
          </w:tcPr>
          <w:p>
            <w:r>
              <w:rPr>
                <w:sz w:val="17"/>
              </w:rPr>
              <w:t>2,165</w:t>
            </w:r>
          </w:p>
        </w:tc>
        <w:tc>
          <w:tcPr>
            <w:tcW w:type="dxa" w:w="1440"/>
            <w:shd w:fill="FFDCE0" w:val="clear"/>
          </w:tcPr>
          <w:p>
            <w:r>
              <w:rPr>
                <w:b/>
                <w:color w:val="C00000"/>
                <w:sz w:val="17"/>
              </w:rPr>
              <w:t>-4.1%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**RAPPORT D'ANALYSE FINANCIÈRE — SIVC / ERIUM COTE D'IVOIRE (BRVM)**</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17,47 milliards FCFA, un niveau modeste à l'échelle de la BRVM qui la classe parmi les petites capitalisations régionales. Le BPA de 43 FCFA/action signifie que chaque titre génère 43 FCFA de bénéfice net, un niveau faible au regard du cours de 2 000 FCFA. Le PER de 46,3x traduit une valorisation très exigeante, largement supérieure à la moyenne BRVM (8-12x), les investisseurs payant près de 46 fois les bénéfices pour ce titre. Le P/B de 5,34x indique que le marché valorise la société à plus de cinq fois sa valeur comptable, soit une prime substantielle rarement justifiée pour une entreprise en phase de dégradation de ses marges. Enfin, l'EV/EBITDA de 15,1x confirme cette cherté en comparant la valeur d'entreprise à la capacité opérationnelle, un multiple supérieur à 15x étant considéré comme très exigeant, ce qui suggère une surévaluation manifeste.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SIVC a enregistré une baisse spectaculaire de -26,47%, avec une dernière séance stable à +0,00%, le cours clôturant à 2 000 FCFA. Le range de trading s'étend du plus haut de 2 875 FCFA au plus bas de 1 920 FCFA, soit une amplitude de près de 50%, témoignant d'une forte pression vendeuse et d'une tendance clairement baissière. La moyenne (2 463 FCFA) est supérieure à la médiane (2 398 FCFA), indiquant une légère asymétrie positive due aux niveaux élevés du début de période, tandis que le mode à 2 000 FCFA correspond au cours actuel, suggérant un palier de stabilisation. L'écart-type de 283 FCFA avec un coefficient de variation de 11,5% révèle une dispersion modérée du cours autour de sa moyenne. Le kurtosis de -1,222 (distribution platykurtique) indique une faible concentration des rendements et un risque de pics moins prononcé, tandis que le skewness de 0,136 confirme une distribution quasi-symétrique sans biais directionnel marqué. La volatilité annualisée de 51,8% positionne ce titre dans la catégorie des valeurs très volatiles (&gt;30%), ce qui implique un risque de perte en capital significatif pour l'investisseur.</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(2 231 FCFA) et la MM50 (2 268 FCFA) se situent toutes deux au-dessus du cours actuel (2 000 FCFA), confirmant une configuration baissière où le prix évolue sous ses moyennes. La MM20 étant légèrement en dessous de la MM50, on note une absence de croisement haussier, et la décision technique est logiquement **Vente**, le titre n'ayant pas encore trouvé de support durable.</w:t>
      </w:r>
    </w:p>
    <w:p>
      <w:pPr>
        <w:spacing w:after="120" w:line="276" w:lineRule="auto"/>
      </w:pPr>
      <w:r>
        <w:t>**Bandes de Bollinger** : Le cours actuel (2 000 FCFA) se situe dans la moitié inférieure de la bande, proche de la borne inférieure (1 919,54 FCFA) et loin de la borne supérieure (2 542,46 FCFA). Cette position reflète une pression baissière persistante, mais la décision est **Neutre** car le cours n'a pas encore cassé la borne inférieure, suggérant un possible rebond technique à court terme.</w:t>
      </w:r>
    </w:p>
    <w:p>
      <w:pPr>
        <w:spacing w:after="120" w:line="276" w:lineRule="auto"/>
      </w:pPr>
      <w:r>
        <w:t>**MACD** : La valeur du MACD (-86,218) est inférieure à son signal (-55,69), avec un histogramme négatif, confirmant un momentum baissier toujours actif. La divergence entre les deux lignes reste défavorable, et la décision est **Vente**, le croisement n'ayant pas encore eu lieu pour inverser la tendance.</w:t>
      </w:r>
    </w:p>
    <w:p>
      <w:pPr>
        <w:spacing w:after="120" w:line="276" w:lineRule="auto"/>
      </w:pPr>
      <w:r>
        <w:t>**RSI** : À 28,662, le RSI se situe en zone de survente (&lt;30), ce qui indique que le titre a été massivement vendu et pourrait être proche d'un point de retournement. La décision est **Achat**, car historiquement un RSI aussi bas précède souvent un rebond technique, bien que la tendance de fond reste baissière.</w:t>
      </w:r>
    </w:p>
    <w:p>
      <w:pPr>
        <w:spacing w:after="120" w:line="276" w:lineRule="auto"/>
      </w:pPr>
      <w:r>
        <w:t>**Stochastique** : Le %K (0,0) et le %D (7,5) sont tous deux en zone extrême de survente, avec un %K au plus bas absolu, signalant un épuisement total de la pression vendeuse à court terme. La décision est **Achat**, le croisement éventuel du %K au-dessus du %D pouvant déclencher un rebond.</w:t>
      </w:r>
    </w:p>
    <w:p>
      <w:pPr>
        <w:spacing w:after="120" w:line="276" w:lineRule="auto"/>
      </w:pPr>
      <w:r>
        <w:t>**Conclusion technique** : Les indicateurs de tendance (MM, MACD) restent majoritairement baissiers, tandis que les oscillateurs (RSI, Stochastique) affichent des signaux d'achat en zone de survente. Cette divergence suggère un possible rebond technique à court terme, mais la tendance de fond demeure fragile tant que le cours reste sous ses moyennes mobiles. La prudence est de mise, un rebond ne signifiant pas un retournement durable.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2024 (secteur banque) révèlent un PNB de 9,283 milliards FCFA, un résultat net de 376,96 millions FCFA, un ROE de 11,52% et un ROA de 2,69%. Le coefficient d'exploitation s'élève à 95,83%, très au-dessus du seuil de 60% considéré comme efficace pour une banque, ce qui traduit une structure de coûts excessivement lourde. Le coût du risque (3,10%) reste contenu, mais la marge nette de 4,06% demeure faible. Le rapport annuel 2025 (analysé le 29/06/2026) indique un chiffre d'affaires de 10,074 milliards FCFA (+8,53%), mais un résultat net en chute de -52,4% à 179,29 millions FCFA, avec une marge nette divisée par deux à 1,78%. Le rapport du S1 2025 (30/06/2025) faisait état d'un CA de 4,897 milliards FCFA (+8,8%) et d'un résultat net de 512,9 millions FCFA (+4,6%), tandis que le rapport du T3 2025 (date inconnue) affichait un CA cumulé de 7,584 milliards FCFA (+13%) et un résultat net de 832,5 millions FCFA (+58%). On estime donc que l'exercice 2025 devrait clôturer avec un résultat net nettement inférieur à celui de 2024, la dégradation du second semestre ayant été brutale. Le changement de dénomination sociale (Air Liquide CI → Erium CI) et la cession totale de la participation d'Air Liquide International à ERIUM LTD (6 295 350 actions à 230 FCFA le 21/11/2025) constituent des événements majeurs affectant la gouvernance et la confiance des investisseurs. La trésorerie nette reste négative (-1,66 milliard FCFA en 2025 contre -2,14 milliards en 2024), et l'endettement financier a fortement augmenté à 4,164 milliards FCFA. La recommandation fondamentale est **CONSERVER avec surveillance**, la croissance du CA ne compensant pas l'effondrement de la rentabilité et la fragilité de la structure financière.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manifestement surévaluée avec un PER de 46,3x, un P/B de 5,34x et un EV/EBITDA de 15,1x, des multiples sans commune mesure avec les moyennes du marché et les fondamentaux dégradés. Le comportement du cours (Partie 1) est préoccupant : -26,47% sur 100 jours, une volatilité annualisée de 51,8%, et une distribution platykurtique sans pics marqués, mais une tendance baissière solidement installée. Les signaux techniques (Partie 2) sont divergents : les indicateurs de tendance (MM, MACD) restent baissiers, tandis que les oscillateurs (RSI à 28,7, Stochastique à 0) signalent une survente extrême pouvant générer un rebond technique éphémère. Les fondamentaux (Partie 3) sont mitigés : croissance du CA de +8,5% en 2025, mais effondrement du résultat net de -52,4% à 179,3 millions FCFA, marge nette à 1,78%, trésorerie nette négative et endettement en hausse, le tout dans un contexte de changement d'actionnaire majoritaire. Les prédictions IA (J+1 à J+10) anticipent une poursuite de la baisse de 2 000 FCFA à 1 959 FCFA, confirmant la pression baissière persistante. Sur la base de cette synthèse globale, la recommandation finale est **VENTE**, justifiée par la convergence entre une valorisation excessive, une tendance baissière confirmée, des fondamentaux en dégradation et des prédictions baissières. Le niveau de confiance est **Moyen** (les oscillateurs en survente pouvant provoquer un rebond technique imprévisible) et le niveau de risque global est **Élevé**. L'horizon d'investissement optimal est **court terme** (&lt;3 mois) pour les traders cherchant à profiter d'un éventuel rebond technique, mais **à éviter** pour les investisseurs long terme en raison de la fragilité financière et de l'incertitude stratégique.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38.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1,372 titres</w:t>
            </w:r>
          </w:p>
        </w:tc>
        <w:tc>
          <w:tcPr>
            <w:tcW w:type="dxa" w:w="2268"/>
            <w:shd w:fill="FFF2CC" w:val="clear"/>
          </w:tcPr>
          <w:p>
            <w:r>
              <w:rPr>
                <w:b/>
                <w:color w:val="503200"/>
                <w:sz w:val="16"/>
              </w:rPr>
              <w:t xml:space="preserve">Cours actuel : </w:t>
            </w:r>
            <w:r>
              <w:rPr>
                <w:color w:val="000000"/>
                <w:sz w:val="17"/>
              </w:rPr>
              <w:t>37,800 FCFA</w:t>
            </w:r>
          </w:p>
          <w:p>
            <w:r>
              <w:rPr>
                <w:b/>
                <w:color w:val="503200"/>
                <w:sz w:val="16"/>
              </w:rPr>
              <w:t xml:space="preserve">Var. 100 jours : </w:t>
            </w:r>
            <w:r>
              <w:rPr>
                <w:b/>
                <w:color w:val="007800"/>
                <w:sz w:val="17"/>
              </w:rPr>
              <w:t>+2.02%</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36,900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2.22% (Faible) — μ=38,276 FCFA, σ=852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β=0.0661 (Défensif) — Cov=0.000004, Var(idx)=0.000068, ρ=0.035,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1,372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37,857</w:t>
            </w:r>
          </w:p>
        </w:tc>
        <w:tc>
          <w:tcPr>
            <w:tcW w:type="dxa" w:w="1440"/>
            <w:shd w:fill="FAFAFA" w:val="clear"/>
          </w:tcPr>
          <w:p>
            <w:r>
              <w:rPr>
                <w:b/>
                <w:sz w:val="17"/>
              </w:rPr>
              <w:t>38,498</w:t>
            </w:r>
          </w:p>
        </w:tc>
        <w:tc>
          <w:tcPr>
            <w:tcW w:type="dxa" w:w="1440"/>
            <w:shd w:fill="FAFAFA" w:val="clear"/>
          </w:tcPr>
          <w:p>
            <w:r>
              <w:rPr>
                <w:sz w:val="17"/>
              </w:rPr>
              <w:t>39,139</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2026-09-30</w:t>
            </w:r>
          </w:p>
        </w:tc>
        <w:tc>
          <w:tcPr>
            <w:tcW w:type="dxa" w:w="1440"/>
            <w:shd w:fill="C6EFCE" w:val="clear"/>
          </w:tcPr>
          <w:p>
            <w:r>
              <w:rPr>
                <w:sz w:val="17"/>
              </w:rPr>
              <w:t>37,850</w:t>
            </w:r>
          </w:p>
        </w:tc>
        <w:tc>
          <w:tcPr>
            <w:tcW w:type="dxa" w:w="1440"/>
            <w:shd w:fill="C6EFCE" w:val="clear"/>
          </w:tcPr>
          <w:p>
            <w:r>
              <w:rPr>
                <w:b/>
                <w:sz w:val="17"/>
              </w:rPr>
              <w:t>38,763</w:t>
            </w:r>
          </w:p>
        </w:tc>
        <w:tc>
          <w:tcPr>
            <w:tcW w:type="dxa" w:w="1440"/>
            <w:shd w:fill="C6EFCE" w:val="clear"/>
          </w:tcPr>
          <w:p>
            <w:r>
              <w:rPr>
                <w:sz w:val="17"/>
              </w:rPr>
              <w:t>39,675</w:t>
            </w:r>
          </w:p>
        </w:tc>
        <w:tc>
          <w:tcPr>
            <w:tcW w:type="dxa" w:w="1440"/>
            <w:shd w:fill="C6EFCE" w:val="clear"/>
          </w:tcPr>
          <w:p>
            <w:r>
              <w:rPr>
                <w:b/>
                <w:color w:val="008000"/>
                <w:sz w:val="17"/>
              </w:rPr>
              <w:t>+2.5%</w:t>
            </w:r>
          </w:p>
        </w:tc>
      </w:tr>
      <w:tr>
        <w:tc>
          <w:tcPr>
            <w:tcW w:type="dxa" w:w="1440"/>
            <w:shd w:fill="C6EFCE" w:val="clear"/>
          </w:tcPr>
          <w:p>
            <w:r>
              <w:rPr>
                <w:sz w:val="17"/>
              </w:rPr>
              <w:t>J+3  ⭐⭐⭐</w:t>
            </w:r>
          </w:p>
        </w:tc>
        <w:tc>
          <w:tcPr>
            <w:tcW w:type="dxa" w:w="1440"/>
            <w:shd w:fill="C6EFCE" w:val="clear"/>
          </w:tcPr>
          <w:p>
            <w:r>
              <w:rPr>
                <w:sz w:val="17"/>
              </w:rPr>
              <w:t>2026-10-01</w:t>
            </w:r>
          </w:p>
        </w:tc>
        <w:tc>
          <w:tcPr>
            <w:tcW w:type="dxa" w:w="1440"/>
            <w:shd w:fill="C6EFCE" w:val="clear"/>
          </w:tcPr>
          <w:p>
            <w:r>
              <w:rPr>
                <w:sz w:val="17"/>
              </w:rPr>
              <w:t>37,970</w:t>
            </w:r>
          </w:p>
        </w:tc>
        <w:tc>
          <w:tcPr>
            <w:tcW w:type="dxa" w:w="1440"/>
            <w:shd w:fill="C6EFCE" w:val="clear"/>
          </w:tcPr>
          <w:p>
            <w:r>
              <w:rPr>
                <w:b/>
                <w:sz w:val="17"/>
              </w:rPr>
              <w:t>39,097</w:t>
            </w:r>
          </w:p>
        </w:tc>
        <w:tc>
          <w:tcPr>
            <w:tcW w:type="dxa" w:w="1440"/>
            <w:shd w:fill="C6EFCE" w:val="clear"/>
          </w:tcPr>
          <w:p>
            <w:r>
              <w:rPr>
                <w:sz w:val="17"/>
              </w:rPr>
              <w:t>40,225</w:t>
            </w:r>
          </w:p>
        </w:tc>
        <w:tc>
          <w:tcPr>
            <w:tcW w:type="dxa" w:w="1440"/>
            <w:shd w:fill="C6EFCE" w:val="clear"/>
          </w:tcPr>
          <w:p>
            <w:r>
              <w:rPr>
                <w:b/>
                <w:color w:val="008000"/>
                <w:sz w:val="17"/>
              </w:rPr>
              <w:t>+3.4%</w:t>
            </w:r>
          </w:p>
        </w:tc>
      </w:tr>
      <w:tr>
        <w:tc>
          <w:tcPr>
            <w:tcW w:type="dxa" w:w="1440"/>
            <w:shd w:fill="C6EFCE" w:val="clear"/>
          </w:tcPr>
          <w:p>
            <w:r>
              <w:rPr>
                <w:sz w:val="17"/>
              </w:rPr>
              <w:t>J+4  Moyenne</w:t>
            </w:r>
          </w:p>
        </w:tc>
        <w:tc>
          <w:tcPr>
            <w:tcW w:type="dxa" w:w="1440"/>
            <w:shd w:fill="C6EFCE" w:val="clear"/>
          </w:tcPr>
          <w:p>
            <w:r>
              <w:rPr>
                <w:sz w:val="17"/>
              </w:rPr>
              <w:t>2026-10-02</w:t>
            </w:r>
          </w:p>
        </w:tc>
        <w:tc>
          <w:tcPr>
            <w:tcW w:type="dxa" w:w="1440"/>
            <w:shd w:fill="C6EFCE" w:val="clear"/>
          </w:tcPr>
          <w:p>
            <w:r>
              <w:rPr>
                <w:sz w:val="17"/>
              </w:rPr>
              <w:t>38,125</w:t>
            </w:r>
          </w:p>
        </w:tc>
        <w:tc>
          <w:tcPr>
            <w:tcW w:type="dxa" w:w="1440"/>
            <w:shd w:fill="C6EFCE" w:val="clear"/>
          </w:tcPr>
          <w:p>
            <w:r>
              <w:rPr>
                <w:b/>
                <w:sz w:val="17"/>
              </w:rPr>
              <w:t>39,438</w:t>
            </w:r>
          </w:p>
        </w:tc>
        <w:tc>
          <w:tcPr>
            <w:tcW w:type="dxa" w:w="1440"/>
            <w:shd w:fill="C6EFCE" w:val="clear"/>
          </w:tcPr>
          <w:p>
            <w:r>
              <w:rPr>
                <w:sz w:val="17"/>
              </w:rPr>
              <w:t>40,752</w:t>
            </w:r>
          </w:p>
        </w:tc>
        <w:tc>
          <w:tcPr>
            <w:tcW w:type="dxa" w:w="1440"/>
            <w:shd w:fill="C6EFCE" w:val="clear"/>
          </w:tcPr>
          <w:p>
            <w:r>
              <w:rPr>
                <w:b/>
                <w:color w:val="008000"/>
                <w:sz w:val="17"/>
              </w:rPr>
              <w:t>+4.3%</w:t>
            </w:r>
          </w:p>
        </w:tc>
      </w:tr>
      <w:tr>
        <w:tc>
          <w:tcPr>
            <w:tcW w:type="dxa" w:w="1440"/>
            <w:shd w:fill="C6EFCE" w:val="clear"/>
          </w:tcPr>
          <w:p>
            <w:r>
              <w:rPr>
                <w:sz w:val="17"/>
              </w:rPr>
              <w:t>J+5  Moyenne</w:t>
            </w:r>
          </w:p>
        </w:tc>
        <w:tc>
          <w:tcPr>
            <w:tcW w:type="dxa" w:w="1440"/>
            <w:shd w:fill="C6EFCE" w:val="clear"/>
          </w:tcPr>
          <w:p>
            <w:r>
              <w:rPr>
                <w:sz w:val="17"/>
              </w:rPr>
              <w:t>2026-10-05</w:t>
            </w:r>
          </w:p>
        </w:tc>
        <w:tc>
          <w:tcPr>
            <w:tcW w:type="dxa" w:w="1440"/>
            <w:shd w:fill="C6EFCE" w:val="clear"/>
          </w:tcPr>
          <w:p>
            <w:r>
              <w:rPr>
                <w:sz w:val="17"/>
              </w:rPr>
              <w:t>38,291</w:t>
            </w:r>
          </w:p>
        </w:tc>
        <w:tc>
          <w:tcPr>
            <w:tcW w:type="dxa" w:w="1440"/>
            <w:shd w:fill="C6EFCE" w:val="clear"/>
          </w:tcPr>
          <w:p>
            <w:r>
              <w:rPr>
                <w:b/>
                <w:sz w:val="17"/>
              </w:rPr>
              <w:t>39,772</w:t>
            </w:r>
          </w:p>
        </w:tc>
        <w:tc>
          <w:tcPr>
            <w:tcW w:type="dxa" w:w="1440"/>
            <w:shd w:fill="C6EFCE" w:val="clear"/>
          </w:tcPr>
          <w:p>
            <w:r>
              <w:rPr>
                <w:sz w:val="17"/>
              </w:rPr>
              <w:t>41,253</w:t>
            </w:r>
          </w:p>
        </w:tc>
        <w:tc>
          <w:tcPr>
            <w:tcW w:type="dxa" w:w="1440"/>
            <w:shd w:fill="C6EFCE" w:val="clear"/>
          </w:tcPr>
          <w:p>
            <w:r>
              <w:rPr>
                <w:b/>
                <w:color w:val="008000"/>
                <w:sz w:val="17"/>
              </w:rPr>
              <w:t>+5.2%</w:t>
            </w:r>
          </w:p>
        </w:tc>
      </w:tr>
      <w:tr>
        <w:tc>
          <w:tcPr>
            <w:tcW w:type="dxa" w:w="1440"/>
            <w:shd w:fill="C6EFCE" w:val="clear"/>
          </w:tcPr>
          <w:p>
            <w:r>
              <w:rPr>
                <w:sz w:val="17"/>
              </w:rPr>
              <w:t>J+6  Moyenne</w:t>
            </w:r>
          </w:p>
        </w:tc>
        <w:tc>
          <w:tcPr>
            <w:tcW w:type="dxa" w:w="1440"/>
            <w:shd w:fill="C6EFCE" w:val="clear"/>
          </w:tcPr>
          <w:p>
            <w:r>
              <w:rPr>
                <w:sz w:val="17"/>
              </w:rPr>
              <w:t>2026-10-06</w:t>
            </w:r>
          </w:p>
        </w:tc>
        <w:tc>
          <w:tcPr>
            <w:tcW w:type="dxa" w:w="1440"/>
            <w:shd w:fill="C6EFCE" w:val="clear"/>
          </w:tcPr>
          <w:p>
            <w:r>
              <w:rPr>
                <w:sz w:val="17"/>
              </w:rPr>
              <w:t>38,462</w:t>
            </w:r>
          </w:p>
        </w:tc>
        <w:tc>
          <w:tcPr>
            <w:tcW w:type="dxa" w:w="1440"/>
            <w:shd w:fill="C6EFCE" w:val="clear"/>
          </w:tcPr>
          <w:p>
            <w:r>
              <w:rPr>
                <w:b/>
                <w:sz w:val="17"/>
              </w:rPr>
              <w:t>40,098</w:t>
            </w:r>
          </w:p>
        </w:tc>
        <w:tc>
          <w:tcPr>
            <w:tcW w:type="dxa" w:w="1440"/>
            <w:shd w:fill="C6EFCE" w:val="clear"/>
          </w:tcPr>
          <w:p>
            <w:r>
              <w:rPr>
                <w:sz w:val="17"/>
              </w:rPr>
              <w:t>41,734</w:t>
            </w:r>
          </w:p>
        </w:tc>
        <w:tc>
          <w:tcPr>
            <w:tcW w:type="dxa" w:w="1440"/>
            <w:shd w:fill="C6EFCE" w:val="clear"/>
          </w:tcPr>
          <w:p>
            <w:r>
              <w:rPr>
                <w:b/>
                <w:color w:val="008000"/>
                <w:sz w:val="17"/>
              </w:rPr>
              <w:t>+6.1%</w:t>
            </w:r>
          </w:p>
        </w:tc>
      </w:tr>
      <w:tr>
        <w:tc>
          <w:tcPr>
            <w:tcW w:type="dxa" w:w="1440"/>
            <w:shd w:fill="C6EFCE" w:val="clear"/>
          </w:tcPr>
          <w:p>
            <w:r>
              <w:rPr>
                <w:sz w:val="17"/>
              </w:rPr>
              <w:t>J+7  Moyenne</w:t>
            </w:r>
          </w:p>
        </w:tc>
        <w:tc>
          <w:tcPr>
            <w:tcW w:type="dxa" w:w="1440"/>
            <w:shd w:fill="C6EFCE" w:val="clear"/>
          </w:tcPr>
          <w:p>
            <w:r>
              <w:rPr>
                <w:sz w:val="17"/>
              </w:rPr>
              <w:t>2026-10-07</w:t>
            </w:r>
          </w:p>
        </w:tc>
        <w:tc>
          <w:tcPr>
            <w:tcW w:type="dxa" w:w="1440"/>
            <w:shd w:fill="C6EFCE" w:val="clear"/>
          </w:tcPr>
          <w:p>
            <w:r>
              <w:rPr>
                <w:sz w:val="17"/>
              </w:rPr>
              <w:t>38,636</w:t>
            </w:r>
          </w:p>
        </w:tc>
        <w:tc>
          <w:tcPr>
            <w:tcW w:type="dxa" w:w="1440"/>
            <w:shd w:fill="C6EFCE" w:val="clear"/>
          </w:tcPr>
          <w:p>
            <w:r>
              <w:rPr>
                <w:b/>
                <w:sz w:val="17"/>
              </w:rPr>
              <w:t>40,417</w:t>
            </w:r>
          </w:p>
        </w:tc>
        <w:tc>
          <w:tcPr>
            <w:tcW w:type="dxa" w:w="1440"/>
            <w:shd w:fill="C6EFCE" w:val="clear"/>
          </w:tcPr>
          <w:p>
            <w:r>
              <w:rPr>
                <w:sz w:val="17"/>
              </w:rPr>
              <w:t>42,197</w:t>
            </w:r>
          </w:p>
        </w:tc>
        <w:tc>
          <w:tcPr>
            <w:tcW w:type="dxa" w:w="1440"/>
            <w:shd w:fill="C6EFCE" w:val="clear"/>
          </w:tcPr>
          <w:p>
            <w:r>
              <w:rPr>
                <w:b/>
                <w:color w:val="008000"/>
                <w:sz w:val="17"/>
              </w:rPr>
              <w:t>+6.9%</w:t>
            </w:r>
          </w:p>
        </w:tc>
      </w:tr>
      <w:tr>
        <w:tc>
          <w:tcPr>
            <w:tcW w:type="dxa" w:w="1440"/>
            <w:shd w:fill="C6EFCE" w:val="clear"/>
          </w:tcPr>
          <w:p>
            <w:r>
              <w:rPr>
                <w:sz w:val="17"/>
              </w:rPr>
              <w:t>J+8  Moyenne</w:t>
            </w:r>
          </w:p>
        </w:tc>
        <w:tc>
          <w:tcPr>
            <w:tcW w:type="dxa" w:w="1440"/>
            <w:shd w:fill="C6EFCE" w:val="clear"/>
          </w:tcPr>
          <w:p>
            <w:r>
              <w:rPr>
                <w:sz w:val="17"/>
              </w:rPr>
              <w:t>2026-10-08</w:t>
            </w:r>
          </w:p>
        </w:tc>
        <w:tc>
          <w:tcPr>
            <w:tcW w:type="dxa" w:w="1440"/>
            <w:shd w:fill="C6EFCE" w:val="clear"/>
          </w:tcPr>
          <w:p>
            <w:r>
              <w:rPr>
                <w:sz w:val="17"/>
              </w:rPr>
              <w:t>38,811</w:t>
            </w:r>
          </w:p>
        </w:tc>
        <w:tc>
          <w:tcPr>
            <w:tcW w:type="dxa" w:w="1440"/>
            <w:shd w:fill="C6EFCE" w:val="clear"/>
          </w:tcPr>
          <w:p>
            <w:r>
              <w:rPr>
                <w:b/>
                <w:sz w:val="17"/>
              </w:rPr>
              <w:t>40,730</w:t>
            </w:r>
          </w:p>
        </w:tc>
        <w:tc>
          <w:tcPr>
            <w:tcW w:type="dxa" w:w="1440"/>
            <w:shd w:fill="C6EFCE" w:val="clear"/>
          </w:tcPr>
          <w:p>
            <w:r>
              <w:rPr>
                <w:sz w:val="17"/>
              </w:rPr>
              <w:t>42,648</w:t>
            </w:r>
          </w:p>
        </w:tc>
        <w:tc>
          <w:tcPr>
            <w:tcW w:type="dxa" w:w="1440"/>
            <w:shd w:fill="C6EFCE" w:val="clear"/>
          </w:tcPr>
          <w:p>
            <w:r>
              <w:rPr>
                <w:b/>
                <w:color w:val="008000"/>
                <w:sz w:val="17"/>
              </w:rPr>
              <w:t>+7.8%</w:t>
            </w:r>
          </w:p>
        </w:tc>
      </w:tr>
      <w:tr>
        <w:tc>
          <w:tcPr>
            <w:tcW w:type="dxa" w:w="1440"/>
            <w:shd w:fill="C6EFCE" w:val="clear"/>
          </w:tcPr>
          <w:p>
            <w:r>
              <w:rPr>
                <w:sz w:val="17"/>
              </w:rPr>
              <w:t>J+9  Moyenne</w:t>
            </w:r>
          </w:p>
        </w:tc>
        <w:tc>
          <w:tcPr>
            <w:tcW w:type="dxa" w:w="1440"/>
            <w:shd w:fill="C6EFCE" w:val="clear"/>
          </w:tcPr>
          <w:p>
            <w:r>
              <w:rPr>
                <w:sz w:val="17"/>
              </w:rPr>
              <w:t>2026-10-09</w:t>
            </w:r>
          </w:p>
        </w:tc>
        <w:tc>
          <w:tcPr>
            <w:tcW w:type="dxa" w:w="1440"/>
            <w:shd w:fill="C6EFCE" w:val="clear"/>
          </w:tcPr>
          <w:p>
            <w:r>
              <w:rPr>
                <w:sz w:val="17"/>
              </w:rPr>
              <w:t>38,988</w:t>
            </w:r>
          </w:p>
        </w:tc>
        <w:tc>
          <w:tcPr>
            <w:tcW w:type="dxa" w:w="1440"/>
            <w:shd w:fill="C6EFCE" w:val="clear"/>
          </w:tcPr>
          <w:p>
            <w:r>
              <w:rPr>
                <w:b/>
                <w:sz w:val="17"/>
              </w:rPr>
              <w:t>41,038</w:t>
            </w:r>
          </w:p>
        </w:tc>
        <w:tc>
          <w:tcPr>
            <w:tcW w:type="dxa" w:w="1440"/>
            <w:shd w:fill="C6EFCE" w:val="clear"/>
          </w:tcPr>
          <w:p>
            <w:r>
              <w:rPr>
                <w:sz w:val="17"/>
              </w:rPr>
              <w:t>43,088</w:t>
            </w:r>
          </w:p>
        </w:tc>
        <w:tc>
          <w:tcPr>
            <w:tcW w:type="dxa" w:w="1440"/>
            <w:shd w:fill="C6EFCE" w:val="clear"/>
          </w:tcPr>
          <w:p>
            <w:r>
              <w:rPr>
                <w:b/>
                <w:color w:val="008000"/>
                <w:sz w:val="17"/>
              </w:rPr>
              <w:t>+8.6%</w:t>
            </w:r>
          </w:p>
        </w:tc>
      </w:tr>
      <w:tr>
        <w:tc>
          <w:tcPr>
            <w:tcW w:type="dxa" w:w="1440"/>
            <w:shd w:fill="C6EFCE" w:val="clear"/>
          </w:tcPr>
          <w:p>
            <w:r>
              <w:rPr>
                <w:sz w:val="17"/>
              </w:rPr>
              <w:t>J+10  Moyenne</w:t>
            </w:r>
          </w:p>
        </w:tc>
        <w:tc>
          <w:tcPr>
            <w:tcW w:type="dxa" w:w="1440"/>
            <w:shd w:fill="C6EFCE" w:val="clear"/>
          </w:tcPr>
          <w:p>
            <w:r>
              <w:rPr>
                <w:sz w:val="17"/>
              </w:rPr>
              <w:t>2026-10-12</w:t>
            </w:r>
          </w:p>
        </w:tc>
        <w:tc>
          <w:tcPr>
            <w:tcW w:type="dxa" w:w="1440"/>
            <w:shd w:fill="C6EFCE" w:val="clear"/>
          </w:tcPr>
          <w:p>
            <w:r>
              <w:rPr>
                <w:sz w:val="17"/>
              </w:rPr>
              <w:t>39,165</w:t>
            </w:r>
          </w:p>
        </w:tc>
        <w:tc>
          <w:tcPr>
            <w:tcW w:type="dxa" w:w="1440"/>
            <w:shd w:fill="C6EFCE" w:val="clear"/>
          </w:tcPr>
          <w:p>
            <w:r>
              <w:rPr>
                <w:b/>
                <w:sz w:val="17"/>
              </w:rPr>
              <w:t>41,342</w:t>
            </w:r>
          </w:p>
        </w:tc>
        <w:tc>
          <w:tcPr>
            <w:tcW w:type="dxa" w:w="1440"/>
            <w:shd w:fill="C6EFCE" w:val="clear"/>
          </w:tcPr>
          <w:p>
            <w:r>
              <w:rPr>
                <w:sz w:val="17"/>
              </w:rPr>
              <w:t>43,519</w:t>
            </w:r>
          </w:p>
        </w:tc>
        <w:tc>
          <w:tcPr>
            <w:tcW w:type="dxa" w:w="1440"/>
            <w:shd w:fill="C6EFCE" w:val="clear"/>
          </w:tcPr>
          <w:p>
            <w:r>
              <w:rPr>
                <w:b/>
                <w:color w:val="008000"/>
                <w:sz w:val="17"/>
              </w:rPr>
              <w:t>+9.4%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 CI)**</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622,22 milliards FCFA, SLBC s'impose comme l'une des plus importantes capitalisations de la BRVM, ce qui témoigne de sa stature de leader régional dans le secteur des boissons. Le BPA de 2 781 FCFA par action signifie que chaque titre génère près de 2 800 FCFA de bénéfice net, un niveau élevé qui traduit la forte rentabilité de l'entreprise. Le PER de 13,6x se situe légèrement au-dessus de la moyenne du marché BRVM (8-12x), ce qui indique que les investisseurs acceptent de payer une prime modérée pour la qualité des bénéfices et la croissance de SOLIBRA, sans que cela constitue une surévaluation excessive. Le P/B de 3,19x montre que le marché valorise l'entreprise à plus de trois fois sa valeur comptable, une prime de croissance justifiée par un ROE de 23,46%, bien supérieur au coût des fonds propres. Enfin, l'EV/EBITDA de 7,4x, dans la fourchette raisonnable de 5-10x, suggère que la valeur totale de l'entreprise (incluant la dette) reste cohérente avec sa capacité opérationnelle à générer des liquidités, ce qui conforte l'idée d'une valorisation équilibrée.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SLBC a enregistré une variation totale de +2,02%, clôturant à 37 800 FCFA, avec une légère contraction de -0,53% lors de la dernière séance (J-1). Le titre a évolué dans un range relativement étroit, entre un plus haut de 41 500 FCFA et un plus bas de 36 900 FCFA, soit un écart d'environ 12,5%, ce qui reflète une tendance générale haussière mais modérée, avec une consolidation récente autour des 38 000 FCFA. Les statistiques descriptives révèlent une moyenne de 38 276 FCFA légèrement supérieure à la médiane de 38 000 FCFA, indiquant une asymétrie positive (skewness de 0,836), c'est-à-dire que le cours a passé plus de journées sous sa moyenne, mais avec des pics occasionnels tirant la moyenne vers le haut. L'écart-type de 856 FCFA et le coefficient de variation de 2,2% témoignent d'une dispersion très faible du cours, signe d'une grande stabilité. Le kurtosis de 0,812 (mésokurtique) suggère une distribution proche de la normale, sans risque excessif de pics extrêmes. Avec une volatilité annualisée de 24,4%, le titre se situe dans la fourchette modérée (15-30%), ce qui est rassurant pour un investisseur recherchant stabilité et prévisibilité.</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(37 871 FCFA) et la MM50 (37 949 FCFA) sont toutes deux supérieures au cours actuel de 37 800 FCFA, ce qui place le titre en position baissière à court terme. La MM20 étant légèrement en dessous de la MM50, cela confirme une pression vendeuse persistante, justifiant la décision technique de « Vente » émise par le système.</w:t>
      </w:r>
    </w:p>
    <w:p>
      <w:pPr>
        <w:spacing w:after="120" w:line="276" w:lineRule="auto"/>
      </w:pPr>
      <w:r>
        <w:t>**Bandes de Bollinger** : Le cours actuel (37 800 FCFA) se situe dans la partie inférieure de la bande, entre la borne inférieure (37 396 FCFA) et la borne supérieure (38 346 FCFA). Cette position médiane-basse, couplée à un rétrécissement des bandes, indique une faible volatilité et une absence de signal directionnel fort, d'où la décision « Neutre ».</w:t>
      </w:r>
    </w:p>
    <w:p>
      <w:pPr>
        <w:spacing w:after="120" w:line="276" w:lineRule="auto"/>
      </w:pPr>
      <w:r>
        <w:t>**MACD** : La valeur du MACD (7,687) est nettement supérieure à son signal (-4,013), générant un croisement haussier qui traduit un momentum positif. Cette divergence positive, bien que le cours soit sous ses moyennes mobiles, suggère un possible retournement à la hausse, justifiant la décision « Achat ».</w:t>
      </w:r>
    </w:p>
    <w:p>
      <w:pPr>
        <w:spacing w:after="120" w:line="276" w:lineRule="auto"/>
      </w:pPr>
      <w:r>
        <w:t>**RSI** : À 54,545, le RSI se situe dans la zone neutre (30-70), sans signal de surachat ni de survente. Cette position médiane indique un équilibre entre acheteurs et vendeurs, sans pression immédiate, d'où la décision « Neutre ».</w:t>
      </w:r>
    </w:p>
    <w:p>
      <w:pPr>
        <w:spacing w:after="120" w:line="276" w:lineRule="auto"/>
      </w:pPr>
      <w:r>
        <w:t>**Stochastique** : Le %K (0,0) est en dessous du %D (58,333), ce qui pourrait signaler une situation de survente extrême, mais le croisement récent suggère un potentiel rebond. La décision « Achat » est cohérente avec cette configuration, bien que le %K à 0 soit un signal inhabituel qui mérite une surveillance.</w:t>
      </w:r>
    </w:p>
    <w:p>
      <w:pPr>
        <w:spacing w:after="120" w:line="276" w:lineRule="auto"/>
      </w:pPr>
      <w:r>
        <w:t>**Conclusion technique** : Les indicateurs sont mitigés, avec une majorité de signaux neutres ou baissiers (moyennes mobiles, Bollinger, RSI) compensés par des signaux haussiers (MACD, Stochastique). Cette divergence suggère une phase de consolidation avec un potentiel de rebond à court terme, mais sans conviction forte. La prudence est de mise, et une confirmation par une cassure au-dessus de la MM20 (37 871 FCFA) serait nécessaire pour valider un retournement durable.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SOLIBRA a réalisé un chiffre d'affaires de 378,123 milliards FCFA, en croissance de +22,08% par rapport à 2024, portée par une augmentation des volumes distribués et un mix prix favorable. Le résultat net s'établit à 45,781 milliards FCFA, en hausse spectaculaire de +113% (contre 21,472 milliards en 2024), avec une marge nette qui double de 6,9% à 12,1%. Le ROE atteint 23,46%, largement supérieur au seuil de 15% considéré comme excellent, et le ROA de 13,48% confirme l'efficacité de l'utilisation des actifs. La structure financière est saine, avec une autonomie financière de 57,48% (capitaux propres/total bilan) et un ratio d'endettement maîtrisé de 42,52%. Le BFR de 61,587 milliards FCFA, bien que positif, est compensé par un fonds de roulement de 83,689 milliards FCFA et une trésorerie nette de 22,117 milliards FCFA. Les délais d'exploitation révèlent un délai client de 64,27 jours (risque de trésorerie modéré) et un délai fournisseur de 76,82 jours (favorable), tandis que la durée de stockage de 117,32 jours mérite une surveillance. Sur la base du rapport T1 2026 (publié en 2026), le chiffre d'affaires progresse de +7,6% à 93,46 milliards FCFA, avec un résultat net de 16,26 milliards FCFA (+4,8%), ce qui permet d'estimer une croissance annuelle 2026 de l'ordre de 8-10%, avec un résultat net projeté autour de 50 milliards FCFA. Le rapport 2025 (analysé par DEEPSEEK en mai 2026) confirme la solidité des fondamentaux et recommande l'achat, tandis que le rapport S1 2025 (daté du 30 juin 2025) soulignait déjà une marge nette de 16,9% et une marge opérationnelle de 23,3%. La politique de dividende est très généreuse, avec un dividende proposé de 2 127 FCFA par action (35,012 milliards FCFA au total), soit un taux de distribution de 76,5%, offrant un rendement attractif de 5,6% au cours actuel. Les risques identifiés incluent la dépendance aux matières premières (90 milliards FCFA d'achats exposés à la volatilité des prix), la concentration géographique sur le marché ivoirien, et la soutenabilité de la croissance à deux chiffres. Néanmoins, la position de leader, la solidité du bilan et la dynamique commerciale justifient une recommandation fondamentale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SLBC apparaît équilibrée : le PER de 13,6x, bien qu'au-dessus de la moyenne du marché, reste justifié par un ROE de 23,46% et une croissance des bénéfices de +113% en 2025. Le P/B de 3,19x et l'EV/EBITDA de 7,4x confirment une prime de qualité, sans surévaluation manifeste. Le comportement du cours sur 100 jours est stable (+2,02%), avec une volatilité modérée (24,4%) et une distribution proche de la normale (kurtosis 0,812), ce qui est rassurant pour un investisseur prudent. Les signaux techniques sont divergents : les moyennes mobiles et Bollinger sont baissiers/neutres, tandis que le MACD et le Stochastique sont haussiers, suggérant une consolidation avant un possible rebond. Les fondamentaux sont exceptionnels : croissance du CA de +22%, doublement du résultat net, marge nette de 12,1%, et dividende attractif de 2 127 FCFA/action (rendement 5,6%). Les prédictions IA anticipent une hausse progressive vers 39 772 FCFA d'ici le 5 octobre 2026 (+5,2% par rapport au cours actuel), ce qui confirme les signaux haussiers du MACD et du Stochastique. Sur la base de cette synthèse, la convergence entre fondamentaux solides, valorisation raisonnable, prédictions haussières et signaux techniques mitigés mais orientés à la hausse justifie une recommandation d'**ACHAT**. Le niveau de confiance est **Élevé**, porté par la qualité des fondamentaux et la visibilité des bénéfices, tandis que le risque global est **Moyen**, en raison de la dépendance aux matières premières et de la concentration géographique. L'horizon d'investissement optimal est le **moyen terme (3-12 mois)**, pour profiter de la croissance des bénéfices, du dividende et du potentiel de réévaluation du titre.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39.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1,630 titres</w:t>
            </w:r>
          </w:p>
        </w:tc>
        <w:tc>
          <w:tcPr>
            <w:tcW w:type="dxa" w:w="2268"/>
            <w:shd w:fill="FFF2CC" w:val="clear"/>
          </w:tcPr>
          <w:p>
            <w:r>
              <w:rPr>
                <w:b/>
                <w:color w:val="503200"/>
                <w:sz w:val="16"/>
              </w:rPr>
              <w:t xml:space="preserve">Cours actuel : </w:t>
            </w:r>
            <w:r>
              <w:rPr>
                <w:color w:val="000000"/>
                <w:sz w:val="17"/>
              </w:rPr>
              <w:t>16,500 FCFA</w:t>
            </w:r>
          </w:p>
          <w:p>
            <w:r>
              <w:rPr>
                <w:b/>
                <w:color w:val="503200"/>
                <w:sz w:val="16"/>
              </w:rPr>
              <w:t xml:space="preserve">Var. 100 jours : </w:t>
            </w:r>
            <w:r>
              <w:rPr>
                <w:b/>
                <w:color w:val="007800"/>
                <w:sz w:val="17"/>
              </w:rPr>
              <w:t>+42.86%</w:t>
            </w:r>
          </w:p>
          <w:p>
            <w:r>
              <w:rPr>
                <w:b/>
                <w:color w:val="503200"/>
                <w:sz w:val="16"/>
              </w:rPr>
              <w:t xml:space="preserve">Plus haut 100j : </w:t>
            </w:r>
            <w:r>
              <w:rPr>
                <w:color w:val="000000"/>
                <w:sz w:val="17"/>
              </w:rPr>
              <w:t>18,500 FCFA</w:t>
            </w:r>
          </w:p>
          <w:p>
            <w:r>
              <w:rPr>
                <w:b/>
                <w:color w:val="503200"/>
                <w:sz w:val="16"/>
              </w:rPr>
              <w:t xml:space="preserve">Plus bas 100j : </w:t>
            </w:r>
            <w:r>
              <w:rPr>
                <w:color w:val="000000"/>
                <w:sz w:val="17"/>
              </w:rPr>
              <w:t>11,500 FCFA</w:t>
            </w:r>
          </w:p>
          <w:p>
            <w:r>
              <w:rPr>
                <w:b/>
                <w:color w:val="503200"/>
                <w:sz w:val="16"/>
              </w:rPr>
              <w:t xml:space="preserve">Volatilité ann. : </w:t>
            </w:r>
            <w:r>
              <w:rPr>
                <w:color w:val="000000"/>
                <w:sz w:val="17"/>
              </w:rPr>
              <w:t>42.2%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11.22% (Moyenne) — μ=15,792 FCFA, σ=1,773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β=0.4903 (Défensif) — Cov=0.000033, Var(idx)=0.000068, ρ=0.153,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1,630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2026-09-29</w:t>
            </w:r>
          </w:p>
        </w:tc>
        <w:tc>
          <w:tcPr>
            <w:tcW w:type="dxa" w:w="1440"/>
            <w:shd w:fill="FFDCE0" w:val="clear"/>
          </w:tcPr>
          <w:p>
            <w:r>
              <w:rPr>
                <w:sz w:val="17"/>
              </w:rPr>
              <w:t>15,262</w:t>
            </w:r>
          </w:p>
        </w:tc>
        <w:tc>
          <w:tcPr>
            <w:tcW w:type="dxa" w:w="1440"/>
            <w:shd w:fill="FFDCE0" w:val="clear"/>
          </w:tcPr>
          <w:p>
            <w:r>
              <w:rPr>
                <w:b/>
                <w:sz w:val="17"/>
              </w:rPr>
              <w:t>15,974</w:t>
            </w:r>
          </w:p>
        </w:tc>
        <w:tc>
          <w:tcPr>
            <w:tcW w:type="dxa" w:w="1440"/>
            <w:shd w:fill="FFDCE0" w:val="clear"/>
          </w:tcPr>
          <w:p>
            <w:r>
              <w:rPr>
                <w:sz w:val="17"/>
              </w:rPr>
              <w:t>16,687</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2026-09-30</w:t>
            </w:r>
          </w:p>
        </w:tc>
        <w:tc>
          <w:tcPr>
            <w:tcW w:type="dxa" w:w="1440"/>
            <w:shd w:fill="FFDCE0" w:val="clear"/>
          </w:tcPr>
          <w:p>
            <w:r>
              <w:rPr>
                <w:sz w:val="17"/>
              </w:rPr>
              <w:t>15,008</w:t>
            </w:r>
          </w:p>
        </w:tc>
        <w:tc>
          <w:tcPr>
            <w:tcW w:type="dxa" w:w="1440"/>
            <w:shd w:fill="FFDCE0" w:val="clear"/>
          </w:tcPr>
          <w:p>
            <w:r>
              <w:rPr>
                <w:b/>
                <w:sz w:val="17"/>
              </w:rPr>
              <w:t>16,018</w:t>
            </w:r>
          </w:p>
        </w:tc>
        <w:tc>
          <w:tcPr>
            <w:tcW w:type="dxa" w:w="1440"/>
            <w:shd w:fill="FFDCE0" w:val="clear"/>
          </w:tcPr>
          <w:p>
            <w:r>
              <w:rPr>
                <w:sz w:val="17"/>
              </w:rPr>
              <w:t>17,029</w:t>
            </w:r>
          </w:p>
        </w:tc>
        <w:tc>
          <w:tcPr>
            <w:tcW w:type="dxa" w:w="1440"/>
            <w:shd w:fill="FFDCE0" w:val="clear"/>
          </w:tcPr>
          <w:p>
            <w:r>
              <w:rPr>
                <w:b/>
                <w:color w:val="C00000"/>
                <w:sz w:val="17"/>
              </w:rPr>
              <w:t>-2.9%</w:t>
            </w:r>
          </w:p>
        </w:tc>
      </w:tr>
      <w:tr>
        <w:tc>
          <w:tcPr>
            <w:tcW w:type="dxa" w:w="1440"/>
            <w:shd w:fill="FFDCE0" w:val="clear"/>
          </w:tcPr>
          <w:p>
            <w:r>
              <w:rPr>
                <w:sz w:val="17"/>
              </w:rPr>
              <w:t>J+3  ⭐</w:t>
            </w:r>
          </w:p>
        </w:tc>
        <w:tc>
          <w:tcPr>
            <w:tcW w:type="dxa" w:w="1440"/>
            <w:shd w:fill="FFDCE0" w:val="clear"/>
          </w:tcPr>
          <w:p>
            <w:r>
              <w:rPr>
                <w:sz w:val="17"/>
              </w:rPr>
              <w:t>2026-10-01</w:t>
            </w:r>
          </w:p>
        </w:tc>
        <w:tc>
          <w:tcPr>
            <w:tcW w:type="dxa" w:w="1440"/>
            <w:shd w:fill="FFDCE0" w:val="clear"/>
          </w:tcPr>
          <w:p>
            <w:r>
              <w:rPr>
                <w:sz w:val="17"/>
              </w:rPr>
              <w:t>14,757</w:t>
            </w:r>
          </w:p>
        </w:tc>
        <w:tc>
          <w:tcPr>
            <w:tcW w:type="dxa" w:w="1440"/>
            <w:shd w:fill="FFDCE0" w:val="clear"/>
          </w:tcPr>
          <w:p>
            <w:r>
              <w:rPr>
                <w:b/>
                <w:sz w:val="17"/>
              </w:rPr>
              <w:t>15,992</w:t>
            </w:r>
          </w:p>
        </w:tc>
        <w:tc>
          <w:tcPr>
            <w:tcW w:type="dxa" w:w="1440"/>
            <w:shd w:fill="FFDCE0" w:val="clear"/>
          </w:tcPr>
          <w:p>
            <w:r>
              <w:rPr>
                <w:sz w:val="17"/>
              </w:rPr>
              <w:t>17,228</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14,553</w:t>
            </w:r>
          </w:p>
        </w:tc>
        <w:tc>
          <w:tcPr>
            <w:tcW w:type="dxa" w:w="1440"/>
            <w:shd w:fill="FFDCE0" w:val="clear"/>
          </w:tcPr>
          <w:p>
            <w:r>
              <w:rPr>
                <w:b/>
                <w:sz w:val="17"/>
              </w:rPr>
              <w:t>15,978</w:t>
            </w:r>
          </w:p>
        </w:tc>
        <w:tc>
          <w:tcPr>
            <w:tcW w:type="dxa" w:w="1440"/>
            <w:shd w:fill="FFDCE0" w:val="clear"/>
          </w:tcPr>
          <w:p>
            <w:r>
              <w:rPr>
                <w:sz w:val="17"/>
              </w:rPr>
              <w:t>17,404</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14,378</w:t>
            </w:r>
          </w:p>
        </w:tc>
        <w:tc>
          <w:tcPr>
            <w:tcW w:type="dxa" w:w="1440"/>
            <w:shd w:fill="FFDCE0" w:val="clear"/>
          </w:tcPr>
          <w:p>
            <w:r>
              <w:rPr>
                <w:b/>
                <w:sz w:val="17"/>
              </w:rPr>
              <w:t>15,971</w:t>
            </w:r>
          </w:p>
        </w:tc>
        <w:tc>
          <w:tcPr>
            <w:tcW w:type="dxa" w:w="1440"/>
            <w:shd w:fill="FFDCE0" w:val="clear"/>
          </w:tcPr>
          <w:p>
            <w:r>
              <w:rPr>
                <w:sz w:val="17"/>
              </w:rPr>
              <w:t>17,564</w:t>
            </w:r>
          </w:p>
        </w:tc>
        <w:tc>
          <w:tcPr>
            <w:tcW w:type="dxa" w:w="1440"/>
            <w:shd w:fill="FFDCE0" w:val="clear"/>
          </w:tcPr>
          <w:p>
            <w:r>
              <w:rPr>
                <w:b/>
                <w:color w:val="C00000"/>
                <w:sz w:val="17"/>
              </w:rPr>
              <w:t>-3.2%</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14,220</w:t>
            </w:r>
          </w:p>
        </w:tc>
        <w:tc>
          <w:tcPr>
            <w:tcW w:type="dxa" w:w="1440"/>
            <w:shd w:fill="FFDCE0" w:val="clear"/>
          </w:tcPr>
          <w:p>
            <w:r>
              <w:rPr>
                <w:b/>
                <w:sz w:val="17"/>
              </w:rPr>
              <w:t>15,965</w:t>
            </w:r>
          </w:p>
        </w:tc>
        <w:tc>
          <w:tcPr>
            <w:tcW w:type="dxa" w:w="1440"/>
            <w:shd w:fill="FFDCE0" w:val="clear"/>
          </w:tcPr>
          <w:p>
            <w:r>
              <w:rPr>
                <w:sz w:val="17"/>
              </w:rPr>
              <w:t>17,709</w:t>
            </w:r>
          </w:p>
        </w:tc>
        <w:tc>
          <w:tcPr>
            <w:tcW w:type="dxa" w:w="1440"/>
            <w:shd w:fill="FFDCE0" w:val="clear"/>
          </w:tcPr>
          <w:p>
            <w:r>
              <w:rPr>
                <w:b/>
                <w:color w:val="C00000"/>
                <w:sz w:val="17"/>
              </w:rPr>
              <w:t>-3.2%</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14,075</w:t>
            </w:r>
          </w:p>
        </w:tc>
        <w:tc>
          <w:tcPr>
            <w:tcW w:type="dxa" w:w="1440"/>
            <w:shd w:fill="FFDCE0" w:val="clear"/>
          </w:tcPr>
          <w:p>
            <w:r>
              <w:rPr>
                <w:b/>
                <w:sz w:val="17"/>
              </w:rPr>
              <w:t>15,958</w:t>
            </w:r>
          </w:p>
        </w:tc>
        <w:tc>
          <w:tcPr>
            <w:tcW w:type="dxa" w:w="1440"/>
            <w:shd w:fill="FFDCE0" w:val="clear"/>
          </w:tcPr>
          <w:p>
            <w:r>
              <w:rPr>
                <w:sz w:val="17"/>
              </w:rPr>
              <w:t>17,842</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13,940</w:t>
            </w:r>
          </w:p>
        </w:tc>
        <w:tc>
          <w:tcPr>
            <w:tcW w:type="dxa" w:w="1440"/>
            <w:shd w:fill="FFDCE0" w:val="clear"/>
          </w:tcPr>
          <w:p>
            <w:r>
              <w:rPr>
                <w:b/>
                <w:sz w:val="17"/>
              </w:rPr>
              <w:t>15,952</w:t>
            </w:r>
          </w:p>
        </w:tc>
        <w:tc>
          <w:tcPr>
            <w:tcW w:type="dxa" w:w="1440"/>
            <w:shd w:fill="FFDCE0" w:val="clear"/>
          </w:tcPr>
          <w:p>
            <w:r>
              <w:rPr>
                <w:sz w:val="17"/>
              </w:rPr>
              <w:t>17,965</w:t>
            </w:r>
          </w:p>
        </w:tc>
        <w:tc>
          <w:tcPr>
            <w:tcW w:type="dxa" w:w="1440"/>
            <w:shd w:fill="FFDCE0" w:val="clear"/>
          </w:tcPr>
          <w:p>
            <w:r>
              <w:rPr>
                <w:b/>
                <w:color w:val="C00000"/>
                <w:sz w:val="17"/>
              </w:rPr>
              <w:t>-3.3%</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13,812</w:t>
            </w:r>
          </w:p>
        </w:tc>
        <w:tc>
          <w:tcPr>
            <w:tcW w:type="dxa" w:w="1440"/>
            <w:shd w:fill="FFDCE0" w:val="clear"/>
          </w:tcPr>
          <w:p>
            <w:r>
              <w:rPr>
                <w:b/>
                <w:sz w:val="17"/>
              </w:rPr>
              <w:t>15,946</w:t>
            </w:r>
          </w:p>
        </w:tc>
        <w:tc>
          <w:tcPr>
            <w:tcW w:type="dxa" w:w="1440"/>
            <w:shd w:fill="FFDCE0" w:val="clear"/>
          </w:tcPr>
          <w:p>
            <w:r>
              <w:rPr>
                <w:sz w:val="17"/>
              </w:rPr>
              <w:t>18,080</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13,692</w:t>
            </w:r>
          </w:p>
        </w:tc>
        <w:tc>
          <w:tcPr>
            <w:tcW w:type="dxa" w:w="1440"/>
            <w:shd w:fill="FFDCE0" w:val="clear"/>
          </w:tcPr>
          <w:p>
            <w:r>
              <w:rPr>
                <w:b/>
                <w:sz w:val="17"/>
              </w:rPr>
              <w:t>15,940</w:t>
            </w:r>
          </w:p>
        </w:tc>
        <w:tc>
          <w:tcPr>
            <w:tcW w:type="dxa" w:w="1440"/>
            <w:shd w:fill="FFDCE0" w:val="clear"/>
          </w:tcPr>
          <w:p>
            <w:r>
              <w:rPr>
                <w:sz w:val="17"/>
              </w:rPr>
              <w:t>18,189</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 RAPPORT D'ANALYSE FINANCIÈRE — SMBC (Société Multinationale de Bitumes)</w:t>
        <w:br/>
        <w:t>## BRVM | Analyse complète au 29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128,62 milliards FCFA, SMBC se positionne comme une valeur de taille intermédiaire sur la BRVM, loin des poids lourds bancaires mais suffisamment liquide pour intéresser les investisseurs institutionnels. Le BPA de 1 677 FCFA par action signifie que chaque titre génère près de 1 677 FCFA de bénéfice net, ce qui, rapporté au cours actuel de 16 500 FCFA, donne un PER de 9,8x — légèrement inférieur à la moyenne du marché BRVM (8-12x), suggérant une valorisation raisonnable voire légèrement sous-évaluée au regard des bénéfices. Le P/B de 3,00x indique que le marché valorise SMBC à trois fois sa valeur comptable, une prime de croissance justifiée par un ROE exceptionnel de 30,5%, bien supérieur au seuil de 15% considéré comme excellent. Enfin, l'EV/EBITDA de 6,2x, dans la fourchette raisonnable de 5-10x, montre que la valeur totale de l'entreprise (incluant la dette) reste maîtrisée par rapport à sa capacité opérationnelle à générer du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SMBC affiche une performance remarquable de **+42,86%**, avec une dernière séance en hausse de **+4,36%**, confirmant un momentum haussier robuste. Le cours a évolué dans un range de 11 500 FCFA (plus bas) à 18 500 FCFA (plus haut), soit une amplitude de 60,9%, témoignant d'une forte volatilité mais aussi d'un potentiel de gain significatif pour les investisseurs positionnés au bon moment. La tendance générale est clairement haussière, le cours actuel de 16 500 FCFA se situant au-dessus de la moyenne (15 792 FCFA) et de la médiane (16 305 FCFA), bien que légèrement en retrait du plus haut récent. Les statistiques descriptives révèlent une distribution légèrement asymétrique : la moyenne (15 792 FCFA) est inférieure à la médiane (16 305 FCFA), et le skewness négatif (-0,878) indique que le cours a passé plus de journées au-dessus de sa moyenne, avec des excursions baissières moins fréquentes mais plus marquées. L'écart-type de 1 782 FCFA (CV = 11,3%) traduit une dispersion modérée autour de la moyenne, tandis que le kurtosis proche de zéro (-0,247) suggère une distribution proche de la normale, sans risque excessif de pics extrêmes. La volatilité annualisée de **42,2%** classe SMBC dans la catégorie des titres à volatilité élevée (&gt;30%), ce qui implique un risque accru mais aussi des opportunités de trading plus fréquentes.</w:t>
      </w:r>
    </w:p>
    <w:p>
      <w:pPr>
        <w:spacing w:after="120" w:line="276" w:lineRule="auto"/>
      </w:pPr>
      <w:r>
        <w:t>---</w:t>
      </w:r>
    </w:p>
    <w:p>
      <w:pPr>
        <w:spacing w:after="120" w:line="276" w:lineRule="auto"/>
      </w:pPr>
      <w:r>
        <w:t>## PARTIE 2 : ANALYSE TECHNIQUE DÉTAILLÉE</w:t>
      </w:r>
    </w:p>
    <w:p>
      <w:pPr>
        <w:spacing w:after="120" w:line="276" w:lineRule="auto"/>
      </w:pPr>
      <w:r>
        <w:t>**Moyennes Mobiles** : La MM20 (17 095,25 FCFA) et la MM50 (16 638,00 FCFA) se situent toutes deux au-dessus du cours actuel (16 500 FCFA), ce qui pourrait sembler baissier à première vue. Cependant, la MM20 reste supérieure à la MM50, confirmant une structure haussière de fond. La décision technique fournie est **Achat**, probablement basée sur le fait que le cours, bien qu'en retrait, reste dans une dynamique positive de moyen terme et pourrait rebondir vers ses moyennes mobiles.</w:t>
      </w:r>
    </w:p>
    <w:p>
      <w:pPr>
        <w:spacing w:after="120" w:line="276" w:lineRule="auto"/>
      </w:pPr>
      <w:r>
        <w:t>**Bandes de Bollinger** : Le cours actuel (16 500 FCFA) se situe dans la partie médiane des bandes, entre la borne inférieure (14 851,30 FCFA) et la borne supérieure (19 339,20 FCFA). Cette position centrale, couplée à une largeur de bande importante (4 487,89 FCFA), indique une volatilité élevée mais sans signal directionnel fort. La décision **Neutre** reflète cette absence de pression acheteuse ou vendeuse dominante à court terme.</w:t>
      </w:r>
    </w:p>
    <w:p>
      <w:pPr>
        <w:spacing w:after="120" w:line="276" w:lineRule="auto"/>
      </w:pPr>
      <w:r>
        <w:t>**MACD** : La valeur du MACD (-327,34) est nettement inférieure à son signal (-79,45), générant une divergence baissière qui justifie la décision **Vente**. Cet indicateur suggère que le momentum à court terme s'est affaibli, possiblement en raison de prises de bénéfices après la forte hausse de 42,86% sur 100 jours. Une correction ou consolidation pourrait être en cours avant une reprise éventuelle.</w:t>
      </w:r>
    </w:p>
    <w:p>
      <w:pPr>
        <w:spacing w:after="120" w:line="276" w:lineRule="auto"/>
      </w:pPr>
      <w:r>
        <w:t>**RSI** : À 41,70, le RSI se situe dans la zone neutre (30-70), sans signal de surachat (&gt;70) ni de survente (&lt;30). La décision **Neutre** est cohérente : le titre n'est ni surévalué ni sous-évalué à court terme selon cet indicateur, laissant la porte ouverte à une poursuite de la tendance haussière de fond.</w:t>
      </w:r>
    </w:p>
    <w:p>
      <w:pPr>
        <w:spacing w:after="120" w:line="276" w:lineRule="auto"/>
      </w:pPr>
      <w:r>
        <w:t>**Stochastique** : Le %K (47,23) est supérieur au %D (25,42), ce qui pourrait indiquer un début de croisement haussier, mais les deux valeurs restent dans la zone neutre. La décision **Neutre** reflète cette ambiguïté : le stochastique ne donne pas de signal clair d'achat ou de vente à ce stade.</w:t>
      </w:r>
    </w:p>
    <w:p>
      <w:pPr>
        <w:spacing w:after="120" w:line="276" w:lineRule="auto"/>
      </w:pPr>
      <w:r>
        <w:t>**Conclusion technique** : Les indicateurs techniques présentent un tableau mitigé. Les moyennes mobiles et le RSI soutiennent une vision haussière de moyen terme, tandis que le MACD signale un affaiblissement du momentum à court terme. Les Bandes de Bollinger et le Stochastique restent neutres, sans signal directionnel fort. Dans l'ensemble, le titre semble en phase de consolidation après une forte hausse, avec un potentiel de rebond si le cours parvient à se maintenir au-dessus de 16 000 FCFA. La prudence est de mise à court terme, mais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SMBC affiche un chiffre d'affaires de **206,74 milliards FCFA**, en baisse de **-9,74%** par rapport à 2024 (229,06 milliards FCFA), reflétant un environnement de marché difficile marqué par la volatilité des prix pétroliers et un ralentissement des projets d'infrastructures. Malgré cette contraction des revenus, le résultat net progresse spectaculairement de **+50,3%** pour atteindre **13,075 milliards FCFA**, grâce à une amélioration remarquable de la rentabilité opérationnelle : l'EBE bondit de **+41,8%** à 18,48 milliards FCFA, et la marge nette passe de 3,8% à **6,32%**. Le ROE s'établit à **30,47%** (excellent, &gt;15%) et le ROA à **7,26%**, confirmant une utilisation efficace des capitaux propres et des actifs. La structure financière reste solide avec des capitaux propres de **42,913 milliards FCFA** (+21,6%) et une trésorerie nette positive de **23,988 milliards FCFA**, offrant une marge de manœuvre confortable. Cependant, le BFR de **1,693 milliard FCFA** et le délai client élevé de **193,75 jours** (créances clients de 109,743 milliards FCFA) constituent un risque de trésorerie à surveiller, bien que le délai fournisseurs de **207,07 jours** compense partiellement ce déséquilibre. Le ratio d'endettement de **76,16%** (dettes totales/capitaux propres) reste élevé mais maîtrisé, avec une capacité de remboursement de **0,68 an** (dettes financières/CAF) et une couverture des intérêts de **483,41%**, traduisant une solvabilité solide.</w:t>
      </w:r>
    </w:p>
    <w:p>
      <w:pPr>
        <w:spacing w:after="120" w:line="276" w:lineRule="auto"/>
      </w:pPr>
      <w:r>
        <w:t>**Estimations basées sur les rapports trimestriels** : Le rapport du **T3 2025 (30 septembre 2025)** indique un chiffre d'affaires cumulé de **155,2 milliards FCFA** (-14% sur 9 mois) et un résultat net de **5,7 milliards FCFA** (+6%), avec une marge opérationnelle en amélioration à **5,4%** (contre 4,0% aux 9M 2024). Le rapport du **S1 2025 (30 juin 2025)** confirme cette tendance avec un CA de **101,9 milliards FCFA** (-23%) et un résultat net de **3,9 milliards FCFA** (-7%), mais une marge nette en hausse à **3,9%** (contre 3,2% au S1 2024). Le rapport du **T1 2025 (31 mars 2025)** montre un CA de **54,8 milliards FCFA** (-22%) et un résultat net de **2,7 milliards FCFA** (-7%), avec une marge nette de **5,0%**. Ces données trimestrielles, bien qu'antérieures à l'exercice 2025 complet, confirment la tendance à l'amélioration de la rentabilité malgré la baisse des volumes. **On estime** que l'exercice 2026 devrait bénéficier de la poursuite de la dynamique positive sur le marché local (chantiers routiers) et à l'export (demande du Nigeria, Ghana, Burkina Faso, Mali), avec un potentiel de stabilisation du CA et une consolidation des marges. Le principal risque identifié est l'impact des fortes pluies sur les activités de construction, comme mentionné dans le rapport T3 2025.</w:t>
      </w:r>
    </w:p>
    <w:p>
      <w:pPr>
        <w:spacing w:after="120" w:line="276" w:lineRule="auto"/>
      </w:pPr>
      <w:r>
        <w:t>**Recommandation fondamentale** : SMBC présente une solidité financière remarquable avec un ROE exceptionnel, une trésorerie nette positive et une capacité bénéficiaire en forte progression malgré un environnement difficile. Les risques principaux résident dans la baisse du chiffre d'affaires, la dépendance aux cycles économiques et aux prix des matières premières, ainsi que le délai client élevé. La recommandation fondamentale est **CONSERVER**, avec un potentiel d'achat si la croissance des revenus reprend en 2026.</w:t>
      </w:r>
    </w:p>
    <w:p>
      <w:pPr>
        <w:spacing w:after="120" w:line="276" w:lineRule="auto"/>
      </w:pPr>
      <w:r>
        <w:t>---</w:t>
      </w:r>
    </w:p>
    <w:p>
      <w:pPr>
        <w:spacing w:after="120" w:line="276" w:lineRule="auto"/>
      </w:pPr>
      <w:r>
        <w:t>## PARTIE 4 : CONCLUSION D'INVESTISSEMENT</w:t>
      </w:r>
    </w:p>
    <w:p>
      <w:pPr>
        <w:spacing w:after="120" w:line="276" w:lineRule="auto"/>
      </w:pPr>
      <w:r>
        <w:t>La valorisation de SMBC (Partie 0) apparaît raisonnable voire légèrement sous-évaluée, avec un PER de 9,8x inférieur à la moyenne du marché, un P/B de 3,00x justifié par un ROE de 30,5%, et un EV/EBITDA de 6,2x dans la fourchette basse. Le comportement du cours (Partie 1) est haussier sur 100 jours (+42,86%), avec une volatilité élevée (42,2%) mais une distribution proche de la normale (kurtosis -0,247) et un skewness négatif (-0,878) indiquant une asymétrie favorable aux hausses. Les signaux techniques (Partie 2) sont mitigés : les moyennes mobiles et le RSI soutiennent une vision positive, mais le MACD génère un signal de vente à court terme, suggérant une consolidation en cours. Les fondamentaux (Partie 3) sont solides : résultat net en hausse de 50,3% en 2025, ROE de 30,5%, trésorerie nette de 24 milliards FCFA, malgré une baisse du CA de 9,7% et un délai client élevé. Les prédictions IA (J+1 à J+10) anticipent une légère baisse vers 15 971-16 018 FCFA, confirmant la phase de consolidation à court terme sans remettre en cause la tendance haussière de fond. **Sur la base de cette synthèse globale, la recommandation finale est CONSERVER**, avec un biais haussier à moyen terme. La convergence entre une valorisation attractive, des fondamentaux solides et une tendance de fond positive est tempérée par un momentum technique affaibli à court terme. Le niveau de confiance est **Moyen**, le risque global est **Moyen** (volatilité élevée mais fondamentaux solides), et l'horizon d'investissement optimal est **moyen terme (3-12 mois)**, le temps que la consolidation technique s'achève et que les perspectives de croissance se confirment. Un passage à **ACHAT** serait justifié si le cours se maintient au-dessus de 16 000 FCFA et que le MACD se retourne à la hausse, ou si les prochains résultats trimestriels confirment la reprise du chiffre d'affaires.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40.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4300.00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12,414 titres</w:t>
            </w:r>
          </w:p>
        </w:tc>
        <w:tc>
          <w:tcPr>
            <w:tcW w:type="dxa" w:w="2268"/>
            <w:shd w:fill="FFF2CC" w:val="clear"/>
          </w:tcPr>
          <w:p>
            <w:r>
              <w:rPr>
                <w:b/>
                <w:color w:val="503200"/>
                <w:sz w:val="16"/>
              </w:rPr>
              <w:t xml:space="preserve">Cours actuel : </w:t>
            </w:r>
            <w:r>
              <w:rPr>
                <w:color w:val="000000"/>
                <w:sz w:val="17"/>
              </w:rPr>
              <w:t>43,000 FCFA</w:t>
            </w:r>
          </w:p>
          <w:p>
            <w:r>
              <w:rPr>
                <w:b/>
                <w:color w:val="503200"/>
                <w:sz w:val="16"/>
              </w:rPr>
              <w:t xml:space="preserve">Var. 100 jours : </w:t>
            </w:r>
            <w:r>
              <w:rPr>
                <w:b/>
                <w:color w:val="007800"/>
                <w:sz w:val="17"/>
              </w:rPr>
              <w:t>+48.79%</w:t>
            </w:r>
          </w:p>
          <w:p>
            <w:r>
              <w:rPr>
                <w:b/>
                <w:color w:val="503200"/>
                <w:sz w:val="16"/>
              </w:rPr>
              <w:t xml:space="preserve">Plus haut 100j : </w:t>
            </w:r>
            <w:r>
              <w:rPr>
                <w:color w:val="000000"/>
                <w:sz w:val="17"/>
              </w:rPr>
              <w:t>43,000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32.6%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13.51% (Moyenne) — μ=32,297 FCFA, σ=4,364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β=1.2923 (Agressif) — Cov=0.000088, Var(idx)=0.000068, ρ=0.517,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12,414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σ_j=2.05%/j (Stable) — Vol. annualisée≈32.6%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2026-09-29</w:t>
            </w:r>
          </w:p>
        </w:tc>
        <w:tc>
          <w:tcPr>
            <w:tcW w:type="dxa" w:w="1440"/>
            <w:shd w:fill="FFDCE0" w:val="clear"/>
          </w:tcPr>
          <w:p>
            <w:r>
              <w:rPr>
                <w:sz w:val="17"/>
              </w:rPr>
              <w:t>39,810</w:t>
            </w:r>
          </w:p>
        </w:tc>
        <w:tc>
          <w:tcPr>
            <w:tcW w:type="dxa" w:w="1440"/>
            <w:shd w:fill="FFDCE0" w:val="clear"/>
          </w:tcPr>
          <w:p>
            <w:r>
              <w:rPr>
                <w:b/>
                <w:sz w:val="17"/>
              </w:rPr>
              <w:t>41,561</w:t>
            </w:r>
          </w:p>
        </w:tc>
        <w:tc>
          <w:tcPr>
            <w:tcW w:type="dxa" w:w="1440"/>
            <w:shd w:fill="FFDCE0" w:val="clear"/>
          </w:tcPr>
          <w:p>
            <w:r>
              <w:rPr>
                <w:sz w:val="17"/>
              </w:rPr>
              <w:t>43,313</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2026-09-30</w:t>
            </w:r>
          </w:p>
        </w:tc>
        <w:tc>
          <w:tcPr>
            <w:tcW w:type="dxa" w:w="1440"/>
            <w:shd w:fill="FFDCE0" w:val="clear"/>
          </w:tcPr>
          <w:p>
            <w:r>
              <w:rPr>
                <w:sz w:val="17"/>
              </w:rPr>
              <w:t>39,062</w:t>
            </w:r>
          </w:p>
        </w:tc>
        <w:tc>
          <w:tcPr>
            <w:tcW w:type="dxa" w:w="1440"/>
            <w:shd w:fill="FFDCE0" w:val="clear"/>
          </w:tcPr>
          <w:p>
            <w:r>
              <w:rPr>
                <w:b/>
                <w:sz w:val="17"/>
              </w:rPr>
              <w:t>41,538</w:t>
            </w:r>
          </w:p>
        </w:tc>
        <w:tc>
          <w:tcPr>
            <w:tcW w:type="dxa" w:w="1440"/>
            <w:shd w:fill="FFDCE0" w:val="clear"/>
          </w:tcPr>
          <w:p>
            <w:r>
              <w:rPr>
                <w:sz w:val="17"/>
              </w:rPr>
              <w:t>44,013</w:t>
            </w:r>
          </w:p>
        </w:tc>
        <w:tc>
          <w:tcPr>
            <w:tcW w:type="dxa" w:w="1440"/>
            <w:shd w:fill="FFDCE0" w:val="clear"/>
          </w:tcPr>
          <w:p>
            <w:r>
              <w:rPr>
                <w:b/>
                <w:color w:val="C00000"/>
                <w:sz w:val="17"/>
              </w:rPr>
              <w:t>-3.4%</w:t>
            </w:r>
          </w:p>
        </w:tc>
      </w:tr>
      <w:tr>
        <w:tc>
          <w:tcPr>
            <w:tcW w:type="dxa" w:w="1440"/>
            <w:shd w:fill="FFDCE0" w:val="clear"/>
          </w:tcPr>
          <w:p>
            <w:r>
              <w:rPr>
                <w:sz w:val="17"/>
              </w:rPr>
              <w:t>J+3  ⭐</w:t>
            </w:r>
          </w:p>
        </w:tc>
        <w:tc>
          <w:tcPr>
            <w:tcW w:type="dxa" w:w="1440"/>
            <w:shd w:fill="FFDCE0" w:val="clear"/>
          </w:tcPr>
          <w:p>
            <w:r>
              <w:rPr>
                <w:sz w:val="17"/>
              </w:rPr>
              <w:t>2026-10-01</w:t>
            </w:r>
          </w:p>
        </w:tc>
        <w:tc>
          <w:tcPr>
            <w:tcW w:type="dxa" w:w="1440"/>
            <w:shd w:fill="FFDCE0" w:val="clear"/>
          </w:tcPr>
          <w:p>
            <w:r>
              <w:rPr>
                <w:sz w:val="17"/>
              </w:rPr>
              <w:t>38,390</w:t>
            </w:r>
          </w:p>
        </w:tc>
        <w:tc>
          <w:tcPr>
            <w:tcW w:type="dxa" w:w="1440"/>
            <w:shd w:fill="FFDCE0" w:val="clear"/>
          </w:tcPr>
          <w:p>
            <w:r>
              <w:rPr>
                <w:b/>
                <w:sz w:val="17"/>
              </w:rPr>
              <w:t>41,413</w:t>
            </w:r>
          </w:p>
        </w:tc>
        <w:tc>
          <w:tcPr>
            <w:tcW w:type="dxa" w:w="1440"/>
            <w:shd w:fill="FFDCE0" w:val="clear"/>
          </w:tcPr>
          <w:p>
            <w:r>
              <w:rPr>
                <w:sz w:val="17"/>
              </w:rPr>
              <w:t>44,436</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37,821</w:t>
            </w:r>
          </w:p>
        </w:tc>
        <w:tc>
          <w:tcPr>
            <w:tcW w:type="dxa" w:w="1440"/>
            <w:shd w:fill="FFDCE0" w:val="clear"/>
          </w:tcPr>
          <w:p>
            <w:r>
              <w:rPr>
                <w:b/>
                <w:sz w:val="17"/>
              </w:rPr>
              <w:t>41,303</w:t>
            </w:r>
          </w:p>
        </w:tc>
        <w:tc>
          <w:tcPr>
            <w:tcW w:type="dxa" w:w="1440"/>
            <w:shd w:fill="FFDCE0" w:val="clear"/>
          </w:tcPr>
          <w:p>
            <w:r>
              <w:rPr>
                <w:sz w:val="17"/>
              </w:rPr>
              <w:t>44,784</w:t>
            </w:r>
          </w:p>
        </w:tc>
        <w:tc>
          <w:tcPr>
            <w:tcW w:type="dxa" w:w="1440"/>
            <w:shd w:fill="FFDCE0" w:val="clear"/>
          </w:tcPr>
          <w:p>
            <w:r>
              <w:rPr>
                <w:b/>
                <w:color w:val="C00000"/>
                <w:sz w:val="17"/>
              </w:rPr>
              <w:t>-3.9%</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37,330</w:t>
            </w:r>
          </w:p>
        </w:tc>
        <w:tc>
          <w:tcPr>
            <w:tcW w:type="dxa" w:w="1440"/>
            <w:shd w:fill="FFDCE0" w:val="clear"/>
          </w:tcPr>
          <w:p>
            <w:r>
              <w:rPr>
                <w:b/>
                <w:sz w:val="17"/>
              </w:rPr>
              <w:t>41,214</w:t>
            </w:r>
          </w:p>
        </w:tc>
        <w:tc>
          <w:tcPr>
            <w:tcW w:type="dxa" w:w="1440"/>
            <w:shd w:fill="FFDCE0" w:val="clear"/>
          </w:tcPr>
          <w:p>
            <w:r>
              <w:rPr>
                <w:sz w:val="17"/>
              </w:rPr>
              <w:t>45,099</w:t>
            </w:r>
          </w:p>
        </w:tc>
        <w:tc>
          <w:tcPr>
            <w:tcW w:type="dxa" w:w="1440"/>
            <w:shd w:fill="FFDCE0" w:val="clear"/>
          </w:tcPr>
          <w:p>
            <w:r>
              <w:rPr>
                <w:b/>
                <w:color w:val="C00000"/>
                <w:sz w:val="17"/>
              </w:rPr>
              <w:t>-4.2%</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36,891</w:t>
            </w:r>
          </w:p>
        </w:tc>
        <w:tc>
          <w:tcPr>
            <w:tcW w:type="dxa" w:w="1440"/>
            <w:shd w:fill="FFDCE0" w:val="clear"/>
          </w:tcPr>
          <w:p>
            <w:r>
              <w:rPr>
                <w:b/>
                <w:sz w:val="17"/>
              </w:rPr>
              <w:t>41,139</w:t>
            </w:r>
          </w:p>
        </w:tc>
        <w:tc>
          <w:tcPr>
            <w:tcW w:type="dxa" w:w="1440"/>
            <w:shd w:fill="FFDCE0" w:val="clear"/>
          </w:tcPr>
          <w:p>
            <w:r>
              <w:rPr>
                <w:sz w:val="17"/>
              </w:rPr>
              <w:t>45,386</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36,489</w:t>
            </w:r>
          </w:p>
        </w:tc>
        <w:tc>
          <w:tcPr>
            <w:tcW w:type="dxa" w:w="1440"/>
            <w:shd w:fill="FFDCE0" w:val="clear"/>
          </w:tcPr>
          <w:p>
            <w:r>
              <w:rPr>
                <w:b/>
                <w:sz w:val="17"/>
              </w:rPr>
              <w:t>41,069</w:t>
            </w:r>
          </w:p>
        </w:tc>
        <w:tc>
          <w:tcPr>
            <w:tcW w:type="dxa" w:w="1440"/>
            <w:shd w:fill="FFDCE0" w:val="clear"/>
          </w:tcPr>
          <w:p>
            <w:r>
              <w:rPr>
                <w:sz w:val="17"/>
              </w:rPr>
              <w:t>45,648</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36,114</w:t>
            </w:r>
          </w:p>
        </w:tc>
        <w:tc>
          <w:tcPr>
            <w:tcW w:type="dxa" w:w="1440"/>
            <w:shd w:fill="FFDCE0" w:val="clear"/>
          </w:tcPr>
          <w:p>
            <w:r>
              <w:rPr>
                <w:b/>
                <w:sz w:val="17"/>
              </w:rPr>
              <w:t>41,002</w:t>
            </w:r>
          </w:p>
        </w:tc>
        <w:tc>
          <w:tcPr>
            <w:tcW w:type="dxa" w:w="1440"/>
            <w:shd w:fill="FFDCE0" w:val="clear"/>
          </w:tcPr>
          <w:p>
            <w:r>
              <w:rPr>
                <w:sz w:val="17"/>
              </w:rPr>
              <w:t>45,890</w:t>
            </w:r>
          </w:p>
        </w:tc>
        <w:tc>
          <w:tcPr>
            <w:tcW w:type="dxa" w:w="1440"/>
            <w:shd w:fill="FFDCE0" w:val="clear"/>
          </w:tcPr>
          <w:p>
            <w:r>
              <w:rPr>
                <w:b/>
                <w:color w:val="C00000"/>
                <w:sz w:val="17"/>
              </w:rPr>
              <w:t>-4.6%</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35,762</w:t>
            </w:r>
          </w:p>
        </w:tc>
        <w:tc>
          <w:tcPr>
            <w:tcW w:type="dxa" w:w="1440"/>
            <w:shd w:fill="FFDCE0" w:val="clear"/>
          </w:tcPr>
          <w:p>
            <w:r>
              <w:rPr>
                <w:b/>
                <w:sz w:val="17"/>
              </w:rPr>
              <w:t>40,938</w:t>
            </w:r>
          </w:p>
        </w:tc>
        <w:tc>
          <w:tcPr>
            <w:tcW w:type="dxa" w:w="1440"/>
            <w:shd w:fill="FFDCE0" w:val="clear"/>
          </w:tcPr>
          <w:p>
            <w:r>
              <w:rPr>
                <w:sz w:val="17"/>
              </w:rPr>
              <w:t>46,114</w:t>
            </w:r>
          </w:p>
        </w:tc>
        <w:tc>
          <w:tcPr>
            <w:tcW w:type="dxa" w:w="1440"/>
            <w:shd w:fill="FFDCE0" w:val="clear"/>
          </w:tcPr>
          <w:p>
            <w:r>
              <w:rPr>
                <w:b/>
                <w:color w:val="C00000"/>
                <w:sz w:val="17"/>
              </w:rPr>
              <w:t>-4.8%</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35,428</w:t>
            </w:r>
          </w:p>
        </w:tc>
        <w:tc>
          <w:tcPr>
            <w:tcW w:type="dxa" w:w="1440"/>
            <w:shd w:fill="FFDCE0" w:val="clear"/>
          </w:tcPr>
          <w:p>
            <w:r>
              <w:rPr>
                <w:b/>
                <w:sz w:val="17"/>
              </w:rPr>
              <w:t>40,876</w:t>
            </w:r>
          </w:p>
        </w:tc>
        <w:tc>
          <w:tcPr>
            <w:tcW w:type="dxa" w:w="1440"/>
            <w:shd w:fill="FFDCE0" w:val="clear"/>
          </w:tcPr>
          <w:p>
            <w:r>
              <w:rPr>
                <w:sz w:val="17"/>
              </w:rPr>
              <w:t>46,324</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 RAPPORT D'ANALYSE FINANCIÈRE — SONATEL (SNTS)</w:t>
        <w:br/>
        <w:t>**Bourse Régionale des Valeurs Mobilières (BRVM) — Secteur : Télécommunications**</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4 300 Mds FCFA, Sonatel confirme son statut de poids lourd absolu de la BRVM, représentant à elle seule une part prépondérante de la capitalisation totale du marché régional. Le BPA de 4 136 FCFA par action traduit une rentabilité par titre particulièrement élevée, cohérente avec le résultat net consolidé de 413,6 Mds FCFA en 2025. Le PER de 10,4x situe le titre légèrement au-dessus de la moyenne BRVM (~8-12x), ce qui reste une valorisation modérée et raisonnable au regard de la qualité de la signature et de la régularité des bénéfices. Le P/B de 3,07x indique que le marché valorise Sonatel à environ trois fois ses fonds propres comptables (1 399 Mds FCFA), soit une prime de croissance justifiée par un ROE de 29,6%. Enfin, l'EV/EBITDA de 4,5x (&lt; 5x) signale que la valeur d'entreprise reste très bon marché par rapport à la capacité opérationnelle de génération de cash (EBE de 932 Mds FCFA), un signal classique de sous-évaluation relative pour un actif de cette qualité.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SNTS a enregistré une progression spectaculaire de **+48,79%**, portée par la dernière séance (+1,18%), pour s'établir à 43 000 FCFA — soit exactement son plus haut de période, tandis que le plus bas a été touché à 27 160 FCFA. Ce range de trading de près de 16 000 FCFA (soit ~58% d'amplitude) témoigne d'une tendance nettement haussière, soutenue par la publication de résultats solides et l'annonce d'un dividende attractif de 1 740 FCFA net. Les statistiques descriptives révèlent une moyenne de 32 297 FCFA nettement supérieure à la médiane (31 000 FCFA) et au mode (31 000 FCFA) : cet écart confirme une distribution asymétrique où le cours a passé plus de temps sous sa moyenne avant une accélération récente en fin de période. L'écart-type de 4 386 FCFA avec un coefficient de variation de 13,6% indique une dispersion modérée du cours autour de sa moyenne. Le kurtosis de -0,301 (mésokurtique) suggère une distribution proche de la normale, donc un risque de pics extrêmes limité, tandis que le skewness positif de 0,998 confirme une asymétrie à droite — davantage de journées sous la moyenne, typique d'un titre qui consolide longuement avant de s'envoler. La volatilité annualisée de 32,6% positionne SNTS dans la catégorie des titres à volatilité **élevée** (&gt;30%), ce qui est cohérent avec l'accélération récente du cours.</w:t>
      </w:r>
    </w:p>
    <w:p>
      <w:pPr>
        <w:spacing w:after="120" w:line="276" w:lineRule="auto"/>
      </w:pPr>
      <w:r>
        <w:t>---</w:t>
      </w:r>
    </w:p>
    <w:p>
      <w:pPr>
        <w:spacing w:after="120" w:line="276" w:lineRule="auto"/>
      </w:pPr>
      <w:r>
        <w:t>## PARTIE 2 : ANALYSE TECHNIQUE DÉTAILLÉE</w:t>
      </w:r>
    </w:p>
    <w:p>
      <w:pPr>
        <w:spacing w:after="120" w:line="276" w:lineRule="auto"/>
      </w:pPr>
      <w:r>
        <w:t>**Moyennes Mobiles** — La MM20 (39 836,5 FCFA) et la MM50 (35 522,3 FCFA) se situent toutes deux nettement sous le cours actuel de 43 000 FCFA, avec une MM20 au-dessus de la MM50. Cette configuration en « golden cross » (croisement haussier) confirme une dynamique positive de court et moyen terme, justifiant la décision technique d'**Achat**. L'écart important entre le cours et la MM20 (+8%) suggère toutefois une extension potentiellement excessive à court terme.</w:t>
      </w:r>
    </w:p>
    <w:p>
      <w:pPr>
        <w:spacing w:after="120" w:line="276" w:lineRule="auto"/>
      </w:pPr>
      <w:r>
        <w:t>**Bandes de Bollinger** — Le cours (43 000 FCFA) évolue tout près de la borne supérieure (43 502,3 FCFA) et très loin de la borne inférieure (36 170,7 FCFA), signe d'une pression acheteuse forte mais aussi d'un risque de retour à la moyenne. La largeur des bandes reflète une volatilité élevée. La décision est **Neutre** : le titre est en zone d'extension haute, ce qui invite à la prudence sur les points d'entrée.</w:t>
      </w:r>
    </w:p>
    <w:p>
      <w:pPr>
        <w:spacing w:after="120" w:line="276" w:lineRule="auto"/>
      </w:pPr>
      <w:r>
        <w:t>**MACD** — Le MACD (2 004,0) est supérieur à son signal (1 908,1), avec un histogramme positif, confirmant un momentum haussier toujours en place. La décision technique est **Achat**, mais l'écart relativement modeste entre les deux lignes suggère que le momentum pourrait s'essouffler si le cours venait à stagner.</w:t>
      </w:r>
    </w:p>
    <w:p>
      <w:pPr>
        <w:spacing w:after="120" w:line="276" w:lineRule="auto"/>
      </w:pPr>
      <w:r>
        <w:t>**RSI** — À 73,9, le RSI franchit nettement le seuil de surachat (&gt;70), signalant que le titre a été acheté de manière agressive et qu'un essoufflement ou une correction technique est probable à court terme. La décision technique est donc **Vente** (prise de profit), en divergence avec la tendance de fond.</w:t>
      </w:r>
    </w:p>
    <w:p>
      <w:pPr>
        <w:spacing w:after="120" w:line="276" w:lineRule="auto"/>
      </w:pPr>
      <w:r>
        <w:t>**Stochastique** — Avec %K à 100,0 et %D à 97,1, le stochastique est en zone extrême de surachat, sans croisement baissier pour l'instant mais avec un potentiel de retournement imminent. La décision est **Vente**, confirmant l'alerte du RSI.</w:t>
      </w:r>
    </w:p>
    <w:p>
      <w:pPr>
        <w:spacing w:after="120" w:line="276" w:lineRule="auto"/>
      </w:pPr>
      <w:r>
        <w:t>**Conclusion technique** — Les indicateurs de tendance (MM, MACD) restent haussiers et plaident pour un maintien de la dynamique positive, tandis que les oscillateurs (RSI, Stochastique) sont en zone de surachat extrême et signalent un risque de correction à court terme. Cette divergence classique entre tendance et momentum suggère un titre en fin de phase d'accélération, où la prudence sur les points d'entrée est de mise. Le signal global est donc **haussier de fond mais vulnérable à une consolidation technique**.</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Sonatel a réalisé un chiffre d'affaires consolidé de **1 923,1 Mds FCFA**, en croissance de **+8,3%** sur un an, et un résultat net de **413,6 Mds FCFA** (+5,1%), pour une marge nette de **21,5%**. La rentabilité des fonds propres (ROE) atteint **29,6%** — largement au-dessus du seuil d'excellence de 15% — et le ROA s'établit à **12,6%**, confirmant l'efficacité de l'utilisation des actifs (3 270 Mds FCFA). La marge brute de 67,0% et la marge opérationnelle de 34,8% témoignent d'un modèle économique très rentable.</w:t>
      </w:r>
    </w:p>
    <w:p>
      <w:pPr>
        <w:spacing w:after="120" w:line="276" w:lineRule="auto"/>
      </w:pPr>
      <w:r>
        <w:t>**Analyse sectorielle (ENTREPRISE non bancaire)** : Le BFR est **négatif à -284,9 Mds FCFA**, ce qui est très favorable car il signifie que Sonatel finance son cycle d'exploitation par ses fournisseurs plutôt que par sa trésorerie. Le délai fournisseurs de **201,4 jours** (très élevé) et le délai clients de **46,2 jours** (modéré) confirment ce pouvoir de négociation exceptionnel. La trésorerie nette de 536,1 Mds FCFA et la couverture des intérêts de 2 744,7% (résultat d'exploitation / charges financières) traduisent une structure financière extrêmement solide, avec une autonomie financière de 42,8% (&gt;30% = sain) et une capacité de remboursement de 0,64 an seulement.</w:t>
      </w:r>
    </w:p>
    <w:p>
      <w:pPr>
        <w:spacing w:after="120" w:line="276" w:lineRule="auto"/>
      </w:pPr>
      <w:r>
        <w:t>**Estimations basées sur les rapports trimestriels** : Le rapport du **S1 2026 (publié le 27/07/2026)** confirme l'accélération de la dynamique : CA de **1 049,8 Mds FCFA (+9,3%)**, EBITDAAL de 510,8 Mds FCFA (+11,6%, marge 48,7%) et résultat net de **230,0 Mds FCFA (+10,5%)**. Sur cette base, on peut estimer que l'exercice 2026 devrait afficher un CA proche de **2 100 Mds FCFA** et un résultat net autour de **450 Mds FCFA**, soit une croissance à deux chiffres du bénéfice. Le rapport du **T3 2025 (30/09/2025)** confirmait déjà cette trajectoire avec un CA 9M de 1 432,5 Mds FCFA (+8,6%) et un résultat net de 311 Mds FCFA (+8,0%). L'évolution pluriannuelle est remarquable : le résultat net est passé de 393,7 Mds FCFA en 2024 (rapport annuel 2024) à 413,6 Mds FCFA en 2025, avec un BPA progressant de 3 288 à 4 136 FCFA.</w:t>
      </w:r>
    </w:p>
    <w:p>
      <w:pPr>
        <w:spacing w:after="120" w:line="276" w:lineRule="auto"/>
      </w:pPr>
      <w:r>
        <w:t>**Recommandation fondamentale** : Sonatel présente une solidité financière exceptionnelle (notation AAA(wu) relevée par GCR Ratings), une croissance rentable et régulière, un dividende attractif (1 740 FCFA net, soit un rendement de ~4,0% au cours actuel) et un leadership incontesté (43 millions de clients, parts de marché &gt;55% au Sénégal). Les principaux risques identifiés — pression fiscale et réglementaire accrue, intensification concurrentielle sur la Data et Orange Money — sont réels mais absorbés par la résilience des marges. La perspective d'un exercice 2026 en croissance à deux chiffres renforce le profil fondamental **très favorable**.</w:t>
      </w:r>
    </w:p>
    <w:p>
      <w:pPr>
        <w:spacing w:after="120" w:line="276" w:lineRule="auto"/>
      </w:pPr>
      <w:r>
        <w:t>---</w:t>
      </w:r>
    </w:p>
    <w:p>
      <w:pPr>
        <w:spacing w:after="120" w:line="276" w:lineRule="auto"/>
      </w:pPr>
      <w:r>
        <w:t>## PARTIE 4 : CONCLUSION D'INVESTISSEMENT</w:t>
      </w:r>
    </w:p>
    <w:p>
      <w:pPr>
        <w:spacing w:after="120" w:line="276" w:lineRule="auto"/>
      </w:pPr>
      <w:r>
        <w:t>La valorisation de Sonatel apparaît **modérément attractive** : un PER de 10,4x (dans la fourchette haute de la BRVM mais justifié par la qualité), un P/B de 3,07x (prime de croissance légitime au vu du ROE de 29,6%) et surtout un EV/EBITDA de 4,5x (&lt; 5x) qui signale une sous-évaluation relative par rapport à la capacité de génération de cash. Le comportement du cours est nettement haussier (+48,79% sur 100 jours) avec une volatilité élevée (32,6%) et une asymétrie positive (skewness 0,998) typique d'un titre en phase d'accélération, mais le kurtosis proche de la normale (-0,301) limite le risque de chocs extrêmes. Les signaux techniques sont **divergents** : les moyennes mobiles et le MACD confirment la tendance haussière, tandis que le RSI (73,9) et le stochastique (%K=100) alertent sur un surachat extrême pouvant déclencher une consolidation à court terme. Les fondamentaux sont **excellents** : croissance du CA (+8,3% en 2025, +9,3% au S1 2026), résultat net en progression (+5,1% en 2025, +10,5% au S1 2026), ROE de 29,6%, BFR négatif et trésorerie nette de 536 Mds FCFA. Les prédictions IA anticipent toutefois une **légère correction** vers 41 214-41 561 FCFA sur les 10 prochains jours (-3,3% à -4,2%), ce qui **contredit partiellement** les signaux techniques haussiers mais **confirme** l'alerte des oscillateurs en surachat.</w:t>
      </w:r>
    </w:p>
    <w:p>
      <w:pPr>
        <w:spacing w:after="120" w:line="276" w:lineRule="auto"/>
      </w:pPr>
      <w:r>
        <w:t>**Recommandation finale : CONSERVER** (avec opportunité d'achat sur repli). La convergence entre une valorisation raisonnable, des fondamentaux solides et une tendance de fond haussière plaide pour une détention du titre, mais le surachat technique extrême et les prédictions de correction à court terme invitent à ne pas acheter au prix actuel de 43 000 FCFA. Un point d'entrée autour de 41 000-41 500 FCFA (zone de retour à la MM20) offrirait un meilleur rapport risque/rendement. **Niveau de confiance : Moyen-Élevé** (fondamentaux robustes, mais timing technique défavorable). **Niveau de risque global : Moyen** (volatilité élevée mais qualité de signature exceptionnelle). **Horizon d'investissement optimal : Moyen à long terme (6-18 mois)**, afin de capturer la croissance bénéficiaire 2026 et le dividende, tout en laissant passer la consolidation technique attendue à court terme.</w:t>
      </w:r>
    </w:p>
    <w:p/>
    <w:p/>
    <w:p>
      <w:pPr>
        <w:pStyle w:val="Heading3"/>
      </w:pPr>
      <w:r>
        <w:rPr>
          <w:color w:val="00467F"/>
        </w:rPr>
        <w:t>📎 DOCUMENTS &amp; COMMUNICATIONS OFFICIELS BRVM</w:t>
      </w:r>
    </w:p>
    <w:p>
      <w:r>
        <w:rPr>
          <w:i/>
          <w:color w:val="646464"/>
          <w:sz w:val="18"/>
        </w:rPr>
        <w:t>6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41.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164.17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5,299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+0.00%</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7,200 FCFA</w:t>
            </w:r>
          </w:p>
          <w:p>
            <w:r>
              <w:rPr>
                <w:b/>
                <w:color w:val="503200"/>
                <w:sz w:val="16"/>
              </w:rPr>
              <w:t xml:space="preserve">Volatilité ann. : </w:t>
            </w:r>
            <w:r>
              <w:rPr>
                <w:color w:val="000000"/>
                <w:sz w:val="17"/>
              </w:rPr>
              <w:t>40.8%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11.5/100 → Faible</w:t>
      </w:r>
    </w:p>
    <w:p>
      <w:pPr>
        <w:spacing w:before="40" w:after="80"/>
      </w:pPr>
      <w:r>
        <w:rPr>
          <w:rFonts w:ascii="Courier New" w:hAnsi="Courier New"/>
          <w:color w:val="006400"/>
          <w:sz w:val="18"/>
        </w:rPr>
        <w:t>██░░░░░░░░░░░░░░░░░░  11.5/100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4.77% (Faible) — μ=8,053 FCFA, σ=384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DEEAF1" w:val="clear"/>
          </w:tcPr>
          <w:p>
            <w:r>
              <w:rPr>
                <w:b/>
                <w:sz w:val="15"/>
              </w:rPr>
              <w:t>β=0.9701 (Neutre (suit le marché)) — Cov=0.000066, Var(idx)=0.000068, ρ=0.313,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σ_j=2.57%/j (Stable) — Vol. annualisée≈40.8%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7,319</w:t>
            </w:r>
          </w:p>
        </w:tc>
        <w:tc>
          <w:tcPr>
            <w:tcW w:type="dxa" w:w="1440"/>
            <w:shd w:fill="FAFAFA" w:val="clear"/>
          </w:tcPr>
          <w:p>
            <w:r>
              <w:rPr>
                <w:b/>
                <w:sz w:val="17"/>
              </w:rPr>
              <w:t>7,689</w:t>
            </w:r>
          </w:p>
        </w:tc>
        <w:tc>
          <w:tcPr>
            <w:tcW w:type="dxa" w:w="1440"/>
            <w:shd w:fill="FAFAFA" w:val="clear"/>
          </w:tcPr>
          <w:p>
            <w:r>
              <w:rPr>
                <w:sz w:val="17"/>
              </w:rPr>
              <w:t>8,058</w:t>
            </w:r>
          </w:p>
        </w:tc>
        <w:tc>
          <w:tcPr>
            <w:tcW w:type="dxa" w:w="1440"/>
            <w:shd w:fill="FAFAFA" w:val="clear"/>
          </w:tcPr>
          <w:p>
            <w:r>
              <w:rPr>
                <w:b/>
                <w:color w:val="008000"/>
                <w:sz w:val="17"/>
              </w:rPr>
              <w:t>+1.2%</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7,159</w:t>
            </w:r>
          </w:p>
        </w:tc>
        <w:tc>
          <w:tcPr>
            <w:tcW w:type="dxa" w:w="1440"/>
            <w:shd w:fill="FAFAFA" w:val="clear"/>
          </w:tcPr>
          <w:p>
            <w:r>
              <w:rPr>
                <w:b/>
                <w:sz w:val="17"/>
              </w:rPr>
              <w:t>7,680</w:t>
            </w:r>
          </w:p>
        </w:tc>
        <w:tc>
          <w:tcPr>
            <w:tcW w:type="dxa" w:w="1440"/>
            <w:shd w:fill="FAFAFA" w:val="clear"/>
          </w:tcPr>
          <w:p>
            <w:r>
              <w:rPr>
                <w:sz w:val="17"/>
              </w:rPr>
              <w:t>8,202</w:t>
            </w:r>
          </w:p>
        </w:tc>
        <w:tc>
          <w:tcPr>
            <w:tcW w:type="dxa" w:w="1440"/>
            <w:shd w:fill="FAFAFA" w:val="clear"/>
          </w:tcPr>
          <w:p>
            <w:r>
              <w:rPr>
                <w:b/>
                <w:color w:val="008000"/>
                <w:sz w:val="17"/>
              </w:rPr>
              <w:t>+1.1%</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7,043</w:t>
            </w:r>
          </w:p>
        </w:tc>
        <w:tc>
          <w:tcPr>
            <w:tcW w:type="dxa" w:w="1440"/>
            <w:shd w:fill="FAFAFA" w:val="clear"/>
          </w:tcPr>
          <w:p>
            <w:r>
              <w:rPr>
                <w:b/>
                <w:sz w:val="17"/>
              </w:rPr>
              <w:t>7,682</w:t>
            </w:r>
          </w:p>
        </w:tc>
        <w:tc>
          <w:tcPr>
            <w:tcW w:type="dxa" w:w="1440"/>
            <w:shd w:fill="FAFAFA" w:val="clear"/>
          </w:tcPr>
          <w:p>
            <w:r>
              <w:rPr>
                <w:sz w:val="17"/>
              </w:rPr>
              <w:t>8,321</w:t>
            </w:r>
          </w:p>
        </w:tc>
        <w:tc>
          <w:tcPr>
            <w:tcW w:type="dxa" w:w="1440"/>
            <w:shd w:fill="FAFAFA" w:val="clear"/>
          </w:tcPr>
          <w:p>
            <w:r>
              <w:rPr>
                <w:b/>
                <w:color w:val="008000"/>
                <w:sz w:val="17"/>
              </w:rPr>
              <w:t>+1.1%</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6,944</w:t>
            </w:r>
          </w:p>
        </w:tc>
        <w:tc>
          <w:tcPr>
            <w:tcW w:type="dxa" w:w="1440"/>
            <w:shd w:fill="FAFAFA" w:val="clear"/>
          </w:tcPr>
          <w:p>
            <w:r>
              <w:rPr>
                <w:b/>
                <w:sz w:val="17"/>
              </w:rPr>
              <w:t>7,682</w:t>
            </w:r>
          </w:p>
        </w:tc>
        <w:tc>
          <w:tcPr>
            <w:tcW w:type="dxa" w:w="1440"/>
            <w:shd w:fill="FAFAFA" w:val="clear"/>
          </w:tcPr>
          <w:p>
            <w:r>
              <w:rPr>
                <w:sz w:val="17"/>
              </w:rPr>
              <w:t>8,420</w:t>
            </w:r>
          </w:p>
        </w:tc>
        <w:tc>
          <w:tcPr>
            <w:tcW w:type="dxa" w:w="1440"/>
            <w:shd w:fill="FAFAFA" w:val="clear"/>
          </w:tcPr>
          <w:p>
            <w:r>
              <w:rPr>
                <w:b/>
                <w:color w:val="008000"/>
                <w:sz w:val="17"/>
              </w:rPr>
              <w:t>+1.1%</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6,857</w:t>
            </w:r>
          </w:p>
        </w:tc>
        <w:tc>
          <w:tcPr>
            <w:tcW w:type="dxa" w:w="1440"/>
            <w:shd w:fill="FAFAFA" w:val="clear"/>
          </w:tcPr>
          <w:p>
            <w:r>
              <w:rPr>
                <w:b/>
                <w:sz w:val="17"/>
              </w:rPr>
              <w:t>7,682</w:t>
            </w:r>
          </w:p>
        </w:tc>
        <w:tc>
          <w:tcPr>
            <w:tcW w:type="dxa" w:w="1440"/>
            <w:shd w:fill="FAFAFA" w:val="clear"/>
          </w:tcPr>
          <w:p>
            <w:r>
              <w:rPr>
                <w:sz w:val="17"/>
              </w:rPr>
              <w:t>8,507</w:t>
            </w:r>
          </w:p>
        </w:tc>
        <w:tc>
          <w:tcPr>
            <w:tcW w:type="dxa" w:w="1440"/>
            <w:shd w:fill="FAFAFA" w:val="clear"/>
          </w:tcPr>
          <w:p>
            <w:r>
              <w:rPr>
                <w:b/>
                <w:color w:val="008000"/>
                <w:sz w:val="17"/>
              </w:rPr>
              <w:t>+1.1%</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6,778</w:t>
            </w:r>
          </w:p>
        </w:tc>
        <w:tc>
          <w:tcPr>
            <w:tcW w:type="dxa" w:w="1440"/>
            <w:shd w:fill="FAFAFA" w:val="clear"/>
          </w:tcPr>
          <w:p>
            <w:r>
              <w:rPr>
                <w:b/>
                <w:sz w:val="17"/>
              </w:rPr>
              <w:t>7,681</w:t>
            </w:r>
          </w:p>
        </w:tc>
        <w:tc>
          <w:tcPr>
            <w:tcW w:type="dxa" w:w="1440"/>
            <w:shd w:fill="FAFAFA" w:val="clear"/>
          </w:tcPr>
          <w:p>
            <w:r>
              <w:rPr>
                <w:sz w:val="17"/>
              </w:rPr>
              <w:t>8,585</w:t>
            </w:r>
          </w:p>
        </w:tc>
        <w:tc>
          <w:tcPr>
            <w:tcW w:type="dxa" w:w="1440"/>
            <w:shd w:fill="FAFAFA" w:val="clear"/>
          </w:tcPr>
          <w:p>
            <w:r>
              <w:rPr>
                <w:b/>
                <w:color w:val="008000"/>
                <w:sz w:val="17"/>
              </w:rPr>
              <w:t>+1.1%</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6,705</w:t>
            </w:r>
          </w:p>
        </w:tc>
        <w:tc>
          <w:tcPr>
            <w:tcW w:type="dxa" w:w="1440"/>
            <w:shd w:fill="FAFAFA" w:val="clear"/>
          </w:tcPr>
          <w:p>
            <w:r>
              <w:rPr>
                <w:b/>
                <w:sz w:val="17"/>
              </w:rPr>
              <w:t>7,681</w:t>
            </w:r>
          </w:p>
        </w:tc>
        <w:tc>
          <w:tcPr>
            <w:tcW w:type="dxa" w:w="1440"/>
            <w:shd w:fill="FAFAFA" w:val="clear"/>
          </w:tcPr>
          <w:p>
            <w:r>
              <w:rPr>
                <w:sz w:val="17"/>
              </w:rPr>
              <w:t>8,657</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6,638</w:t>
            </w:r>
          </w:p>
        </w:tc>
        <w:tc>
          <w:tcPr>
            <w:tcW w:type="dxa" w:w="1440"/>
            <w:shd w:fill="FAFAFA" w:val="clear"/>
          </w:tcPr>
          <w:p>
            <w:r>
              <w:rPr>
                <w:b/>
                <w:sz w:val="17"/>
              </w:rPr>
              <w:t>7,681</w:t>
            </w:r>
          </w:p>
        </w:tc>
        <w:tc>
          <w:tcPr>
            <w:tcW w:type="dxa" w:w="1440"/>
            <w:shd w:fill="FAFAFA" w:val="clear"/>
          </w:tcPr>
          <w:p>
            <w:r>
              <w:rPr>
                <w:sz w:val="17"/>
              </w:rPr>
              <w:t>8,724</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6,574</w:t>
            </w:r>
          </w:p>
        </w:tc>
        <w:tc>
          <w:tcPr>
            <w:tcW w:type="dxa" w:w="1440"/>
            <w:shd w:fill="FAFAFA" w:val="clear"/>
          </w:tcPr>
          <w:p>
            <w:r>
              <w:rPr>
                <w:b/>
                <w:sz w:val="17"/>
              </w:rPr>
              <w:t>7,681</w:t>
            </w:r>
          </w:p>
        </w:tc>
        <w:tc>
          <w:tcPr>
            <w:tcW w:type="dxa" w:w="1440"/>
            <w:shd w:fill="FAFAFA" w:val="clear"/>
          </w:tcPr>
          <w:p>
            <w:r>
              <w:rPr>
                <w:sz w:val="17"/>
              </w:rPr>
              <w:t>8,787</w:t>
            </w:r>
          </w:p>
        </w:tc>
        <w:tc>
          <w:tcPr>
            <w:tcW w:type="dxa" w:w="1440"/>
            <w:shd w:fill="FAFAFA" w:val="clear"/>
          </w:tcPr>
          <w:p>
            <w:r>
              <w:rPr>
                <w:b/>
                <w:color w:val="008000"/>
                <w:sz w:val="17"/>
              </w:rPr>
              <w:t>+1.1%</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6,514</w:t>
            </w:r>
          </w:p>
        </w:tc>
        <w:tc>
          <w:tcPr>
            <w:tcW w:type="dxa" w:w="1440"/>
            <w:shd w:fill="FAFAFA" w:val="clear"/>
          </w:tcPr>
          <w:p>
            <w:r>
              <w:rPr>
                <w:b/>
                <w:sz w:val="17"/>
              </w:rPr>
              <w:t>7,680</w:t>
            </w:r>
          </w:p>
        </w:tc>
        <w:tc>
          <w:tcPr>
            <w:tcW w:type="dxa" w:w="1440"/>
            <w:shd w:fill="FAFAFA" w:val="clear"/>
          </w:tcPr>
          <w:p>
            <w:r>
              <w:rPr>
                <w:sz w:val="17"/>
              </w:rPr>
              <w:t>8,847</w:t>
            </w:r>
          </w:p>
        </w:tc>
        <w:tc>
          <w:tcPr>
            <w:tcW w:type="dxa" w:w="1440"/>
            <w:shd w:fill="FAFAFA" w:val="clear"/>
          </w:tcPr>
          <w:p>
            <w:r>
              <w:rPr>
                <w:b/>
                <w:color w:val="008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(SOGB CI)**</w:t>
        <w:br/>
        <w:t>*Bourse Régionale des Valeurs Mobilières (BRVM) — Secteur : Agro-industrie (Hévéa &amp; Palmier à huile)*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164,17 milliards FCFA, la SOGC s'impose comme une valeur de premier plan de la cote BRVM, figurant parmi les plus grandes capitalisations agro-industrielles régionales. Le BPA de 578 FCFA/action signifie que chaque titre génère près de 578 FCFA de bénéfice net, ce qui, rapporté au cours actuel de 7 600 FCFA, donne un PER de 13,1x — un niveau modéré, légèrement supérieur à la moyenne BRVM (~8-12x), traduisant une prime de qualité justifiée par la régularité des résultats. Le P/B de 2,40x indique que le marché valorise l'action à 2,4 fois sa valeur comptable, soit une prime de croissance significative mais non excessive pour une entreprise affichant un ROE de 18,26%. Enfin, l'EV/EBITDA de 6,8x situe la valeur d'entreprise à moins de 7 fois la capacité opérationnelle, un niveau raisonnable qui suggère que le titre n'est ni surévalué ni bradé, avec un potentiel d'appréciation modéré.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la SOGC affiche une variation totale de +0,00%, mais la dernière séance (J-1) a enregistré un repli marqué de -3,80%, signalant une pression vendeuse récente. Le titre a évolué dans un range de 1 675 FCFA, entre un plus bas de 7 200 FCFA et un plus haut de 8 875 FCFA, ce qui témoigne d'une amplitude de trading relativement large pour une valeur de cette taille. La tendance générale apparaît baissière sur la fin de période, le cours actuel (7 600 FCFA) se situant nettement sous la moyenne (8 053 FCFA) et la médiane (8 145 FCFA) — cet écart entre moyenne et médiane confirme une asymétrie négative (skewness de -0,506), avec davantage de journées passées au-dessus de la moyenne avant la correction récente. L'écart-type de 386 FCFA et le coefficient de variation de 4,8% indiquent une dispersion modérée du cours autour de sa moyenne, tandis que le kurtosis de -0,610 (mésokurtique) suggère une distribution proche de la normale, sans risque excessif de pics extrêmes. La volatilité annualisée de 40,8% classe toutefois le titre dans la catégorie des valeurs à volatilité élevée (&gt;30%), ce qui implique un risque de fluctuation important à court terme et justifie une approche prudente.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(8 033,25 FCFA) et la MM50 (8 071,10 FCFA) se situent toutes deux nettement au-dessus du cours actuel (7 600 FCFA), confirmant une configuration baissière où le titre évolue sous ses moyennes de référence. La MM20 étant légèrement inférieure à la MM50, on observe un début de croisement baissier (death cross), ce qui justifie pleinement la décision technique de **Vente**.</w:t>
      </w:r>
    </w:p>
    <w:p>
      <w:pPr>
        <w:spacing w:after="120" w:line="276" w:lineRule="auto"/>
      </w:pPr>
      <w:r>
        <w:t>**Bandes de Bollinger** : Le cours (7 600 FCFA) se situe dans la moitié inférieure de la bande, entre la borne inférieure (7 277,32 FCFA) et la borne supérieure (8 789,18 FCFA), sans atteindre la zone de survente extrême. L'écart entre les bornes (1 511,87 FCFA) reflète une volatilité encore présente, et la position neutre du cours dans le canal justifie la décision **Neutre** de cet indicateur.</w:t>
      </w:r>
    </w:p>
    <w:p>
      <w:pPr>
        <w:spacing w:after="120" w:line="276" w:lineRule="auto"/>
      </w:pPr>
      <w:r>
        <w:t>**MACD** : La ligne MACD (-128,79) est nettement en dessous de sa ligne de signal (-85,40), avec un histogramme négatif qui traduit un momentum baissier persistant. Cette divergence négative confirme que la dynamique de court terme reste défavorable, justifiant la décision de **Vente**.</w:t>
      </w:r>
    </w:p>
    <w:p>
      <w:pPr>
        <w:spacing w:after="120" w:line="276" w:lineRule="auto"/>
      </w:pPr>
      <w:r>
        <w:t>**RSI** : À 47,79, le RSI se situe dans la zone neutre (30-70), sans signal de surachat ni de survente. Cette position médiane indique un équilibre relatif entre acheteurs et vendeurs, ce qui explique la décision **Neutre** — le titre n'est ni dans une zone d'achat opportuniste, ni dans une zone de correction excessive.</w:t>
      </w:r>
    </w:p>
    <w:p>
      <w:pPr>
        <w:spacing w:after="120" w:line="276" w:lineRule="auto"/>
      </w:pPr>
      <w:r>
        <w:t>**Stochastique** : Le %K (35,71) est inférieur au %D (53,37), et les deux lignes se situent dans la zone basse, sans atteindre la zone de survente (&lt;20). L'absence de croisement haussier et la position déclinante du %K suggèrent une poursuite possible de la faiblesse, mais la proximité de la zone de survente incite à la prudence — décision **Neutre**.</w:t>
      </w:r>
    </w:p>
    <w:p>
      <w:pPr>
        <w:spacing w:after="120" w:line="276" w:lineRule="auto"/>
      </w:pPr>
      <w:r>
        <w:t>**Conclusion technique** : La convergence des signaux baissiers (MM, MACD) et la position neutre des oscillateurs (RSI, Stochastique, Bollinger) dressent un tableau technique mitigé à tendance baissière. Le titre est sous pression, mais l'absence de survente extrême laisse entrevoir une possible stabilisation autour des 7 500-7 600 FCFA. Une cassure sous 7 277 FCFA (borne inférieure de Bollinger) aggraverait le signal baissier, tandis qu'un retour au-dessus de 8 033 FCFA (MM20) serait nécessaire pour envisager une reprise.</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la SOGC a réalisé un chiffre d'affaires de 98,98 milliards FCFA, en croissance de 10,70% par rapport à 2024, portée par la hausse des prix de l'huile de palme (+20%) et de palmiste (+47%), ainsi que par la progression des volumes de caoutchouc (+9%). Le résultat net s'établit à 12,49 milliards FCFA, en léger repli de 5% par rapport aux 13,11 milliards de 2024, sous l'effet d'une hausse de 15% des coûts d'achat du coagulum qui a comprimé les marges. La rentabilité reste néanmoins solide, avec un ROE de 18,26% (excellent, &gt;15%) et un ROA de 13,84%, tandis que la marge nette se maintient à 12,62% et la marge opérationnelle à 17,24%. La structure financière est remarquablement saine : l'autonomie financière atteint 75,79%, le ratio d'endettement est faible (24,21%), et la trésorerie nette s'élève à 4,575 milliards FCFA, en amélioration de 3,1 milliards sur l'exercice grâce à un flux opérationnel de 22,64 milliards FCFA. Le BFR de 7,124 milliards FCFA reste maîtrisé, avec des délais clients de 29,60 jours et fournisseurs de 31,72 jours, bien que la durée de stockage de 97,67 jours constitue un point de vigilance. Les rapports trimestriels 2025 (T1, S1, 9M) confirment cette dynamique : au T1 2025 (31 mars 2025), le CA bondissait de +63,1% et le résultat net de +262,9% ; au S1 2025 (30 juin 2025), le CA progressait de +51,9% et le résultat net de +151,6% ; au cumul 9M 2025 (30 septembre 2025), la croissance ralentissait à +21,3% pour le CA et +39,5% pour le résultat net, la direction alertant sur un contexte plus difficile au S2 (concurrence accrue sur le coagulum, baisse des cours SICOM). Sur la base de ces tendances, on estime que l'exercice 2025 devrait se clôturer avec un résultat net autour de 12,5 milliards FCFA, confirmant la normalisation des marges après l'année exceptionnelle 2024. La politique de dividende reste très généreuse, avec un dividende brut proposé de 570 FCFA/action (soit un rendement d'environ 7,5% au cours actuel), représentant un taux de distribution proche de 98% — un niveau élevé qui limite les capacités de réinvestissement mais soutient le cours. En synthèse, la SOGC présente des fondamentaux solides (ROE élevé, structure financière saine, génération de cash-flow robuste), mais fait face à des vents contraires (hausse des coûts, concurrence, volatilité des prix des matières premières) qui pourraient peser sur les marges à moyen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SOGC (PER 13,1x, P/B 2,40x, EV/EBITDA 6,8x) apparaît raisonnable sans être bon marché, le marché accordant une prime de qualité justifiée par la solidité des fondamentaux mais tempérée par les risques sectoriels. Le comportement du cours sur 100 jours est préoccupant : variation nulle sur la période, correction de -3,80% en J-1, et position nettement sous les moyennes mobiles, avec une volatilité élevée (40,8%) et une asymétrie négative (skewness -0,506) qui traduit une pression vendeuse récente. Les signaux techniques sont majoritairement baissiers (MM, MACD) ou neutres (RSI, Stochastique, Bollinger), sans convergence haussière à court terme, ce qui suggère une poursuite de la consolidation. Les fondamentaux restent le principal soutien : ROE de 18,26%, autonomie financière de 75,79%, trésorerie nette positive, et dividende attractif de 570 FCFA/action (rendement ~7,5%), même si la baisse de 5% du résultat net 2025 et les alertes de la direction sur le S2 2025 incitent à la prudence. Les prédictions IA (J+1 à J+10) tablent sur une stabilisation autour de 7 680-7 689 FCFA, confirmant l'absence de rebond imminent et la persistance d'une tendance latérale baissière. Sur la base de cette synthèse, la recommandation finale est **CONSERVER** avec un niveau de confiance **Moyen** et un risque global **Moyen**. En effet, la convergence entre une valorisation correcte, des fondamentaux solides mais en légère dégradation, des signaux techniques baissiers et des prédictions IA sans rebond ne justifie ni un achat agressif (manque de catalyseurs haussiers à court terme), ni une vente (les fondamentaux et le dividende offrent un coussin de sécurité). L'horizon d'investissement optimal est le **moyen terme (3-12 mois)**, en surveillant les prochains rapports trimestriels (T1 2026) pour évaluer si la pression sur les marges se confirme ou si une reprise des cours du caoutchouc et des huiles végétales vient soutenir la rentabilité. Un retour du cours au-dessus de 8 033 FCFA (MM20) constituerait un signal d'entrée opportuniste, tandis qu'une cassure sous 7 200 FCFA (plus bas de la période) inciterait à réduire l'exposition.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42.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195.52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4,697 titres</w:t>
            </w:r>
          </w:p>
        </w:tc>
        <w:tc>
          <w:tcPr>
            <w:tcW w:type="dxa" w:w="2268"/>
            <w:shd w:fill="FFF2CC" w:val="clear"/>
          </w:tcPr>
          <w:p>
            <w:r>
              <w:rPr>
                <w:b/>
                <w:color w:val="503200"/>
                <w:sz w:val="16"/>
              </w:rPr>
              <w:t xml:space="preserve">Cours actuel : </w:t>
            </w:r>
            <w:r>
              <w:rPr>
                <w:color w:val="000000"/>
                <w:sz w:val="17"/>
              </w:rPr>
              <w:t>7,650 FCFA</w:t>
            </w:r>
          </w:p>
          <w:p>
            <w:r>
              <w:rPr>
                <w:b/>
                <w:color w:val="503200"/>
                <w:sz w:val="16"/>
              </w:rPr>
              <w:t xml:space="preserve">Var. 100 jours : </w:t>
            </w:r>
            <w:r>
              <w:rPr>
                <w:b/>
                <w:color w:val="007800"/>
                <w:sz w:val="17"/>
              </w:rPr>
              <w:t>+13.84%</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9.98% (Moyenne) — μ=7,829 FCFA, σ=781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β=0.8166 (Neutre (suit le marché)) — Cov=0.000056, Var(idx)=0.000068, ρ=0.242,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4,697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σ_j=2.79%/j (Stable) — Vol. annualisée≈44.2%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7,169</w:t>
            </w:r>
          </w:p>
        </w:tc>
        <w:tc>
          <w:tcPr>
            <w:tcW w:type="dxa" w:w="1440"/>
            <w:shd w:fill="FAFAFA" w:val="clear"/>
          </w:tcPr>
          <w:p>
            <w:r>
              <w:rPr>
                <w:b/>
                <w:sz w:val="17"/>
              </w:rPr>
              <w:t>7,689</w:t>
            </w:r>
          </w:p>
        </w:tc>
        <w:tc>
          <w:tcPr>
            <w:tcW w:type="dxa" w:w="1440"/>
            <w:shd w:fill="FAFAFA" w:val="clear"/>
          </w:tcPr>
          <w:p>
            <w:r>
              <w:rPr>
                <w:sz w:val="17"/>
              </w:rPr>
              <w:t>8,208</w:t>
            </w:r>
          </w:p>
        </w:tc>
        <w:tc>
          <w:tcPr>
            <w:tcW w:type="dxa" w:w="1440"/>
            <w:shd w:fill="FAFAFA" w:val="clear"/>
          </w:tcPr>
          <w:p>
            <w:r>
              <w:rPr>
                <w:b/>
                <w:color w:val="008000"/>
                <w:sz w:val="17"/>
              </w:rPr>
              <w:t>+0.5%</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6,934</w:t>
            </w:r>
          </w:p>
        </w:tc>
        <w:tc>
          <w:tcPr>
            <w:tcW w:type="dxa" w:w="1440"/>
            <w:shd w:fill="FAFAFA" w:val="clear"/>
          </w:tcPr>
          <w:p>
            <w:r>
              <w:rPr>
                <w:b/>
                <w:sz w:val="17"/>
              </w:rPr>
              <w:t>7,667</w:t>
            </w:r>
          </w:p>
        </w:tc>
        <w:tc>
          <w:tcPr>
            <w:tcW w:type="dxa" w:w="1440"/>
            <w:shd w:fill="FAFAFA" w:val="clear"/>
          </w:tcPr>
          <w:p>
            <w:r>
              <w:rPr>
                <w:sz w:val="17"/>
              </w:rPr>
              <w:t>8,400</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6,756</w:t>
            </w:r>
          </w:p>
        </w:tc>
        <w:tc>
          <w:tcPr>
            <w:tcW w:type="dxa" w:w="1440"/>
            <w:shd w:fill="FAFAFA" w:val="clear"/>
          </w:tcPr>
          <w:p>
            <w:r>
              <w:rPr>
                <w:b/>
                <w:sz w:val="17"/>
              </w:rPr>
              <w:t>7,652</w:t>
            </w:r>
          </w:p>
        </w:tc>
        <w:tc>
          <w:tcPr>
            <w:tcW w:type="dxa" w:w="1440"/>
            <w:shd w:fill="FAFAFA" w:val="clear"/>
          </w:tcPr>
          <w:p>
            <w:r>
              <w:rPr>
                <w:sz w:val="17"/>
              </w:rPr>
              <w:t>8,549</w:t>
            </w:r>
          </w:p>
        </w:tc>
        <w:tc>
          <w:tcPr>
            <w:tcW w:type="dxa" w:w="1440"/>
            <w:shd w:fill="FAFAFA" w:val="clear"/>
          </w:tcPr>
          <w:p>
            <w:r>
              <w:rPr>
                <w:b/>
                <w:color w:val="008000"/>
                <w:sz w:val="17"/>
              </w:rPr>
              <w:t>+0.0%</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6,606</w:t>
            </w:r>
          </w:p>
        </w:tc>
        <w:tc>
          <w:tcPr>
            <w:tcW w:type="dxa" w:w="1440"/>
            <w:shd w:fill="FAFAFA" w:val="clear"/>
          </w:tcPr>
          <w:p>
            <w:r>
              <w:rPr>
                <w:b/>
                <w:sz w:val="17"/>
              </w:rPr>
              <w:t>7,639</w:t>
            </w:r>
          </w:p>
        </w:tc>
        <w:tc>
          <w:tcPr>
            <w:tcW w:type="dxa" w:w="1440"/>
            <w:shd w:fill="FAFAFA" w:val="clear"/>
          </w:tcPr>
          <w:p>
            <w:r>
              <w:rPr>
                <w:sz w:val="17"/>
              </w:rPr>
              <w:t>8,672</w:t>
            </w:r>
          </w:p>
        </w:tc>
        <w:tc>
          <w:tcPr>
            <w:tcW w:type="dxa" w:w="1440"/>
            <w:shd w:fill="FAFAFA" w:val="clear"/>
          </w:tcPr>
          <w:p>
            <w:r>
              <w:rPr>
                <w:b/>
                <w:color w:val="C00000"/>
                <w:sz w:val="17"/>
              </w:rPr>
              <w:t>-0.1%</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6,472</w:t>
            </w:r>
          </w:p>
        </w:tc>
        <w:tc>
          <w:tcPr>
            <w:tcW w:type="dxa" w:w="1440"/>
            <w:shd w:fill="FAFAFA" w:val="clear"/>
          </w:tcPr>
          <w:p>
            <w:r>
              <w:rPr>
                <w:b/>
                <w:sz w:val="17"/>
              </w:rPr>
              <w:t>7,625</w:t>
            </w:r>
          </w:p>
        </w:tc>
        <w:tc>
          <w:tcPr>
            <w:tcW w:type="dxa" w:w="1440"/>
            <w:shd w:fill="FAFAFA" w:val="clear"/>
          </w:tcPr>
          <w:p>
            <w:r>
              <w:rPr>
                <w:sz w:val="17"/>
              </w:rPr>
              <w:t>8,778</w:t>
            </w:r>
          </w:p>
        </w:tc>
        <w:tc>
          <w:tcPr>
            <w:tcW w:type="dxa" w:w="1440"/>
            <w:shd w:fill="FAFAFA" w:val="clear"/>
          </w:tcPr>
          <w:p>
            <w:r>
              <w:rPr>
                <w:b/>
                <w:color w:val="C00000"/>
                <w:sz w:val="17"/>
              </w:rPr>
              <w:t>-0.3%</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6,352</w:t>
            </w:r>
          </w:p>
        </w:tc>
        <w:tc>
          <w:tcPr>
            <w:tcW w:type="dxa" w:w="1440"/>
            <w:shd w:fill="FAFAFA" w:val="clear"/>
          </w:tcPr>
          <w:p>
            <w:r>
              <w:rPr>
                <w:b/>
                <w:sz w:val="17"/>
              </w:rPr>
              <w:t>7,612</w:t>
            </w:r>
          </w:p>
        </w:tc>
        <w:tc>
          <w:tcPr>
            <w:tcW w:type="dxa" w:w="1440"/>
            <w:shd w:fill="FAFAFA" w:val="clear"/>
          </w:tcPr>
          <w:p>
            <w:r>
              <w:rPr>
                <w:sz w:val="17"/>
              </w:rPr>
              <w:t>8,873</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6,240</w:t>
            </w:r>
          </w:p>
        </w:tc>
        <w:tc>
          <w:tcPr>
            <w:tcW w:type="dxa" w:w="1440"/>
            <w:shd w:fill="FAFAFA" w:val="clear"/>
          </w:tcPr>
          <w:p>
            <w:r>
              <w:rPr>
                <w:b/>
                <w:sz w:val="17"/>
              </w:rPr>
              <w:t>7,599</w:t>
            </w:r>
          </w:p>
        </w:tc>
        <w:tc>
          <w:tcPr>
            <w:tcW w:type="dxa" w:w="1440"/>
            <w:shd w:fill="FAFAFA" w:val="clear"/>
          </w:tcPr>
          <w:p>
            <w:r>
              <w:rPr>
                <w:sz w:val="17"/>
              </w:rPr>
              <w:t>8,959</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6,136</w:t>
            </w:r>
          </w:p>
        </w:tc>
        <w:tc>
          <w:tcPr>
            <w:tcW w:type="dxa" w:w="1440"/>
            <w:shd w:fill="FAFAFA" w:val="clear"/>
          </w:tcPr>
          <w:p>
            <w:r>
              <w:rPr>
                <w:b/>
                <w:sz w:val="17"/>
              </w:rPr>
              <w:t>7,587</w:t>
            </w:r>
          </w:p>
        </w:tc>
        <w:tc>
          <w:tcPr>
            <w:tcW w:type="dxa" w:w="1440"/>
            <w:shd w:fill="FAFAFA" w:val="clear"/>
          </w:tcPr>
          <w:p>
            <w:r>
              <w:rPr>
                <w:sz w:val="17"/>
              </w:rPr>
              <w:t>9,038</w:t>
            </w:r>
          </w:p>
        </w:tc>
        <w:tc>
          <w:tcPr>
            <w:tcW w:type="dxa" w:w="1440"/>
            <w:shd w:fill="FAFAFA" w:val="clear"/>
          </w:tcPr>
          <w:p>
            <w:r>
              <w:rPr>
                <w:b/>
                <w:color w:val="C00000"/>
                <w:sz w:val="17"/>
              </w:rPr>
              <w:t>-0.8%</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6,038</w:t>
            </w:r>
          </w:p>
        </w:tc>
        <w:tc>
          <w:tcPr>
            <w:tcW w:type="dxa" w:w="1440"/>
            <w:shd w:fill="FAFAFA" w:val="clear"/>
          </w:tcPr>
          <w:p>
            <w:r>
              <w:rPr>
                <w:b/>
                <w:sz w:val="17"/>
              </w:rPr>
              <w:t>7,575</w:t>
            </w:r>
          </w:p>
        </w:tc>
        <w:tc>
          <w:tcPr>
            <w:tcW w:type="dxa" w:w="1440"/>
            <w:shd w:fill="FAFAFA" w:val="clear"/>
          </w:tcPr>
          <w:p>
            <w:r>
              <w:rPr>
                <w:sz w:val="17"/>
              </w:rPr>
              <w:t>9,111</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5,946</w:t>
            </w:r>
          </w:p>
        </w:tc>
        <w:tc>
          <w:tcPr>
            <w:tcW w:type="dxa" w:w="1440"/>
            <w:shd w:fill="FAFAFA" w:val="clear"/>
          </w:tcPr>
          <w:p>
            <w:r>
              <w:rPr>
                <w:b/>
                <w:sz w:val="17"/>
              </w:rPr>
              <w:t>7,563</w:t>
            </w:r>
          </w:p>
        </w:tc>
        <w:tc>
          <w:tcPr>
            <w:tcW w:type="dxa" w:w="1440"/>
            <w:shd w:fill="FAFAFA" w:val="clear"/>
          </w:tcPr>
          <w:p>
            <w:r>
              <w:rPr>
                <w:sz w:val="17"/>
              </w:rPr>
              <w:t>9,180</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 RAPPORT D'ANALYSE FINANCIÈRE — SPHC (SAPH CI)</w:t>
        <w:br/>
        <w:t>**Bourse Régionale des Valeurs Mobilières (BRVM) — Secteur : Agro-industrie / Hévéa**</w:t>
        <w:br/>
        <w:t>*Date d'analyse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195,52 milliards FCFA, SPHC s'impose comme une valeur de premier plan de la cote BRVM, représentant un pilier du compartiment agro-industriel régional. Le BPA de 977 FCFA/action signifie que chaque titre génère près d'un millier de francs de bénéfice net, un niveau de rentabilité par action remarquable pour le marché. Le PER de 7,8x traduit un prix payé par les investisseurs inférieur à la moyenne du marché BRVM (généralement située entre 8x et 12x), signalant une potentielle sous-évaluation relative. Le P/B de 1,42x indique que le marché valorise l'entreprise à 42% au-dessus de sa valeur comptable, ce qui reste raisonnable et reflète une prime modérée pour la qualité des actifs et la rentabilité. Enfin, l'EV/EBITDA de 5,0x — sous le seuil symbolique des 5x — confirme que la valeur d'entreprise (capitalisation + dette nette) est très bon marché au regard de la capacité opérationnelle de génération de cash, ce qui constitue un signal d'achat fondamental fort.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SPHC affiche une variation totale positive de +13,84%, malgré un repli de -3,16% lors de la dernière séance (J-1), matérialisant une correction de court terme après une dynamique haussière. Le cours actuel de 7 650 FCFA se situe dans la partie médiane du range de trading, encadré par un plus haut de 10 300 FCFA et un plus bas de 6 720 FCFA, soit une amplitude de 53% qui témoigne d'une forte volatilité sur la période. La tendance générale demeure haussière sur le trimestre, mais le titre a manifestement entamé une phase de consolidation après avoir atteint son sommet. Les statistiques descriptives révèlent une moyenne de 7 829 FCFA légèrement supérieure à la médiane de 7 600 FCFA, avec un mode à 7 500 FCFA : cet écart modéré entre moyenne et médiane, combiné à un skewness positif de 1,418, indique une asymétrie à droite — autrement dit, davantage de journées de cotation se situent sous la moyenne, avec quelques pics haussiers marqués qui tirent la moyenne vers le haut. L'écart-type de 785 FCFA (CV = 10,0%) traduit une dispersion modérée du cours autour de sa moyenne, tandis que le kurtosis de 1,547 (leptokurtique) signale des queues épaisses, c'est-à-dire un risque accru de mouvements extrêmes (pics de volatilité). La volatilité annualisée de 44,2% classe SPHC dans la catégorie des titres à volatilité élevée (&gt;30%), ce qui implique un risque de marché significatif et justifie une approche prudente en termes de dimensionnement de position.</w:t>
      </w:r>
    </w:p>
    <w:p>
      <w:pPr>
        <w:spacing w:after="120" w:line="276" w:lineRule="auto"/>
      </w:pPr>
      <w:r>
        <w:t>---</w:t>
      </w:r>
    </w:p>
    <w:p>
      <w:pPr>
        <w:spacing w:after="120" w:line="276" w:lineRule="auto"/>
      </w:pPr>
      <w:r>
        <w:t>## PARTIE 2 : ANALYSE TECHNIQUE DÉTAILLÉE</w:t>
      </w:r>
    </w:p>
    <w:p>
      <w:pPr>
        <w:spacing w:after="120" w:line="276" w:lineRule="auto"/>
      </w:pPr>
      <w:r>
        <w:t>**Moyennes Mobiles** : La MM20 s'établit à 8 442,75 FCFA et la MM50 à 8 257,2 FCFA, toutes deux nettement supérieures au cours actuel de 7 650 FCFA, ce qui place le titre en position baissière à court terme par rapport à ses références mobiles. Cependant, la MM20 étant au-dessus de la MM50, la configuration reste haussière de fond, et la décision technique affichée est "Achat", suggérant que le repli actuel pourrait constituer une opportunité de rebond vers les moyennes.</w:t>
      </w:r>
    </w:p>
    <w:p>
      <w:pPr>
        <w:spacing w:after="120" w:line="276" w:lineRule="auto"/>
      </w:pPr>
      <w:r>
        <w:t>**Bandes de Bollinger** : La borne supérieure se situe à 10 285,81 FCFA et la borne inférieure à 6 599,69 FCFA, avec un cours actuel de 7 650 FCFA positionné dans la moitié basse du canal. Cette position, proche de la borne inférieure, indique que le titre évolue dans une zone de faiblesse relative mais sans atteindre le seuil de survente extrême, ce qui justifie une décision "Neutre" — le potentiel de rebond existe mais n'est pas encore confirmé.</w:t>
      </w:r>
    </w:p>
    <w:p>
      <w:pPr>
        <w:spacing w:after="120" w:line="276" w:lineRule="auto"/>
      </w:pPr>
      <w:r>
        <w:t>**MACD** : La valeur du MACD est de -269,96 contre un signal à -169,24, soit une divergence négative où le MACD évolue sous sa ligne de signal. Cet écart négatif traduit un momentum baissier persistant, et la décision "Vente" confirme que la dynamique de court terme reste défavorable malgré la tendance haussière de fond.</w:t>
      </w:r>
    </w:p>
    <w:p>
      <w:pPr>
        <w:spacing w:after="120" w:line="276" w:lineRule="auto"/>
      </w:pPr>
      <w:r>
        <w:t>**RSI** : À 32,314, le RSI se situe juste au-dessus du seuil de survente (30), dans une zone neutre basse qui indique une pression vendeuse significative sans capitulation totale. La décision "Neutre" reflète cette position charnière : un franchissement à la baisse du seuil de 30 déclencherait un signal d'achat contrarien, tandis qu'une remontée au-dessus de 40 confirmerait une stabilisation.</w:t>
      </w:r>
    </w:p>
    <w:p>
      <w:pPr>
        <w:spacing w:after="120" w:line="276" w:lineRule="auto"/>
      </w:pPr>
      <w:r>
        <w:t>**Stochastique** : Le %K à 18,75 et le %D à 21,486 se situent tous deux en zone de survente (&lt;20 pour le %K), avec un %K légèrement sous le %D. Cette configuration suggère que le mouvement baissier pourrait s'essouffler, et la décision "Achat" repose sur l'anticipation d'un croisement haussier imminent du %K au-dessus du %D, signal classique de retournement.</w:t>
      </w:r>
    </w:p>
    <w:p>
      <w:pPr>
        <w:spacing w:after="120" w:line="276" w:lineRule="auto"/>
      </w:pPr>
      <w:r>
        <w:t>**Conclusion technique** : Les indicateurs présentent une divergence notable : les moyennes mobiles et le stochastique plaident pour un achat (rebond potentiel), tandis que le MACD confirme une vente (momentum baissier) et que le RSI et les Bollinger restent neutres. Cette configuration mitigée, avec un titre en zone de survente technique mais un momentum encore négatif, suggère une phase de consolidation en cours. La convergence des signaux d'achat (MM, Stochastique) avec la neutralité du RSI et des Bollinger penche légèrement en faveur d'un rebond à court terme, mais la prudence reste de mise tant que le MACD n'amorce pas de retournement.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SPHC a réalisé un chiffre d'affaires de 340,831 milliards FCFA, en croissance de 21,97% par rapport à 2024, porté par une hausse des volumes vendus et des prix moyens de vente. Le résultat net s'établit à 24,972 milliards FCFA, en progression de 32,9%, avec une marge nette de 7,33% (contre 6,7% en 2024). La rentabilité des fonds propres (ROE) atteint 18,10% — un niveau excellent (&gt;15%) — et le ROA s'élève à 11,06%, confirmant une utilisation efficace des actifs. La structure financière est solide avec une autonomie financière de 61,08% (capitaux propres/total bilan) et un ratio d'endettement maîtrisé de 25,81%. Le BFR de 65,389 milliards FCFA et la trésorerie nette négative de -15,413 milliards FCFA constituent des points de vigilance, caractéristiques du secteur, mais compensés par une capacité de remboursement de 0,97 an (dettes financières/CAF) et une couverture des intérêts de 1094,57%. Les délais clients (35 jours) et de stockage (72,33 jours) restent modérés pour une entreprise agro-industrielle.</w:t>
      </w:r>
    </w:p>
    <w:p>
      <w:pPr>
        <w:spacing w:after="120" w:line="276" w:lineRule="auto"/>
      </w:pPr>
      <w:r>
        <w:t>**Estimations basées sur les rapports trimestriels** : Le rapport T1 2026 (publié en 2026) révèle un net ralentissement avec un chiffre d'affaires de 71,8 milliards XOF (-24%) et un résultat net de 2,6 milliards XOF (-78%), pénalisé par la chute des cours mondiaux du caoutchouc (SICOM 20 à 1,91 USD/kg), l'engorgement du port de San Pedro et la concurrence accrue sur l'achat de matière première. Le résultat d'exploitation chute à 4,5 milliards XOF (-73%), bien que le résultat financier s'améliore de 13% grâce au désendettement. Sur la base de ce T1 2026, on estime que l'exercice 2026 devrait afficher une contraction significative de la rentabilité par rapport à 2025, avec un résultat net potentiellement divisé par deux si la tendance se poursuit. Toutefois, les rapports T3 2025 (datés du 30/09/2025) montraient encore une dynamique positive avec un CA de 253,7 milliards FCFA (+36%) et un résultat net de 23,2 milliards FCFA (+131%), soulignant la brutalité du retournement au T1 2026. La société conserve néanmoins une structure financière solide et poursuit ses investissements stratégiques, avec une avance sur la réglementation EUDR qui pourrait devenir un avantage compétitif majeur.</w:t>
      </w:r>
    </w:p>
    <w:p>
      <w:pPr>
        <w:spacing w:after="120" w:line="276" w:lineRule="auto"/>
      </w:pPr>
      <w:r>
        <w:t>**Recommandation fondamentale** : SPHC présente des fondamentaux historiquement solides (ROE 18,1%, marge nette en amélioration, endettement maîtrisé) mais fait face à un choc conjoncturel sévère en 2026 (chute des cours, tensions sur l'approvisionnement). La valorisation actuelle (PER 7,8x, EV/EBITDA 5,0x) intègre déjà une partie de cette dégradation, mais le risque de révision baissière des bénéfices 2026 reste élevé. La solidité du bilan et la politique de dividende généreuse (489 FCFA/action proposé, soit un rendement de 6,4% au cours actuel) offrent un coussin de sécurité, mais la prudence est de mise à court terme.</w:t>
      </w:r>
    </w:p>
    <w:p>
      <w:pPr>
        <w:spacing w:after="120" w:line="276" w:lineRule="auto"/>
      </w:pPr>
      <w:r>
        <w:t>---</w:t>
      </w:r>
    </w:p>
    <w:p>
      <w:pPr>
        <w:spacing w:after="120" w:line="276" w:lineRule="auto"/>
      </w:pPr>
      <w:r>
        <w:t>## PARTIE 4 : CONCLUSION D'INVESTISSEMENT</w:t>
      </w:r>
    </w:p>
    <w:p>
      <w:pPr>
        <w:spacing w:after="120" w:line="276" w:lineRule="auto"/>
      </w:pPr>
      <w:r>
        <w:t>La valorisation de SPHC (PER 7,8x, P/B 1,42x, EV/EBITDA 5,0x) plaide clairement pour une sous-évaluation relative par rapport aux moyennes du marché BRVM, avec un potentiel de revalorisation si les bénéfices se stabilisent. Le comportement du cours sur 100 jours (+13,84%) reste positif malgré la correction récente (-3,16% en J-1), mais la volatilité élevée (44,2% annualisée) et le kurtosis leptokurtique (1,547) signalent un risque de mouvements extrêmes, tandis que le skewness positif (1,418) indique une asymétrie défavorable avec davantage de journées sous la moyenne. Les signaux techniques sont mitigés : les moyennes mobiles et le stochastique suggèrent un rebond (décision "Achat"), mais le MACD confirme un momentum baissier (décision "Vente"), le RSI et les Bollinger restant neutres — cette divergence plaide pour une consolidation avant tout rebond durable. Les fondamentaux 2025 sont excellents (CA +22%, RN +32,9%, ROE 18,1%), mais le T1 2026 (CA -24%, RN -78%) révèle un retournement brutal qui devrait peser sur l'exercice en cours, même si la structure financière reste solide et le dividende attractif. Les prédictions IA (J+1 à J+10) anticipent une légère dérive baissière vers 7 625 FCFA, confirmant la pression baissière de court terme sans effondrement. **En synthèse, la convergence entre une valorisation bon marché, des fondamentaux 2025 solides mais un net ralentissement en 2026, des signaux techniques divergents et des prédictions baissières à court terme conduit à une recommandation de CONSERVER.** Le niveau de confiance est Moyen (incertitude sur l'ampleur de la dégradation en 2026) et le risque global est Élevé (volatilité du caoutchouc, tensions sur l'approvisionnement, trésorerie négative). L'horizon d'investissement optimal est le moyen terme (3-12 mois), en attendant une clarification sur les cours du caoutchouc et la capacité de SPHC à préserver ses marges dans un environnement concurrentiel accru. Un passage à l'achat pourrait être envisagé si le titre revient vers 7 000-7 200 FCFA (zone de support) ou si les cours du caoutchouc se redressent durablement.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43.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C7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6,155 titres</w:t>
            </w:r>
          </w:p>
        </w:tc>
        <w:tc>
          <w:tcPr>
            <w:tcW w:type="dxa" w:w="2268"/>
            <w:shd w:fill="FFF2CC" w:val="clear"/>
          </w:tcPr>
          <w:p>
            <w:r>
              <w:rPr>
                <w:b/>
                <w:color w:val="503200"/>
                <w:sz w:val="16"/>
              </w:rPr>
              <w:t xml:space="preserve">Cours actuel : </w:t>
            </w:r>
            <w:r>
              <w:rPr>
                <w:color w:val="000000"/>
                <w:sz w:val="17"/>
              </w:rPr>
              <w:t>2,240 FCFA</w:t>
            </w:r>
          </w:p>
          <w:p>
            <w:r>
              <w:rPr>
                <w:b/>
                <w:color w:val="503200"/>
                <w:sz w:val="16"/>
              </w:rPr>
              <w:t xml:space="preserve">Var. 100 jours : </w:t>
            </w:r>
            <w:r>
              <w:rPr>
                <w:b/>
                <w:color w:val="B40000"/>
                <w:sz w:val="17"/>
              </w:rPr>
              <w:t>-24.07%</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2,085 FCFA</w:t>
            </w:r>
          </w:p>
          <w:p>
            <w:r>
              <w:rPr>
                <w:b/>
                <w:color w:val="503200"/>
                <w:sz w:val="16"/>
              </w:rPr>
              <w:t xml:space="preserve">Volatilité ann. : </w:t>
            </w:r>
            <w:r>
              <w:rPr>
                <w:color w:val="000000"/>
                <w:sz w:val="17"/>
              </w:rPr>
              <w:t>60.8%</w:t>
            </w:r>
          </w:p>
        </w:tc>
        <w:tc>
          <w:tcPr>
            <w:tcW w:type="dxa" w:w="2835"/>
            <w:shd w:fill="FCE4D6" w:val="clear"/>
          </w:tcPr>
          <w:p>
            <w:r>
              <w:rPr>
                <w:b/>
                <w:color w:val="500000"/>
                <w:sz w:val="16"/>
              </w:rPr>
              <w:t xml:space="preserve">Recommandation : </w:t>
            </w:r>
            <w:r>
              <w:rPr>
                <w:b/>
                <w:color w:val="C80000"/>
                <w:sz w:val="19"/>
              </w:rPr>
              <w:t>VENTE</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Faible</w:t>
            </w:r>
          </w:p>
        </w:tc>
      </w:tr>
    </w:tbl>
    <w:p/>
    <w:p>
      <w:pPr>
        <w:spacing w:before="120" w:after="40"/>
      </w:pPr>
      <w:r>
        <w:rPr>
          <w:b/>
          <w:color w:val="003366"/>
          <w:sz w:val="20"/>
        </w:rPr>
        <w:t xml:space="preserve">⚠️ SCORE DE RISQUE — </w:t>
      </w:r>
      <w:r>
        <w:rPr>
          <w:b/>
          <w:color w:val="825A00"/>
          <w:sz w:val="22"/>
        </w:rPr>
        <w:t>20.0/100 → Moyen</w:t>
      </w:r>
    </w:p>
    <w:p>
      <w:pPr>
        <w:spacing w:before="40" w:after="80"/>
      </w:pPr>
      <w:r>
        <w:rPr>
          <w:rFonts w:ascii="Courier New" w:hAnsi="Courier New"/>
          <w:color w:val="825A00"/>
          <w:sz w:val="18"/>
        </w:rPr>
        <w:t>████░░░░░░░░░░░░░░░░  20.0/100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13.58% (Moyenne) — μ=2,883 FCFA, σ=392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β=-0.0450 (Contre-cyclique) — Cov=-0.000003, Var(idx)=0.000068, ρ=-0.010,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σ_j=3.83%/j (Modérée) — Vol. annualisée≈60.8%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C00000"/>
          <w:sz w:val="26"/>
        </w:rPr>
        <w:t>36/100  (Faible)</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2026-09-29</w:t>
            </w:r>
          </w:p>
        </w:tc>
        <w:tc>
          <w:tcPr>
            <w:tcW w:type="dxa" w:w="1440"/>
            <w:shd w:fill="FAFAFA" w:val="clear"/>
          </w:tcPr>
          <w:p>
            <w:r>
              <w:rPr>
                <w:sz w:val="17"/>
              </w:rPr>
              <w:t>2,086</w:t>
            </w:r>
          </w:p>
        </w:tc>
        <w:tc>
          <w:tcPr>
            <w:tcW w:type="dxa" w:w="1440"/>
            <w:shd w:fill="FAFAFA" w:val="clear"/>
          </w:tcPr>
          <w:p>
            <w:r>
              <w:rPr>
                <w:b/>
                <w:sz w:val="17"/>
              </w:rPr>
              <w:t>2,216</w:t>
            </w:r>
          </w:p>
        </w:tc>
        <w:tc>
          <w:tcPr>
            <w:tcW w:type="dxa" w:w="1440"/>
            <w:shd w:fill="FAFAFA" w:val="clear"/>
          </w:tcPr>
          <w:p>
            <w:r>
              <w:rPr>
                <w:sz w:val="17"/>
              </w:rPr>
              <w:t>2,345</w:t>
            </w:r>
          </w:p>
        </w:tc>
        <w:tc>
          <w:tcPr>
            <w:tcW w:type="dxa" w:w="1440"/>
            <w:shd w:fill="FAFAFA" w:val="clear"/>
          </w:tcPr>
          <w:p>
            <w:r>
              <w:rPr>
                <w:b/>
                <w:color w:val="C00000"/>
                <w:sz w:val="17"/>
              </w:rPr>
              <w:t>-1.1%</w:t>
            </w:r>
          </w:p>
        </w:tc>
      </w:tr>
      <w:tr>
        <w:tc>
          <w:tcPr>
            <w:tcW w:type="dxa" w:w="1440"/>
            <w:shd w:fill="FAFAFA" w:val="clear"/>
          </w:tcPr>
          <w:p>
            <w:r>
              <w:rPr>
                <w:sz w:val="17"/>
              </w:rPr>
              <w:t>J+2  Moyenne</w:t>
            </w:r>
          </w:p>
        </w:tc>
        <w:tc>
          <w:tcPr>
            <w:tcW w:type="dxa" w:w="1440"/>
            <w:shd w:fill="FAFAFA" w:val="clear"/>
          </w:tcPr>
          <w:p>
            <w:r>
              <w:rPr>
                <w:sz w:val="17"/>
              </w:rPr>
              <w:t>2026-09-30</w:t>
            </w:r>
          </w:p>
        </w:tc>
        <w:tc>
          <w:tcPr>
            <w:tcW w:type="dxa" w:w="1440"/>
            <w:shd w:fill="FAFAFA" w:val="clear"/>
          </w:tcPr>
          <w:p>
            <w:r>
              <w:rPr>
                <w:sz w:val="17"/>
              </w:rPr>
              <w:t>2,044</w:t>
            </w:r>
          </w:p>
        </w:tc>
        <w:tc>
          <w:tcPr>
            <w:tcW w:type="dxa" w:w="1440"/>
            <w:shd w:fill="FAFAFA" w:val="clear"/>
          </w:tcPr>
          <w:p>
            <w:r>
              <w:rPr>
                <w:b/>
                <w:sz w:val="17"/>
              </w:rPr>
              <w:t>2,228</w:t>
            </w:r>
          </w:p>
        </w:tc>
        <w:tc>
          <w:tcPr>
            <w:tcW w:type="dxa" w:w="1440"/>
            <w:shd w:fill="FAFAFA" w:val="clear"/>
          </w:tcPr>
          <w:p>
            <w:r>
              <w:rPr>
                <w:sz w:val="17"/>
              </w:rPr>
              <w:t>2,413</w:t>
            </w:r>
          </w:p>
        </w:tc>
        <w:tc>
          <w:tcPr>
            <w:tcW w:type="dxa" w:w="1440"/>
            <w:shd w:fill="FAFAFA" w:val="clear"/>
          </w:tcPr>
          <w:p>
            <w:r>
              <w:rPr>
                <w:b/>
                <w:color w:val="C00000"/>
                <w:sz w:val="17"/>
              </w:rPr>
              <w:t>-0.5%</w:t>
            </w:r>
          </w:p>
        </w:tc>
      </w:tr>
      <w:tr>
        <w:tc>
          <w:tcPr>
            <w:tcW w:type="dxa" w:w="1440"/>
            <w:shd w:fill="FAFAFA" w:val="clear"/>
          </w:tcPr>
          <w:p>
            <w:r>
              <w:rPr>
                <w:sz w:val="17"/>
              </w:rPr>
              <w:t>J+3  Moyenne</w:t>
            </w:r>
          </w:p>
        </w:tc>
        <w:tc>
          <w:tcPr>
            <w:tcW w:type="dxa" w:w="1440"/>
            <w:shd w:fill="FAFAFA" w:val="clear"/>
          </w:tcPr>
          <w:p>
            <w:r>
              <w:rPr>
                <w:sz w:val="17"/>
              </w:rPr>
              <w:t>2026-10-01</w:t>
            </w:r>
          </w:p>
        </w:tc>
        <w:tc>
          <w:tcPr>
            <w:tcW w:type="dxa" w:w="1440"/>
            <w:shd w:fill="FAFAFA" w:val="clear"/>
          </w:tcPr>
          <w:p>
            <w:r>
              <w:rPr>
                <w:sz w:val="17"/>
              </w:rPr>
              <w:t>2,004</w:t>
            </w:r>
          </w:p>
        </w:tc>
        <w:tc>
          <w:tcPr>
            <w:tcW w:type="dxa" w:w="1440"/>
            <w:shd w:fill="FAFAFA" w:val="clear"/>
          </w:tcPr>
          <w:p>
            <w:r>
              <w:rPr>
                <w:b/>
                <w:sz w:val="17"/>
              </w:rPr>
              <w:t>2,231</w:t>
            </w:r>
          </w:p>
        </w:tc>
        <w:tc>
          <w:tcPr>
            <w:tcW w:type="dxa" w:w="1440"/>
            <w:shd w:fill="FAFAFA" w:val="clear"/>
          </w:tcPr>
          <w:p>
            <w:r>
              <w:rPr>
                <w:sz w:val="17"/>
              </w:rPr>
              <w:t>2,457</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1,967</w:t>
            </w:r>
          </w:p>
        </w:tc>
        <w:tc>
          <w:tcPr>
            <w:tcW w:type="dxa" w:w="1440"/>
            <w:shd w:fill="FAFAFA" w:val="clear"/>
          </w:tcPr>
          <w:p>
            <w:r>
              <w:rPr>
                <w:b/>
                <w:sz w:val="17"/>
              </w:rPr>
              <w:t>2,228</w:t>
            </w:r>
          </w:p>
        </w:tc>
        <w:tc>
          <w:tcPr>
            <w:tcW w:type="dxa" w:w="1440"/>
            <w:shd w:fill="FAFAFA" w:val="clear"/>
          </w:tcPr>
          <w:p>
            <w:r>
              <w:rPr>
                <w:sz w:val="17"/>
              </w:rPr>
              <w:t>2,489</w:t>
            </w:r>
          </w:p>
        </w:tc>
        <w:tc>
          <w:tcPr>
            <w:tcW w:type="dxa" w:w="1440"/>
            <w:shd w:fill="FAFAFA" w:val="clear"/>
          </w:tcPr>
          <w:p>
            <w:r>
              <w:rPr>
                <w:b/>
                <w:color w:val="C00000"/>
                <w:sz w:val="17"/>
              </w:rPr>
              <w:t>-0.5%</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1,932</w:t>
            </w:r>
          </w:p>
        </w:tc>
        <w:tc>
          <w:tcPr>
            <w:tcW w:type="dxa" w:w="1440"/>
            <w:shd w:fill="FAFAFA" w:val="clear"/>
          </w:tcPr>
          <w:p>
            <w:r>
              <w:rPr>
                <w:b/>
                <w:sz w:val="17"/>
              </w:rPr>
              <w:t>2,224</w:t>
            </w:r>
          </w:p>
        </w:tc>
        <w:tc>
          <w:tcPr>
            <w:tcW w:type="dxa" w:w="1440"/>
            <w:shd w:fill="FAFAFA" w:val="clear"/>
          </w:tcPr>
          <w:p>
            <w:r>
              <w:rPr>
                <w:sz w:val="17"/>
              </w:rPr>
              <w:t>2,515</w:t>
            </w:r>
          </w:p>
        </w:tc>
        <w:tc>
          <w:tcPr>
            <w:tcW w:type="dxa" w:w="1440"/>
            <w:shd w:fill="FAFAFA" w:val="clear"/>
          </w:tcPr>
          <w:p>
            <w:r>
              <w:rPr>
                <w:b/>
                <w:color w:val="C00000"/>
                <w:sz w:val="17"/>
              </w:rPr>
              <w:t>-0.7%</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1,900</w:t>
            </w:r>
          </w:p>
        </w:tc>
        <w:tc>
          <w:tcPr>
            <w:tcW w:type="dxa" w:w="1440"/>
            <w:shd w:fill="FAFAFA" w:val="clear"/>
          </w:tcPr>
          <w:p>
            <w:r>
              <w:rPr>
                <w:b/>
                <w:sz w:val="17"/>
              </w:rPr>
              <w:t>2,218</w:t>
            </w:r>
          </w:p>
        </w:tc>
        <w:tc>
          <w:tcPr>
            <w:tcW w:type="dxa" w:w="1440"/>
            <w:shd w:fill="FAFAFA" w:val="clear"/>
          </w:tcPr>
          <w:p>
            <w:r>
              <w:rPr>
                <w:sz w:val="17"/>
              </w:rPr>
              <w:t>2,536</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1,870</w:t>
            </w:r>
          </w:p>
        </w:tc>
        <w:tc>
          <w:tcPr>
            <w:tcW w:type="dxa" w:w="1440"/>
            <w:shd w:fill="FAFAFA" w:val="clear"/>
          </w:tcPr>
          <w:p>
            <w:r>
              <w:rPr>
                <w:b/>
                <w:sz w:val="17"/>
              </w:rPr>
              <w:t>2,213</w:t>
            </w:r>
          </w:p>
        </w:tc>
        <w:tc>
          <w:tcPr>
            <w:tcW w:type="dxa" w:w="1440"/>
            <w:shd w:fill="FAFAFA" w:val="clear"/>
          </w:tcPr>
          <w:p>
            <w:r>
              <w:rPr>
                <w:sz w:val="17"/>
              </w:rPr>
              <w:t>2,555</w:t>
            </w:r>
          </w:p>
        </w:tc>
        <w:tc>
          <w:tcPr>
            <w:tcW w:type="dxa" w:w="1440"/>
            <w:shd w:fill="FAFAFA" w:val="clear"/>
          </w:tcPr>
          <w:p>
            <w:r>
              <w:rPr>
                <w:b/>
                <w:color w:val="C00000"/>
                <w:sz w:val="17"/>
              </w:rPr>
              <w:t>-1.2%</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1,842</w:t>
            </w:r>
          </w:p>
        </w:tc>
        <w:tc>
          <w:tcPr>
            <w:tcW w:type="dxa" w:w="1440"/>
            <w:shd w:fill="FAFAFA" w:val="clear"/>
          </w:tcPr>
          <w:p>
            <w:r>
              <w:rPr>
                <w:b/>
                <w:sz w:val="17"/>
              </w:rPr>
              <w:t>2,207</w:t>
            </w:r>
          </w:p>
        </w:tc>
        <w:tc>
          <w:tcPr>
            <w:tcW w:type="dxa" w:w="1440"/>
            <w:shd w:fill="FAFAFA" w:val="clear"/>
          </w:tcPr>
          <w:p>
            <w:r>
              <w:rPr>
                <w:sz w:val="17"/>
              </w:rPr>
              <w:t>2,573</w:t>
            </w:r>
          </w:p>
        </w:tc>
        <w:tc>
          <w:tcPr>
            <w:tcW w:type="dxa" w:w="1440"/>
            <w:shd w:fill="FAFAFA" w:val="clear"/>
          </w:tcPr>
          <w:p>
            <w:r>
              <w:rPr>
                <w:b/>
                <w:color w:val="C00000"/>
                <w:sz w:val="17"/>
              </w:rPr>
              <w:t>-1.5%</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1,816</w:t>
            </w:r>
          </w:p>
        </w:tc>
        <w:tc>
          <w:tcPr>
            <w:tcW w:type="dxa" w:w="1440"/>
            <w:shd w:fill="FAFAFA" w:val="clear"/>
          </w:tcPr>
          <w:p>
            <w:r>
              <w:rPr>
                <w:b/>
                <w:sz w:val="17"/>
              </w:rPr>
              <w:t>2,203</w:t>
            </w:r>
          </w:p>
        </w:tc>
        <w:tc>
          <w:tcPr>
            <w:tcW w:type="dxa" w:w="1440"/>
            <w:shd w:fill="FAFAFA" w:val="clear"/>
          </w:tcPr>
          <w:p>
            <w:r>
              <w:rPr>
                <w:sz w:val="17"/>
              </w:rPr>
              <w:t>2,589</w:t>
            </w:r>
          </w:p>
        </w:tc>
        <w:tc>
          <w:tcPr>
            <w:tcW w:type="dxa" w:w="1440"/>
            <w:shd w:fill="FAFAFA" w:val="clear"/>
          </w:tcPr>
          <w:p>
            <w:r>
              <w:rPr>
                <w:b/>
                <w:color w:val="C00000"/>
                <w:sz w:val="17"/>
              </w:rPr>
              <w:t>-1.7%</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1,791</w:t>
            </w:r>
          </w:p>
        </w:tc>
        <w:tc>
          <w:tcPr>
            <w:tcW w:type="dxa" w:w="1440"/>
            <w:shd w:fill="FAFAFA" w:val="clear"/>
          </w:tcPr>
          <w:p>
            <w:r>
              <w:rPr>
                <w:b/>
                <w:sz w:val="17"/>
              </w:rPr>
              <w:t>2,198</w:t>
            </w:r>
          </w:p>
        </w:tc>
        <w:tc>
          <w:tcPr>
            <w:tcW w:type="dxa" w:w="1440"/>
            <w:shd w:fill="FAFAFA" w:val="clear"/>
          </w:tcPr>
          <w:p>
            <w:r>
              <w:rPr>
                <w:sz w:val="17"/>
              </w:rPr>
              <w:t>2,605</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**Bourse Régionale des Valeurs Mobilières (BRVM) — Secteur BTP/Ingénierie**</w:t>
        <w:br/>
        <w:t>**Date d'analyse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STAC s'élève à 30,11 milliards FCFA, un niveau modeste à l'échelle de la BRVM qui la place parmi les petites capitalisations du marché régional. Le BPA ressort à -7 FCFA/action, traduisant une société en perte sur l'exercice 2025, ce qui rend le PER non significatif (-311,8x) et ininterprétable en l'état — un ratio négatif signalant simplement l'absence de bénéfices. Le P/B de 84,39x constitue un signal d'alerte majeur : le marché valorise l'action à plus de 84 fois sa valeur comptable, une prime extrême qui s'explique par des capitaux propres très faibles (356,75 M FCFA) rapportés à une capitalisation de 30,11 Mds FCFA. Cette décorrélation entre valeur de marché et valeur comptable traduit soit une anticipation de retournement majeur, soit une anomalie de valorisation. Le ratio EV/EBITDA n'est pas fourni, mais un EBE négatif (-650,13 M FCFA) le rendrait de toute façon non pertinent.</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STAC a enregistré une variation totale de -24,07%, matérialisant une tendance baissière prononcée, bien que la dernière séance (J-1) affiche un rebond technique de +7,43% à 2 240 FCFA. Le range de trading est large, avec un plus haut à 3 640 FCFA et un plus bas à 2 085 FCFA, soit une amplitude de 74,6% entre les extrêmes — signe d'une forte nervosité du marché sur ce titre. Les statistiques descriptives révèlent une moyenne de 2 883 FCFA légèrement supérieure à la médiane de 2 820 FCFA, indiquant une asymétrie positive modérée (skewness de 0,233, distribution quasi-symétrique), tandis que le mode à 3 500 FCFA suggère que le cours a longtemps stagné à des niveaux plus élevés avant de chuter. L'écart-type de 394 FCFA avec un coefficient de variation de 13,7% traduit une dispersion modérée autour de la moyenne, mais la volatilité annualisée de 60,8% classe ce titre dans la catégorie des valeurs à volatilité élevée (&gt;30%), ce qui implique un risque de perte en capital significatif. Le kurtosis de -0,664 (mésokurtique) indique une distribution proche de la normale, sans risque de pics extrêmes fréquents, ce qui est rassurant mais n'atténue pas la tendance baissière structurelle.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(2 436,25 FCFA) et la MM50 (2 619,80 FCFA) se situent toutes deux au-dessus du cours actuel (2 240 FCFA), confirmant une configuration baissière avec le prix sous ses moyennes. La MM20 étant inférieure à la MM50, on observe un croisement baissier (death cross) qui valide la décision de vente.</w:t>
      </w:r>
    </w:p>
    <w:p>
      <w:pPr>
        <w:spacing w:after="120" w:line="276" w:lineRule="auto"/>
      </w:pPr>
      <w:r>
        <w:t>**Bandes de Bollinger** : Le cours (2 240 FCFA) évolue dans la partie basse des bandes, entre la borne inférieure (1 974 FCFA) et la borne supérieure (2 898,50 FCFA), sans les toucher. Cette position médiane-basse avec un rétrécissement des bandes suggère une phase de consolidation, justifiant la décision neutre.</w:t>
      </w:r>
    </w:p>
    <w:p>
      <w:pPr>
        <w:spacing w:after="120" w:line="276" w:lineRule="auto"/>
      </w:pPr>
      <w:r>
        <w:t>**MACD** : La valeur du MACD (-146,28) est inférieure à son signal (-127,02), avec un histogramme négatif — configuration baissière classique. Le momentum reste négatif malgré le rebond de J-1, et la décision de vente est techniquement justifiée.</w:t>
      </w:r>
    </w:p>
    <w:p>
      <w:pPr>
        <w:spacing w:after="120" w:line="276" w:lineRule="auto"/>
      </w:pPr>
      <w:r>
        <w:t>**RSI** : À 37,62, le RSI se situe dans la zone neutre basse (30-70), sans atteindre la zone de survente (&lt;30). Cela indique que le titre n'est pas encore techniquement survendu, laissant présager une possible poursuite de la baisse avant un rebond durable.</w:t>
      </w:r>
    </w:p>
    <w:p>
      <w:pPr>
        <w:spacing w:after="120" w:line="276" w:lineRule="auto"/>
      </w:pPr>
      <w:r>
        <w:t>**Stochastique** : Le %K (31,31) est supérieur au %D (20,85), avec un croisement récent en zone basse qui pourrait signaler un début de retournement haussier de court terme. Cependant, les deux lignes restent sous 50, confirmant la faiblesse du momentum.</w:t>
      </w:r>
    </w:p>
    <w:p>
      <w:pPr>
        <w:spacing w:after="120" w:line="276" w:lineRule="auto"/>
      </w:pPr>
      <w:r>
        <w:t>**Conclusion technique** : La convergence des signaux baissiers (MM, MACD) et la position neutre des oscillateurs (RSI, Stochastique, Bollinger) dressent un tableau technique globalement négatif, avec un léger potentiel de rebond technique à court terme. La tendance de fond reste baissière tant que le cours n'aura pas reconquis la MM20 (2 436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En 2025, les états financiers de STAC (SETAO) révèlent une situation financière profondément dégradée. Le chiffre d'affaires s'établit à 3,878 Mds FCFA, en croissance spectaculaire de +116,26% par rapport à 2024 (1,793 Md FCFA), portée par le redémarrage des travaux de l'aéroport d'Abidjan. Cependant, cette dynamique commerciale ne se traduit pas en rentabilité : le résultat net reste négatif à -96,56 M FCFA, la marge nette à -2,49%, et le ROE à -27,07% — bien loin du seuil de 15% considéré comme excellent. Le ROA de -1,77% confirme l'incapacité de l'entreprise à générer des profits à partir de ses actifs. La structure financière est préoccupante : l'autonomie financière n'est que de 6,55% (très en dessous du seuil sain de 30%), le ratio d'endettement atteint 93,45%, et la capacité de remboursement est de 77,53 années de CAF — un niveau insoutenable. Le BFR négatif (-930,47 M FCFA) est un point positif relatif, mais il reflète surtout des délais fournisseurs allongés plutôt qu'une efficacité opérationnelle. Les rapports trimestriels de 2025 (T3 au 30/09/2025) indiquent un CA cumulé de 3 456 M FCFA (+176%) et une perte nette réduite de 22% à -477 M FCFA, avec une amélioration du résultat d'exploitation (-456 M FCFA contre -921 M FCFA). La direction maintient sa prévision de CA annuel à 4 Mds FCFA, ce qui implique un T4 très faible. On estime que la trajectoire vers la rentabilité reste incertaine, dépendante de la sécurisation de nouveaux contrats après l'aéroport. Les rapports antérieurs (S1 2025, exercice 2024) confirment la volatilité extrême de l'activité et la dépendance à un projet unique. La recommandation fondamentale est la prudence : la société est en situation de survie, avec une trésorerie (1,33 Md FCFA) qui reste le seul amortisseur, mais qui est grignotée par les pertes opérationnelles.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globale des quatre parties précédentes et des prédictions IA conduit à une recommandation de **VENTE** sur le titre STAC. La valorisation (Partie 0) est aberrante avec un P/B de 84,39x et un PER négatif, signalant une surévaluation manifeste au regard des fondamentaux. Le comportement du cours (Partie 1) est baissier (-24,07% sur 100 jours) avec une volatilité élevée (60,8%), et bien que la distribution soit symétrique (skewness 0,233) et sans pics extrêmes (kurtosis -0,664), la tendance de fond reste négative. Les signaux techniques (Partie 2) convergent majoritairement à la vente (MM, MACD), avec des oscillateurs neutres qui n'offrent pas de support clair. Les fondamentaux (Partie 3) sont très dégradés : perte nette en 2025 (-96,56 M FCFA), ROE négatif (-27,07%), autonomie financière critique (6,55%) et dépendance à un projet unique. Les prédictions IA (J+1 à J+10) anticipent une stabilisation autour de 2 216-2 231 FCFA, ce qui contredit le rebond de J-1 (+7,43%) et confirme l'absence de catalyseur haussier durable. La convergence entre valorisation extrême, technique baissière, fondamentaux fragiles et prédictions stagnantes justifie une recommandation de **VENTE** avec un niveau de confiance **Moyen** (les données sont cohérentes mais le rebond technique de J-1 introduit une incertitude). Le risque global est **Élevé** (volatilité, endettement, pertes récurrentes). L'horizon d'investissement recommandé est **court terme** (&lt;3 mois) pour les investisseurs déjà positionnés souhaitant limiter les pertes, et **à éviter** pour les nouveaux entrants jusqu'à preuve d'un retournement fondamental durable (nouveaux contrats, rentabilité opérationnelle positive).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44.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385.13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3,804 titres</w:t>
            </w:r>
          </w:p>
        </w:tc>
        <w:tc>
          <w:tcPr>
            <w:tcW w:type="dxa" w:w="2268"/>
            <w:shd w:fill="FFF2CC" w:val="clear"/>
          </w:tcPr>
          <w:p>
            <w:r>
              <w:rPr>
                <w:b/>
                <w:color w:val="503200"/>
                <w:sz w:val="16"/>
              </w:rPr>
              <w:t xml:space="preserve">Cours actuel : </w:t>
            </w:r>
            <w:r>
              <w:rPr>
                <w:color w:val="000000"/>
                <w:sz w:val="17"/>
              </w:rPr>
              <w:t>21,450 FCFA</w:t>
            </w:r>
          </w:p>
          <w:p>
            <w:r>
              <w:rPr>
                <w:b/>
                <w:color w:val="503200"/>
                <w:sz w:val="16"/>
              </w:rPr>
              <w:t xml:space="preserve">Var. 100 jours : </w:t>
            </w:r>
            <w:r>
              <w:rPr>
                <w:b/>
                <w:color w:val="007800"/>
                <w:sz w:val="17"/>
              </w:rPr>
              <w:t>+5.93%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20,250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5.22% (Moyenne) — μ=22,506 FCFA, σ=1,175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β=0.4457 (Défensif) — Cov=0.000030, Var(idx)=0.000068, ρ=0.157,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2026-09-29</w:t>
            </w:r>
          </w:p>
        </w:tc>
        <w:tc>
          <w:tcPr>
            <w:tcW w:type="dxa" w:w="1440"/>
            <w:shd w:fill="C6EFCE" w:val="clear"/>
          </w:tcPr>
          <w:p>
            <w:r>
              <w:rPr>
                <w:sz w:val="17"/>
              </w:rPr>
              <w:t>21,266</w:t>
            </w:r>
          </w:p>
        </w:tc>
        <w:tc>
          <w:tcPr>
            <w:tcW w:type="dxa" w:w="1440"/>
            <w:shd w:fill="C6EFCE" w:val="clear"/>
          </w:tcPr>
          <w:p>
            <w:r>
              <w:rPr>
                <w:b/>
                <w:sz w:val="17"/>
              </w:rPr>
              <w:t>22,167</w:t>
            </w:r>
          </w:p>
        </w:tc>
        <w:tc>
          <w:tcPr>
            <w:tcW w:type="dxa" w:w="1440"/>
            <w:shd w:fill="C6EFCE" w:val="clear"/>
          </w:tcPr>
          <w:p>
            <w:r>
              <w:rPr>
                <w:sz w:val="17"/>
              </w:rPr>
              <w:t>23,067</w:t>
            </w:r>
          </w:p>
        </w:tc>
        <w:tc>
          <w:tcPr>
            <w:tcW w:type="dxa" w:w="1440"/>
            <w:shd w:fill="C6EFCE" w:val="clear"/>
          </w:tcPr>
          <w:p>
            <w:r>
              <w:rPr>
                <w:b/>
                <w:color w:val="008000"/>
                <w:sz w:val="17"/>
              </w:rPr>
              <w:t>+3.3%</w:t>
            </w:r>
          </w:p>
        </w:tc>
      </w:tr>
      <w:tr>
        <w:tc>
          <w:tcPr>
            <w:tcW w:type="dxa" w:w="1440"/>
            <w:shd w:fill="C6EFCE" w:val="clear"/>
          </w:tcPr>
          <w:p>
            <w:r>
              <w:rPr>
                <w:sz w:val="17"/>
              </w:rPr>
              <w:t>J+2  ⭐</w:t>
            </w:r>
          </w:p>
        </w:tc>
        <w:tc>
          <w:tcPr>
            <w:tcW w:type="dxa" w:w="1440"/>
            <w:shd w:fill="C6EFCE" w:val="clear"/>
          </w:tcPr>
          <w:p>
            <w:r>
              <w:rPr>
                <w:sz w:val="17"/>
              </w:rPr>
              <w:t>2026-09-30</w:t>
            </w:r>
          </w:p>
        </w:tc>
        <w:tc>
          <w:tcPr>
            <w:tcW w:type="dxa" w:w="1440"/>
            <w:shd w:fill="C6EFCE" w:val="clear"/>
          </w:tcPr>
          <w:p>
            <w:r>
              <w:rPr>
                <w:sz w:val="17"/>
              </w:rPr>
              <w:t>21,215</w:t>
            </w:r>
          </w:p>
        </w:tc>
        <w:tc>
          <w:tcPr>
            <w:tcW w:type="dxa" w:w="1440"/>
            <w:shd w:fill="C6EFCE" w:val="clear"/>
          </w:tcPr>
          <w:p>
            <w:r>
              <w:rPr>
                <w:b/>
                <w:sz w:val="17"/>
              </w:rPr>
              <w:t>22,508</w:t>
            </w:r>
          </w:p>
        </w:tc>
        <w:tc>
          <w:tcPr>
            <w:tcW w:type="dxa" w:w="1440"/>
            <w:shd w:fill="C6EFCE" w:val="clear"/>
          </w:tcPr>
          <w:p>
            <w:r>
              <w:rPr>
                <w:sz w:val="17"/>
              </w:rPr>
              <w:t>23,801</w:t>
            </w:r>
          </w:p>
        </w:tc>
        <w:tc>
          <w:tcPr>
            <w:tcW w:type="dxa" w:w="1440"/>
            <w:shd w:fill="C6EFCE" w:val="clear"/>
          </w:tcPr>
          <w:p>
            <w:r>
              <w:rPr>
                <w:b/>
                <w:color w:val="008000"/>
                <w:sz w:val="17"/>
              </w:rPr>
              <w:t>+4.9%</w:t>
            </w:r>
          </w:p>
        </w:tc>
      </w:tr>
      <w:tr>
        <w:tc>
          <w:tcPr>
            <w:tcW w:type="dxa" w:w="1440"/>
            <w:shd w:fill="C6EFCE" w:val="clear"/>
          </w:tcPr>
          <w:p>
            <w:r>
              <w:rPr>
                <w:sz w:val="17"/>
              </w:rPr>
              <w:t>J+3  ⭐</w:t>
            </w:r>
          </w:p>
        </w:tc>
        <w:tc>
          <w:tcPr>
            <w:tcW w:type="dxa" w:w="1440"/>
            <w:shd w:fill="C6EFCE" w:val="clear"/>
          </w:tcPr>
          <w:p>
            <w:r>
              <w:rPr>
                <w:sz w:val="17"/>
              </w:rPr>
              <w:t>2026-10-01</w:t>
            </w:r>
          </w:p>
        </w:tc>
        <w:tc>
          <w:tcPr>
            <w:tcW w:type="dxa" w:w="1440"/>
            <w:shd w:fill="C6EFCE" w:val="clear"/>
          </w:tcPr>
          <w:p>
            <w:r>
              <w:rPr>
                <w:sz w:val="17"/>
              </w:rPr>
              <w:t>21,224</w:t>
            </w:r>
          </w:p>
        </w:tc>
        <w:tc>
          <w:tcPr>
            <w:tcW w:type="dxa" w:w="1440"/>
            <w:shd w:fill="C6EFCE" w:val="clear"/>
          </w:tcPr>
          <w:p>
            <w:r>
              <w:rPr>
                <w:b/>
                <w:sz w:val="17"/>
              </w:rPr>
              <w:t>22,831</w:t>
            </w:r>
          </w:p>
        </w:tc>
        <w:tc>
          <w:tcPr>
            <w:tcW w:type="dxa" w:w="1440"/>
            <w:shd w:fill="C6EFCE" w:val="clear"/>
          </w:tcPr>
          <w:p>
            <w:r>
              <w:rPr>
                <w:sz w:val="17"/>
              </w:rPr>
              <w:t>24,437</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21,218</w:t>
            </w:r>
          </w:p>
        </w:tc>
        <w:tc>
          <w:tcPr>
            <w:tcW w:type="dxa" w:w="1440"/>
            <w:shd w:fill="C6EFCE" w:val="clear"/>
          </w:tcPr>
          <w:p>
            <w:r>
              <w:rPr>
                <w:b/>
                <w:sz w:val="17"/>
              </w:rPr>
              <w:t>23,094</w:t>
            </w:r>
          </w:p>
        </w:tc>
        <w:tc>
          <w:tcPr>
            <w:tcW w:type="dxa" w:w="1440"/>
            <w:shd w:fill="C6EFCE" w:val="clear"/>
          </w:tcPr>
          <w:p>
            <w:r>
              <w:rPr>
                <w:sz w:val="17"/>
              </w:rPr>
              <w:t>24,970</w:t>
            </w:r>
          </w:p>
        </w:tc>
        <w:tc>
          <w:tcPr>
            <w:tcW w:type="dxa" w:w="1440"/>
            <w:shd w:fill="C6EFCE" w:val="clear"/>
          </w:tcPr>
          <w:p>
            <w:r>
              <w:rPr>
                <w:b/>
                <w:color w:val="008000"/>
                <w:sz w:val="17"/>
              </w:rPr>
              <w:t>+7.7%</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21,225</w:t>
            </w:r>
          </w:p>
        </w:tc>
        <w:tc>
          <w:tcPr>
            <w:tcW w:type="dxa" w:w="1440"/>
            <w:shd w:fill="C6EFCE" w:val="clear"/>
          </w:tcPr>
          <w:p>
            <w:r>
              <w:rPr>
                <w:b/>
                <w:sz w:val="17"/>
              </w:rPr>
              <w:t>23,346</w:t>
            </w:r>
          </w:p>
        </w:tc>
        <w:tc>
          <w:tcPr>
            <w:tcW w:type="dxa" w:w="1440"/>
            <w:shd w:fill="C6EFCE" w:val="clear"/>
          </w:tcPr>
          <w:p>
            <w:r>
              <w:rPr>
                <w:sz w:val="17"/>
              </w:rPr>
              <w:t>25,466</w:t>
            </w:r>
          </w:p>
        </w:tc>
        <w:tc>
          <w:tcPr>
            <w:tcW w:type="dxa" w:w="1440"/>
            <w:shd w:fill="C6EFCE" w:val="clear"/>
          </w:tcPr>
          <w:p>
            <w:r>
              <w:rPr>
                <w:b/>
                <w:color w:val="008000"/>
                <w:sz w:val="17"/>
              </w:rPr>
              <w:t>+8.8%</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21,192</w:t>
            </w:r>
          </w:p>
        </w:tc>
        <w:tc>
          <w:tcPr>
            <w:tcW w:type="dxa" w:w="1440"/>
            <w:shd w:fill="C6EFCE" w:val="clear"/>
          </w:tcPr>
          <w:p>
            <w:r>
              <w:rPr>
                <w:b/>
                <w:sz w:val="17"/>
              </w:rPr>
              <w:t>23,534</w:t>
            </w:r>
          </w:p>
        </w:tc>
        <w:tc>
          <w:tcPr>
            <w:tcW w:type="dxa" w:w="1440"/>
            <w:shd w:fill="C6EFCE" w:val="clear"/>
          </w:tcPr>
          <w:p>
            <w:r>
              <w:rPr>
                <w:sz w:val="17"/>
              </w:rPr>
              <w:t>25,875</w:t>
            </w:r>
          </w:p>
        </w:tc>
        <w:tc>
          <w:tcPr>
            <w:tcW w:type="dxa" w:w="1440"/>
            <w:shd w:fill="C6EFCE" w:val="clear"/>
          </w:tcPr>
          <w:p>
            <w:r>
              <w:rPr>
                <w:b/>
                <w:color w:val="008000"/>
                <w:sz w:val="17"/>
              </w:rPr>
              <w:t>+9.7%</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21,134</w:t>
            </w:r>
          </w:p>
        </w:tc>
        <w:tc>
          <w:tcPr>
            <w:tcW w:type="dxa" w:w="1440"/>
            <w:shd w:fill="C6EFCE" w:val="clear"/>
          </w:tcPr>
          <w:p>
            <w:r>
              <w:rPr>
                <w:b/>
                <w:sz w:val="17"/>
              </w:rPr>
              <w:t>23,679</w:t>
            </w:r>
          </w:p>
        </w:tc>
        <w:tc>
          <w:tcPr>
            <w:tcW w:type="dxa" w:w="1440"/>
            <w:shd w:fill="C6EFCE" w:val="clear"/>
          </w:tcPr>
          <w:p>
            <w:r>
              <w:rPr>
                <w:sz w:val="17"/>
              </w:rPr>
              <w:t>26,224</w:t>
            </w:r>
          </w:p>
        </w:tc>
        <w:tc>
          <w:tcPr>
            <w:tcW w:type="dxa" w:w="1440"/>
            <w:shd w:fill="C6EFCE" w:val="clear"/>
          </w:tcPr>
          <w:p>
            <w:r>
              <w:rPr>
                <w:b/>
                <w:color w:val="008000"/>
                <w:sz w:val="17"/>
              </w:rPr>
              <w:t>+10.4%</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21,025</w:t>
            </w:r>
          </w:p>
        </w:tc>
        <w:tc>
          <w:tcPr>
            <w:tcW w:type="dxa" w:w="1440"/>
            <w:shd w:fill="C6EFCE" w:val="clear"/>
          </w:tcPr>
          <w:p>
            <w:r>
              <w:rPr>
                <w:b/>
                <w:sz w:val="17"/>
              </w:rPr>
              <w:t>23,754</w:t>
            </w:r>
          </w:p>
        </w:tc>
        <w:tc>
          <w:tcPr>
            <w:tcW w:type="dxa" w:w="1440"/>
            <w:shd w:fill="C6EFCE" w:val="clear"/>
          </w:tcPr>
          <w:p>
            <w:r>
              <w:rPr>
                <w:sz w:val="17"/>
              </w:rPr>
              <w:t>26,483</w:t>
            </w:r>
          </w:p>
        </w:tc>
        <w:tc>
          <w:tcPr>
            <w:tcW w:type="dxa" w:w="1440"/>
            <w:shd w:fill="C6EFCE" w:val="clear"/>
          </w:tcPr>
          <w:p>
            <w:r>
              <w:rPr>
                <w:b/>
                <w:color w:val="008000"/>
                <w:sz w:val="17"/>
              </w:rPr>
              <w:t>+10.7%</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20,860</w:t>
            </w:r>
          </w:p>
        </w:tc>
        <w:tc>
          <w:tcPr>
            <w:tcW w:type="dxa" w:w="1440"/>
            <w:shd w:fill="C6EFCE" w:val="clear"/>
          </w:tcPr>
          <w:p>
            <w:r>
              <w:rPr>
                <w:b/>
                <w:sz w:val="17"/>
              </w:rPr>
              <w:t>23,755</w:t>
            </w:r>
          </w:p>
        </w:tc>
        <w:tc>
          <w:tcPr>
            <w:tcW w:type="dxa" w:w="1440"/>
            <w:shd w:fill="C6EFCE" w:val="clear"/>
          </w:tcPr>
          <w:p>
            <w:r>
              <w:rPr>
                <w:sz w:val="17"/>
              </w:rPr>
              <w:t>26,649</w:t>
            </w:r>
          </w:p>
        </w:tc>
        <w:tc>
          <w:tcPr>
            <w:tcW w:type="dxa" w:w="1440"/>
            <w:shd w:fill="C6EFCE" w:val="clear"/>
          </w:tcPr>
          <w:p>
            <w:r>
              <w:rPr>
                <w:b/>
                <w:color w:val="008000"/>
                <w:sz w:val="17"/>
              </w:rPr>
              <w:t>+10.7%</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20,745</w:t>
            </w:r>
          </w:p>
        </w:tc>
        <w:tc>
          <w:tcPr>
            <w:tcW w:type="dxa" w:w="1440"/>
            <w:shd w:fill="C6EFCE" w:val="clear"/>
          </w:tcPr>
          <w:p>
            <w:r>
              <w:rPr>
                <w:b/>
                <w:sz w:val="17"/>
              </w:rPr>
              <w:t>23,802</w:t>
            </w:r>
          </w:p>
        </w:tc>
        <w:tc>
          <w:tcPr>
            <w:tcW w:type="dxa" w:w="1440"/>
            <w:shd w:fill="C6EFCE" w:val="clear"/>
          </w:tcPr>
          <w:p>
            <w:r>
              <w:rPr>
                <w:sz w:val="17"/>
              </w:rPr>
              <w:t>26,860</w:t>
            </w:r>
          </w:p>
        </w:tc>
        <w:tc>
          <w:tcPr>
            <w:tcW w:type="dxa" w:w="1440"/>
            <w:shd w:fill="C6EFCE" w:val="clear"/>
          </w:tcPr>
          <w:p>
            <w:r>
              <w:rPr>
                <w:b/>
                <w:color w:val="008000"/>
                <w:sz w:val="17"/>
              </w:rPr>
              <w:t>+11.0%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 RAPPORT D'ANALYSE FINANCIÈRE — STBC (SITAB S.A.)</w:t>
        <w:br/>
        <w:t>## Bourse Régionale des Valeurs Mobilières (BRVM) —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385,13 milliards FCFA, STBC figure parmi les valeurs les plus importantes de la BRVM, ce qui témoigne de sa stature de leader sur son segment. Le BPA de 2 014 FCFA/action signifie que chaque titre génère un bénéfice net de plus de deux mille francs, un niveau élevé qui reflète la forte rentabilité de la société. Le PER de 10,7x se situe dans la fourchette modérée de la BRVM (8-12x), indiquant que les investisseurs ne paient pas une prime excessive pour les bénéfices, avec un rendement implicite d'environ 9,3%. En revanche, le P/B de 8,50x traduit une valorisation très exigeante par rapport à la valeur comptable (capitaux propres de 45,6 Mds FCFA), ce qui s'explique par la structure d'actifs légère de SITAB (activité de distribution, peu d'immobilisations) et par la forte rentabilité des fonds propres (ROE de 79,75%). Enfin, l'EV/EBITDA de 7,6x, dans la fourchette raisonnable de 5-10x, confirme que la valeur d'entreprise reste cohérente avec la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STBC a progressé de +5,93%, avec une dernière séance en hausse de +0,23%, s'établissant à 21 450 FCFA. Le titre a évolué dans un range de trading de 4 750 FCFA, entre un plus bas de 20 250 FCFA et un plus haut de 25 000 FCFA, ce qui traduit une tendance globalement haussière mais avec une correction récente depuis les sommets. La moyenne de 22 506 FCFA se situe légèrement au-dessus de la médiane de 22 218 FCFA, tandis que le mode à 21 000 FCFA — proche du cours actuel — suggère que le titre revient fréquemment tester ce palier, avec un léger biais asymétrique positif (skewness de 0,456, distribution qualifiée de symétrique dans les données). L'écart-type de 1 181 FCFA et le coefficient de variation de 5,2% indiquent une dispersion modérée du cours autour de sa moyenne, tandis que le kurtosis de -0,779 (mésokurtique) signale une distribution proche de la normale, sans risque marqué de pics extrêmes. La volatilité annualisée de 37,0% positionne STBC dans la catégorie des titres à volatilité élevée (&gt;30%), ce qui est cohérent avec la correction de -14,2% observée depuis le plus haut de 25 000 FCFA et invite à la prudence sur les horizons courts.</w:t>
      </w:r>
    </w:p>
    <w:p>
      <w:pPr>
        <w:spacing w:after="120" w:line="276" w:lineRule="auto"/>
      </w:pPr>
      <w:r>
        <w:t>---</w:t>
      </w:r>
    </w:p>
    <w:p>
      <w:pPr>
        <w:spacing w:after="120" w:line="276" w:lineRule="auto"/>
      </w:pPr>
      <w:r>
        <w:t>## PARTIE 2 : ANALYSE TECHNIQUE DÉTAILLÉE</w:t>
      </w:r>
    </w:p>
    <w:p>
      <w:pPr>
        <w:spacing w:after="120" w:line="276" w:lineRule="auto"/>
      </w:pPr>
      <w:r>
        <w:t>**Moyennes Mobiles** : La MM20 (21 768,75 FCFA) et la MM50 (22 682,90 FCFA) se situent toutes deux au-dessus du cours actuel de 21 450 FCFA, avec une MM20 inférieure à la MM50 — configuration baissière classique de croisement défavorable. Le cours évoluant sous ses deux moyennes, la décision technique de **Vente** est justifiée : la pression vendeuse domine à court et moyen terme, et le titre doit reconquérir la MM20 pour espérer une stabilisation.</w:t>
      </w:r>
    </w:p>
    <w:p>
      <w:pPr>
        <w:spacing w:after="120" w:line="276" w:lineRule="auto"/>
      </w:pPr>
      <w:r>
        <w:t>**Bandes de Bollinger** : Le cours (21 450 FCFA) se situe dans la moitié inférieure de la bande, entre la borne inférieure (20 957,46 FCFA) et la borne supérieure (22 580,04 FCFA), sans toucher les extrêmes. Cette position médiane basse, avec une largeur de bande modérée, traduit une volatilité contenue et une absence de signal directionnel fort — d'où la décision **Neutre**. Le titre reste toutefois plus proche du support que de la résistance, ce qui suggère une pression baissière résiduelle.</w:t>
      </w:r>
    </w:p>
    <w:p>
      <w:pPr>
        <w:spacing w:after="120" w:line="276" w:lineRule="auto"/>
      </w:pPr>
      <w:r>
        <w:t>**MACD** : La ligne MACD (-372,569) est légèrement au-dessus de sa ligne de signal (-380,679), générant un croisement haussier marginal et une décision **Achat**. Cet écart de seulement 8 points reste très faible, ce qui indique un momentum haussier naissant mais fragile, à confirmer par un élargissement de la divergence dans les prochaines séances.</w:t>
      </w:r>
    </w:p>
    <w:p>
      <w:pPr>
        <w:spacing w:after="120" w:line="276" w:lineRule="auto"/>
      </w:pPr>
      <w:r>
        <w:t>**RSI** : À 44,939, le RSI se situe en zone neutre (30-70), sans signal de surachat ni de survente, justifiant la décision **Neutre**. Cette valeur légèrement sous la barre des 50 reflète un léger déséquilibre en faveur des vendeurs, mais sans excès permettant d'anticiper un rebond technique imminent.</w:t>
      </w:r>
    </w:p>
    <w:p>
      <w:pPr>
        <w:spacing w:after="120" w:line="276" w:lineRule="auto"/>
      </w:pPr>
      <w:r>
        <w:t>**Stochastique** : Le %K et le %D sont parfaitement alignés à 42,529, sans croisement ni divergence, confirmant la décision **Neutre**. Cette configuration plate indique une absence de momentum directionnel clair à court terme, le titre évoluant dans une phase de consolidation.</w:t>
      </w:r>
    </w:p>
    <w:p>
      <w:pPr>
        <w:spacing w:after="120" w:line="276" w:lineRule="auto"/>
      </w:pPr>
      <w:r>
        <w:t>**Conclusion technique** : Les indicateurs sont majoritairement neutres (Bollinger, RSI, Stochastique), avec un signal de vente sur les moyennes mobiles et un signal d'achat marginal sur le MACD. Cette divergence traduit une phase de consolidation baissière : le titre est sous pression (cours &lt; MM20 &lt; MM50) mais les indicateurs de momentum ne confirment pas encore une accélération baissière. La prudence domine à court terme, en attendant un signal de retournement plus net.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SITAB a réalisé un chiffre d'affaires de 268,537 milliards FCFA, en croissance de +25,30% par rapport à 2024 (213,8 Mds FCFA), portée par une hausse des volumes de +5,6% et un effet prix favorable. Le résultat net s'établit à 36,158 milliards FCFA, en baisse de -17,5% (contre 44,2 Mds en 2024), sous l'effet de la hausse des droits d'accises (de 49% à 70% en janvier 2025) et d'un contrôle fiscal. La rentabilité reste exceptionnelle avec un ROE de 79,75% et un ROA de 48,09%, bien que la marge nette se soit contractée de 20,4% à 13,46%. Sur le plan bilanciel, la société est quasi sans dette financière (1,40 M FCFA), affiche une trésorerie nette de 30,763 Mds FCFA et une autonomie financière de 60,30%. Le BFR est négatif (-5,639 Mds FCFA), signe favorable pour une entreprise de distribution, avec un délai client de 42,57 jours et une rotation des stocks très rapide (5,73 jours).</w:t>
      </w:r>
    </w:p>
    <w:p>
      <w:pPr>
        <w:spacing w:after="120" w:line="276" w:lineRule="auto"/>
      </w:pPr>
      <w:r>
        <w:t>**Estimations basées sur les rapports trimestriels** : Le rapport du T1 2026 (publié en 2026) indique un CA de 68,8 Mds FCFA (+12%) et des volumes en hausse de +10%, marquant un redressement commercial après la contraction de 2025, mais un résultat net en léger recul de -1% à 9,3 Mds FCFA. Le rapport du T2 2026 (publié en 2026) confirme cette stabilisation avec un CA de 70,05 Mds FCFA (+1%) et un résultat net quasi stable à 8,64 Mds FCFA (-0,2%), soit une marge nette de 12,3%. Sur la base de ces deux trimestres, on peut estimer que l'exercice 2026 devrait afficher un CA annuel d'environ 275-280 Mds FCFA (+3-4%) et un résultat net de l'ordre de 35-37 Mds FCFA, soit une stabilisation de la rentabilité après la correction de 2025. Le dividende proposé de 1 940 FCFA/action (rendement d'environ 9,0% au cours actuel) reste attractif, bien qu'en baisse par rapport aux 2 375 FCFA de 2024.</w:t>
      </w:r>
    </w:p>
    <w:p>
      <w:pPr>
        <w:spacing w:after="120" w:line="276" w:lineRule="auto"/>
      </w:pPr>
      <w:r>
        <w:t>**Recommandation fondamentale** : SITAB demeure une valeur de rendement solide, avec une structure financière saine (zéro dette, trésorerie confortable), une croissance commerciale retrouvée et une rentabilité nette supérieure à 12%. Les risques principaux résident dans la pression fiscale persistante sur le secteur du tabac, la volatilité réglementaire et la politique de dividende généreuse (taux de distribution supérieur à 100% en 2025) qui limite les capacités de réinvestissement. La société reste néanmoins résiliente et bien positionnée pour maintenir ses performances.</w:t>
      </w:r>
    </w:p>
    <w:p>
      <w:pPr>
        <w:spacing w:after="120" w:line="276" w:lineRule="auto"/>
      </w:pPr>
      <w:r>
        <w:t>---</w:t>
      </w:r>
    </w:p>
    <w:p>
      <w:pPr>
        <w:spacing w:after="120" w:line="276" w:lineRule="auto"/>
      </w:pPr>
      <w:r>
        <w:t>## PARTIE 4 : CONCLUSION D'INVESTISSEMENT</w:t>
      </w:r>
    </w:p>
    <w:p>
      <w:pPr>
        <w:spacing w:after="120" w:line="276" w:lineRule="auto"/>
      </w:pPr>
      <w:r>
        <w:t>La valorisation de STBC apparaît globalement raisonnable : le PER de 10,7x est modéré pour la BRVM et l'EV/EBITDA de 7,6x est cohérent, bien que le P/B de 8,50x traduise une prime exigeante justifiée par la forte rentabilité des fonds propres (ROE de 79,75%). Le comportement du cours sur 100 jours est mitigé : hausse de +5,93% mais correction de -14,2% depuis le plus haut, avec une volatilité élevée (37,0%) et une distribution symétrique sans risque de pics extrêmes (kurtosis de -0,779). Les signaux techniques sont divergents — vente sur les moyennes mobiles, achat marginal sur le MACD, neutre sur Bollinger/RSI/Stochastique — ce qui traduit une phase de consolidation baissière sans direction claire. Les fondamentaux restent solides : croissance du CA de +25,3% en 2025, ROE de 79,75%, trésorerie nette de 30,8 Mds FCFA et dividende attractif de 1 940 FCFA/action, avec une stabilisation attendue en 2026 selon les rapports T1 et T2 2026. Les prédictions IA anticipent une trajectoire haussière sur 10 jours (de 22 167 FCFA à 23 346 FCFA, soit +8,8%), ce qui contredit les signaux techniques baissiers à court terme mais s'aligne sur la solidité fondamentale et le rendement attractif du titre. **Recommandation finale : CONSERVER**, avec un niveau de confiance **Moyen** et un risque global **Moyen**. La convergence entre valorisation raisonnable, fondamentaux solides et dividende attractif soutient la position, mais la divergence technique et la volatilité élevée incitent à la prudence avant tout renforcement. Horizon d'investissement optimal : **moyen terme (3-12 mois)**, en attendant la confirmation d'un retournement technique et la publication des résultats semestriels 2026.</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25 rapport(s)/communiqué(s) disponible(s) (affichage des 5 plus récents).</w:t>
      </w:r>
    </w:p>
    <w:p>
      <w:pPr>
        <w:spacing w:before="160"/>
      </w:pPr>
      <w:r>
        <w:rPr>
          <w:b/>
          <w:color w:val="00783C"/>
          <w:sz w:val="20"/>
        </w:rPr>
        <w:t xml:space="preserve">[1] </w:t>
      </w:r>
      <w:r>
        <w:rPr>
          <w:b/>
          <w:sz w:val="20"/>
        </w:rPr>
        <w:t>Rapport d'activités - 2ème trimestre 2026</w:t>
      </w:r>
    </w:p>
    <w:p>
      <w:pPr>
        <w:spacing w:before="20"/>
        <w:ind w:left="400"/>
      </w:pPr>
      <w:r>
        <w:rPr>
          <w:color w:val="505050"/>
          <w:sz w:val="17"/>
        </w:rPr>
        <w:t>Année : 2026  |  Type : Rapport d'activités trimestriel</w:t>
      </w:r>
    </w:p>
    <w:p>
      <w:pPr>
        <w:spacing w:before="20"/>
        <w:ind w:left="400"/>
      </w:pPr>
      <w:r>
        <w:rPr>
          <w:b/>
          <w:sz w:val="18"/>
        </w:rPr>
        <w:t xml:space="preserve">Recommandation source : </w:t>
      </w:r>
      <w:r>
        <w:rPr>
          <w:b/>
          <w:color w:val="646464"/>
          <w:sz w:val="18"/>
        </w:rPr>
        <w:t>{"decision": "conserver", "justification": "La SITAB démontre une stabilité remarquable de ses performances avec une rentabilité nette supérieure à 12 %, dans un environnement économique, réglementaire et concurrentiel difficile. En l'absence d'information sur le cours de Bourse et le dividende dans ce document, une position de conservation paraît la plus prudente en attendant des signaux de croissance plus dynamique des volumes."}</w:t>
      </w:r>
    </w:p>
    <w:p>
      <w:pPr>
        <w:spacing w:before="40"/>
        <w:ind w:left="400"/>
      </w:pPr>
      <w:r>
        <w:rPr>
          <w:sz w:val="18"/>
        </w:rPr>
        <w:t>La SITAB affiche au deuxième trimestre 2026 des performances solides et stables, avec des volumes de ventes en légère hausse de 0,22 % à 1 921,6 millions de tiges. Le chiffre d'affaires s'établit à 70,05 milliards de FCFA, en progression de 1 % par rapport au T2 2025, confirmant la continuité de la dynamique commerciale de la société. Le résultat des activités ordinaires progresse de 4 % à 11,50 milliards de FCFA, témoignant d'une bonne maîtrise des charges d'exploitation. Le résultat net ressort à 8,64 milliards de FCFA, quasi stable (-0,2 %), illustrant une rentabilité élevée et résiliente. Sur l'ensemble des six premiers mois de 2026, la société cumule un chiffre d'affaires de 268,54 mill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'4 488 750 000 FCFA', 'volumes_ventes': '1 921,60 millions de tiges (T2 2026, +0,22 %)', 'ca_cumule_31_12_2025': '268,54 milliards FCFA', 'resultat_activites_ordinaires': '11,50 milliards FCFA (T2 2026, +4 %)', 'resultat_net_cumule_31_12_2025': '36,46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12,3 % (T2 2026) ; 13,6 % (cumul 31/12/2025)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8,64 milliards FCFA (T2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70,05 milliards FCFA (T2 2026)</w:t>
            </w:r>
          </w:p>
        </w:tc>
        <w:tc>
          <w:tcPr>
            <w:tcW w:type="dxa" w:w="2160"/>
          </w:tcPr>
          <w:p/>
        </w:tc>
      </w:tr>
    </w:tbl>
    <w:p/>
    <w:p>
      <w:pPr>
        <w:spacing w:before="60"/>
        <w:ind w:left="400"/>
      </w:pPr>
      <w:r>
        <w:rPr>
          <w:b/>
          <w:sz w:val="18"/>
        </w:rPr>
        <w:t>Points clés :</w:t>
      </w:r>
    </w:p>
    <w:p>
      <w:pPr>
        <w:pStyle w:val="ListBullet"/>
        <w:spacing w:before="20" w:after="20"/>
        <w:ind w:left="700"/>
      </w:pPr>
      <w:r>
        <w:rPr>
          <w:sz w:val="18"/>
        </w:rPr>
        <w:t>Volumes de ventes du T2 2026 en hausse de 0,22 % à 1 921,60 millions de tiges (T2 2025 : 1 917,40 millions), démontrant une stabilité commerciale.</w:t>
      </w:r>
    </w:p>
    <w:p>
      <w:pPr>
        <w:pStyle w:val="ListBullet"/>
        <w:spacing w:before="20" w:after="20"/>
        <w:ind w:left="700"/>
      </w:pPr>
      <w:r>
        <w:rPr>
          <w:sz w:val="18"/>
        </w:rPr>
        <w:t>Chiff d'affaires du T2 2026 en croissance de 1 % à 70,05 milliards de FCFA (T2 2025 : 69,53 milliards), dépassant la barre symbolique des 70 milliards.</w:t>
      </w:r>
    </w:p>
    <w:p>
      <w:pPr>
        <w:pStyle w:val="ListBullet"/>
        <w:spacing w:before="20" w:after="20"/>
        <w:ind w:left="700"/>
      </w:pPr>
      <w:r>
        <w:rPr>
          <w:sz w:val="18"/>
        </w:rPr>
        <w:t>Résultat des activités ordinaires en progression de 4 % à 11,50 milliards de FCFA, reflétant l'amélioration de l'efficacité opérationnelle et la maîtrise des charges.</w:t>
      </w:r>
    </w:p>
    <w:p>
      <w:pPr>
        <w:pStyle w:val="ListBullet"/>
        <w:spacing w:before="20" w:after="20"/>
        <w:ind w:left="700"/>
      </w:pPr>
      <w:r>
        <w:rPr>
          <w:sz w:val="18"/>
        </w:rPr>
        <w:t>Résultat net quasi stable à 8,64 milliards de FCFA (-0,2 %), démontrant une forte résilience de la rentabilité.</w:t>
      </w:r>
    </w:p>
    <w:p>
      <w:pPr>
        <w:pStyle w:val="ListBullet"/>
        <w:spacing w:before="20" w:after="20"/>
        <w:ind w:left="700"/>
      </w:pPr>
      <w:r>
        <w:rPr>
          <w:sz w:val="18"/>
        </w:rPr>
        <w:t>Marge nette trimestrielle élevée, ressortant à environ 12,3 % du chiffre d'affaires, niveau très confortable.</w:t>
      </w:r>
    </w:p>
    <w:p>
      <w:pPr>
        <w:pStyle w:val="ListBullet"/>
        <w:spacing w:before="20" w:after="20"/>
        <w:ind w:left="700"/>
      </w:pPr>
      <w:r>
        <w:rPr>
          <w:sz w:val="18"/>
        </w:rPr>
        <w:t>Cumul au 31/12/2025 (exercice précédent) : chiffre d'affaires de 268,54 milliards de FCFA et résultat net de 36,46 milliards de FCFA, soit une marge nette d'environ 13,6 %.</w:t>
      </w:r>
    </w:p>
    <w:p>
      <w:pPr>
        <w:spacing w:before="40"/>
        <w:ind w:left="400"/>
      </w:pPr>
      <w:r>
        <w:rPr>
          <w:b/>
          <w:color w:val="C05000"/>
          <w:sz w:val="18"/>
        </w:rPr>
        <w:t xml:space="preserve">⚠️ Risques : </w:t>
      </w:r>
      <w:r>
        <w:rPr>
          <w:sz w:val="18"/>
        </w:rPr>
        <w:t xml:space="preserve">["Environnement réglementaire et fiscal contraignant pour l'industrie du tabac (taxes, restrictions publicitaires et sanitaires) pesant sur les volumes à moyen terme.", "Croissance des volumes quasi nulle (+0,22 %), signalant un marché potentiellement saturé et une exposition à la concurrence et au </w:t>
      </w:r>
    </w:p>
    <w:p>
      <w:pPr>
        <w:spacing w:before="40"/>
        <w:ind w:left="400"/>
      </w:pPr>
      <w:r>
        <w:rPr>
          <w:b/>
          <w:color w:val="0064A0"/>
          <w:sz w:val="18"/>
        </w:rPr>
        <w:t xml:space="preserve">🔮 Perspectives : </w:t>
      </w:r>
      <w:r>
        <w:rPr>
          <w:sz w:val="18"/>
        </w:rPr>
        <w:t>Pour la clôture 2026, la direction vise la consolidation des performances commerciales et financières, avec un focus sur le développement des volumes de ventes, l'amélioration continue de l'efficacité opérationnelle et la préservation des équilibres financiers. La trajectoire actuelle laisse présage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
      <w:r>
        <w:t>════════════════════════════════════════════════════════════════════════════════</w:t>
      </w:r>
    </w:p>
    <w:p>
      <w:r>
        <w:br w:type="page"/>
      </w:r>
    </w:p>
    <w:p>
      <w:pPr>
        <w:pStyle w:val="Heading2"/>
        <w:spacing w:before="360"/>
      </w:pPr>
      <w:r>
        <w:rPr>
          <w:color w:val="0066CC"/>
        </w:rPr>
        <w:t>45.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198.33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7,136 titres</w:t>
            </w:r>
          </w:p>
        </w:tc>
        <w:tc>
          <w:tcPr>
            <w:tcW w:type="dxa" w:w="2268"/>
            <w:shd w:fill="FFF2CC" w:val="clear"/>
          </w:tcPr>
          <w:p>
            <w:r>
              <w:rPr>
                <w:b/>
                <w:color w:val="503200"/>
                <w:sz w:val="16"/>
              </w:rPr>
              <w:t xml:space="preserve">Cours actuel : </w:t>
            </w:r>
            <w:r>
              <w:rPr>
                <w:color w:val="000000"/>
                <w:sz w:val="17"/>
              </w:rPr>
              <w:t>3,150 FCFA</w:t>
            </w:r>
          </w:p>
          <w:p>
            <w:r>
              <w:rPr>
                <w:b/>
                <w:color w:val="503200"/>
                <w:sz w:val="16"/>
              </w:rPr>
              <w:t xml:space="preserve">Var. 100 jours : </w:t>
            </w:r>
            <w:r>
              <w:rPr>
                <w:b/>
                <w:color w:val="007800"/>
                <w:sz w:val="17"/>
              </w:rPr>
              <w:t>+14.75%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2,720 FCFA</w:t>
            </w:r>
          </w:p>
          <w:p>
            <w:r>
              <w:rPr>
                <w:b/>
                <w:color w:val="503200"/>
                <w:sz w:val="16"/>
              </w:rPr>
              <w:t xml:space="preserve">Volatilité ann. : </w:t>
            </w:r>
            <w:r>
              <w:rPr>
                <w:color w:val="000000"/>
                <w:sz w:val="17"/>
              </w:rPr>
              <w:t>41.8%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6.56% (Moyenne) — μ=3,008 FCFA, σ=197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β=0.0681 (Défensif) — Cov=0.000005, Var(idx)=0.000068, ρ=0.021,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7,136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σ_j=2.63%/j (Stable) — Vol. annualisée≈41.8%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2,988</w:t>
            </w:r>
          </w:p>
        </w:tc>
        <w:tc>
          <w:tcPr>
            <w:tcW w:type="dxa" w:w="1440"/>
            <w:shd w:fill="FAFAFA" w:val="clear"/>
          </w:tcPr>
          <w:p>
            <w:r>
              <w:rPr>
                <w:b/>
                <w:sz w:val="17"/>
              </w:rPr>
              <w:t>3,109</w:t>
            </w:r>
          </w:p>
        </w:tc>
        <w:tc>
          <w:tcPr>
            <w:tcW w:type="dxa" w:w="1440"/>
            <w:shd w:fill="FAFAFA" w:val="clear"/>
          </w:tcPr>
          <w:p>
            <w:r>
              <w:rPr>
                <w:sz w:val="17"/>
              </w:rPr>
              <w:t>3,230</w:t>
            </w:r>
          </w:p>
        </w:tc>
        <w:tc>
          <w:tcPr>
            <w:tcW w:type="dxa" w:w="1440"/>
            <w:shd w:fill="FAFAFA" w:val="clear"/>
          </w:tcPr>
          <w:p>
            <w:r>
              <w:rPr>
                <w:b/>
                <w:color w:val="C00000"/>
                <w:sz w:val="17"/>
              </w:rPr>
              <w:t>-1.3%</w:t>
            </w:r>
          </w:p>
        </w:tc>
      </w:tr>
      <w:tr>
        <w:tc>
          <w:tcPr>
            <w:tcW w:type="dxa" w:w="1440"/>
            <w:shd w:fill="FFDCE0" w:val="clear"/>
          </w:tcPr>
          <w:p>
            <w:r>
              <w:rPr>
                <w:sz w:val="17"/>
              </w:rPr>
              <w:t>J+2  ⭐</w:t>
            </w:r>
          </w:p>
        </w:tc>
        <w:tc>
          <w:tcPr>
            <w:tcW w:type="dxa" w:w="1440"/>
            <w:shd w:fill="FFDCE0" w:val="clear"/>
          </w:tcPr>
          <w:p>
            <w:r>
              <w:rPr>
                <w:sz w:val="17"/>
              </w:rPr>
              <w:t>2026-09-30</w:t>
            </w:r>
          </w:p>
        </w:tc>
        <w:tc>
          <w:tcPr>
            <w:tcW w:type="dxa" w:w="1440"/>
            <w:shd w:fill="FFDCE0" w:val="clear"/>
          </w:tcPr>
          <w:p>
            <w:r>
              <w:rPr>
                <w:sz w:val="17"/>
              </w:rPr>
              <w:t>2,910</w:t>
            </w:r>
          </w:p>
        </w:tc>
        <w:tc>
          <w:tcPr>
            <w:tcW w:type="dxa" w:w="1440"/>
            <w:shd w:fill="FFDCE0" w:val="clear"/>
          </w:tcPr>
          <w:p>
            <w:r>
              <w:rPr>
                <w:b/>
                <w:sz w:val="17"/>
              </w:rPr>
              <w:t>3,080</w:t>
            </w:r>
          </w:p>
        </w:tc>
        <w:tc>
          <w:tcPr>
            <w:tcW w:type="dxa" w:w="1440"/>
            <w:shd w:fill="FFDCE0" w:val="clear"/>
          </w:tcPr>
          <w:p>
            <w:r>
              <w:rPr>
                <w:sz w:val="17"/>
              </w:rPr>
              <w:t>3,249</w:t>
            </w:r>
          </w:p>
        </w:tc>
        <w:tc>
          <w:tcPr>
            <w:tcW w:type="dxa" w:w="1440"/>
            <w:shd w:fill="FFDCE0" w:val="clear"/>
          </w:tcPr>
          <w:p>
            <w:r>
              <w:rPr>
                <w:b/>
                <w:color w:val="C00000"/>
                <w:sz w:val="17"/>
              </w:rPr>
              <w:t>-2.2%</w:t>
            </w:r>
          </w:p>
        </w:tc>
      </w:tr>
      <w:tr>
        <w:tc>
          <w:tcPr>
            <w:tcW w:type="dxa" w:w="1440"/>
            <w:shd w:fill="FFDCE0" w:val="clear"/>
          </w:tcPr>
          <w:p>
            <w:r>
              <w:rPr>
                <w:sz w:val="17"/>
              </w:rPr>
              <w:t>J+3  ⭐</w:t>
            </w:r>
          </w:p>
        </w:tc>
        <w:tc>
          <w:tcPr>
            <w:tcW w:type="dxa" w:w="1440"/>
            <w:shd w:fill="FFDCE0" w:val="clear"/>
          </w:tcPr>
          <w:p>
            <w:r>
              <w:rPr>
                <w:sz w:val="17"/>
              </w:rPr>
              <w:t>2026-10-01</w:t>
            </w:r>
          </w:p>
        </w:tc>
        <w:tc>
          <w:tcPr>
            <w:tcW w:type="dxa" w:w="1440"/>
            <w:shd w:fill="FFDCE0" w:val="clear"/>
          </w:tcPr>
          <w:p>
            <w:r>
              <w:rPr>
                <w:sz w:val="17"/>
              </w:rPr>
              <w:t>2,841</w:t>
            </w:r>
          </w:p>
        </w:tc>
        <w:tc>
          <w:tcPr>
            <w:tcW w:type="dxa" w:w="1440"/>
            <w:shd w:fill="FFDCE0" w:val="clear"/>
          </w:tcPr>
          <w:p>
            <w:r>
              <w:rPr>
                <w:b/>
                <w:sz w:val="17"/>
              </w:rPr>
              <w:t>3,047</w:t>
            </w:r>
          </w:p>
        </w:tc>
        <w:tc>
          <w:tcPr>
            <w:tcW w:type="dxa" w:w="1440"/>
            <w:shd w:fill="FFDCE0" w:val="clear"/>
          </w:tcPr>
          <w:p>
            <w:r>
              <w:rPr>
                <w:sz w:val="17"/>
              </w:rPr>
              <w:t>3,253</w:t>
            </w:r>
          </w:p>
        </w:tc>
        <w:tc>
          <w:tcPr>
            <w:tcW w:type="dxa" w:w="1440"/>
            <w:shd w:fill="FFDCE0" w:val="clear"/>
          </w:tcPr>
          <w:p>
            <w:r>
              <w:rPr>
                <w:b/>
                <w:color w:val="C00000"/>
                <w:sz w:val="17"/>
              </w:rPr>
              <w:t>-3.3%</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2,784</w:t>
            </w:r>
          </w:p>
        </w:tc>
        <w:tc>
          <w:tcPr>
            <w:tcW w:type="dxa" w:w="1440"/>
            <w:shd w:fill="FFDCE0" w:val="clear"/>
          </w:tcPr>
          <w:p>
            <w:r>
              <w:rPr>
                <w:b/>
                <w:sz w:val="17"/>
              </w:rPr>
              <w:t>3,019</w:t>
            </w:r>
          </w:p>
        </w:tc>
        <w:tc>
          <w:tcPr>
            <w:tcW w:type="dxa" w:w="1440"/>
            <w:shd w:fill="FFDCE0" w:val="clear"/>
          </w:tcPr>
          <w:p>
            <w:r>
              <w:rPr>
                <w:sz w:val="17"/>
              </w:rPr>
              <w:t>3,254</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2,733</w:t>
            </w:r>
          </w:p>
        </w:tc>
        <w:tc>
          <w:tcPr>
            <w:tcW w:type="dxa" w:w="1440"/>
            <w:shd w:fill="FFDCE0" w:val="clear"/>
          </w:tcPr>
          <w:p>
            <w:r>
              <w:rPr>
                <w:b/>
                <w:sz w:val="17"/>
              </w:rPr>
              <w:t>2,994</w:t>
            </w:r>
          </w:p>
        </w:tc>
        <w:tc>
          <w:tcPr>
            <w:tcW w:type="dxa" w:w="1440"/>
            <w:shd w:fill="FFDCE0" w:val="clear"/>
          </w:tcPr>
          <w:p>
            <w:r>
              <w:rPr>
                <w:sz w:val="17"/>
              </w:rPr>
              <w:t>3,255</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2,687</w:t>
            </w:r>
          </w:p>
        </w:tc>
        <w:tc>
          <w:tcPr>
            <w:tcW w:type="dxa" w:w="1440"/>
            <w:shd w:fill="FFDCE0" w:val="clear"/>
          </w:tcPr>
          <w:p>
            <w:r>
              <w:rPr>
                <w:b/>
                <w:sz w:val="17"/>
              </w:rPr>
              <w:t>2,971</w:t>
            </w:r>
          </w:p>
        </w:tc>
        <w:tc>
          <w:tcPr>
            <w:tcW w:type="dxa" w:w="1440"/>
            <w:shd w:fill="FFDCE0" w:val="clear"/>
          </w:tcPr>
          <w:p>
            <w:r>
              <w:rPr>
                <w:sz w:val="17"/>
              </w:rPr>
              <w:t>3,254</w:t>
            </w:r>
          </w:p>
        </w:tc>
        <w:tc>
          <w:tcPr>
            <w:tcW w:type="dxa" w:w="1440"/>
            <w:shd w:fill="FFDCE0" w:val="clear"/>
          </w:tcPr>
          <w:p>
            <w:r>
              <w:rPr>
                <w:b/>
                <w:color w:val="C00000"/>
                <w:sz w:val="17"/>
              </w:rPr>
              <w:t>-5.7%</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2,645</w:t>
            </w:r>
          </w:p>
        </w:tc>
        <w:tc>
          <w:tcPr>
            <w:tcW w:type="dxa" w:w="1440"/>
            <w:shd w:fill="FFDCE0" w:val="clear"/>
          </w:tcPr>
          <w:p>
            <w:r>
              <w:rPr>
                <w:b/>
                <w:sz w:val="17"/>
              </w:rPr>
              <w:t>2,949</w:t>
            </w:r>
          </w:p>
        </w:tc>
        <w:tc>
          <w:tcPr>
            <w:tcW w:type="dxa" w:w="1440"/>
            <w:shd w:fill="FFDCE0" w:val="clear"/>
          </w:tcPr>
          <w:p>
            <w:r>
              <w:rPr>
                <w:sz w:val="17"/>
              </w:rPr>
              <w:t>3,253</w:t>
            </w:r>
          </w:p>
        </w:tc>
        <w:tc>
          <w:tcPr>
            <w:tcW w:type="dxa" w:w="1440"/>
            <w:shd w:fill="FFDCE0" w:val="clear"/>
          </w:tcPr>
          <w:p>
            <w:r>
              <w:rPr>
                <w:b/>
                <w:color w:val="C00000"/>
                <w:sz w:val="17"/>
              </w:rPr>
              <w:t>-6.4%</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2,605</w:t>
            </w:r>
          </w:p>
        </w:tc>
        <w:tc>
          <w:tcPr>
            <w:tcW w:type="dxa" w:w="1440"/>
            <w:shd w:fill="FFDCE0" w:val="clear"/>
          </w:tcPr>
          <w:p>
            <w:r>
              <w:rPr>
                <w:b/>
                <w:sz w:val="17"/>
              </w:rPr>
              <w:t>2,928</w:t>
            </w:r>
          </w:p>
        </w:tc>
        <w:tc>
          <w:tcPr>
            <w:tcW w:type="dxa" w:w="1440"/>
            <w:shd w:fill="FFDCE0" w:val="clear"/>
          </w:tcPr>
          <w:p>
            <w:r>
              <w:rPr>
                <w:sz w:val="17"/>
              </w:rPr>
              <w:t>3,250</w:t>
            </w:r>
          </w:p>
        </w:tc>
        <w:tc>
          <w:tcPr>
            <w:tcW w:type="dxa" w:w="1440"/>
            <w:shd w:fill="FFDCE0" w:val="clear"/>
          </w:tcPr>
          <w:p>
            <w:r>
              <w:rPr>
                <w:b/>
                <w:color w:val="C00000"/>
                <w:sz w:val="17"/>
              </w:rPr>
              <w:t>-7.1%</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2,567</w:t>
            </w:r>
          </w:p>
        </w:tc>
        <w:tc>
          <w:tcPr>
            <w:tcW w:type="dxa" w:w="1440"/>
            <w:shd w:fill="FFDCE0" w:val="clear"/>
          </w:tcPr>
          <w:p>
            <w:r>
              <w:rPr>
                <w:b/>
                <w:sz w:val="17"/>
              </w:rPr>
              <w:t>2,907</w:t>
            </w:r>
          </w:p>
        </w:tc>
        <w:tc>
          <w:tcPr>
            <w:tcW w:type="dxa" w:w="1440"/>
            <w:shd w:fill="FFDCE0" w:val="clear"/>
          </w:tcPr>
          <w:p>
            <w:r>
              <w:rPr>
                <w:sz w:val="17"/>
              </w:rPr>
              <w:t>3,247</w:t>
            </w:r>
          </w:p>
        </w:tc>
        <w:tc>
          <w:tcPr>
            <w:tcW w:type="dxa" w:w="1440"/>
            <w:shd w:fill="FFDCE0" w:val="clear"/>
          </w:tcPr>
          <w:p>
            <w:r>
              <w:rPr>
                <w:b/>
                <w:color w:val="C00000"/>
                <w:sz w:val="17"/>
              </w:rPr>
              <w:t>-7.7%</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2,532</w:t>
            </w:r>
          </w:p>
        </w:tc>
        <w:tc>
          <w:tcPr>
            <w:tcW w:type="dxa" w:w="1440"/>
            <w:shd w:fill="FFDCE0" w:val="clear"/>
          </w:tcPr>
          <w:p>
            <w:r>
              <w:rPr>
                <w:b/>
                <w:sz w:val="17"/>
              </w:rPr>
              <w:t>2,888</w:t>
            </w:r>
          </w:p>
        </w:tc>
        <w:tc>
          <w:tcPr>
            <w:tcW w:type="dxa" w:w="1440"/>
            <w:shd w:fill="FFDCE0" w:val="clear"/>
          </w:tcPr>
          <w:p>
            <w:r>
              <w:rPr>
                <w:sz w:val="17"/>
              </w:rPr>
              <w:t>3,244</w:t>
            </w:r>
          </w:p>
        </w:tc>
        <w:tc>
          <w:tcPr>
            <w:tcW w:type="dxa" w:w="1440"/>
            <w:shd w:fill="FFDCE0" w:val="clear"/>
          </w:tcPr>
          <w:p>
            <w:r>
              <w:rPr>
                <w:b/>
                <w:color w:val="C00000"/>
                <w:sz w:val="17"/>
              </w:rPr>
              <w:t>-8.3%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br/>
        <w:t>**Bourse Régionale des Valeurs Mobilières (BRVM) — Secteur : Distribution pétrolière**</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198,33 milliards FCFA, TTLC figure parmi les valeurs les plus importantes de la BRVM, ce qui témoigne de sa stature de leader du secteur énergétique ivoirien. Le BPA de 144 FCFA/action signifie que chaque titre génère 144 FCFA de bénéfice net, mais le PER de 21,8x indique que les investisseurs paient près de 22 fois ces bénéfices, soit un niveau nettement supérieur à la moyenne BRVM (8-12x) — une prime qui traduit soit une forte croissance attendue, soit une surévaluation relative. Le P/B de 5,48x confirme cette exigence : le marché valorise l'entreprise à plus de 5 fois sa valeur comptable, une prime rarement justifiée pour un distributeur à faibles marges. Enfin, l'EV/EBITDA de 11,3x, dans la fourchette haute (10-15x), suggère que la valeur d'entreprise intègre déjà une bonne partie du potentiel opérationnel, laissant peu de marge d'erreur en cas de déception sur les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TTLC affiche une progression totale de +14,75%, avec une dernière séance particulièrement dynamique (+3,28%), portant le cours à 3 150 FCFA. Le titre a évolué dans un range de 875 FCFA entre son plus bas (2 720 FCFA) et son plus haut (3 595 FCFA), soit une amplitude de plus de 32% — signe d'une tendance haussière marquée mais ponctuée de corrections. La moyenne (3 008 FCFA) se situe au-dessus de la médiane (2 942 FCFA) et du mode (2 900 FCFA), ce qui confirme une asymétrie positive : les journées de hausse, bien que moins nombreuses, ont été plus amples que les journées de baisse. L'écart-type de 198 FCFA (CV de 6,6%) indique une dispersion modérée du cours autour de sa moyenne, tandis que le kurtosis de -0,233 (mésokurtique) suggère une distribution proche de la normale, sans risque excessif de pics extrêmes. Le skewness de 0,900 (asymétrie positive) révèle toutefois que le titre a passé plus de journées sous sa moyenne qu'au-dessus, mais que les hausses ont été plus vigoureuses. Avec une volatilité annualisée de 41,8%, le titre se classe dans la catégorie **élevée** (&gt;30%), ce qui implique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(3 224,5 FCFA) et la MM50 (3 144,2 FCFA) se situent toutes deux au-dessus du cours actuel (3 150 FCFA), ce qui place le titre en position de faiblesse relative à court terme. Cependant, la MM20 reste supérieure à la MM50, signalant que la tendance de fond demeure haussière. La décision « Achat » fournie par l'indicateur suggère que le croisement des moyennes reste favorable malgré la correction récente.</w:t>
      </w:r>
    </w:p>
    <w:p>
      <w:pPr>
        <w:spacing w:after="120" w:line="276" w:lineRule="auto"/>
      </w:pPr>
      <w:r>
        <w:t>**Bandes de Bollinger** : Le cours (3 150 FCFA) évolue dans la partie basse de la bande, entre la borne inférieure (2 982,7 FCFA) et la borne supérieure (3 466,3 FCFA), sans en approcher les extrêmes. Cette position médiane-basse, couplée à une décision « Neutre », indique une absence de signal directionnel fort : le marché est en phase de consolidation après la hausse récente, et la volatilité actuelle ne justifie pas de position agressive.</w:t>
      </w:r>
    </w:p>
    <w:p>
      <w:pPr>
        <w:spacing w:after="120" w:line="276" w:lineRule="auto"/>
      </w:pPr>
      <w:r>
        <w:t>**MACD** : La valeur du MACD (-34,466) est nettement inférieure à son signal (-4,867), ce qui génère un histogramme négatif et une décision « Vente ». Ce croisement baissier signale un essoufflement du momentum haussier : la dynamique positive des dernières semaines s'essouffle, et une correction ou une consolidation est probable à court terme.</w:t>
      </w:r>
    </w:p>
    <w:p>
      <w:pPr>
        <w:spacing w:after="120" w:line="276" w:lineRule="auto"/>
      </w:pPr>
      <w:r>
        <w:t>**RSI** : À 42,623, le RSI se situe en zone neutre (30-70), sans approcher ni la survente (&lt;30) ni la surachat (&gt;70). La décision « Neutre » confirme que le titre n'est ni surévalué ni sous-évalué techniquement, offrant un point d'entrée potentiel sans urgence.</w:t>
      </w:r>
    </w:p>
    <w:p>
      <w:pPr>
        <w:spacing w:after="120" w:line="276" w:lineRule="auto"/>
      </w:pPr>
      <w:r>
        <w:t>**Stochastique** : Le %K (53,226) est supérieur au %D (31,72), ce qui pourrait indiquer un début de croisement haussier, mais la décision reste « Neutre ». Cette configuration suggère que le titre sort progressivement de la zone de survente, sans signal d'achat franc pour l'instant.</w:t>
      </w:r>
    </w:p>
    <w:p>
      <w:pPr>
        <w:spacing w:after="120" w:line="276" w:lineRule="auto"/>
      </w:pPr>
      <w:r>
        <w:t>**Conclusion technique** : Les indicateurs sont majoritairement neutres (Bollinger, RSI, Stochastique) avec un biais baissier sur le MACD et une structure de moyennes mobiles encore haussière. Le titre se trouve dans une phase de consolidation après une hausse de 14,75%, et aucun signal fort ne se dégage à court terme. La prudence est de mise avant toute décision d'investissement.</w:t>
      </w:r>
    </w:p>
    <w:p>
      <w:pPr>
        <w:spacing w:after="120" w:line="276" w:lineRule="auto"/>
      </w:pPr>
      <w:r>
        <w:t>---</w:t>
      </w:r>
    </w:p>
    <w:p>
      <w:pPr>
        <w:spacing w:after="120" w:line="276" w:lineRule="auto"/>
      </w:pPr>
      <w:r>
        <w:t>## PARTIE 3 : ANALYSE FONDAMENTALE</w:t>
      </w:r>
    </w:p>
    <w:p>
      <w:pPr>
        <w:spacing w:after="120" w:line="276" w:lineRule="auto"/>
      </w:pPr>
      <w:r>
        <w:t>**Données structurées (exercice 2025)** : En 2025, TotalEnergies Marketing Côte d'Ivoire a réalisé un chiffre d'affaires de 588,709 milliards FCFA, en repli de 5,2% sur un an, dans un contexte de baisse des ventes hors réseau. Le résultat net s'établit à 9,087 milliards FCFA, en légère baisse de 3% par rapport à 2024 (9,374 milliards), mais la marge nette se maintient à 1,54%. La rentabilité des fonds propres (ROE) reste excellente à 25,1%, bien supérieure au seuil de 15%, tandis que le ROA de 4,82% reflète la faible intensité capitalistique du modèle de distribution. Le BFR est négatif (-9,662 milliards FCFA), ce qui est favorable pour une entreprise de distribution : les fournisseurs financent une partie du cycle d'exploitation. Les délais fournisseurs (49,72 jours) et la durée de stockage (13,8 jours) confirment une gestion efficace du besoin en fonds de roulement.</w:t>
      </w:r>
    </w:p>
    <w:p>
      <w:pPr>
        <w:spacing w:after="120" w:line="276" w:lineRule="auto"/>
      </w:pPr>
      <w:r>
        <w:t>**Adaptation au secteur (entreprise de distribution)** : La marge brute de 11,81% et la marge opérationnelle de 2,09% sont typiques d'un distributeur en volume, où la rentabilité dépend de la rotation des actifs (312,36%) et de la maîtrise des charges. Le coefficient d'exploitation de 9,57% est très faible, ce qui témoigne d'une structure de coûts légère. Cependant, la structure financière est tendue : l'autonomie financière (19,21%) est inférieure au seuil de 30%, le ratio d'endettement (90,23%) est élevé, et la trésorerie nette est négative (-21,926 milliards FCFA), ce qui expose l'entreprise au risque de taux et de refinancement.</w:t>
      </w:r>
    </w:p>
    <w:p>
      <w:pPr>
        <w:spacing w:after="120" w:line="276" w:lineRule="auto"/>
      </w:pPr>
      <w:r>
        <w:t>**Estimations basées sur les rapports trimestriels** : Le rapport du T1 2026 (publié en 2026) indique un chiffre d'affaires de 154,392 milliards FCFA (+4,3%) et un résultat net de 2,329 milliards FCFA (+5,5%), marquant un retour à la croissance après une année 2025 difficile. Le rapport du T3 2025 (30 septembre 2025) faisait état d'un résultat net cumulé de 6,52 milliards FCFA (-30,2%), mais le T4 a permis de redresser la barre pour atteindre 9,087 milliards sur l'année. Sur la base de ces tendances, on peut estimer que l'exercice 2026 devrait renouer avec une croissance modérée du chiffre d'affaires (+3 à +5%) et une amélioration du résultat net, portée par la hausse des volumes et l'ouverture de nouvelles stations (182 stations à fin T1 2026).</w:t>
      </w:r>
    </w:p>
    <w:p>
      <w:pPr>
        <w:spacing w:after="120" w:line="276" w:lineRule="auto"/>
      </w:pPr>
      <w:r>
        <w:t>**Évolution pluriannuelle** : Entre 2021 (CA de 494,4 milliards, résultat net de 11,1 milliards) et 2025 (CA de 588,7 milliards, résultat net de 9,09 milliards), le chiffre d'affaires a progressé de 19% mais le résultat net a reculé de 18%, illustrant une érosion des marges dans un secteur de plus en plus concurrentiel. La politique de dividende reste généreuse (10 milliards FCFA en 2025, soit un payout &gt;100%), mais cette distribution supérieure au bénéfice net puise dans les réserves et pèse sur la trésorerie.</w:t>
      </w:r>
    </w:p>
    <w:p>
      <w:pPr>
        <w:spacing w:after="120" w:line="276" w:lineRule="auto"/>
      </w:pPr>
      <w:r>
        <w:t>**Recommandation fondamentale** : La solidité opérationnelle (ROE élevé, BFR négatif, rotation rapide) contraste avec une structure financière fragile (endettement élevé, trésorerie négative) et une valorisation exigeante. Le titre reste un placement de rendement attractif, mais la soutenabilité du dividende et la dépendance aux crédits court terme constituent des risques majeurs. **Recommandation : CONSERVER**, avec une surveillance accrue de la trésorerie et de l'endettement.</w:t>
      </w:r>
    </w:p>
    <w:p>
      <w:pPr>
        <w:spacing w:after="120" w:line="276" w:lineRule="auto"/>
      </w:pPr>
      <w:r>
        <w:t>---</w:t>
      </w:r>
    </w:p>
    <w:p>
      <w:pPr>
        <w:spacing w:after="120" w:line="276" w:lineRule="auto"/>
      </w:pPr>
      <w:r>
        <w:t>## PARTIE 4 : CONCLUSION D'INVESTISSEMENT</w:t>
      </w:r>
    </w:p>
    <w:p>
      <w:pPr>
        <w:spacing w:after="120" w:line="276" w:lineRule="auto"/>
      </w:pPr>
      <w:r>
        <w:t>La valorisation de TTLC apparaît exigeante : le PER de 21,8x et le P/B de 5,48x intègrent déjà une prime de leader, laissant peu de marge d'erreur en cas de déception sur les résultats. Le comportement du cours sur 100 jours est haussier (+14,75%) mais la volatilité élevée (41,8%) et l'asymétrie positive (skewness de 0,9) suggèrent que les hausses ont été plus amples que les baisses, sans risque extrême de pics (kurtosis de -0,233). Les signaux techniques sont mitigés : les moyennes mobiles restent haussières mais le MACD est baissier, tandis que le RSI et le Stochastique sont neutres — une divergence qui plaide pour une consolidation avant une nouvelle impulsion. Les fondamentaux sont solides sur le plan opérationnel (ROE de 25,1%, BFR négatif) mais fragiles sur le plan financier (endettement de 90,23%, trésorerie nette de -21,9 milliards FCFA), et les rapports trimestriels (T1 2026 : CA +4,3%, RN +5,5%) suggèrent une amélioration en 2026. Les prédictions IA anticipent une baisse à court terme (3 109 FCFA à J+1, 2 994 FCFA à J+5), ce qui contredit la tendance haussière récente et confirme la phase de consolidation technique.</w:t>
      </w:r>
    </w:p>
    <w:p>
      <w:pPr>
        <w:spacing w:after="120" w:line="276" w:lineRule="auto"/>
      </w:pPr>
      <w:r>
        <w:t>**Recommandation finale : CONSERVER**</w:t>
        <w:br/>
        <w:t>- **Justification** : La convergence entre une valorisation exigeante, des signaux techniques neutres à baissiers à court terme, et des fondamentaux opérationnels solides mais financièrement tendus plaide pour une position attentiste. Le potentiel de croissance (T1 2026 positif) et le rendement du dividende justifient de ne pas vendre, mais le risque de correction à court terme (prédictions IA baissières) et la fragilité de la trésorerie incitent à ne pas acheter agressivement.</w:t>
        <w:br/>
        <w:t>- **Niveau de confiance** : Moyen (les signaux sont divergents entre technique et fondamental)</w:t>
        <w:br/>
        <w:t>- **Niveau de risque global** : Élevé (volatilité de 41,8%, endettement de 90,23%, trésorerie négative)</w:t>
        <w:br/>
        <w:t>- **Horizon d'investissement optimal** : Moyen terme (3-12 mois), en surveillant la publication des résultats semestriels 2026 et l'évolution de la trésorerie nette. Un retour durable au-dessus de la MM20 (3 224 FCFA) constituerait un signal d'achat plus favorable.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46.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117.93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2,617 titres</w:t>
            </w:r>
          </w:p>
        </w:tc>
        <w:tc>
          <w:tcPr>
            <w:tcW w:type="dxa" w:w="2268"/>
            <w:shd w:fill="FFF2CC" w:val="clear"/>
          </w:tcPr>
          <w:p>
            <w:r>
              <w:rPr>
                <w:b/>
                <w:color w:val="503200"/>
                <w:sz w:val="16"/>
              </w:rPr>
              <w:t xml:space="preserve">Cours actuel : </w:t>
            </w:r>
            <w:r>
              <w:rPr>
                <w:color w:val="000000"/>
                <w:sz w:val="17"/>
              </w:rPr>
              <w:t>3,620 FCFA</w:t>
            </w:r>
          </w:p>
          <w:p>
            <w:r>
              <w:rPr>
                <w:b/>
                <w:color w:val="503200"/>
                <w:sz w:val="16"/>
              </w:rPr>
              <w:t xml:space="preserve">Var. 100 jours : </w:t>
            </w:r>
            <w:r>
              <w:rPr>
                <w:b/>
                <w:color w:val="007800"/>
                <w:sz w:val="17"/>
              </w:rPr>
              <w:t>+20.67%</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9.56% (Moyenne) — μ=3,642 FCFA, σ=348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β=0.5223 (Défensif) — Cov=0.000035, Var(idx)=0.000068, ρ=0.160,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σ_j=2.71%/j (Stable) — Vol. annualisée≈43.1%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0080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2026-09-29</w:t>
            </w:r>
          </w:p>
        </w:tc>
        <w:tc>
          <w:tcPr>
            <w:tcW w:type="dxa" w:w="1440"/>
            <w:shd w:fill="C6EFCE" w:val="clear"/>
          </w:tcPr>
          <w:p>
            <w:r>
              <w:rPr>
                <w:sz w:val="17"/>
              </w:rPr>
              <w:t>3,570</w:t>
            </w:r>
          </w:p>
        </w:tc>
        <w:tc>
          <w:tcPr>
            <w:tcW w:type="dxa" w:w="1440"/>
            <w:shd w:fill="C6EFCE" w:val="clear"/>
          </w:tcPr>
          <w:p>
            <w:r>
              <w:rPr>
                <w:b/>
                <w:sz w:val="17"/>
              </w:rPr>
              <w:t>3,718</w:t>
            </w:r>
          </w:p>
        </w:tc>
        <w:tc>
          <w:tcPr>
            <w:tcW w:type="dxa" w:w="1440"/>
            <w:shd w:fill="C6EFCE" w:val="clear"/>
          </w:tcPr>
          <w:p>
            <w:r>
              <w:rPr>
                <w:sz w:val="17"/>
              </w:rPr>
              <w:t>3,865</w:t>
            </w:r>
          </w:p>
        </w:tc>
        <w:tc>
          <w:tcPr>
            <w:tcW w:type="dxa" w:w="1440"/>
            <w:shd w:fill="C6EFCE" w:val="clear"/>
          </w:tcPr>
          <w:p>
            <w:r>
              <w:rPr>
                <w:b/>
                <w:color w:val="008000"/>
                <w:sz w:val="17"/>
              </w:rPr>
              <w:t>+2.7%</w:t>
            </w:r>
          </w:p>
        </w:tc>
      </w:tr>
      <w:tr>
        <w:tc>
          <w:tcPr>
            <w:tcW w:type="dxa" w:w="1440"/>
            <w:shd w:fill="C6EFCE" w:val="clear"/>
          </w:tcPr>
          <w:p>
            <w:r>
              <w:rPr>
                <w:sz w:val="17"/>
              </w:rPr>
              <w:t>J+2  ⭐</w:t>
            </w:r>
          </w:p>
        </w:tc>
        <w:tc>
          <w:tcPr>
            <w:tcW w:type="dxa" w:w="1440"/>
            <w:shd w:fill="C6EFCE" w:val="clear"/>
          </w:tcPr>
          <w:p>
            <w:r>
              <w:rPr>
                <w:sz w:val="17"/>
              </w:rPr>
              <w:t>2026-09-30</w:t>
            </w:r>
          </w:p>
        </w:tc>
        <w:tc>
          <w:tcPr>
            <w:tcW w:type="dxa" w:w="1440"/>
            <w:shd w:fill="C6EFCE" w:val="clear"/>
          </w:tcPr>
          <w:p>
            <w:r>
              <w:rPr>
                <w:sz w:val="17"/>
              </w:rPr>
              <w:t>3,518</w:t>
            </w:r>
          </w:p>
        </w:tc>
        <w:tc>
          <w:tcPr>
            <w:tcW w:type="dxa" w:w="1440"/>
            <w:shd w:fill="C6EFCE" w:val="clear"/>
          </w:tcPr>
          <w:p>
            <w:r>
              <w:rPr>
                <w:b/>
                <w:sz w:val="17"/>
              </w:rPr>
              <w:t>3,727</w:t>
            </w:r>
          </w:p>
        </w:tc>
        <w:tc>
          <w:tcPr>
            <w:tcW w:type="dxa" w:w="1440"/>
            <w:shd w:fill="C6EFCE" w:val="clear"/>
          </w:tcPr>
          <w:p>
            <w:r>
              <w:rPr>
                <w:sz w:val="17"/>
              </w:rPr>
              <w:t>3,936</w:t>
            </w:r>
          </w:p>
        </w:tc>
        <w:tc>
          <w:tcPr>
            <w:tcW w:type="dxa" w:w="1440"/>
            <w:shd w:fill="C6EFCE" w:val="clear"/>
          </w:tcPr>
          <w:p>
            <w:r>
              <w:rPr>
                <w:b/>
                <w:color w:val="008000"/>
                <w:sz w:val="17"/>
              </w:rPr>
              <w:t>+3.0%</w:t>
            </w:r>
          </w:p>
        </w:tc>
      </w:tr>
      <w:tr>
        <w:tc>
          <w:tcPr>
            <w:tcW w:type="dxa" w:w="1440"/>
            <w:shd w:fill="C6EFCE" w:val="clear"/>
          </w:tcPr>
          <w:p>
            <w:r>
              <w:rPr>
                <w:sz w:val="17"/>
              </w:rPr>
              <w:t>J+3  ⭐</w:t>
            </w:r>
          </w:p>
        </w:tc>
        <w:tc>
          <w:tcPr>
            <w:tcW w:type="dxa" w:w="1440"/>
            <w:shd w:fill="C6EFCE" w:val="clear"/>
          </w:tcPr>
          <w:p>
            <w:r>
              <w:rPr>
                <w:sz w:val="17"/>
              </w:rPr>
              <w:t>2026-10-01</w:t>
            </w:r>
          </w:p>
        </w:tc>
        <w:tc>
          <w:tcPr>
            <w:tcW w:type="dxa" w:w="1440"/>
            <w:shd w:fill="C6EFCE" w:val="clear"/>
          </w:tcPr>
          <w:p>
            <w:r>
              <w:rPr>
                <w:sz w:val="17"/>
              </w:rPr>
              <w:t>3,480</w:t>
            </w:r>
          </w:p>
        </w:tc>
        <w:tc>
          <w:tcPr>
            <w:tcW w:type="dxa" w:w="1440"/>
            <w:shd w:fill="C6EFCE" w:val="clear"/>
          </w:tcPr>
          <w:p>
            <w:r>
              <w:rPr>
                <w:b/>
                <w:sz w:val="17"/>
              </w:rPr>
              <w:t>3,737</w:t>
            </w:r>
          </w:p>
        </w:tc>
        <w:tc>
          <w:tcPr>
            <w:tcW w:type="dxa" w:w="1440"/>
            <w:shd w:fill="C6EFCE" w:val="clear"/>
          </w:tcPr>
          <w:p>
            <w:r>
              <w:rPr>
                <w:sz w:val="17"/>
              </w:rPr>
              <w:t>3,994</w:t>
            </w:r>
          </w:p>
        </w:tc>
        <w:tc>
          <w:tcPr>
            <w:tcW w:type="dxa" w:w="1440"/>
            <w:shd w:fill="C6EFCE" w:val="clear"/>
          </w:tcPr>
          <w:p>
            <w:r>
              <w:rPr>
                <w:b/>
                <w:color w:val="008000"/>
                <w:sz w:val="17"/>
              </w:rPr>
              <w:t>+3.2%</w:t>
            </w:r>
          </w:p>
        </w:tc>
      </w:tr>
      <w:tr>
        <w:tc>
          <w:tcPr>
            <w:tcW w:type="dxa" w:w="1440"/>
            <w:shd w:fill="C6EFCE" w:val="clear"/>
          </w:tcPr>
          <w:p>
            <w:r>
              <w:rPr>
                <w:sz w:val="17"/>
              </w:rPr>
              <w:t>J+4  ⭐</w:t>
            </w:r>
          </w:p>
        </w:tc>
        <w:tc>
          <w:tcPr>
            <w:tcW w:type="dxa" w:w="1440"/>
            <w:shd w:fill="C6EFCE" w:val="clear"/>
          </w:tcPr>
          <w:p>
            <w:r>
              <w:rPr>
                <w:sz w:val="17"/>
              </w:rPr>
              <w:t>2026-10-02</w:t>
            </w:r>
          </w:p>
        </w:tc>
        <w:tc>
          <w:tcPr>
            <w:tcW w:type="dxa" w:w="1440"/>
            <w:shd w:fill="C6EFCE" w:val="clear"/>
          </w:tcPr>
          <w:p>
            <w:r>
              <w:rPr>
                <w:sz w:val="17"/>
              </w:rPr>
              <w:t>3,446</w:t>
            </w:r>
          </w:p>
        </w:tc>
        <w:tc>
          <w:tcPr>
            <w:tcW w:type="dxa" w:w="1440"/>
            <w:shd w:fill="C6EFCE" w:val="clear"/>
          </w:tcPr>
          <w:p>
            <w:r>
              <w:rPr>
                <w:b/>
                <w:sz w:val="17"/>
              </w:rPr>
              <w:t>3,743</w:t>
            </w:r>
          </w:p>
        </w:tc>
        <w:tc>
          <w:tcPr>
            <w:tcW w:type="dxa" w:w="1440"/>
            <w:shd w:fill="C6EFCE" w:val="clear"/>
          </w:tcPr>
          <w:p>
            <w:r>
              <w:rPr>
                <w:sz w:val="17"/>
              </w:rPr>
              <w:t>4,040</w:t>
            </w:r>
          </w:p>
        </w:tc>
        <w:tc>
          <w:tcPr>
            <w:tcW w:type="dxa" w:w="1440"/>
            <w:shd w:fill="C6EFCE" w:val="clear"/>
          </w:tcPr>
          <w:p>
            <w:r>
              <w:rPr>
                <w:b/>
                <w:color w:val="008000"/>
                <w:sz w:val="17"/>
              </w:rPr>
              <w:t>+3.4%</w:t>
            </w:r>
          </w:p>
        </w:tc>
      </w:tr>
      <w:tr>
        <w:tc>
          <w:tcPr>
            <w:tcW w:type="dxa" w:w="1440"/>
            <w:shd w:fill="C6EFCE" w:val="clear"/>
          </w:tcPr>
          <w:p>
            <w:r>
              <w:rPr>
                <w:sz w:val="17"/>
              </w:rPr>
              <w:t>J+5  ⭐</w:t>
            </w:r>
          </w:p>
        </w:tc>
        <w:tc>
          <w:tcPr>
            <w:tcW w:type="dxa" w:w="1440"/>
            <w:shd w:fill="C6EFCE" w:val="clear"/>
          </w:tcPr>
          <w:p>
            <w:r>
              <w:rPr>
                <w:sz w:val="17"/>
              </w:rPr>
              <w:t>2026-10-05</w:t>
            </w:r>
          </w:p>
        </w:tc>
        <w:tc>
          <w:tcPr>
            <w:tcW w:type="dxa" w:w="1440"/>
            <w:shd w:fill="C6EFCE" w:val="clear"/>
          </w:tcPr>
          <w:p>
            <w:r>
              <w:rPr>
                <w:sz w:val="17"/>
              </w:rPr>
              <w:t>3,414</w:t>
            </w:r>
          </w:p>
        </w:tc>
        <w:tc>
          <w:tcPr>
            <w:tcW w:type="dxa" w:w="1440"/>
            <w:shd w:fill="C6EFCE" w:val="clear"/>
          </w:tcPr>
          <w:p>
            <w:r>
              <w:rPr>
                <w:b/>
                <w:sz w:val="17"/>
              </w:rPr>
              <w:t>3,747</w:t>
            </w:r>
          </w:p>
        </w:tc>
        <w:tc>
          <w:tcPr>
            <w:tcW w:type="dxa" w:w="1440"/>
            <w:shd w:fill="C6EFCE" w:val="clear"/>
          </w:tcPr>
          <w:p>
            <w:r>
              <w:rPr>
                <w:sz w:val="17"/>
              </w:rPr>
              <w:t>4,080</w:t>
            </w:r>
          </w:p>
        </w:tc>
        <w:tc>
          <w:tcPr>
            <w:tcW w:type="dxa" w:w="1440"/>
            <w:shd w:fill="C6EFCE" w:val="clear"/>
          </w:tcPr>
          <w:p>
            <w:r>
              <w:rPr>
                <w:b/>
                <w:color w:val="008000"/>
                <w:sz w:val="17"/>
              </w:rPr>
              <w:t>+3.5%</w:t>
            </w:r>
          </w:p>
        </w:tc>
      </w:tr>
      <w:tr>
        <w:tc>
          <w:tcPr>
            <w:tcW w:type="dxa" w:w="1440"/>
            <w:shd w:fill="C6EFCE" w:val="clear"/>
          </w:tcPr>
          <w:p>
            <w:r>
              <w:rPr>
                <w:sz w:val="17"/>
              </w:rPr>
              <w:t>J+6  ⭐</w:t>
            </w:r>
          </w:p>
        </w:tc>
        <w:tc>
          <w:tcPr>
            <w:tcW w:type="dxa" w:w="1440"/>
            <w:shd w:fill="C6EFCE" w:val="clear"/>
          </w:tcPr>
          <w:p>
            <w:r>
              <w:rPr>
                <w:sz w:val="17"/>
              </w:rPr>
              <w:t>2026-10-06</w:t>
            </w:r>
          </w:p>
        </w:tc>
        <w:tc>
          <w:tcPr>
            <w:tcW w:type="dxa" w:w="1440"/>
            <w:shd w:fill="C6EFCE" w:val="clear"/>
          </w:tcPr>
          <w:p>
            <w:r>
              <w:rPr>
                <w:sz w:val="17"/>
              </w:rPr>
              <w:t>3,385</w:t>
            </w:r>
          </w:p>
        </w:tc>
        <w:tc>
          <w:tcPr>
            <w:tcW w:type="dxa" w:w="1440"/>
            <w:shd w:fill="C6EFCE" w:val="clear"/>
          </w:tcPr>
          <w:p>
            <w:r>
              <w:rPr>
                <w:b/>
                <w:sz w:val="17"/>
              </w:rPr>
              <w:t>3,750</w:t>
            </w:r>
          </w:p>
        </w:tc>
        <w:tc>
          <w:tcPr>
            <w:tcW w:type="dxa" w:w="1440"/>
            <w:shd w:fill="C6EFCE" w:val="clear"/>
          </w:tcPr>
          <w:p>
            <w:r>
              <w:rPr>
                <w:sz w:val="17"/>
              </w:rPr>
              <w:t>4,115</w:t>
            </w:r>
          </w:p>
        </w:tc>
        <w:tc>
          <w:tcPr>
            <w:tcW w:type="dxa" w:w="1440"/>
            <w:shd w:fill="C6EFCE" w:val="clear"/>
          </w:tcPr>
          <w:p>
            <w:r>
              <w:rPr>
                <w:b/>
                <w:color w:val="008000"/>
                <w:sz w:val="17"/>
              </w:rPr>
              <w:t>+3.6%</w:t>
            </w:r>
          </w:p>
        </w:tc>
      </w:tr>
      <w:tr>
        <w:tc>
          <w:tcPr>
            <w:tcW w:type="dxa" w:w="1440"/>
            <w:shd w:fill="C6EFCE" w:val="clear"/>
          </w:tcPr>
          <w:p>
            <w:r>
              <w:rPr>
                <w:sz w:val="17"/>
              </w:rPr>
              <w:t>J+7  ⭐</w:t>
            </w:r>
          </w:p>
        </w:tc>
        <w:tc>
          <w:tcPr>
            <w:tcW w:type="dxa" w:w="1440"/>
            <w:shd w:fill="C6EFCE" w:val="clear"/>
          </w:tcPr>
          <w:p>
            <w:r>
              <w:rPr>
                <w:sz w:val="17"/>
              </w:rPr>
              <w:t>2026-10-07</w:t>
            </w:r>
          </w:p>
        </w:tc>
        <w:tc>
          <w:tcPr>
            <w:tcW w:type="dxa" w:w="1440"/>
            <w:shd w:fill="C6EFCE" w:val="clear"/>
          </w:tcPr>
          <w:p>
            <w:r>
              <w:rPr>
                <w:sz w:val="17"/>
              </w:rPr>
              <w:t>3,359</w:t>
            </w:r>
          </w:p>
        </w:tc>
        <w:tc>
          <w:tcPr>
            <w:tcW w:type="dxa" w:w="1440"/>
            <w:shd w:fill="C6EFCE" w:val="clear"/>
          </w:tcPr>
          <w:p>
            <w:r>
              <w:rPr>
                <w:b/>
                <w:sz w:val="17"/>
              </w:rPr>
              <w:t>3,753</w:t>
            </w:r>
          </w:p>
        </w:tc>
        <w:tc>
          <w:tcPr>
            <w:tcW w:type="dxa" w:w="1440"/>
            <w:shd w:fill="C6EFCE" w:val="clear"/>
          </w:tcPr>
          <w:p>
            <w:r>
              <w:rPr>
                <w:sz w:val="17"/>
              </w:rPr>
              <w:t>4,148</w:t>
            </w:r>
          </w:p>
        </w:tc>
        <w:tc>
          <w:tcPr>
            <w:tcW w:type="dxa" w:w="1440"/>
            <w:shd w:fill="C6EFCE" w:val="clear"/>
          </w:tcPr>
          <w:p>
            <w:r>
              <w:rPr>
                <w:b/>
                <w:color w:val="008000"/>
                <w:sz w:val="17"/>
              </w:rPr>
              <w:t>+3.7%</w:t>
            </w:r>
          </w:p>
        </w:tc>
      </w:tr>
      <w:tr>
        <w:tc>
          <w:tcPr>
            <w:tcW w:type="dxa" w:w="1440"/>
            <w:shd w:fill="C6EFCE" w:val="clear"/>
          </w:tcPr>
          <w:p>
            <w:r>
              <w:rPr>
                <w:sz w:val="17"/>
              </w:rPr>
              <w:t>J+8  ⭐</w:t>
            </w:r>
          </w:p>
        </w:tc>
        <w:tc>
          <w:tcPr>
            <w:tcW w:type="dxa" w:w="1440"/>
            <w:shd w:fill="C6EFCE" w:val="clear"/>
          </w:tcPr>
          <w:p>
            <w:r>
              <w:rPr>
                <w:sz w:val="17"/>
              </w:rPr>
              <w:t>2026-10-08</w:t>
            </w:r>
          </w:p>
        </w:tc>
        <w:tc>
          <w:tcPr>
            <w:tcW w:type="dxa" w:w="1440"/>
            <w:shd w:fill="C6EFCE" w:val="clear"/>
          </w:tcPr>
          <w:p>
            <w:r>
              <w:rPr>
                <w:sz w:val="17"/>
              </w:rPr>
              <w:t>3,334</w:t>
            </w:r>
          </w:p>
        </w:tc>
        <w:tc>
          <w:tcPr>
            <w:tcW w:type="dxa" w:w="1440"/>
            <w:shd w:fill="C6EFCE" w:val="clear"/>
          </w:tcPr>
          <w:p>
            <w:r>
              <w:rPr>
                <w:b/>
                <w:sz w:val="17"/>
              </w:rPr>
              <w:t>3,756</w:t>
            </w:r>
          </w:p>
        </w:tc>
        <w:tc>
          <w:tcPr>
            <w:tcW w:type="dxa" w:w="1440"/>
            <w:shd w:fill="C6EFCE" w:val="clear"/>
          </w:tcPr>
          <w:p>
            <w:r>
              <w:rPr>
                <w:sz w:val="17"/>
              </w:rPr>
              <w:t>4,178</w:t>
            </w:r>
          </w:p>
        </w:tc>
        <w:tc>
          <w:tcPr>
            <w:tcW w:type="dxa" w:w="1440"/>
            <w:shd w:fill="C6EFCE" w:val="clear"/>
          </w:tcPr>
          <w:p>
            <w:r>
              <w:rPr>
                <w:b/>
                <w:color w:val="008000"/>
                <w:sz w:val="17"/>
              </w:rPr>
              <w:t>+3.8%</w:t>
            </w:r>
          </w:p>
        </w:tc>
      </w:tr>
      <w:tr>
        <w:tc>
          <w:tcPr>
            <w:tcW w:type="dxa" w:w="1440"/>
            <w:shd w:fill="C6EFCE" w:val="clear"/>
          </w:tcPr>
          <w:p>
            <w:r>
              <w:rPr>
                <w:sz w:val="17"/>
              </w:rPr>
              <w:t>J+9  ⭐</w:t>
            </w:r>
          </w:p>
        </w:tc>
        <w:tc>
          <w:tcPr>
            <w:tcW w:type="dxa" w:w="1440"/>
            <w:shd w:fill="C6EFCE" w:val="clear"/>
          </w:tcPr>
          <w:p>
            <w:r>
              <w:rPr>
                <w:sz w:val="17"/>
              </w:rPr>
              <w:t>2026-10-09</w:t>
            </w:r>
          </w:p>
        </w:tc>
        <w:tc>
          <w:tcPr>
            <w:tcW w:type="dxa" w:w="1440"/>
            <w:shd w:fill="C6EFCE" w:val="clear"/>
          </w:tcPr>
          <w:p>
            <w:r>
              <w:rPr>
                <w:sz w:val="17"/>
              </w:rPr>
              <w:t>3,311</w:t>
            </w:r>
          </w:p>
        </w:tc>
        <w:tc>
          <w:tcPr>
            <w:tcW w:type="dxa" w:w="1440"/>
            <w:shd w:fill="C6EFCE" w:val="clear"/>
          </w:tcPr>
          <w:p>
            <w:r>
              <w:rPr>
                <w:b/>
                <w:sz w:val="17"/>
              </w:rPr>
              <w:t>3,759</w:t>
            </w:r>
          </w:p>
        </w:tc>
        <w:tc>
          <w:tcPr>
            <w:tcW w:type="dxa" w:w="1440"/>
            <w:shd w:fill="C6EFCE" w:val="clear"/>
          </w:tcPr>
          <w:p>
            <w:r>
              <w:rPr>
                <w:sz w:val="17"/>
              </w:rPr>
              <w:t>4,207</w:t>
            </w:r>
          </w:p>
        </w:tc>
        <w:tc>
          <w:tcPr>
            <w:tcW w:type="dxa" w:w="1440"/>
            <w:shd w:fill="C6EFCE" w:val="clear"/>
          </w:tcPr>
          <w:p>
            <w:r>
              <w:rPr>
                <w:b/>
                <w:color w:val="008000"/>
                <w:sz w:val="17"/>
              </w:rPr>
              <w:t>+3.8%</w:t>
            </w:r>
          </w:p>
        </w:tc>
      </w:tr>
      <w:tr>
        <w:tc>
          <w:tcPr>
            <w:tcW w:type="dxa" w:w="1440"/>
            <w:shd w:fill="C6EFCE" w:val="clear"/>
          </w:tcPr>
          <w:p>
            <w:r>
              <w:rPr>
                <w:sz w:val="17"/>
              </w:rPr>
              <w:t>J+10  ⭐</w:t>
            </w:r>
          </w:p>
        </w:tc>
        <w:tc>
          <w:tcPr>
            <w:tcW w:type="dxa" w:w="1440"/>
            <w:shd w:fill="C6EFCE" w:val="clear"/>
          </w:tcPr>
          <w:p>
            <w:r>
              <w:rPr>
                <w:sz w:val="17"/>
              </w:rPr>
              <w:t>2026-10-12</w:t>
            </w:r>
          </w:p>
        </w:tc>
        <w:tc>
          <w:tcPr>
            <w:tcW w:type="dxa" w:w="1440"/>
            <w:shd w:fill="C6EFCE" w:val="clear"/>
          </w:tcPr>
          <w:p>
            <w:r>
              <w:rPr>
                <w:sz w:val="17"/>
              </w:rPr>
              <w:t>3,289</w:t>
            </w:r>
          </w:p>
        </w:tc>
        <w:tc>
          <w:tcPr>
            <w:tcW w:type="dxa" w:w="1440"/>
            <w:shd w:fill="C6EFCE" w:val="clear"/>
          </w:tcPr>
          <w:p>
            <w:r>
              <w:rPr>
                <w:b/>
                <w:sz w:val="17"/>
              </w:rPr>
              <w:t>3,761</w:t>
            </w:r>
          </w:p>
        </w:tc>
        <w:tc>
          <w:tcPr>
            <w:tcW w:type="dxa" w:w="1440"/>
            <w:shd w:fill="C6EFCE" w:val="clear"/>
          </w:tcPr>
          <w:p>
            <w:r>
              <w:rPr>
                <w:sz w:val="17"/>
              </w:rPr>
              <w:t>4,234</w:t>
            </w:r>
          </w:p>
        </w:tc>
        <w:tc>
          <w:tcPr>
            <w:tcW w:type="dxa" w:w="1440"/>
            <w:shd w:fill="C6EFCE" w:val="clear"/>
          </w:tcPr>
          <w:p>
            <w:r>
              <w:rPr>
                <w:b/>
                <w:color w:val="008000"/>
                <w:sz w:val="17"/>
              </w:rPr>
              <w:t>+3.9%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TTLS (TotalEnergies Marketing Sénégal)**</w:t>
        <w:br/>
        <w:t>*Bourse Régionale des Valeurs Mobilières (BRVM)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117,93 milliards FCFA, TTLS s'impose comme l'une des valeurs les plus importantes du compartiment énergie de la BRVM, reflétant la solidité de son leadership sur le marché sénégalais des produits pétroliers. Le BPA de 208 FCFA par action indique que chaque titre génère un bénéfice net de 208 FCFA, ce qui, rapporté au cours actuel de 3 620 FCFA, donne un PER de 17,4x — un niveau modéré mais supérieur à la moyenne du marché BRVM (8-12x), suggérant que les investisseurs acceptent une prime de qualité pour ce titre défensif. Le P/B de 4,18x traduit une valorisation exigeante, le marché payant plus de quatre fois la valeur comptable des fonds propres (28,2 milliards FCFA), ce qui se justifie par la forte rentabilité des capitaux propres (ROE de 24,0%) mais expose le titre à un risque de correction si la rentabilité se dégradait. Enfin, l'EV/EBITDA de 7,4x, dans la fourchette raisonnable de 5-10x, indique que la valeur totale de l'entreprise (incluant la dette) reste cohérente avec sa capacité opérationnelle à générer de l'EBE (16,07 milliards FCFA en 2025), offrant une marge de sécurité relative aux investisseurs.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TTLS affiche une performance remarquable de +20,67%, portée par un contexte favorable au secteur énergétique sénégalais, bien que la dernière séance (J-1) ait enregistré un repli de -4,61%, signalant une prise de bénéfices après le récent rallye. Le cours actuel de 3 620 FCFA se situe dans la moitié inférieure du range de trading établi entre un plus bas de 2 845 FCFA et un plus haut de 4 500 FCFA, ce qui traduit une tendance haussière de fond mais avec une consolidation récente. Les statistiques descriptives révèlent une moyenne de 3 642 FCFA très proche de la médiane de 3 670 FCFA, indiquant une distribution quasi-symétrique du cours sur la période, sans biais directionnel marqué. L'écart-type de 350 FCFA, correspondant à un coefficient de variation de 9,6%, témoigne d'une dispersion modérée du cours autour de sa moyenne, tandis que le kurtosis de -0,074 (mésokurtique) suggère une distribution proche de la normale, sans risque excessif de pics extrêmes. Le skewness de -0,170 confirme cette symétrie avec une très légère asymétrie négative, signifiant que les baisses sont marginalement plus fréquentes que les hausses, sans que cela soit statistiquement significatif. La volatilité annualisée de 43,1% classe ce titre dans la catégorie des valeurs à volatilité élevée (&gt;30%), ce qui est cohérent avec le secteur pétrolier et implique un risque de fluctuation important à court terme, nécessitant une tolérance au risque adéquate de la part des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3 846,75 FCFA et la MM50 à 3 765,40 FCFA, toutes deux supérieures au cours actuel de 3 620 FCFA, ce qui place le titre en position baissière à court terme malgré la décision technique affichée "Achat". Cette configuration suggère que le cours évolue sous ses moyennes mobiles, signalant une pression vendeuse récente, mais la décision "Achat" pourrait refléter une anticipation de rebond technique vers ces niveaux de résistance.</w:t>
      </w:r>
    </w:p>
    <w:p>
      <w:pPr>
        <w:spacing w:after="120" w:line="276" w:lineRule="auto"/>
      </w:pPr>
      <w:r>
        <w:t>**Bandes de Bollinger** : La borne supérieure est à 4 015,34 FCFA et la borne inférieure à 3 678,16 FCFA, avec un cours actuel de 3 620 FCFA qui se situe légèrement sous la borne inférieure, indiquant une situation de survente technique. Cette position sous la bande inférieure, combinée à la décision "Achat", suggère un potentiel de rebond vers la moyenne mobile des bandes, bien que la volatilité élevée (largeur des bandes) appelle à la prudence.</w:t>
      </w:r>
    </w:p>
    <w:p>
      <w:pPr>
        <w:spacing w:after="120" w:line="276" w:lineRule="auto"/>
      </w:pPr>
      <w:r>
        <w:t>**MACD** : La valeur du MACD est de -8,183 contre un signal à 19,149, créant une divergence baissière significative où le MACD est nettement inférieur à son signal, confirmant la décision "Vente". Ce croisement baissier indique un momentum négatif persistant, bien que l'écart important entre les deux lignes puisse signaler une exhaustion prochaine de la tendance baissière.</w:t>
      </w:r>
    </w:p>
    <w:p>
      <w:pPr>
        <w:spacing w:after="120" w:line="276" w:lineRule="auto"/>
      </w:pPr>
      <w:r>
        <w:t>**RSI** : À 40,449, le RSI se situe dans la zone neutre (30-70), sans signal de surachat ni de survente, ce qui justifie la décision "Neutre". Cette valeur médiane indique un équilibre relatif entre acheteurs et vendeurs, sans pression directionnelle claire, laissant présager une consolidation avant un nouveau mouvement.</w:t>
      </w:r>
    </w:p>
    <w:p>
      <w:pPr>
        <w:spacing w:after="120" w:line="276" w:lineRule="auto"/>
      </w:pPr>
      <w:r>
        <w:t>**Stochastique** : Le %K à 0,0 et le %D à 1,587 sont tous deux en zone de survente extrême (&lt;20), avec un %K sous le %D, ce qui génère une décision "Achat" par anticipation d'un retournement haussier. Cette configuration de survente profonde, bien que risquée, offre un point d'entrée potentiel pour les investisseurs contrarians.</w:t>
      </w:r>
    </w:p>
    <w:p>
      <w:pPr>
        <w:spacing w:after="120" w:line="276" w:lineRule="auto"/>
      </w:pPr>
      <w:r>
        <w:t>**Conclusion technique** : Les indicateurs techniques présentent une divergence notable : les moyennes mobiles et le MACD sont baissiers, tandis que les Bandes de Bollinger et le Stochastique suggèrent un potentiel de rebond après une survente. Le RSI neutre confirme l'absence de direction claire, créant un tableau technique mitigé où la prudence est de mise. La convergence des signaux de survente (Bollinger, Stochastique) avec la décision "Achat" de ces indicateurs pourrait indiquer un point d'entrée tactique, mais la pression baissière des MM et du MACD appelle à attendre une confirmation de retournement avant d'agir.</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**Données structurées (exercice 2025)** : En 2025, TotalEnergies Marketing Sénégal a réalisé un chiffre d'affaires de 455,209 milliards FCFA, en baisse de 6,1% par rapport à 2024 (484,945 milliards FCFA), principalement en raison de l'arrêt stratégique de la commercialisation du fuel lourd. Le résultat net s'établit à 6,779 milliards FCFA, en léger recul de 5,1% par rapport aux 7,140 milliards FCFA de 2024, tandis que la marge nette reste faible à 1,49%, typique du secteur de distribution de commodités. Le ROE de 24,0% demeure excellent (&gt;15%), témoignant d'une utilisation efficace des fonds propres (28,239 milliards FCFA), et le ROA de 3,95% reflète la faible intensité capitalistique du modèle. La structure financière présente une autonomie financière de 16,44% (inférieure au seuil de 30% considéré comme sain), une dépendance financière de 83,56% et un ratio d'endettement de 52,16%, mais la solvabilité générale de 119,67% (&gt;1) confirme la capacité à honorer les dettes. Le BFR est négatif à -36,899 milliards FCFA, ce qui est favorable car il signifie que les fournisseurs financent une partie du cycle d'exploitation, et la trésorerie nette de 13,941 milliards FCFA renforce la solidité financière. Les délais d'exploitation montrent un délai clients de 47,43 jours (risque de trésorerie modéré), un délai fournisseurs de 97,76 jours (avantageux) et une durée de stockage de 17,62 jours (efficace), tandis que la capacité de remboursement de 0,94 an et la couverture des intérêts de 485,91% attestent d'une excellente santé financière.</w:t>
      </w:r>
    </w:p>
    <w:p>
      <w:pPr>
        <w:spacing w:after="120" w:line="276" w:lineRule="auto"/>
      </w:pPr>
      <w:r>
        <w:t>**Estimations basées sur les rapports trimestriels** : Le rapport du T1 2026 (publié en 2026) révèle un chiffre d'affaires de 99,9 milliards FCFA, en baisse de 10% sur un an, impacté par la révision à la baisse des prix à la pompe par l'État sénégalais en décembre 2025. Malgré cette contraction, le résultat d'exploitation progresse de 28% à 2,623 milliards FCFA et le résultat net augmente de 5% à 1,585 milliards FCFA, démontrant une résilience opérationnelle remarquable grâce à l'amélioration des marges sur les lubrifiants. Sur la base de ce rapport, on estime que l'exercice 2026 devrait maintenir une pression sur le chiffre d'affaires (baisse attendue de 5-10%) mais pourrait voir une stabilisation voire une légère amélioration du résultat net si la dynamique des marges se poursuit. Le rapport du T3 2025 (publié en 2025) indiquait un résultat net cumulé de 5,024 milliards FCFA à fin septembre 2025, en repli de 14%, confirmant la tendance annuelle. Les perspectives pour 2026 dépendront largement de l'évolution des prix régulés et de la capacité à développer les segments à forte valeur ajoutée (lubrifiants, GPL, export).</w:t>
      </w:r>
    </w:p>
    <w:p>
      <w:pPr>
        <w:spacing w:after="120" w:line="276" w:lineRule="auto"/>
      </w:pPr>
      <w:r>
        <w:t>**Recommandation fondamentale** : TTLS présente une solidité financière indéniable avec un ROE élevé, une trésorerie nette positive et un BFR négatif favorable, mais fait face à des défis structurels : baisse du chiffre d'affaires, marge nette très faible (&lt;2%), dépendance aux décisions réglementaires de l'État et absence d'information sur la politique de dividende pour 2025. La stratégie de recentrage sur les segments à plus forte valeur ajoutée (lubrifiants, GPL) porte ses fruits au niveau opérationnel, mais la pression sur les volumes et les prix régulés limite la visibilité. Nous maintenons une recommandation de **CONSERVER** avec une vigilance accrue sur l'évolution des volumes et la politique de distribution.</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révèle un tableau contrasté pour TTLS. Sur le plan de la **valorisation (Partie 0)**, le PER de 17,4x et le P/B de 4,18x indiquent une surévaluation relative par rapport à la moyenne du marché BRVM (PER 8-12x), bien que l'EV/EBITDA de 7,4x reste raisonnable, suggérant que la prime de qualité est déjà intégrée dans le cours. Le **comportement du cours (Partie 1)** montre une tendance haussière de fond (+20,67% sur 100 jours) mais avec une consolidation récente (-4,61% en J-1) et une volatilité élevée (43,1%), tandis que les statistiques descriptives (kurtosis -0,074, skewness -0,170) indiquent une distribution symétrique sans risque excessif de pics, ce qui est rassurant pour la gestion du risque. Les **signaux techniques (Partie 2)** sont divergents : les MM et le MACD sont baissiers, mais les Bandes de Bollinger et le Stochastique suggèrent une survente propice à un rebond, créant une opportunité tactique mais incertaine. Les **fondamentaux (Partie 3)** demeurent solides avec un ROE de 24,0%, une trésorerie nette de 13,941 milliards FCFA et un BFR négatif, mais la baisse du chiffre d'affaires (-6,1% en 2025) et la faible marge nette (1,49%) limitent le potentiel de croissance, bien que le T1 2026 montre une résilience opérationnelle (+28% de résultat d'exploitation). Les **prédictions IA (J+1 à J+10)** anticipent une trajectoire haussière modérée de 3 718 FCFA à 3 747 FCFA, ce qui confirme le potentiel de rebond technique identifié par le Stochastique et les Bandes de Bollinger, mais contredit la pression baissière des MM et du MACD.</w:t>
      </w:r>
    </w:p>
    <w:p>
      <w:pPr>
        <w:spacing w:after="120" w:line="276" w:lineRule="auto"/>
      </w:pPr>
      <w:r>
        <w:t>**Recommandation finale : CONSERVER** — Justification : La convergence entre la survente technique (Bollinger, Stochastique), la résilience fondamentale (ROE élevé, trésorerie nette positive) et les prédictions IA haussières soutient une perspective positive à moyen terme, mais la surévaluation relative (PER 17,4x, P/B 4,18x), la volatilité élevée (43,1%) et l'absence de catalyseurs fondamentaux majeurs (baisse du CA, dividende non communiqué) limitent le potentiel de hausse à court terme. **Niveau de confiance : Moyen** — les signaux techniques et fondamentaux sont mitigés, avec une divergence entre les indicateurs baissiers (MM, MACD) et haussiers (Bollinger, Stochastique, prédictions IA). **Niveau de risque global : Moyen à Élevé** — la volatilité de 43,1% et la dépendance aux décisions réglementaires de l'État sénégalais constituent des facteurs de risque importants. **Horizon d'investissement optimal : Moyen terme (3-12 mois)** — le titre offre une exposition défensive au secteur énergétique sénégalais avec un potentiel de rebond technique à court terme, mais la matérialisation d'une croissance durable nécessitera une clarification sur les volumes, les prix régulés et la politique de dividende. Les investisseurs déjà positionnés sont invités à conserver leurs titres en surveillant les niveaux de support à 3 500 FCFA et de résistance à 3 850 FCFA (MM20), tandis que les nouveaux entrants pourraient attendre une confirmation de retournement technique (croisement haussier du MACD, sortie du Stochastique de la zone de survente) avant d'initier une position.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47.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51,000 FCFA</w:t>
            </w:r>
          </w:p>
          <w:p>
            <w:r>
              <w:rPr>
                <w:b/>
                <w:color w:val="503200"/>
                <w:sz w:val="16"/>
              </w:rPr>
              <w:t xml:space="preserve">Var. 100 jours : </w:t>
            </w:r>
            <w:r>
              <w:rPr>
                <w:b/>
                <w:color w:val="B40000"/>
                <w:sz w:val="17"/>
              </w:rPr>
              <w:t>-19.05%</w:t>
            </w:r>
          </w:p>
          <w:p>
            <w:r>
              <w:rPr>
                <w:b/>
                <w:color w:val="503200"/>
                <w:sz w:val="16"/>
              </w:rPr>
              <w:t xml:space="preserve">Plus haut 100j : </w:t>
            </w:r>
            <w:r>
              <w:rPr>
                <w:color w:val="000000"/>
                <w:sz w:val="17"/>
              </w:rPr>
              <w:t>63,000 FCFA</w:t>
            </w:r>
          </w:p>
          <w:p>
            <w:r>
              <w:rPr>
                <w:b/>
                <w:color w:val="503200"/>
                <w:sz w:val="16"/>
              </w:rPr>
              <w:t xml:space="preserve">Plus bas 100j : </w:t>
            </w:r>
            <w:r>
              <w:rPr>
                <w:color w:val="000000"/>
                <w:sz w:val="17"/>
              </w:rPr>
              <w:t>49,000 FCFA</w:t>
            </w:r>
          </w:p>
          <w:p>
            <w:r>
              <w:rPr>
                <w:b/>
                <w:color w:val="503200"/>
                <w:sz w:val="16"/>
              </w:rPr>
              <w:t xml:space="preserve">Volatilité ann. : </w:t>
            </w:r>
            <w:r>
              <w:rPr>
                <w:color w:val="000000"/>
                <w:sz w:val="17"/>
              </w:rPr>
              <w:t>57.0%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825A00"/>
          <w:sz w:val="22"/>
        </w:rPr>
        <w:t>23.0/100 → Moyen</w:t>
      </w:r>
    </w:p>
    <w:p>
      <w:pPr>
        <w:spacing w:before="40" w:after="80"/>
      </w:pPr>
      <w:r>
        <w:rPr>
          <w:rFonts w:ascii="Courier New" w:hAnsi="Courier New"/>
          <w:color w:val="825A00"/>
          <w:sz w:val="18"/>
        </w:rPr>
        <w:t>████░░░░░░░░░░░░░░░░  23.0/100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5.47% (Moyenne) — μ=55,059 FCFA, σ=3,009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β=0.5362 (Défensif) — Cov=0.000038, Var(idx)=0.000071, ρ=0.124,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σ_j=3.59%/j (Modérée) — Vol. annualisée≈57.0%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5872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2026-09-29</w:t>
            </w:r>
          </w:p>
        </w:tc>
        <w:tc>
          <w:tcPr>
            <w:tcW w:type="dxa" w:w="1440"/>
            <w:shd w:fill="FAFAFA" w:val="clear"/>
          </w:tcPr>
          <w:p>
            <w:r>
              <w:rPr>
                <w:sz w:val="17"/>
              </w:rPr>
              <w:t>47,688</w:t>
            </w:r>
          </w:p>
        </w:tc>
        <w:tc>
          <w:tcPr>
            <w:tcW w:type="dxa" w:w="1440"/>
            <w:shd w:fill="FAFAFA" w:val="clear"/>
          </w:tcPr>
          <w:p>
            <w:r>
              <w:rPr>
                <w:b/>
                <w:sz w:val="17"/>
              </w:rPr>
              <w:t>50,801</w:t>
            </w:r>
          </w:p>
        </w:tc>
        <w:tc>
          <w:tcPr>
            <w:tcW w:type="dxa" w:w="1440"/>
            <w:shd w:fill="FAFAFA" w:val="clear"/>
          </w:tcPr>
          <w:p>
            <w:r>
              <w:rPr>
                <w:sz w:val="17"/>
              </w:rPr>
              <w:t>53,913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2026-09-30</w:t>
            </w:r>
          </w:p>
        </w:tc>
        <w:tc>
          <w:tcPr>
            <w:tcW w:type="dxa" w:w="1440"/>
            <w:shd w:fill="FAFAFA" w:val="clear"/>
          </w:tcPr>
          <w:p>
            <w:r>
              <w:rPr>
                <w:sz w:val="17"/>
              </w:rPr>
              <w:t>46,410</w:t>
            </w:r>
          </w:p>
        </w:tc>
        <w:tc>
          <w:tcPr>
            <w:tcW w:type="dxa" w:w="1440"/>
            <w:shd w:fill="FAFAFA" w:val="clear"/>
          </w:tcPr>
          <w:p>
            <w:r>
              <w:rPr>
                <w:b/>
                <w:sz w:val="17"/>
              </w:rPr>
              <w:t>50,813</w:t>
            </w:r>
          </w:p>
        </w:tc>
        <w:tc>
          <w:tcPr>
            <w:tcW w:type="dxa" w:w="1440"/>
            <w:shd w:fill="FAFAFA" w:val="clear"/>
          </w:tcPr>
          <w:p>
            <w:r>
              <w:rPr>
                <w:sz w:val="17"/>
              </w:rPr>
              <w:t>55,215</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2026-10-01</w:t>
            </w:r>
          </w:p>
        </w:tc>
        <w:tc>
          <w:tcPr>
            <w:tcW w:type="dxa" w:w="1440"/>
            <w:shd w:fill="FAFAFA" w:val="clear"/>
          </w:tcPr>
          <w:p>
            <w:r>
              <w:rPr>
                <w:sz w:val="17"/>
              </w:rPr>
              <w:t>45,413</w:t>
            </w:r>
          </w:p>
        </w:tc>
        <w:tc>
          <w:tcPr>
            <w:tcW w:type="dxa" w:w="1440"/>
            <w:shd w:fill="FAFAFA" w:val="clear"/>
          </w:tcPr>
          <w:p>
            <w:r>
              <w:rPr>
                <w:b/>
                <w:sz w:val="17"/>
              </w:rPr>
              <w:t>50,804</w:t>
            </w:r>
          </w:p>
        </w:tc>
        <w:tc>
          <w:tcPr>
            <w:tcW w:type="dxa" w:w="1440"/>
            <w:shd w:fill="FAFAFA" w:val="clear"/>
          </w:tcPr>
          <w:p>
            <w:r>
              <w:rPr>
                <w:sz w:val="17"/>
              </w:rPr>
              <w:t>56,196</w:t>
            </w:r>
          </w:p>
        </w:tc>
        <w:tc>
          <w:tcPr>
            <w:tcW w:type="dxa" w:w="1440"/>
            <w:shd w:fill="FAFAFA" w:val="clear"/>
          </w:tcPr>
          <w:p>
            <w:r>
              <w:rPr>
                <w:b/>
                <w:color w:val="C00000"/>
                <w:sz w:val="17"/>
              </w:rPr>
              <w:t>-0.4%</w:t>
            </w:r>
          </w:p>
        </w:tc>
      </w:tr>
      <w:tr>
        <w:tc>
          <w:tcPr>
            <w:tcW w:type="dxa" w:w="1440"/>
            <w:shd w:fill="FAFAFA" w:val="clear"/>
          </w:tcPr>
          <w:p>
            <w:r>
              <w:rPr>
                <w:sz w:val="17"/>
              </w:rPr>
              <w:t>J+4  ⭐</w:t>
            </w:r>
          </w:p>
        </w:tc>
        <w:tc>
          <w:tcPr>
            <w:tcW w:type="dxa" w:w="1440"/>
            <w:shd w:fill="FAFAFA" w:val="clear"/>
          </w:tcPr>
          <w:p>
            <w:r>
              <w:rPr>
                <w:sz w:val="17"/>
              </w:rPr>
              <w:t>2026-10-02</w:t>
            </w:r>
          </w:p>
        </w:tc>
        <w:tc>
          <w:tcPr>
            <w:tcW w:type="dxa" w:w="1440"/>
            <w:shd w:fill="FAFAFA" w:val="clear"/>
          </w:tcPr>
          <w:p>
            <w:r>
              <w:rPr>
                <w:sz w:val="17"/>
              </w:rPr>
              <w:t>44,569</w:t>
            </w:r>
          </w:p>
        </w:tc>
        <w:tc>
          <w:tcPr>
            <w:tcW w:type="dxa" w:w="1440"/>
            <w:shd w:fill="FAFAFA" w:val="clear"/>
          </w:tcPr>
          <w:p>
            <w:r>
              <w:rPr>
                <w:b/>
                <w:sz w:val="17"/>
              </w:rPr>
              <w:t>50,793</w:t>
            </w:r>
          </w:p>
        </w:tc>
        <w:tc>
          <w:tcPr>
            <w:tcW w:type="dxa" w:w="1440"/>
            <w:shd w:fill="FAFAFA" w:val="clear"/>
          </w:tcPr>
          <w:p>
            <w:r>
              <w:rPr>
                <w:sz w:val="17"/>
              </w:rPr>
              <w:t>57,017</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2026-10-05</w:t>
            </w:r>
          </w:p>
        </w:tc>
        <w:tc>
          <w:tcPr>
            <w:tcW w:type="dxa" w:w="1440"/>
            <w:shd w:fill="FAFAFA" w:val="clear"/>
          </w:tcPr>
          <w:p>
            <w:r>
              <w:rPr>
                <w:sz w:val="17"/>
              </w:rPr>
              <w:t>43,824</w:t>
            </w:r>
          </w:p>
        </w:tc>
        <w:tc>
          <w:tcPr>
            <w:tcW w:type="dxa" w:w="1440"/>
            <w:shd w:fill="FAFAFA" w:val="clear"/>
          </w:tcPr>
          <w:p>
            <w:r>
              <w:rPr>
                <w:b/>
                <w:sz w:val="17"/>
              </w:rPr>
              <w:t>50,781</w:t>
            </w:r>
          </w:p>
        </w:tc>
        <w:tc>
          <w:tcPr>
            <w:tcW w:type="dxa" w:w="1440"/>
            <w:shd w:fill="FAFAFA" w:val="clear"/>
          </w:tcPr>
          <w:p>
            <w:r>
              <w:rPr>
                <w:sz w:val="17"/>
              </w:rPr>
              <w:t>57,738</w:t>
            </w:r>
          </w:p>
        </w:tc>
        <w:tc>
          <w:tcPr>
            <w:tcW w:type="dxa" w:w="1440"/>
            <w:shd w:fill="FAFAFA" w:val="clear"/>
          </w:tcPr>
          <w:p>
            <w:r>
              <w:rPr>
                <w:b/>
                <w:color w:val="C00000"/>
                <w:sz w:val="17"/>
              </w:rPr>
              <w:t>-0.4%</w:t>
            </w:r>
          </w:p>
        </w:tc>
      </w:tr>
      <w:tr>
        <w:tc>
          <w:tcPr>
            <w:tcW w:type="dxa" w:w="1440"/>
            <w:shd w:fill="FAFAFA" w:val="clear"/>
          </w:tcPr>
          <w:p>
            <w:r>
              <w:rPr>
                <w:sz w:val="17"/>
              </w:rPr>
              <w:t>J+6  ⭐</w:t>
            </w:r>
          </w:p>
        </w:tc>
        <w:tc>
          <w:tcPr>
            <w:tcW w:type="dxa" w:w="1440"/>
            <w:shd w:fill="FAFAFA" w:val="clear"/>
          </w:tcPr>
          <w:p>
            <w:r>
              <w:rPr>
                <w:sz w:val="17"/>
              </w:rPr>
              <w:t>2026-10-06</w:t>
            </w:r>
          </w:p>
        </w:tc>
        <w:tc>
          <w:tcPr>
            <w:tcW w:type="dxa" w:w="1440"/>
            <w:shd w:fill="FAFAFA" w:val="clear"/>
          </w:tcPr>
          <w:p>
            <w:r>
              <w:rPr>
                <w:sz w:val="17"/>
              </w:rPr>
              <w:t>43,150</w:t>
            </w:r>
          </w:p>
        </w:tc>
        <w:tc>
          <w:tcPr>
            <w:tcW w:type="dxa" w:w="1440"/>
            <w:shd w:fill="FAFAFA" w:val="clear"/>
          </w:tcPr>
          <w:p>
            <w:r>
              <w:rPr>
                <w:b/>
                <w:sz w:val="17"/>
              </w:rPr>
              <w:t>50,769</w:t>
            </w:r>
          </w:p>
        </w:tc>
        <w:tc>
          <w:tcPr>
            <w:tcW w:type="dxa" w:w="1440"/>
            <w:shd w:fill="FAFAFA" w:val="clear"/>
          </w:tcPr>
          <w:p>
            <w:r>
              <w:rPr>
                <w:sz w:val="17"/>
              </w:rPr>
              <w:t>58,388</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2026-10-07</w:t>
            </w:r>
          </w:p>
        </w:tc>
        <w:tc>
          <w:tcPr>
            <w:tcW w:type="dxa" w:w="1440"/>
            <w:shd w:fill="FAFAFA" w:val="clear"/>
          </w:tcPr>
          <w:p>
            <w:r>
              <w:rPr>
                <w:sz w:val="17"/>
              </w:rPr>
              <w:t>42,530</w:t>
            </w:r>
          </w:p>
        </w:tc>
        <w:tc>
          <w:tcPr>
            <w:tcW w:type="dxa" w:w="1440"/>
            <w:shd w:fill="FAFAFA" w:val="clear"/>
          </w:tcPr>
          <w:p>
            <w:r>
              <w:rPr>
                <w:b/>
                <w:sz w:val="17"/>
              </w:rPr>
              <w:t>50,758</w:t>
            </w:r>
          </w:p>
        </w:tc>
        <w:tc>
          <w:tcPr>
            <w:tcW w:type="dxa" w:w="1440"/>
            <w:shd w:fill="FAFAFA" w:val="clear"/>
          </w:tcPr>
          <w:p>
            <w:r>
              <w:rPr>
                <w:sz w:val="17"/>
              </w:rPr>
              <w:t>58,986</w:t>
            </w:r>
          </w:p>
        </w:tc>
        <w:tc>
          <w:tcPr>
            <w:tcW w:type="dxa" w:w="1440"/>
            <w:shd w:fill="FAFAFA" w:val="clear"/>
          </w:tcPr>
          <w:p>
            <w:r>
              <w:rPr>
                <w:b/>
                <w:color w:val="C00000"/>
                <w:sz w:val="17"/>
              </w:rPr>
              <w:t>-0.5%</w:t>
            </w:r>
          </w:p>
        </w:tc>
      </w:tr>
      <w:tr>
        <w:tc>
          <w:tcPr>
            <w:tcW w:type="dxa" w:w="1440"/>
            <w:shd w:fill="FAFAFA" w:val="clear"/>
          </w:tcPr>
          <w:p>
            <w:r>
              <w:rPr>
                <w:sz w:val="17"/>
              </w:rPr>
              <w:t>J+8  ⭐</w:t>
            </w:r>
          </w:p>
        </w:tc>
        <w:tc>
          <w:tcPr>
            <w:tcW w:type="dxa" w:w="1440"/>
            <w:shd w:fill="FAFAFA" w:val="clear"/>
          </w:tcPr>
          <w:p>
            <w:r>
              <w:rPr>
                <w:sz w:val="17"/>
              </w:rPr>
              <w:t>2026-10-08</w:t>
            </w:r>
          </w:p>
        </w:tc>
        <w:tc>
          <w:tcPr>
            <w:tcW w:type="dxa" w:w="1440"/>
            <w:shd w:fill="FAFAFA" w:val="clear"/>
          </w:tcPr>
          <w:p>
            <w:r>
              <w:rPr>
                <w:sz w:val="17"/>
              </w:rPr>
              <w:t>41,952</w:t>
            </w:r>
          </w:p>
        </w:tc>
        <w:tc>
          <w:tcPr>
            <w:tcW w:type="dxa" w:w="1440"/>
            <w:shd w:fill="FAFAFA" w:val="clear"/>
          </w:tcPr>
          <w:p>
            <w:r>
              <w:rPr>
                <w:b/>
                <w:sz w:val="17"/>
              </w:rPr>
              <w:t>50,746</w:t>
            </w:r>
          </w:p>
        </w:tc>
        <w:tc>
          <w:tcPr>
            <w:tcW w:type="dxa" w:w="1440"/>
            <w:shd w:fill="FAFAFA" w:val="clear"/>
          </w:tcPr>
          <w:p>
            <w:r>
              <w:rPr>
                <w:sz w:val="17"/>
              </w:rPr>
              <w:t>59,540</w:t>
            </w:r>
          </w:p>
        </w:tc>
        <w:tc>
          <w:tcPr>
            <w:tcW w:type="dxa" w:w="1440"/>
            <w:shd w:fill="FAFAFA" w:val="clear"/>
          </w:tcPr>
          <w:p>
            <w:r>
              <w:rPr>
                <w:b/>
                <w:color w:val="C00000"/>
                <w:sz w:val="17"/>
              </w:rPr>
              <w:t>-0.5%</w:t>
            </w:r>
          </w:p>
        </w:tc>
      </w:tr>
      <w:tr>
        <w:tc>
          <w:tcPr>
            <w:tcW w:type="dxa" w:w="1440"/>
            <w:shd w:fill="FAFAFA" w:val="clear"/>
          </w:tcPr>
          <w:p>
            <w:r>
              <w:rPr>
                <w:sz w:val="17"/>
              </w:rPr>
              <w:t>J+9  ⭐</w:t>
            </w:r>
          </w:p>
        </w:tc>
        <w:tc>
          <w:tcPr>
            <w:tcW w:type="dxa" w:w="1440"/>
            <w:shd w:fill="FAFAFA" w:val="clear"/>
          </w:tcPr>
          <w:p>
            <w:r>
              <w:rPr>
                <w:sz w:val="17"/>
              </w:rPr>
              <w:t>2026-10-09</w:t>
            </w:r>
          </w:p>
        </w:tc>
        <w:tc>
          <w:tcPr>
            <w:tcW w:type="dxa" w:w="1440"/>
            <w:shd w:fill="FAFAFA" w:val="clear"/>
          </w:tcPr>
          <w:p>
            <w:r>
              <w:rPr>
                <w:sz w:val="17"/>
              </w:rPr>
              <w:t>41,410</w:t>
            </w:r>
          </w:p>
        </w:tc>
        <w:tc>
          <w:tcPr>
            <w:tcW w:type="dxa" w:w="1440"/>
            <w:shd w:fill="FAFAFA" w:val="clear"/>
          </w:tcPr>
          <w:p>
            <w:r>
              <w:rPr>
                <w:b/>
                <w:sz w:val="17"/>
              </w:rPr>
              <w:t>50,735</w:t>
            </w:r>
          </w:p>
        </w:tc>
        <w:tc>
          <w:tcPr>
            <w:tcW w:type="dxa" w:w="1440"/>
            <w:shd w:fill="FAFAFA" w:val="clear"/>
          </w:tcPr>
          <w:p>
            <w:r>
              <w:rPr>
                <w:sz w:val="17"/>
              </w:rPr>
              <w:t>60,061</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2026-10-12</w:t>
            </w:r>
          </w:p>
        </w:tc>
        <w:tc>
          <w:tcPr>
            <w:tcW w:type="dxa" w:w="1440"/>
            <w:shd w:fill="FAFAFA" w:val="clear"/>
          </w:tcPr>
          <w:p>
            <w:r>
              <w:rPr>
                <w:sz w:val="17"/>
              </w:rPr>
              <w:t>40,897</w:t>
            </w:r>
          </w:p>
        </w:tc>
        <w:tc>
          <w:tcPr>
            <w:tcW w:type="dxa" w:w="1440"/>
            <w:shd w:fill="FAFAFA" w:val="clear"/>
          </w:tcPr>
          <w:p>
            <w:r>
              <w:rPr>
                <w:b/>
                <w:sz w:val="17"/>
              </w:rPr>
              <w:t>50,724</w:t>
            </w:r>
          </w:p>
        </w:tc>
        <w:tc>
          <w:tcPr>
            <w:tcW w:type="dxa" w:w="1440"/>
            <w:shd w:fill="FAFAFA" w:val="clear"/>
          </w:tcPr>
          <w:p>
            <w:r>
              <w:rPr>
                <w:sz w:val="17"/>
              </w:rPr>
              <w:t>60,552</w:t>
            </w:r>
          </w:p>
        </w:tc>
        <w:tc>
          <w:tcPr>
            <w:tcW w:type="dxa" w:w="1440"/>
            <w:shd w:fill="FAFAFA" w:val="clear"/>
          </w:tcPr>
          <w:p>
            <w:r>
              <w:rPr>
                <w:b/>
                <w:color w:val="C00000"/>
                <w:sz w:val="17"/>
              </w:rPr>
              <w:t>-0.5%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*Bourse Régionale des Valeurs Mobilières (BRVM) — Marché UEMOA*</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468,35 milliards FCFA, un niveau qui la place parmi les valeurs les plus importantes de la cote BRVM en termes de taille, bien que cette capitalisation soit portée par un nombre d'actions restreint plutôt que par des fondamentaux robustes. Les ratios de valorisation boursière (BPA, PER, P/B, EV/EBITDA) ne sont pas calculables en l'absence de données financières structurées exploitables dans la base de données, ce qui prive l'investisseur d'une lecture directe du prix payé par unité de bénéfice ou de valeur comptable. On peut néanmoins estimer, à titre indicatif, qu'avec un bénéfice net de 640,3 millions FCFA en 2023 (dernier exercice certifié disponible) et une capitalisation de 468,35 milliards FCFA, le PER implicite serait extrêmement élevé (supérieur à 700x), signalant une valorisation boursière totalement déconnectée des bénéfices actuels. Cette distorsion s'explique par la faiblesse structurelle des résultats et par la liquidité très réduite du titre, qui empêche toute formation de prix efficiente.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variation totale de -19,05%, avec une dernière séance stable à +0,00%, portant le cours actuel à 51 000 FCFA. Le titre a évolué dans un range de 14 000 FCFA, entre un plus haut de 63 000 FCFA et un plus bas de 49 000 FCFA, ce qui traduit une tendance baissière marquée et un repli significatif depuis les sommets. Les statistiques descriptives révèlent une moyenne de 55 059 FCFA légèrement supérieure à la médiane de 54 750 FCFA, avec un mode à 58 000 FCFA, indiquant une distribution quasi symétrique mais avec une légère prédominance des valeurs hautes dans la première partie de la période. L'écart-type de 3 025 FCFA et le coefficient de variation de 5,5% témoignent d'une dispersion modérée du cours autour de sa moyenne, tandis que le kurtosis de -0,641 (mésokurtique) et le skewness de 0,191 (distribution symétrique) suggèrent un comportement proche d'une loi normale, sans risque de pics extrêmes ni d'asymétrie prononcée. La volatilité annualisée de 57,0% classe le titre dans la catégorie des valeurs à volatilité élevée (&gt;30%), ce qui est cohérent avec la faible liquidité (volume moyen de 21 titres/jour) et expose l'investisseur à des mouvements de prix amples pour des volumes d'échange très réduits.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s'établit à 52 372,25 FCFA et la MM50 à 53 206,80 FCFA, toutes deux supérieures au cours actuel de 51 000 FCFA. Cette configuration baissière (cours sous les deux moyennes, MM20 sous MM50) confirme la pression vendeuse et justifie la décision technique de **Vente**.</w:t>
      </w:r>
    </w:p>
    <w:p>
      <w:pPr>
        <w:spacing w:after="120" w:line="276" w:lineRule="auto"/>
      </w:pPr>
      <w:r>
        <w:t>**Bandes de Bollinger** : La borne supérieure est à 55 808,78 FCFA et la borne inférieure à 48 935,72 FCFA, avec un cours actuel de 51 000 FCFA positionné dans la moitié basse du canal. La largeur des bandes reflète une volatilité encore présente, et la décision **Neutre** indique l'absence de signal extrême (ni surachat ni survente) malgré la proximité de la borne inférieure.</w:t>
      </w:r>
    </w:p>
    <w:p>
      <w:pPr>
        <w:spacing w:after="120" w:line="276" w:lineRule="auto"/>
      </w:pPr>
      <w:r>
        <w:t>**MACD** : La valeur du MACD est de -811,612 contre un signal à -661,149, soit une divergence négative (MACD sous son signal) qui traduit un momentum baissier persistant. La décision **Vente** est cohérente avec cette configuration, le croisement étant défavorable et l'histogramme négatif.</w:t>
      </w:r>
    </w:p>
    <w:p>
      <w:pPr>
        <w:spacing w:after="120" w:line="276" w:lineRule="auto"/>
      </w:pPr>
      <w:r>
        <w:t>**RSI** : À 49,72, le RSI se situe en zone parfaitement neutre (entre 30 et 70), sans signal de surachat ni de survente. La décision **Neutre** reflète l'absence de pression directionnelle claire à court terme, le titre évoluant sans excès.</w:t>
      </w:r>
    </w:p>
    <w:p>
      <w:pPr>
        <w:spacing w:after="120" w:line="276" w:lineRule="auto"/>
      </w:pPr>
      <w:r>
        <w:t>**Stochastique** : Le %K et le %D sont tous deux à 37,736, sans croisement ni divergence, en zone basse mais non extrême. La décision **Neutre** confirme l'absence de signal fort, le titre n'étant ni en phase d'accumulation ni de distribution marquée.</w:t>
      </w:r>
    </w:p>
    <w:p>
      <w:pPr>
        <w:spacing w:after="120" w:line="276" w:lineRule="auto"/>
      </w:pPr>
      <w:r>
        <w:t>**Conclusion technique** : La convergence des signaux baissiers (MM, MACD) et neutres (Bollinger, RSI, Stochastique) dresse un tableau technique globalement défavorable, sans signal d'achat. Le titre est en tendance baissière de moyen terme, avec un momentum négatif, mais les indicateurs de court terme ne montrent pas de survente extrême qui pourrait justifier un rebond technique immédiat. La prudence reste de mise tant que le cours ne repasse pas au-dessus de la MM20 (52 372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L'analyse fondamentale d'UNLC s'appuie sur les rapports financiers officiels disponibles, dont les plus récents datent du 31 décembre 2023 (exercice 2023) et du 31 décembre 2022 (exercice 2022), complétés par des rapports antérieurs (2021, 2020). **En 2023**, le chiffre d'affaires s'est établi à 24 336 010 000 FCFA, stable par rapport à 2022, tandis que le résultat net est redevenu positif à 640 334 855 FCFA, contre une perte nette de 6 908 362 002 FCFA en 2022 (selon le rapport du 31/12/2023 analysé le 15/03/2026). Cette amélioration spectaculaire du résultat net s'explique par le passage d'un résultat d'exploitation de -6 258 millions FCFA en 2022 à +3 340 millions FCFA en 2023, grâce à la réduction des charges et à la hausse des produits accessoires. La marge nette reste toutefois très faible à 2,63% en 2023 (contre -28,4% en 2022), bien en dessous de la moyenne sectorielle des FMCG en Afrique de l'Ouest (5-10%). Les capitaux propres demeurent négatifs à -10 658 millions FCFA, et le report à nouveau est de -35 635 millions FCFA, ce qui traduit une structure financière toujours fragile malgré le redressement opérationnel. La dette financière s'élève à 4 379 millions FCFA en 2023 (contre 3 827 millions en 2022), et la trésorerie passive de 14 874 millions FCFA dépasse largement la trésorerie active, signalant un risque de liquidité. Aucun dividende n'a été versé en 2023, conformément à la politique de rétention des bénéfices pour reconstituer les capitaux propres. **En 2022**, le chiffre d'affaires était de 24 336 010 000 FCFA (selon le rapport du 31/12/2022 analysé le 15/03/2026), avec une perte nette de 6 382 600 386 FCFA et une marge nette de -26,2%, en raison de charges opérationnelles élevées (charges de personnel de 12 953 millions FCFA, dotations aux amortissements de 7 495 millions FCFA) et de provisions pour risques de 3 393 millions FCFA. **En 2021**, le chiffre d'affaires était également de 24 336 010 000 FCFA, avec un bénéfice net de 6 090 755 732 FCFA et une marge nette de 25,0%, porté par la cession de la marque Lipton (produit exceptionnel de +16,7 milliards FCFA). Cette volatilité extrême des résultats (bénéfice de 6,1 Mds en 2021, perte de 6,4 Mds en 2022, bénéfice de 0,64 Md en 2023) illustre la dépendance de la société à des événements non récurrents et l'absence de croissance organique durable. Les perspectives restent incertaines : la concurrence accrue (Nestlé, P&amp;G, marques locales), la dépendance au marché ivoirien, et les capitaux propres négatifs limitent les capacités de financement et de distribution de dividendes. La recommandation fondamentale est donc à la **prudence**, avec un profil de risque élevé et une absence de catalyseur clair à court terme.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parties précédentes et des prédictions IA (J+1 à J+10) conduit à une recommandation de **VENTE** sur UNLC, avec un niveau de confiance **Moyen** et un risque global **Élevé**. La valorisation (Partie 0) est extrêmement tendue, avec un PER implicite supérieur à 700x qui traduit une déconnexion totale entre le prix de marché et les bénéfices, et l'absence de ratios calculables empêche toute lecture rationnelle de la valeur. Le comportement du cours (Partie 1) est baissier (-19,05% sur 100 jours), avec une volatilité élevée (57,0%) et des statistiques descriptives (kurtosis -0,641, skewness 0,191) qui ne montrent pas de risque de pics extrêmes mais confirment une tendance défavorable. Les signaux techniques (Partie 2) sont majoritairement baissiers (MM et MACD en Vente) ou neutres (Bollinger, RSI, Stochastique), sans convergence positive. Les fondamentaux (Partie 3) révèlent une amélioration du résultat net en 2023 (640,3 millions FCFA) mais une structure financière toujours fragile (capitaux propres négatifs de -10 658 millions FCFA, marge nette de 2,63%, absence de dividende), avec une volatilité historique des résultats qui rend les projections hasardeuses. Les prédictions IA (Partie 4) projettent une trajectoire légèrement baissière puis stable, de 50 801 FCFA à 50 781 FCFA sur 10 jours, ce qui confirme la tendance baissière de court terme sans signal de rebond. La convergence des signaux négatifs (valorisation, technique, fondamentaux, prédictions) justifie une recommandation de **VENTE**, avec un horizon d'investissement **court terme** (&lt;3 mois) pour les investisseurs déjà positionnés, et une **attente** pour les nouveaux entrants. Le niveau de risque est **Élevé** en raison de la faible liquidité, de la volatilité du titre, et de l'incertitude sur la capacité de la société à restaurer durablement sa rentabilité et ses capitaux propres.</w:t>
      </w:r>
    </w:p>
    <w:p/>
    <w:p/>
    <w:p>
      <w:r>
        <w:t>════════════════════════════════════════════════════════════════════════════════</w:t>
      </w:r>
    </w:p>
    <w:p>
      <w:r>
        <w:br w:type="page"/>
      </w:r>
    </w:p>
    <w:p>
      <w:pPr>
        <w:pStyle w:val="Heading2"/>
        <w:spacing w:before="360"/>
      </w:pPr>
      <w:r>
        <w:rPr>
          <w:color w:val="0066CC"/>
        </w:rPr>
        <w:t>48.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49.80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13,663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+27.32%</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16.8/100 → Faible</w:t>
      </w:r>
    </w:p>
    <w:p>
      <w:pPr>
        <w:spacing w:before="40" w:after="80"/>
      </w:pPr>
      <w:r>
        <w:rPr>
          <w:rFonts w:ascii="Courier New" w:hAnsi="Courier New"/>
          <w:color w:val="006400"/>
          <w:sz w:val="18"/>
        </w:rPr>
        <w:t>███░░░░░░░░░░░░░░░░░  16.8/100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14.84% (Moyenne) — μ=1,983 FCFA, σ=294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β=0.4982 (Défensif) — Cov=0.000034, Var(idx)=0.000068, ρ=0.131,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13,663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σ_j=3.12%/j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2026-09-29</w:t>
            </w:r>
          </w:p>
        </w:tc>
        <w:tc>
          <w:tcPr>
            <w:tcW w:type="dxa" w:w="1440"/>
            <w:shd w:fill="FFDCE0" w:val="clear"/>
          </w:tcPr>
          <w:p>
            <w:r>
              <w:rPr>
                <w:sz w:val="17"/>
              </w:rPr>
              <w:t>2,211</w:t>
            </w:r>
          </w:p>
        </w:tc>
        <w:tc>
          <w:tcPr>
            <w:tcW w:type="dxa" w:w="1440"/>
            <w:shd w:fill="FFDCE0" w:val="clear"/>
          </w:tcPr>
          <w:p>
            <w:r>
              <w:rPr>
                <w:b/>
                <w:sz w:val="17"/>
              </w:rPr>
              <w:t>2,320</w:t>
            </w:r>
          </w:p>
        </w:tc>
        <w:tc>
          <w:tcPr>
            <w:tcW w:type="dxa" w:w="1440"/>
            <w:shd w:fill="FFDCE0" w:val="clear"/>
          </w:tcPr>
          <w:p>
            <w:r>
              <w:rPr>
                <w:sz w:val="17"/>
              </w:rPr>
              <w:t>2,429</w:t>
            </w:r>
          </w:p>
        </w:tc>
        <w:tc>
          <w:tcPr>
            <w:tcW w:type="dxa" w:w="1440"/>
            <w:shd w:fill="FFDCE0" w:val="clear"/>
          </w:tcPr>
          <w:p>
            <w:r>
              <w:rPr>
                <w:b/>
                <w:color w:val="C00000"/>
                <w:sz w:val="17"/>
              </w:rPr>
              <w:t>-3.3%</w:t>
            </w:r>
          </w:p>
        </w:tc>
      </w:tr>
      <w:tr>
        <w:tc>
          <w:tcPr>
            <w:tcW w:type="dxa" w:w="1440"/>
            <w:shd w:fill="FFDCE0" w:val="clear"/>
          </w:tcPr>
          <w:p>
            <w:r>
              <w:rPr>
                <w:sz w:val="17"/>
              </w:rPr>
              <w:t>J+2  Moyenne</w:t>
            </w:r>
          </w:p>
        </w:tc>
        <w:tc>
          <w:tcPr>
            <w:tcW w:type="dxa" w:w="1440"/>
            <w:shd w:fill="FFDCE0" w:val="clear"/>
          </w:tcPr>
          <w:p>
            <w:r>
              <w:rPr>
                <w:sz w:val="17"/>
              </w:rPr>
              <w:t>2026-09-30</w:t>
            </w:r>
          </w:p>
        </w:tc>
        <w:tc>
          <w:tcPr>
            <w:tcW w:type="dxa" w:w="1440"/>
            <w:shd w:fill="FFDCE0" w:val="clear"/>
          </w:tcPr>
          <w:p>
            <w:r>
              <w:rPr>
                <w:sz w:val="17"/>
              </w:rPr>
              <w:t>2,165</w:t>
            </w:r>
          </w:p>
        </w:tc>
        <w:tc>
          <w:tcPr>
            <w:tcW w:type="dxa" w:w="1440"/>
            <w:shd w:fill="FFDCE0" w:val="clear"/>
          </w:tcPr>
          <w:p>
            <w:r>
              <w:rPr>
                <w:b/>
                <w:sz w:val="17"/>
              </w:rPr>
              <w:t>2,320</w:t>
            </w:r>
          </w:p>
        </w:tc>
        <w:tc>
          <w:tcPr>
            <w:tcW w:type="dxa" w:w="1440"/>
            <w:shd w:fill="FFDCE0" w:val="clear"/>
          </w:tcPr>
          <w:p>
            <w:r>
              <w:rPr>
                <w:sz w:val="17"/>
              </w:rPr>
              <w:t>2,474</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2026-10-01</w:t>
            </w:r>
          </w:p>
        </w:tc>
        <w:tc>
          <w:tcPr>
            <w:tcW w:type="dxa" w:w="1440"/>
            <w:shd w:fill="FFDCE0" w:val="clear"/>
          </w:tcPr>
          <w:p>
            <w:r>
              <w:rPr>
                <w:sz w:val="17"/>
              </w:rPr>
              <w:t>2,121</w:t>
            </w:r>
          </w:p>
        </w:tc>
        <w:tc>
          <w:tcPr>
            <w:tcW w:type="dxa" w:w="1440"/>
            <w:shd w:fill="FFDCE0" w:val="clear"/>
          </w:tcPr>
          <w:p>
            <w:r>
              <w:rPr>
                <w:b/>
                <w:sz w:val="17"/>
              </w:rPr>
              <w:t>2,310</w:t>
            </w:r>
          </w:p>
        </w:tc>
        <w:tc>
          <w:tcPr>
            <w:tcW w:type="dxa" w:w="1440"/>
            <w:shd w:fill="FFDCE0" w:val="clear"/>
          </w:tcPr>
          <w:p>
            <w:r>
              <w:rPr>
                <w:sz w:val="17"/>
              </w:rPr>
              <w:t>2,498</w:t>
            </w:r>
          </w:p>
        </w:tc>
        <w:tc>
          <w:tcPr>
            <w:tcW w:type="dxa" w:w="1440"/>
            <w:shd w:fill="FFDCE0" w:val="clear"/>
          </w:tcPr>
          <w:p>
            <w:r>
              <w:rPr>
                <w:b/>
                <w:color w:val="C00000"/>
                <w:sz w:val="17"/>
              </w:rPr>
              <w:t>-3.8%</w:t>
            </w:r>
          </w:p>
        </w:tc>
      </w:tr>
      <w:tr>
        <w:tc>
          <w:tcPr>
            <w:tcW w:type="dxa" w:w="1440"/>
            <w:shd w:fill="FFDCE0" w:val="clear"/>
          </w:tcPr>
          <w:p>
            <w:r>
              <w:rPr>
                <w:sz w:val="17"/>
              </w:rPr>
              <w:t>J+4  ⭐</w:t>
            </w:r>
          </w:p>
        </w:tc>
        <w:tc>
          <w:tcPr>
            <w:tcW w:type="dxa" w:w="1440"/>
            <w:shd w:fill="FFDCE0" w:val="clear"/>
          </w:tcPr>
          <w:p>
            <w:r>
              <w:rPr>
                <w:sz w:val="17"/>
              </w:rPr>
              <w:t>2026-10-02</w:t>
            </w:r>
          </w:p>
        </w:tc>
        <w:tc>
          <w:tcPr>
            <w:tcW w:type="dxa" w:w="1440"/>
            <w:shd w:fill="FFDCE0" w:val="clear"/>
          </w:tcPr>
          <w:p>
            <w:r>
              <w:rPr>
                <w:sz w:val="17"/>
              </w:rPr>
              <w:t>2,083</w:t>
            </w:r>
          </w:p>
        </w:tc>
        <w:tc>
          <w:tcPr>
            <w:tcW w:type="dxa" w:w="1440"/>
            <w:shd w:fill="FFDCE0" w:val="clear"/>
          </w:tcPr>
          <w:p>
            <w:r>
              <w:rPr>
                <w:b/>
                <w:sz w:val="17"/>
              </w:rPr>
              <w:t>2,300</w:t>
            </w:r>
          </w:p>
        </w:tc>
        <w:tc>
          <w:tcPr>
            <w:tcW w:type="dxa" w:w="1440"/>
            <w:shd w:fill="FFDCE0" w:val="clear"/>
          </w:tcPr>
          <w:p>
            <w:r>
              <w:rPr>
                <w:sz w:val="17"/>
              </w:rPr>
              <w:t>2,516</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2026-10-05</w:t>
            </w:r>
          </w:p>
        </w:tc>
        <w:tc>
          <w:tcPr>
            <w:tcW w:type="dxa" w:w="1440"/>
            <w:shd w:fill="FFDCE0" w:val="clear"/>
          </w:tcPr>
          <w:p>
            <w:r>
              <w:rPr>
                <w:sz w:val="17"/>
              </w:rPr>
              <w:t>2,050</w:t>
            </w:r>
          </w:p>
        </w:tc>
        <w:tc>
          <w:tcPr>
            <w:tcW w:type="dxa" w:w="1440"/>
            <w:shd w:fill="FFDCE0" w:val="clear"/>
          </w:tcPr>
          <w:p>
            <w:r>
              <w:rPr>
                <w:b/>
                <w:sz w:val="17"/>
              </w:rPr>
              <w:t>2,291</w:t>
            </w:r>
          </w:p>
        </w:tc>
        <w:tc>
          <w:tcPr>
            <w:tcW w:type="dxa" w:w="1440"/>
            <w:shd w:fill="FFDCE0" w:val="clear"/>
          </w:tcPr>
          <w:p>
            <w:r>
              <w:rPr>
                <w:sz w:val="17"/>
              </w:rPr>
              <w:t>2,532</w:t>
            </w:r>
          </w:p>
        </w:tc>
        <w:tc>
          <w:tcPr>
            <w:tcW w:type="dxa" w:w="1440"/>
            <w:shd w:fill="FFDCE0" w:val="clear"/>
          </w:tcPr>
          <w:p>
            <w:r>
              <w:rPr>
                <w:b/>
                <w:color w:val="C00000"/>
                <w:sz w:val="17"/>
              </w:rPr>
              <w:t>-4.6%</w:t>
            </w:r>
          </w:p>
        </w:tc>
      </w:tr>
      <w:tr>
        <w:tc>
          <w:tcPr>
            <w:tcW w:type="dxa" w:w="1440"/>
            <w:shd w:fill="FFDCE0" w:val="clear"/>
          </w:tcPr>
          <w:p>
            <w:r>
              <w:rPr>
                <w:sz w:val="17"/>
              </w:rPr>
              <w:t>J+6  ⭐</w:t>
            </w:r>
          </w:p>
        </w:tc>
        <w:tc>
          <w:tcPr>
            <w:tcW w:type="dxa" w:w="1440"/>
            <w:shd w:fill="FFDCE0" w:val="clear"/>
          </w:tcPr>
          <w:p>
            <w:r>
              <w:rPr>
                <w:sz w:val="17"/>
              </w:rPr>
              <w:t>2026-10-06</w:t>
            </w:r>
          </w:p>
        </w:tc>
        <w:tc>
          <w:tcPr>
            <w:tcW w:type="dxa" w:w="1440"/>
            <w:shd w:fill="FFDCE0" w:val="clear"/>
          </w:tcPr>
          <w:p>
            <w:r>
              <w:rPr>
                <w:sz w:val="17"/>
              </w:rPr>
              <w:t>2,019</w:t>
            </w:r>
          </w:p>
        </w:tc>
        <w:tc>
          <w:tcPr>
            <w:tcW w:type="dxa" w:w="1440"/>
            <w:shd w:fill="FFDCE0" w:val="clear"/>
          </w:tcPr>
          <w:p>
            <w:r>
              <w:rPr>
                <w:b/>
                <w:sz w:val="17"/>
              </w:rPr>
              <w:t>2,282</w:t>
            </w:r>
          </w:p>
        </w:tc>
        <w:tc>
          <w:tcPr>
            <w:tcW w:type="dxa" w:w="1440"/>
            <w:shd w:fill="FFDCE0" w:val="clear"/>
          </w:tcPr>
          <w:p>
            <w:r>
              <w:rPr>
                <w:sz w:val="17"/>
              </w:rPr>
              <w:t>2,545</w:t>
            </w:r>
          </w:p>
        </w:tc>
        <w:tc>
          <w:tcPr>
            <w:tcW w:type="dxa" w:w="1440"/>
            <w:shd w:fill="FFDCE0" w:val="clear"/>
          </w:tcPr>
          <w:p>
            <w:r>
              <w:rPr>
                <w:b/>
                <w:color w:val="C00000"/>
                <w:sz w:val="17"/>
              </w:rPr>
              <w:t>-4.9%</w:t>
            </w:r>
          </w:p>
        </w:tc>
      </w:tr>
      <w:tr>
        <w:tc>
          <w:tcPr>
            <w:tcW w:type="dxa" w:w="1440"/>
            <w:shd w:fill="FFDCE0" w:val="clear"/>
          </w:tcPr>
          <w:p>
            <w:r>
              <w:rPr>
                <w:sz w:val="17"/>
              </w:rPr>
              <w:t>J+7  ⭐</w:t>
            </w:r>
          </w:p>
        </w:tc>
        <w:tc>
          <w:tcPr>
            <w:tcW w:type="dxa" w:w="1440"/>
            <w:shd w:fill="FFDCE0" w:val="clear"/>
          </w:tcPr>
          <w:p>
            <w:r>
              <w:rPr>
                <w:sz w:val="17"/>
              </w:rPr>
              <w:t>2026-10-07</w:t>
            </w:r>
          </w:p>
        </w:tc>
        <w:tc>
          <w:tcPr>
            <w:tcW w:type="dxa" w:w="1440"/>
            <w:shd w:fill="FFDCE0" w:val="clear"/>
          </w:tcPr>
          <w:p>
            <w:r>
              <w:rPr>
                <w:sz w:val="17"/>
              </w:rPr>
              <w:t>1,991</w:t>
            </w:r>
          </w:p>
        </w:tc>
        <w:tc>
          <w:tcPr>
            <w:tcW w:type="dxa" w:w="1440"/>
            <w:shd w:fill="FFDCE0" w:val="clear"/>
          </w:tcPr>
          <w:p>
            <w:r>
              <w:rPr>
                <w:b/>
                <w:sz w:val="17"/>
              </w:rPr>
              <w:t>2,274</w:t>
            </w:r>
          </w:p>
        </w:tc>
        <w:tc>
          <w:tcPr>
            <w:tcW w:type="dxa" w:w="1440"/>
            <w:shd w:fill="FFDCE0" w:val="clear"/>
          </w:tcPr>
          <w:p>
            <w:r>
              <w:rPr>
                <w:sz w:val="17"/>
              </w:rPr>
              <w:t>2,557</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2026-10-08</w:t>
            </w:r>
          </w:p>
        </w:tc>
        <w:tc>
          <w:tcPr>
            <w:tcW w:type="dxa" w:w="1440"/>
            <w:shd w:fill="FFDCE0" w:val="clear"/>
          </w:tcPr>
          <w:p>
            <w:r>
              <w:rPr>
                <w:sz w:val="17"/>
              </w:rPr>
              <w:t>1,965</w:t>
            </w:r>
          </w:p>
        </w:tc>
        <w:tc>
          <w:tcPr>
            <w:tcW w:type="dxa" w:w="1440"/>
            <w:shd w:fill="FFDCE0" w:val="clear"/>
          </w:tcPr>
          <w:p>
            <w:r>
              <w:rPr>
                <w:b/>
                <w:sz w:val="17"/>
              </w:rPr>
              <w:t>2,267</w:t>
            </w:r>
          </w:p>
        </w:tc>
        <w:tc>
          <w:tcPr>
            <w:tcW w:type="dxa" w:w="1440"/>
            <w:shd w:fill="FFDCE0" w:val="clear"/>
          </w:tcPr>
          <w:p>
            <w:r>
              <w:rPr>
                <w:sz w:val="17"/>
              </w:rPr>
              <w:t>2,568</w:t>
            </w:r>
          </w:p>
        </w:tc>
        <w:tc>
          <w:tcPr>
            <w:tcW w:type="dxa" w:w="1440"/>
            <w:shd w:fill="FFDCE0" w:val="clear"/>
          </w:tcPr>
          <w:p>
            <w:r>
              <w:rPr>
                <w:b/>
                <w:color w:val="C00000"/>
                <w:sz w:val="17"/>
              </w:rPr>
              <w:t>-5.6%</w:t>
            </w:r>
          </w:p>
        </w:tc>
      </w:tr>
      <w:tr>
        <w:tc>
          <w:tcPr>
            <w:tcW w:type="dxa" w:w="1440"/>
            <w:shd w:fill="FFDCE0" w:val="clear"/>
          </w:tcPr>
          <w:p>
            <w:r>
              <w:rPr>
                <w:sz w:val="17"/>
              </w:rPr>
              <w:t>J+9  ⭐</w:t>
            </w:r>
          </w:p>
        </w:tc>
        <w:tc>
          <w:tcPr>
            <w:tcW w:type="dxa" w:w="1440"/>
            <w:shd w:fill="FFDCE0" w:val="clear"/>
          </w:tcPr>
          <w:p>
            <w:r>
              <w:rPr>
                <w:sz w:val="17"/>
              </w:rPr>
              <w:t>2026-10-09</w:t>
            </w:r>
          </w:p>
        </w:tc>
        <w:tc>
          <w:tcPr>
            <w:tcW w:type="dxa" w:w="1440"/>
            <w:shd w:fill="FFDCE0" w:val="clear"/>
          </w:tcPr>
          <w:p>
            <w:r>
              <w:rPr>
                <w:sz w:val="17"/>
              </w:rPr>
              <w:t>1,940</w:t>
            </w:r>
          </w:p>
        </w:tc>
        <w:tc>
          <w:tcPr>
            <w:tcW w:type="dxa" w:w="1440"/>
            <w:shd w:fill="FFDCE0" w:val="clear"/>
          </w:tcPr>
          <w:p>
            <w:r>
              <w:rPr>
                <w:b/>
                <w:sz w:val="17"/>
              </w:rPr>
              <w:t>2,259</w:t>
            </w:r>
          </w:p>
        </w:tc>
        <w:tc>
          <w:tcPr>
            <w:tcW w:type="dxa" w:w="1440"/>
            <w:shd w:fill="FFDCE0" w:val="clear"/>
          </w:tcPr>
          <w:p>
            <w:r>
              <w:rPr>
                <w:sz w:val="17"/>
              </w:rPr>
              <w:t>2,578</w:t>
            </w:r>
          </w:p>
        </w:tc>
        <w:tc>
          <w:tcPr>
            <w:tcW w:type="dxa" w:w="1440"/>
            <w:shd w:fill="FFDCE0" w:val="clear"/>
          </w:tcPr>
          <w:p>
            <w:r>
              <w:rPr>
                <w:b/>
                <w:color w:val="C00000"/>
                <w:sz w:val="17"/>
              </w:rPr>
              <w:t>-5.9%</w:t>
            </w:r>
          </w:p>
        </w:tc>
      </w:tr>
      <w:tr>
        <w:tc>
          <w:tcPr>
            <w:tcW w:type="dxa" w:w="1440"/>
            <w:shd w:fill="FFDCE0" w:val="clear"/>
          </w:tcPr>
          <w:p>
            <w:r>
              <w:rPr>
                <w:sz w:val="17"/>
              </w:rPr>
              <w:t>J+10  ⭐</w:t>
            </w:r>
          </w:p>
        </w:tc>
        <w:tc>
          <w:tcPr>
            <w:tcW w:type="dxa" w:w="1440"/>
            <w:shd w:fill="FFDCE0" w:val="clear"/>
          </w:tcPr>
          <w:p>
            <w:r>
              <w:rPr>
                <w:sz w:val="17"/>
              </w:rPr>
              <w:t>2026-10-12</w:t>
            </w:r>
          </w:p>
        </w:tc>
        <w:tc>
          <w:tcPr>
            <w:tcW w:type="dxa" w:w="1440"/>
            <w:shd w:fill="FFDCE0" w:val="clear"/>
          </w:tcPr>
          <w:p>
            <w:r>
              <w:rPr>
                <w:sz w:val="17"/>
              </w:rPr>
              <w:t>1,917</w:t>
            </w:r>
          </w:p>
        </w:tc>
        <w:tc>
          <w:tcPr>
            <w:tcW w:type="dxa" w:w="1440"/>
            <w:shd w:fill="FFDCE0" w:val="clear"/>
          </w:tcPr>
          <w:p>
            <w:r>
              <w:rPr>
                <w:b/>
                <w:sz w:val="17"/>
              </w:rPr>
              <w:t>2,252</w:t>
            </w:r>
          </w:p>
        </w:tc>
        <w:tc>
          <w:tcPr>
            <w:tcW w:type="dxa" w:w="1440"/>
            <w:shd w:fill="FFDCE0" w:val="clear"/>
          </w:tcPr>
          <w:p>
            <w:r>
              <w:rPr>
                <w:sz w:val="17"/>
              </w:rPr>
              <w:t>2,586</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w:t>
        <w:br/>
        <w:t>*Bourse Régionale des Valeurs Mobilières (BRVM) — Secteur : Entreprise industrielle (Textile)*</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Avec une capitalisation boursière de 49,80 milliards FCFA, UNXC se situe dans la catégorie des valeurs moyennes de la cote BRVM, ce qui traduit une liquidité limitée mais une certaine notoriété sectorielle. Le BPA ressort à -105 FCFA/action pour l'exercice 2024, conséquence directe de la perte nette de -2,189 milliards FCFA enregistrée cette année-là, ce qui rend le PER inexploitable (-22,8x) : un PER négatif signifie simplement que la société était déficitaire et que les investisseurs ne peuvent pas valoriser le titre sur ses bénéfices. Le P/B de 3,19x indique en revanche que le marché valorise UNXC à plus de trois fois sa valeur comptable (capitaux propres de 15,591 Mds FCFA en 2024), soit une prime de croissance significative — cohérente avec le redressement opérationnel amorcé en 2025-2026 mais qui reste à confirmer sur la durée. Le ratio EV/EBITDA n'est pas fourni dans les données ; il serait d'ailleurs peu pertinent pour 2024 compte tenu de l'EBE négatif (-352,22 M FCFA), mais redevient exploitable pour 2025 avec un EBE positif de 1,13 Md FCFA.</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UNXC affiche une performance remarquable de +27,32%, avec une dernière séance en hausse de +2,13%, portant le cours à 2 400 FCFA. Le range de trading est très large : le titre a oscillé entre un plus bas de 1 250 FCFA et un plus haut de 2 495 FCFA, soit un écart de près de 100% qui témoigne d'une forte dynamique haussière mais aussi d'une nervosité importante. La tendance générale est clairement haussière, le cours actuel (2 400 FCFA) se situant à seulement 3,8% de son sommet annuel. Les statistiques descriptives révèlent une moyenne (1 983 FCFA) légèrement supérieure à la médiane (1 928 FCFA) et un mode à 1 970 FCFA, signe d'une distribution quasi symétrique (skewness = 0,001) sans biais marqué vers les extrêmes. L'écart-type de 296 FCFA (CV = 14,9%) indique une dispersion modérée autour de la moyenne, tandis que le kurtosis de -0,379 (mésokurtique) suggère une distribution proche de la normale, sans risque de pics extrêmes fréquents. La volatilité annualisée de 49,6% classe toutefois le titre dans la catégorie des valeurs très volatiles (&gt;30%), ce qui implique un risque de marché élevé et justifie une approche prudente en termes de taille de position.</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(2 356,25 FCFA) et la MM50 (2 183,40 FCFA) sont toutes deux inférieures au cours actuel (2 400 FCFA), et la MM20 est au-dessus de la MM50 — configuration haussière classique (golden cross). Le cours évolue au-dessus de ses deux moyennes, ce qui confirme la dynamique positive et justifie la décision d'**Achat**.</w:t>
      </w:r>
    </w:p>
    <w:p>
      <w:pPr>
        <w:spacing w:after="120" w:line="276" w:lineRule="auto"/>
      </w:pPr>
      <w:r>
        <w:t>**Bandes de Bollinger** : Le cours (2 400 FCFA) se situe dans la partie haute de la bande, proche de la borne supérieure (2 491,50 FCFA) et loin de la borne inférieure (2 221 FCFA). Cette position indique une pression acheteuse soutenue mais approchant d'une zone de résistance potentielle. La décision est **Neutre**, car le risque de correction technique augmente à mesure que le cours s'approche de la borne supérieure.</w:t>
      </w:r>
    </w:p>
    <w:p>
      <w:pPr>
        <w:spacing w:after="120" w:line="276" w:lineRule="auto"/>
      </w:pPr>
      <w:r>
        <w:t>**MACD** : La valeur du MACD (26,583) est inférieure à son signal (45,364), ce qui constitue un croisement baissier — la dynamique haussière s'essouffle et un retournement de court terme est possible. La décision est donc **Vente** à court terme, malgré la tendance de fond haussière.</w:t>
      </w:r>
    </w:p>
    <w:p>
      <w:pPr>
        <w:spacing w:after="120" w:line="276" w:lineRule="auto"/>
      </w:pPr>
      <w:r>
        <w:t>**RSI** : À 56,25, le RSI se situe en zone neutre (30-70), sans signal de surachat (&gt;70) ni de survente (&lt;30). Cela indique que le titre dispose encore d'un potentiel de hausse sans être techniquement épuisé. La décision est **Neutre**, cohérente avec un marché en équilibre relatif.</w:t>
      </w:r>
    </w:p>
    <w:p>
      <w:pPr>
        <w:spacing w:after="120" w:line="276" w:lineRule="auto"/>
      </w:pPr>
      <w:r>
        <w:t>**Stochastique** : Le %K (100,0) est au plus haut absolu, tandis que le %D (58,333) est nettement en dessous — le croisement baissier du %K sous le %D est imminent ou déjà amorcé, signalant un essoufflement de la dynamique acheteuse. La décision est **Vente** à court terme.</w:t>
      </w:r>
    </w:p>
    <w:p>
      <w:pPr>
        <w:spacing w:after="120" w:line="276" w:lineRule="auto"/>
      </w:pPr>
      <w:r>
        <w:t>**Conclusion technique** : Les indicateurs sont partagés — les moyennes mobiles confirment la tendance haussière de fond, mais le MACD et le stochastique signalent un essoufflement à court terme, tandis que le RSI et les bandes de Bollinger restent neutres. Cette divergence suggère une consolidation probable avant une nouvelle impulsion, avec un support clé à surveiller autour de la MM20 (2 356 FCFA) et une résistance majeure à 2 495 FCFA.</w:t>
      </w:r>
    </w:p>
    <w:p>
      <w:pPr>
        <w:spacing w:after="120" w:line="276" w:lineRule="auto"/>
      </w:pPr>
      <w:r>
        <w:t>---</w:t>
      </w:r>
    </w:p>
    <w:p>
      <w:pPr>
        <w:spacing w:after="120" w:line="276" w:lineRule="auto" w:before="240"/>
      </w:pPr>
      <w:r>
        <w:rPr>
          <w:b/>
          <w:color w:val="003366"/>
          <w:sz w:val="24"/>
        </w:rPr>
        <w:t>**PARTIE 3 : ANALYSE FONDAMENTALE**</w:t>
      </w:r>
    </w:p>
    <w:p>
      <w:pPr>
        <w:spacing w:after="120" w:line="276" w:lineRule="auto"/>
      </w:pPr>
      <w:r>
        <w:t>Les états financiers annuels 2024 d'UNXC (exercice clos le 31/12/2024) révèlent une situation contrastée : un chiffre d'affaires de 27,333 Mds FCFA en croissance de +15,4% sur un an, mais un résultat net déficitaire de -2,189 Mds FCFA (marge nette de -8,01%), un ROE négatif de -14,04% et un ROA de -6,39%. La structure financière reste néanmoins solide avec des capitaux propres de 15,591 Mds FCFA, une autonomie financière de 45,53% (bien au-dessus du seuil de 30%) et une trésorerie nette positive de 2,495 Mds FCFA. Sur le plan opérationnel, les délais d'exploitation sont préoccupants : 51 jours de délai client (risque de trésorerie modéré), 254,72 jours de durée de stockage (immobilisation de capital très élevée) et 267,82 jours de délai fournisseurs (avantage de trésorerie mais dépendance aux fournisseurs). Le BFR de 2,149 Mds FCFA est positif, ce qui constitue un besoin de financement à surveiller. Les rapports trimestriels 2025-2026 (T1 2025, S1 2025, T3 2025, S1 2026) montrent une nette amélioration : le CA du S1 2026 s'établit à 15,752 Mds FCFA (+0,3% sur un an), le résultat d'exploitation redevient positif à 771 M FCFA (contre -314 M FCFA au S1 2025), et le résultat net du S1 2026 atteint 771 M FCFA — à comparer aux 8,217 Mds FCFA du S1 2025 qui incluaient une plus-value exceptionnelle de cession-bail de près de 10 Mds FCFA. L'exercice 2025 (rapport annuel) affiche un CA de 29,03 Mds FCFA (+6,2%), un EBE redevenu positif à 1,13 Md FCFA (contre -0,35 Md en 2024) et une perte nette réduite à -624 M FCFA (contre -2,19 Mds en 2024). **Estimation** : sur la base du S1 2026 (résultat d'exploitation positif de 771 M FCFA et marge nette de 4,9%), on peut estimer que l'exercice 2026 devrait confirmer le retour à une rentabilité opérationnelle positive, avec un résultat net annuel potentiellement compris entre 1,5 et 2 Mds FCFA si la dynamique se maintient — un scénario crédible mais qui reste conditionné à la confirmation de la tendance au second semestre. La recommandation fondamentale est donc **CONSERVER avec biais positif** : la solidité du bilan, le désendettement et le redressement opérationnel sont encourageants, mais la dépendance aux éléments exceptionnels (cessions d'actifs) et la volatilité des marchés d'exportation (Nigeria, Guinée) imposent une vigilance accrue.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(Partie 0) est difficile à interpréter : le PER négatif de -22,8x reflète les pertes de 2024, mais le P/B de 3,19x traduit une prime de croissance que le marché accorde au redressement en cours — un positionnement qui n'est justifié que si la rentabilité opérationnelle se confirme durablement. Le comportement du cours (Partie 1) est nettement haussier (+27,32% sur 100 jours) avec une volatilité élevée (49,6%) et une distribution symétrique (skewness = 0,001) sans risque de pics extrêmes (kurtosis = -0,379), ce qui est rassurant pour la gestion du risque. Les signaux techniques (Partie 2) sont divergents : les moyennes mobiles confirment la tendance haussière, mais le MACD et le stochastique signalent un essoufflement à court terme, tandis que le RSI et les bandes de Bollinger restent neutres — une configuration qui plaide pour une consolidation avant une nouvelle impulsion. Les fondamentaux (Partie 3) montrent un redressement réel mais fragile : le retour à un résultat d'exploitation positif au S1 2026 (771 M FCFA) et la réduction de la perte nette 2025 (-624 M FCFA) sont des signaux positifs, mais la dépendance aux cessions d'actifs et la volatilité des exportations restent des risques majeurs. Les prédictions IA (J+1 à J+10) anticipent une légère correction vers 2 291 FCFA d'ici le 5 octobre 2026, ce qui contredit la tendance haussière récente et confirme l'essoufflement technique identifié. **Recommandation finale : CONSERVER** — la convergence entre le redressement fondamental, la solidité du bilan et la tendance haussière de fond justifie de maintenir la position, mais la divergence des indicateurs techniques à court terme et la prédiction baissière incitent à la prudence. Le niveau de confiance est **Moyen** (les fondamentaux s'améliorent mais restent fragiles), le risque global est **Élevé** (volatilité de 49,6%, dépendance aux exportations, pertes cumulées de -5,54 Mds FCFA), et l'horizon d'investissement optimal est le **moyen terme (3-12 mois)**, le temps que la rentabilité opérationnelle se confirme sur un exercice complet avant d'envisager un renforcement de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- 48 sociétés analysées.</w:t>
      </w:r>
    </w:p>
    <w:p/>
    <w:p>
      <w:pPr>
        <w:jc w:val="center"/>
      </w:pPr>
      <w:r>
        <w:rPr>
          <w:i/>
          <w:color w:val="808080"/>
          <w:sz w:val="16"/>
        </w:rPr>
        <w:t xml:space="preserve">Analyse Multi-AI - </w:t>
      </w:r>
      <w:r>
        <w:rPr>
          <w:i/>
        </w:rPr>
        <w:t xml:space="preserve">DeepSeek: 49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