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16/08/2026 à 04:56</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45 ACHAT  |  2 NEUTRE  |  0 VENTE  (sur 47 sociétés)</w:t>
      </w:r>
    </w:p>
    <w:p>
      <w:pPr>
        <w:spacing w:before="20" w:after="20"/>
        <w:ind w:left="360" w:right="360"/>
        <w:shd w:val="clear" w:color="auto" w:fill="EBF5FB"/>
      </w:pPr>
      <w:r>
        <w:rPr>
          <w:b/>
          <w:sz w:val="19"/>
        </w:rPr>
        <w:t xml:space="preserve">Top opportunité :  </w:t>
      </w:r>
      <w:r>
        <w:rPr>
          <w:color w:val="008000"/>
          <w:sz w:val="19"/>
        </w:rPr>
        <w:t>BOAC  (score 76/100)</w:t>
      </w:r>
    </w:p>
    <w:p>
      <w:pPr>
        <w:spacing w:before="20" w:after="20"/>
        <w:ind w:left="360" w:right="360"/>
        <w:shd w:val="clear" w:color="auto" w:fill="EBF5FB"/>
      </w:pPr>
      <w:r>
        <w:rPr>
          <w:b/>
          <w:sz w:val="19"/>
        </w:rPr>
        <w:t xml:space="preserve">Secteur surperformant :  </w:t>
      </w:r>
      <w:r>
        <w:rPr>
          <w:color w:val="008000"/>
          <w:sz w:val="19"/>
        </w:rPr>
        <w:t>SERVICES PUBLICS  (+60.7%)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12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497.65 points </w:t>
      </w:r>
      <w:r>
        <w:rPr>
          <w:color w:val="008000"/>
        </w:rPr>
        <w:t>(+0.29%)</w:t>
      </w:r>
      <w:r>
        <w:t xml:space="preserve"> sur la séance. </w:t>
      </w:r>
      <w:r>
        <w:t>La capitalisation globale du marché atteint 19 190,000 milliards FCFA.</w:t>
      </w:r>
    </w:p>
    <w:p/>
    <w:p>
      <w:pPr>
        <w:pStyle w:val="Heading3"/>
      </w:pPr>
      <w:r>
        <w:t>📊 Évolution de l'indice BRVM Composite (100 derniers jours)</w:t>
      </w:r>
    </w:p>
    <w:p>
      <w:r>
        <w:rPr>
          <w:b/>
        </w:rPr>
        <w:t xml:space="preserve">BRVM Composite — </w:t>
      </w:r>
      <w:r>
        <w:t xml:space="preserve">Sur les 99 derniers jours de cotation (2026-03-23 au 2026-08-14), l'indice BRVM Composite a évolué de </w:t>
      </w:r>
      <w:r>
        <w:rPr>
          <w:b/>
          <w:color w:val="008000"/>
        </w:rPr>
        <w:t>+23.49%</w:t>
      </w:r>
      <w:r>
        <w:t>, passant de 402.99 pts à 497.65 pts. Le plus haut atteint est 497.65 pts et le plus bas 397.33 pts. Sur l'ensemble de la période, la moyenne de l'indice s'établit à 437.51 pts, la médiane à 435.61 pts et le mode à 403.36 pts</w:t>
      </w:r>
      <w:r>
        <w:t xml:space="preserve"> (asymétrie positive — plus de jours sous la moyenne). </w:t>
      </w:r>
      <w:r>
        <w:t xml:space="preserve">L'écart-type de 32.36 pts (CV=7.4%) traduit une modérée dispersion des cotations. Le kurtosis de -1.35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+23.51%</w:t>
      </w:r>
      <w:r>
        <w:t xml:space="preserve"> sur la période, passant de 15 537,454 Mds FCFA à 19 190,000 Mds FCFA. Le pic de capitalisation observé est de 19 190,000 Mds FCFA et le plancher de 15 319,235 Mds FCFA. La moyenne de la capitalisation sur la période s'établit à 16 861,355 Mds FCFA, la médiane à 16 783,487 Mds FCFA et le mode à 15 319,235 Mds FCFA</w:t>
      </w:r>
      <w:r>
        <w:t xml:space="preserve"> (asymétrie positive). </w:t>
      </w:r>
      <w:r>
        <w:t>L'écart-type de 1 242,790 Mds FCFA (CV=7.4%) reflète une modérée variabilité de la valorisation du marché. Le kurtosis de -1.34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SOGC - SOGC - Société des caoutchoucs de Grand-Béréby</w:t>
      </w:r>
      <w:r>
        <w:t xml:space="preserve"> | Prix: 7850 FCFA | </w:t>
      </w:r>
      <w:r>
        <w:rPr>
          <w:b/>
          <w:color w:val="008000"/>
        </w:rPr>
        <w:t>ACHAT FORT</w:t>
      </w:r>
      <w:r>
        <w:t xml:space="preserve"> | Confiance: Faible | Risque: Faible</w:t>
      </w:r>
    </w:p>
    <w:p>
      <w:pPr>
        <w:pStyle w:val="ListNumber"/>
      </w:pPr>
      <w:r>
        <w:rPr>
          <w:b/>
        </w:rPr>
        <w:t>ABJC - ABJC - SERVAIR ABIDJAN CI</w:t>
      </w:r>
      <w:r>
        <w:t xml:space="preserve"> | Prix: 3170 FCFA | </w:t>
      </w:r>
      <w:r>
        <w:rPr>
          <w:b/>
          <w:color w:val="008000"/>
        </w:rPr>
        <w:t>ACHAT</w:t>
      </w:r>
      <w:r>
        <w:t xml:space="preserve"> | Confiance: Faible | Risque: Faible</w:t>
      </w:r>
    </w:p>
    <w:p>
      <w:pPr>
        <w:pStyle w:val="ListNumber"/>
      </w:pPr>
      <w:r>
        <w:rPr>
          <w:b/>
        </w:rPr>
        <w:t>BICB - BIIC BN - Banque internationale pour le commerce du benin</w:t>
      </w:r>
      <w:r>
        <w:t xml:space="preserve"> | Prix: 8500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28670 FCFA | </w:t>
      </w:r>
      <w:r>
        <w:rPr>
          <w:b/>
          <w:color w:val="008000"/>
        </w:rPr>
        <w:t>ACHAT</w:t>
      </w:r>
      <w:r>
        <w:t xml:space="preserve"> | Confiance: Élevée | Risque: Moyen</w:t>
      </w:r>
    </w:p>
    <w:p>
      <w:pPr>
        <w:pStyle w:val="ListNumber"/>
      </w:pPr>
      <w:r>
        <w:rPr>
          <w:b/>
        </w:rPr>
        <w:t>BNBC - BNBC - BERNABE CI</w:t>
      </w:r>
      <w:r>
        <w:t xml:space="preserve"> | Prix: 2000 FCFA | </w:t>
      </w:r>
      <w:r>
        <w:rPr>
          <w:b/>
          <w:color w:val="008000"/>
        </w:rPr>
        <w:t>ACHAT</w:t>
      </w:r>
      <w:r>
        <w:t xml:space="preserve"> | Confiance: Élevée | Risque: Faible</w:t>
      </w:r>
    </w:p>
    <w:p>
      <w:pPr>
        <w:pStyle w:val="ListNumber"/>
      </w:pPr>
      <w:r>
        <w:rPr>
          <w:b/>
        </w:rPr>
        <w:t>BOAB - BANK OF AFRICA BENIN</w:t>
      </w:r>
      <w:r>
        <w:t xml:space="preserve"> | Prix: 8700 FCFA | </w:t>
      </w:r>
      <w:r>
        <w:rPr>
          <w:b/>
          <w:color w:val="008000"/>
        </w:rPr>
        <w:t>ACHAT</w:t>
      </w:r>
      <w:r>
        <w:t xml:space="preserve"> | Confiance: Faible | Risque: Moyen</w:t>
      </w:r>
    </w:p>
    <w:p>
      <w:pPr>
        <w:pStyle w:val="ListNumber"/>
      </w:pPr>
      <w:r>
        <w:rPr>
          <w:b/>
        </w:rPr>
        <w:t>BOABF - BANK OF AFRICA BURKINA FASO</w:t>
      </w:r>
      <w:r>
        <w:t xml:space="preserve"> | Prix: 7100 FCFA | </w:t>
      </w:r>
      <w:r>
        <w:rPr>
          <w:b/>
          <w:color w:val="008000"/>
        </w:rPr>
        <w:t>ACHAT</w:t>
      </w:r>
      <w:r>
        <w:t xml:space="preserve"> | Confiance: Moyen | Risque: Faible</w:t>
      </w:r>
    </w:p>
    <w:p>
      <w:pPr>
        <w:pStyle w:val="ListNumber"/>
      </w:pPr>
      <w:r>
        <w:rPr>
          <w:b/>
        </w:rPr>
        <w:t>BOAC - BANK OF AFRICA COTE D'IVOIRE</w:t>
      </w:r>
      <w:r>
        <w:t xml:space="preserve"> | Prix: 12900 FCFA | </w:t>
      </w:r>
      <w:r>
        <w:rPr>
          <w:b/>
          <w:color w:val="008000"/>
        </w:rPr>
        <w:t>ACHAT</w:t>
      </w:r>
      <w:r>
        <w:t xml:space="preserve"> | Confiance: Moyen | Risque: Faible</w:t>
      </w:r>
    </w:p>
    <w:p>
      <w:pPr>
        <w:pStyle w:val="ListNumber"/>
      </w:pPr>
      <w:r>
        <w:rPr>
          <w:b/>
        </w:rPr>
        <w:t>BOAM - BANK OF AFRICA MALI</w:t>
      </w:r>
      <w:r>
        <w:t xml:space="preserve"> | Prix: 6150 FCFA | </w:t>
      </w:r>
      <w:r>
        <w:rPr>
          <w:b/>
          <w:color w:val="008000"/>
        </w:rPr>
        <w:t>ACHAT</w:t>
      </w:r>
      <w:r>
        <w:t xml:space="preserve"> | Confiance: Faible | Risque: Faible</w:t>
      </w:r>
    </w:p>
    <w:p>
      <w:pPr>
        <w:pStyle w:val="ListNumber"/>
      </w:pPr>
      <w:r>
        <w:rPr>
          <w:b/>
        </w:rPr>
        <w:t>BOAN - BANK OF AFRICA NIGER</w:t>
      </w:r>
      <w:r>
        <w:t xml:space="preserve"> | Prix: 5120 FCFA | </w:t>
      </w:r>
      <w:r>
        <w:rPr>
          <w:b/>
          <w:color w:val="008000"/>
        </w:rPr>
        <w:t>ACHAT</w:t>
      </w:r>
      <w:r>
        <w:t xml:space="preserve"> | Confiance: Élevée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SDCC - SDCC - Société de Distribution d'Eau de Côte d'Ivoire</w:t>
      </w:r>
      <w:r>
        <w:t xml:space="preserve"> | Prix: 11610 FCFA | </w:t>
      </w:r>
      <w:r>
        <w:rPr>
          <w:b/>
          <w:color w:val="C00000"/>
        </w:rPr>
        <w:t>CONSERVER</w:t>
      </w:r>
      <w:r>
        <w:t xml:space="preserve"> | Confiance: Moyen | Risque: Moyen</w:t>
      </w:r>
    </w:p>
    <w:p>
      <w:pPr>
        <w:pStyle w:val="ListNumber"/>
      </w:pPr>
      <w:r>
        <w:rPr>
          <w:b/>
        </w:rPr>
        <w:t>TTLS - TTLS - TOTAL ENERGIES MARKETING SENEGAL</w:t>
      </w:r>
      <w:r>
        <w:t xml:space="preserve"> | Prix: 3585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60.69%</w:t>
      </w:r>
      <w:r>
        <w:t xml:space="preserve">  |  </w:t>
      </w:r>
      <w:r>
        <w:rPr>
          <w:b/>
        </w:rPr>
        <w:t xml:space="preserve">vs BRVM Composite: </w:t>
      </w:r>
      <w:r>
        <w:rPr>
          <w:b/>
          <w:color w:val="008000"/>
        </w:rPr>
        <w:t>+37.20%  🟢 Surperformance</w:t>
      </w:r>
      <w:r>
        <w:br/>
      </w:r>
      <w:r>
        <w:rPr>
          <w:b/>
        </w:rPr>
        <w:t xml:space="preserve">Sentiment général: </w:t>
      </w:r>
      <w:r>
        <w:t xml:space="preserve">ACHAT  |  </w:t>
      </w:r>
      <w:r>
        <w:rPr>
          <w:b/>
        </w:rPr>
        <w:t xml:space="preserve">Risque moyen: </w:t>
      </w:r>
      <w:r>
        <w:t xml:space="preserve">Moyen  |  </w:t>
      </w:r>
      <w:r>
        <w:rPr>
          <w:b/>
        </w:rPr>
        <w:t xml:space="preserve">Prix moyen: </w:t>
      </w:r>
      <w:r>
        <w:t>8562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38.04%</w:t>
      </w:r>
      <w:r>
        <w:t xml:space="preserve">  |  </w:t>
      </w:r>
      <w:r>
        <w:rPr>
          <w:b/>
        </w:rPr>
        <w:t xml:space="preserve">vs BRVM Composite: </w:t>
      </w:r>
      <w:r>
        <w:rPr>
          <w:b/>
          <w:color w:val="008000"/>
        </w:rPr>
        <w:t>+14.55%  🟢 Surperformance</w:t>
      </w:r>
      <w:r>
        <w:br/>
      </w:r>
      <w:r>
        <w:rPr>
          <w:b/>
        </w:rPr>
        <w:t xml:space="preserve">Sentiment général: </w:t>
      </w:r>
      <w:r>
        <w:t xml:space="preserve">ACHAT  |  </w:t>
      </w:r>
      <w:r>
        <w:rPr>
          <w:b/>
        </w:rPr>
        <w:t xml:space="preserve">Risque moyen: </w:t>
      </w:r>
      <w:r>
        <w:t xml:space="preserve">Moyen  |  </w:t>
      </w:r>
      <w:r>
        <w:rPr>
          <w:b/>
        </w:rPr>
        <w:t xml:space="preserve">Prix moyen: </w:t>
      </w:r>
      <w:r>
        <w:t>13106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35.47%</w:t>
      </w:r>
      <w:r>
        <w:t xml:space="preserve">  |  </w:t>
      </w:r>
      <w:r>
        <w:rPr>
          <w:b/>
        </w:rPr>
        <w:t xml:space="preserve">vs BRVM Composite: </w:t>
      </w:r>
      <w:r>
        <w:rPr>
          <w:b/>
          <w:color w:val="008000"/>
        </w:rPr>
        <w:t>+11.98%  🟢 Surperformance</w:t>
      </w:r>
      <w:r>
        <w:br/>
      </w:r>
      <w:r>
        <w:rPr>
          <w:b/>
        </w:rPr>
        <w:t xml:space="preserve">Sentiment général: </w:t>
      </w:r>
      <w:r>
        <w:t xml:space="preserve">ACHAT  |  </w:t>
      </w:r>
      <w:r>
        <w:rPr>
          <w:b/>
        </w:rPr>
        <w:t xml:space="preserve">Risque moyen: </w:t>
      </w:r>
      <w:r>
        <w:t xml:space="preserve">Faible  |  </w:t>
      </w:r>
      <w:r>
        <w:rPr>
          <w:b/>
        </w:rPr>
        <w:t xml:space="preserve">Prix moyen: </w:t>
      </w:r>
      <w:r>
        <w:t>19434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12.90%</w:t>
      </w:r>
      <w:r>
        <w:t xml:space="preserve">  |  </w:t>
      </w:r>
      <w:r>
        <w:rPr>
          <w:b/>
        </w:rPr>
        <w:t xml:space="preserve">vs BRVM Composite: </w:t>
      </w:r>
      <w:r>
        <w:rPr>
          <w:b/>
          <w:color w:val="C00000"/>
        </w:rPr>
        <w:t>-10.59%  🔴 Sous-performance</w:t>
      </w:r>
      <w:r>
        <w:br/>
      </w:r>
      <w:r>
        <w:rPr>
          <w:b/>
        </w:rPr>
        <w:t xml:space="preserve">Sentiment général: </w:t>
      </w:r>
      <w:r>
        <w:t xml:space="preserve">ACHAT  |  </w:t>
      </w:r>
      <w:r>
        <w:rPr>
          <w:b/>
        </w:rPr>
        <w:t xml:space="preserve">Risque moyen: </w:t>
      </w:r>
      <w:r>
        <w:t xml:space="preserve">Moyen  |  </w:t>
      </w:r>
      <w:r>
        <w:rPr>
          <w:b/>
        </w:rPr>
        <w:t xml:space="preserve">Prix moyen: </w:t>
      </w:r>
      <w:r>
        <w:t>2804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10.58%</w:t>
      </w:r>
      <w:r>
        <w:t xml:space="preserve">  |  </w:t>
      </w:r>
      <w:r>
        <w:rPr>
          <w:b/>
        </w:rPr>
        <w:t xml:space="preserve">vs BRVM Composite: </w:t>
      </w:r>
      <w:r>
        <w:rPr>
          <w:b/>
          <w:color w:val="C00000"/>
        </w:rPr>
        <w:t>-12.91%  🔴 Sous-performance</w:t>
      </w:r>
      <w:r>
        <w:br/>
      </w:r>
      <w:r>
        <w:rPr>
          <w:b/>
        </w:rPr>
        <w:t xml:space="preserve">Sentiment général: </w:t>
      </w:r>
      <w:r>
        <w:t xml:space="preserve">ACHAT  |  </w:t>
      </w:r>
      <w:r>
        <w:rPr>
          <w:b/>
        </w:rPr>
        <w:t xml:space="preserve">Risque moyen: </w:t>
      </w:r>
      <w:r>
        <w:t xml:space="preserve">Faible  |  </w:t>
      </w:r>
      <w:r>
        <w:rPr>
          <w:b/>
        </w:rPr>
        <w:t xml:space="preserve">Prix moyen: </w:t>
      </w:r>
      <w:r>
        <w:t>6322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9.46%</w:t>
      </w:r>
      <w:r>
        <w:t xml:space="preserve">  |  </w:t>
      </w:r>
      <w:r>
        <w:rPr>
          <w:b/>
        </w:rPr>
        <w:t xml:space="preserve">vs BRVM Composite: </w:t>
      </w:r>
      <w:r>
        <w:rPr>
          <w:b/>
          <w:color w:val="C00000"/>
        </w:rPr>
        <w:t>-14.03%  🔴 Sous-performance</w:t>
      </w:r>
      <w:r>
        <w:br/>
      </w:r>
      <w:r>
        <w:rPr>
          <w:b/>
        </w:rPr>
        <w:t xml:space="preserve">Sentiment général: </w:t>
      </w:r>
      <w:r>
        <w:t xml:space="preserve">ACHAT  |  </w:t>
      </w:r>
      <w:r>
        <w:rPr>
          <w:b/>
        </w:rPr>
        <w:t xml:space="preserve">Risque moyen: </w:t>
      </w:r>
      <w:r>
        <w:t xml:space="preserve">Faible  |  </w:t>
      </w:r>
      <w:r>
        <w:rPr>
          <w:b/>
        </w:rPr>
        <w:t xml:space="preserve">Prix moyen: </w:t>
      </w:r>
      <w:r>
        <w:t>17567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008000"/>
        </w:rPr>
        <w:t>6.00%</w:t>
      </w:r>
      <w:r>
        <w:t xml:space="preserve">  |  </w:t>
      </w:r>
      <w:r>
        <w:rPr>
          <w:b/>
        </w:rPr>
        <w:t xml:space="preserve">vs BRVM Composite: </w:t>
      </w:r>
      <w:r>
        <w:rPr>
          <w:b/>
          <w:color w:val="C00000"/>
        </w:rPr>
        <w:t>-17.49%  🔴 Sous-performance</w:t>
      </w:r>
      <w:r>
        <w:br/>
      </w:r>
      <w:r>
        <w:rPr>
          <w:b/>
        </w:rPr>
        <w:t xml:space="preserve">Sentiment général: </w:t>
      </w:r>
      <w:r>
        <w:t xml:space="preserve">ACHAT  |  </w:t>
      </w:r>
      <w:r>
        <w:rPr>
          <w:b/>
        </w:rPr>
        <w:t xml:space="preserve">Risque moyen: </w:t>
      </w:r>
      <w:r>
        <w:t xml:space="preserve">Moyen  |  </w:t>
      </w:r>
      <w:r>
        <w:rPr>
          <w:b/>
        </w:rPr>
        <w:t xml:space="preserve">Prix moyen: </w:t>
      </w:r>
      <w:r>
        <w:t>2503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BNBC, BOAN, CIEC, ECOC, LNBB, NSBC, ONTBF, ORGT, PALC, SIBC, SNTS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BOABF, BOAC, BOAS, CFAC, ETIT, NEIC, NTLC, PRSC, SAFC, SCRC, SEMC, SHEC, SMBC, STBC, TTLC,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BOAB, BOAM, CABC, CBIBF, FTSC, ORAC, SDSC, SGBC, SICC, SIVC, SLBC, SOGC, SPHC, STAC, UNLC</w:t>
            </w:r>
          </w:p>
        </w:tc>
        <w:tc>
          <w:tcPr>
            <w:tcW w:type="dxa" w:w="2160"/>
            <w:shd w:fill="FFC7CE" w:val="clear"/>
          </w:tcPr>
          <w:p>
            <w:pPr>
              <w:spacing w:before="40" w:after="40"/>
            </w:pPr>
            <w:r/>
            <w:r>
              <w:rPr>
                <w:b w:val="0"/>
                <w:sz w:val="16"/>
              </w:rPr>
              <w:t>SDCC, TTLS</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2111649</w:t>
            </w:r>
          </w:p>
        </w:tc>
        <w:tc>
          <w:tcPr>
            <w:tcW w:type="dxa" w:w="1728"/>
          </w:tcPr>
          <w:p>
            <w:r>
              <w:t>139713561 FCFA</w:t>
            </w:r>
          </w:p>
        </w:tc>
        <w:tc>
          <w:tcPr>
            <w:tcW w:type="dxa" w:w="1728"/>
          </w:tcPr>
          <w:p>
            <w:r>
              <w:t>112.50%</w:t>
            </w:r>
          </w:p>
        </w:tc>
        <w:tc>
          <w:tcPr>
            <w:tcW w:type="dxa" w:w="1728"/>
          </w:tcPr>
          <w:p>
            <w:r>
              <w:t>ACHAT</w:t>
            </w:r>
          </w:p>
        </w:tc>
      </w:tr>
      <w:tr>
        <w:tc>
          <w:tcPr>
            <w:tcW w:type="dxa" w:w="1728"/>
          </w:tcPr>
          <w:p>
            <w:r>
              <w:t>SDSC (SDSC - AFRICA GLOBAL LOGISTICS CI)</w:t>
            </w:r>
          </w:p>
        </w:tc>
        <w:tc>
          <w:tcPr>
            <w:tcW w:type="dxa" w:w="1728"/>
          </w:tcPr>
          <w:p>
            <w:r>
              <w:t>15058</w:t>
            </w:r>
          </w:p>
        </w:tc>
        <w:tc>
          <w:tcPr>
            <w:tcW w:type="dxa" w:w="1728"/>
          </w:tcPr>
          <w:p>
            <w:r>
              <w:t>38908716 FCFA</w:t>
            </w:r>
          </w:p>
        </w:tc>
        <w:tc>
          <w:tcPr>
            <w:tcW w:type="dxa" w:w="1728"/>
          </w:tcPr>
          <w:p>
            <w:r>
              <w:t>52.47%</w:t>
            </w:r>
          </w:p>
        </w:tc>
        <w:tc>
          <w:tcPr>
            <w:tcW w:type="dxa" w:w="1728"/>
          </w:tcPr>
          <w:p>
            <w:r>
              <w:t>ACHAT</w:t>
            </w:r>
          </w:p>
        </w:tc>
      </w:tr>
      <w:tr>
        <w:tc>
          <w:tcPr>
            <w:tcW w:type="dxa" w:w="1728"/>
          </w:tcPr>
          <w:p>
            <w:r>
              <w:t>UNXC (UNXC - UNIWAX COTE D'IVOIRE)</w:t>
            </w:r>
          </w:p>
        </w:tc>
        <w:tc>
          <w:tcPr>
            <w:tcW w:type="dxa" w:w="1728"/>
          </w:tcPr>
          <w:p>
            <w:r>
              <w:t>12144</w:t>
            </w:r>
          </w:p>
        </w:tc>
        <w:tc>
          <w:tcPr>
            <w:tcW w:type="dxa" w:w="1728"/>
          </w:tcPr>
          <w:p>
            <w:r>
              <w:t>23050690 FCFA</w:t>
            </w:r>
          </w:p>
        </w:tc>
        <w:tc>
          <w:tcPr>
            <w:tcW w:type="dxa" w:w="1728"/>
          </w:tcPr>
          <w:p>
            <w:r>
              <w:t>0.00%</w:t>
            </w:r>
          </w:p>
        </w:tc>
        <w:tc>
          <w:tcPr>
            <w:tcW w:type="dxa" w:w="1728"/>
          </w:tcPr>
          <w:p>
            <w:r>
              <w:t>ACHAT</w:t>
            </w:r>
          </w:p>
        </w:tc>
      </w:tr>
      <w:tr>
        <w:tc>
          <w:tcPr>
            <w:tcW w:type="dxa" w:w="1728"/>
          </w:tcPr>
          <w:p>
            <w:r>
              <w:t>SOGC (SOGC - Société des caoutchoucs de Grand-Béréby)</w:t>
            </w:r>
          </w:p>
        </w:tc>
        <w:tc>
          <w:tcPr>
            <w:tcW w:type="dxa" w:w="1728"/>
          </w:tcPr>
          <w:p>
            <w:r>
              <w:t>10792</w:t>
            </w:r>
          </w:p>
        </w:tc>
        <w:tc>
          <w:tcPr>
            <w:tcW w:type="dxa" w:w="1728"/>
          </w:tcPr>
          <w:p>
            <w:r>
              <w:t>81144933 FCFA</w:t>
            </w:r>
          </w:p>
        </w:tc>
        <w:tc>
          <w:tcPr>
            <w:tcW w:type="dxa" w:w="1728"/>
          </w:tcPr>
          <w:p>
            <w:r>
              <w:t>-11.60%</w:t>
            </w:r>
          </w:p>
        </w:tc>
        <w:tc>
          <w:tcPr>
            <w:tcW w:type="dxa" w:w="1728"/>
          </w:tcPr>
          <w:p>
            <w:r>
              <w:t>ACHAT FORT</w:t>
            </w:r>
          </w:p>
        </w:tc>
      </w:tr>
      <w:tr>
        <w:tc>
          <w:tcPr>
            <w:tcW w:type="dxa" w:w="1728"/>
          </w:tcPr>
          <w:p>
            <w:r>
              <w:t>BICB (BIIC BN - Banque internationale pour le commerce du benin)</w:t>
            </w:r>
          </w:p>
        </w:tc>
        <w:tc>
          <w:tcPr>
            <w:tcW w:type="dxa" w:w="1728"/>
          </w:tcPr>
          <w:p>
            <w:r>
              <w:t>10583</w:t>
            </w:r>
          </w:p>
        </w:tc>
        <w:tc>
          <w:tcPr>
            <w:tcW w:type="dxa" w:w="1728"/>
          </w:tcPr>
          <w:p>
            <w:r>
              <w:t>81397530 FCFA</w:t>
            </w:r>
          </w:p>
        </w:tc>
        <w:tc>
          <w:tcPr>
            <w:tcW w:type="dxa" w:w="1728"/>
          </w:tcPr>
          <w:p>
            <w:r>
              <w:t>63.46%</w:t>
            </w:r>
          </w:p>
        </w:tc>
        <w:tc>
          <w:tcPr>
            <w:tcW w:type="dxa" w:w="1728"/>
          </w:tcPr>
          <w:p>
            <w:r>
              <w:t>ACHAT</w:t>
            </w:r>
          </w:p>
        </w:tc>
      </w:tr>
      <w:tr>
        <w:tc>
          <w:tcPr>
            <w:tcW w:type="dxa" w:w="1728"/>
          </w:tcPr>
          <w:p>
            <w:r>
              <w:t>SNTS (SNTS - SONATEL SN)</w:t>
            </w:r>
          </w:p>
        </w:tc>
        <w:tc>
          <w:tcPr>
            <w:tcW w:type="dxa" w:w="1728"/>
          </w:tcPr>
          <w:p>
            <w:r>
              <w:t>10261</w:t>
            </w:r>
          </w:p>
        </w:tc>
        <w:tc>
          <w:tcPr>
            <w:tcW w:type="dxa" w:w="1728"/>
          </w:tcPr>
          <w:p>
            <w:r>
              <w:t>318684028 FCFA</w:t>
            </w:r>
          </w:p>
        </w:tc>
        <w:tc>
          <w:tcPr>
            <w:tcW w:type="dxa" w:w="1728"/>
          </w:tcPr>
          <w:p>
            <w:r>
              <w:t>10.02%</w:t>
            </w:r>
          </w:p>
        </w:tc>
        <w:tc>
          <w:tcPr>
            <w:tcW w:type="dxa" w:w="1728"/>
          </w:tcPr>
          <w:p>
            <w:r>
              <w:t>ACHAT</w:t>
            </w:r>
          </w:p>
        </w:tc>
      </w:tr>
      <w:tr>
        <w:tc>
          <w:tcPr>
            <w:tcW w:type="dxa" w:w="1728"/>
          </w:tcPr>
          <w:p>
            <w:r>
              <w:t>SIBC (SIBC - SOCIETE IVOIRIENNE DE BANQUE)</w:t>
            </w:r>
          </w:p>
        </w:tc>
        <w:tc>
          <w:tcPr>
            <w:tcW w:type="dxa" w:w="1728"/>
          </w:tcPr>
          <w:p>
            <w:r>
              <w:t>8442</w:t>
            </w:r>
          </w:p>
        </w:tc>
        <w:tc>
          <w:tcPr>
            <w:tcW w:type="dxa" w:w="1728"/>
          </w:tcPr>
          <w:p>
            <w:r>
              <w:t>76001118 FCFA</w:t>
            </w:r>
          </w:p>
        </w:tc>
        <w:tc>
          <w:tcPr>
            <w:tcW w:type="dxa" w:w="1728"/>
          </w:tcPr>
          <w:p>
            <w:r>
              <w:t>31.07%</w:t>
            </w:r>
          </w:p>
        </w:tc>
        <w:tc>
          <w:tcPr>
            <w:tcW w:type="dxa" w:w="1728"/>
          </w:tcPr>
          <w:p>
            <w:r>
              <w:t>ACHAT</w:t>
            </w:r>
          </w:p>
        </w:tc>
      </w:tr>
      <w:tr>
        <w:tc>
          <w:tcPr>
            <w:tcW w:type="dxa" w:w="1728"/>
          </w:tcPr>
          <w:p>
            <w:r>
              <w:t>ONTBF (ONTBF - ONATEL BURKINA FASO)</w:t>
            </w:r>
          </w:p>
        </w:tc>
        <w:tc>
          <w:tcPr>
            <w:tcW w:type="dxa" w:w="1728"/>
          </w:tcPr>
          <w:p>
            <w:r>
              <w:t>7512</w:t>
            </w:r>
          </w:p>
        </w:tc>
        <w:tc>
          <w:tcPr>
            <w:tcW w:type="dxa" w:w="1728"/>
          </w:tcPr>
          <w:p>
            <w:r>
              <w:t>20699198 FCFA</w:t>
            </w:r>
          </w:p>
        </w:tc>
        <w:tc>
          <w:tcPr>
            <w:tcW w:type="dxa" w:w="1728"/>
          </w:tcPr>
          <w:p>
            <w:r>
              <w:t>-1.23%</w:t>
            </w:r>
          </w:p>
        </w:tc>
        <w:tc>
          <w:tcPr>
            <w:tcW w:type="dxa" w:w="1728"/>
          </w:tcPr>
          <w:p>
            <w:r>
              <w:t>ACHAT</w:t>
            </w:r>
          </w:p>
        </w:tc>
      </w:tr>
      <w:tr>
        <w:tc>
          <w:tcPr>
            <w:tcW w:type="dxa" w:w="1728"/>
          </w:tcPr>
          <w:p>
            <w:r>
              <w:t>BOAC (BANK OF AFRICA COTE D'IVOIRE)</w:t>
            </w:r>
          </w:p>
        </w:tc>
        <w:tc>
          <w:tcPr>
            <w:tcW w:type="dxa" w:w="1728"/>
          </w:tcPr>
          <w:p>
            <w:r>
              <w:t>7233</w:t>
            </w:r>
          </w:p>
        </w:tc>
        <w:tc>
          <w:tcPr>
            <w:tcW w:type="dxa" w:w="1728"/>
          </w:tcPr>
          <w:p>
            <w:r>
              <w:t>80096277 FCFA</w:t>
            </w:r>
          </w:p>
        </w:tc>
        <w:tc>
          <w:tcPr>
            <w:tcW w:type="dxa" w:w="1728"/>
          </w:tcPr>
          <w:p>
            <w:r>
              <w:t>44.30%</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CFAC (CFAC - CFAO MOTORS CI)</w:t>
            </w:r>
          </w:p>
        </w:tc>
        <w:tc>
          <w:tcPr>
            <w:tcW w:type="dxa" w:w="1728"/>
          </w:tcPr>
          <w:p>
            <w:r>
              <w:t>3041</w:t>
            </w:r>
          </w:p>
        </w:tc>
        <w:tc>
          <w:tcPr>
            <w:tcW w:type="dxa" w:w="1728"/>
          </w:tcPr>
          <w:p>
            <w:r>
              <w:t>5050163 FCFA</w:t>
            </w:r>
          </w:p>
        </w:tc>
        <w:tc>
          <w:tcPr>
            <w:tcW w:type="dxa" w:w="1728"/>
          </w:tcPr>
          <w:p>
            <w:r>
              <w:t>-5.40%</w:t>
            </w:r>
          </w:p>
        </w:tc>
        <w:tc>
          <w:tcPr>
            <w:tcW w:type="dxa" w:w="1728"/>
          </w:tcPr>
          <w:p>
            <w:r>
              <w:t>ACHAT</w:t>
            </w:r>
          </w:p>
        </w:tc>
      </w:tr>
      <w:tr>
        <w:tc>
          <w:tcPr>
            <w:tcW w:type="dxa" w:w="1728"/>
          </w:tcPr>
          <w:p>
            <w:r>
              <w:t>ABJC (ABJC - SERVAIR ABIDJAN CI)</w:t>
            </w:r>
          </w:p>
        </w:tc>
        <w:tc>
          <w:tcPr>
            <w:tcW w:type="dxa" w:w="1728"/>
          </w:tcPr>
          <w:p>
            <w:r>
              <w:t>3031</w:t>
            </w:r>
          </w:p>
        </w:tc>
        <w:tc>
          <w:tcPr>
            <w:tcW w:type="dxa" w:w="1728"/>
          </w:tcPr>
          <w:p>
            <w:r>
              <w:t>9118492 FCFA</w:t>
            </w:r>
          </w:p>
        </w:tc>
        <w:tc>
          <w:tcPr>
            <w:tcW w:type="dxa" w:w="1728"/>
          </w:tcPr>
          <w:p>
            <w:r>
              <w:t>-2.46%</w:t>
            </w:r>
          </w:p>
        </w:tc>
        <w:tc>
          <w:tcPr>
            <w:tcW w:type="dxa" w:w="1728"/>
          </w:tcPr>
          <w:p>
            <w:r>
              <w:t>ACHAT</w:t>
            </w:r>
          </w:p>
        </w:tc>
      </w:tr>
      <w:tr>
        <w:tc>
          <w:tcPr>
            <w:tcW w:type="dxa" w:w="1728"/>
          </w:tcPr>
          <w:p>
            <w:r>
              <w:t>TTLS (TTLS - TOTAL ENERGIES MARKETING SENEGAL)</w:t>
            </w:r>
          </w:p>
        </w:tc>
        <w:tc>
          <w:tcPr>
            <w:tcW w:type="dxa" w:w="1728"/>
          </w:tcPr>
          <w:p>
            <w:r>
              <w:t>2860</w:t>
            </w:r>
          </w:p>
        </w:tc>
        <w:tc>
          <w:tcPr>
            <w:tcW w:type="dxa" w:w="1728"/>
          </w:tcPr>
          <w:p>
            <w:r>
              <w:t>10514982 FCFA</w:t>
            </w:r>
          </w:p>
        </w:tc>
        <w:tc>
          <w:tcPr>
            <w:tcW w:type="dxa" w:w="1728"/>
          </w:tcPr>
          <w:p>
            <w:r>
              <w:t>9.80%</w:t>
            </w:r>
          </w:p>
        </w:tc>
        <w:tc>
          <w:tcPr>
            <w:tcW w:type="dxa" w:w="1728"/>
          </w:tcPr>
          <w:p>
            <w:r>
              <w:t>CONSERVER</w:t>
            </w:r>
          </w:p>
        </w:tc>
      </w:tr>
      <w:tr>
        <w:tc>
          <w:tcPr>
            <w:tcW w:type="dxa" w:w="1728"/>
          </w:tcPr>
          <w:p>
            <w:r>
              <w:t>CABC (CABC - SICABLE COTE D'IVOIRE)</w:t>
            </w:r>
          </w:p>
        </w:tc>
        <w:tc>
          <w:tcPr>
            <w:tcW w:type="dxa" w:w="1728"/>
          </w:tcPr>
          <w:p>
            <w:r>
              <w:t>2643</w:t>
            </w:r>
          </w:p>
        </w:tc>
        <w:tc>
          <w:tcPr>
            <w:tcW w:type="dxa" w:w="1728"/>
          </w:tcPr>
          <w:p>
            <w:r>
              <w:t>9419928 FCFA</w:t>
            </w:r>
          </w:p>
        </w:tc>
        <w:tc>
          <w:tcPr>
            <w:tcW w:type="dxa" w:w="1728"/>
          </w:tcPr>
          <w:p>
            <w:r>
              <w:t>7.86%</w:t>
            </w:r>
          </w:p>
        </w:tc>
        <w:tc>
          <w:tcPr>
            <w:tcW w:type="dxa" w:w="1728"/>
          </w:tcPr>
          <w:p>
            <w:r>
              <w:t>ACHAT</w:t>
            </w:r>
          </w:p>
        </w:tc>
      </w:tr>
      <w:tr>
        <w:tc>
          <w:tcPr>
            <w:tcW w:type="dxa" w:w="1728"/>
          </w:tcPr>
          <w:p>
            <w:r>
              <w:t>PALC (PALC - PALM COTE D'IVOIRE)</w:t>
            </w:r>
          </w:p>
        </w:tc>
        <w:tc>
          <w:tcPr>
            <w:tcW w:type="dxa" w:w="1728"/>
          </w:tcPr>
          <w:p>
            <w:r>
              <w:t>2353</w:t>
            </w:r>
          </w:p>
        </w:tc>
        <w:tc>
          <w:tcPr>
            <w:tcW w:type="dxa" w:w="1728"/>
          </w:tcPr>
          <w:p>
            <w:r>
              <w:t>20915898 FCFA</w:t>
            </w:r>
          </w:p>
        </w:tc>
        <w:tc>
          <w:tcPr>
            <w:tcW w:type="dxa" w:w="1728"/>
          </w:tcPr>
          <w:p>
            <w:r>
              <w:t>-2.04%</w:t>
            </w:r>
          </w:p>
        </w:tc>
        <w:tc>
          <w:tcPr>
            <w:tcW w:type="dxa" w:w="1728"/>
          </w:tcPr>
          <w:p>
            <w:r>
              <w:t>ACHAT</w:t>
            </w:r>
          </w:p>
        </w:tc>
      </w:tr>
      <w:tr>
        <w:tc>
          <w:tcPr>
            <w:tcW w:type="dxa" w:w="1728"/>
          </w:tcPr>
          <w:p>
            <w:r>
              <w:t>SLBC (SLBC - SOLIBRA COTE D'IVOIRE)</w:t>
            </w:r>
          </w:p>
        </w:tc>
        <w:tc>
          <w:tcPr>
            <w:tcW w:type="dxa" w:w="1728"/>
          </w:tcPr>
          <w:p>
            <w:r>
              <w:t>2153</w:t>
            </w:r>
          </w:p>
        </w:tc>
        <w:tc>
          <w:tcPr>
            <w:tcW w:type="dxa" w:w="1728"/>
          </w:tcPr>
          <w:p>
            <w:r>
              <w:t>83263755 FCFA</w:t>
            </w:r>
          </w:p>
        </w:tc>
        <w:tc>
          <w:tcPr>
            <w:tcW w:type="dxa" w:w="1728"/>
          </w:tcPr>
          <w:p>
            <w:r>
              <w:t>-4.49%</w:t>
            </w:r>
          </w:p>
        </w:tc>
        <w:tc>
          <w:tcPr>
            <w:tcW w:type="dxa" w:w="1728"/>
          </w:tcPr>
          <w:p>
            <w:r>
              <w:t>ACHAT</w:t>
            </w:r>
          </w:p>
        </w:tc>
      </w:tr>
      <w:tr>
        <w:tc>
          <w:tcPr>
            <w:tcW w:type="dxa" w:w="1728"/>
          </w:tcPr>
          <w:p>
            <w:r>
              <w:t>SMBC (SMBC - Société Multinationale de Bitumes COTE D'IVOIRE)</w:t>
            </w:r>
          </w:p>
        </w:tc>
        <w:tc>
          <w:tcPr>
            <w:tcW w:type="dxa" w:w="1728"/>
          </w:tcPr>
          <w:p>
            <w:r>
              <w:t>1996</w:t>
            </w:r>
          </w:p>
        </w:tc>
        <w:tc>
          <w:tcPr>
            <w:tcW w:type="dxa" w:w="1728"/>
          </w:tcPr>
          <w:p>
            <w:r>
              <w:t>31760038 FCFA</w:t>
            </w:r>
          </w:p>
        </w:tc>
        <w:tc>
          <w:tcPr>
            <w:tcW w:type="dxa" w:w="1728"/>
          </w:tcPr>
          <w:p>
            <w:r>
              <w:t>23.43%</w:t>
            </w:r>
          </w:p>
        </w:tc>
        <w:tc>
          <w:tcPr>
            <w:tcW w:type="dxa" w:w="1728"/>
          </w:tcPr>
          <w:p>
            <w:r>
              <w:t>ACHAT</w:t>
            </w:r>
          </w:p>
        </w:tc>
      </w:tr>
      <w:tr>
        <w:tc>
          <w:tcPr>
            <w:tcW w:type="dxa" w:w="1728"/>
          </w:tcPr>
          <w:p>
            <w:r>
              <w:t>BNBC (BNBC - BERNABE CI)</w:t>
            </w:r>
          </w:p>
        </w:tc>
        <w:tc>
          <w:tcPr>
            <w:tcW w:type="dxa" w:w="1728"/>
          </w:tcPr>
          <w:p>
            <w:r>
              <w:t>1759</w:t>
            </w:r>
          </w:p>
        </w:tc>
        <w:tc>
          <w:tcPr>
            <w:tcW w:type="dxa" w:w="1728"/>
          </w:tcPr>
          <w:p>
            <w:r>
              <w:t>3407794 FCFA</w:t>
            </w:r>
          </w:p>
        </w:tc>
        <w:tc>
          <w:tcPr>
            <w:tcW w:type="dxa" w:w="1728"/>
          </w:tcPr>
          <w:p>
            <w:r>
              <w:t>26.98%</w:t>
            </w:r>
          </w:p>
        </w:tc>
        <w:tc>
          <w:tcPr>
            <w:tcW w:type="dxa" w:w="1728"/>
          </w:tcPr>
          <w:p>
            <w:r>
              <w:t>ACHAT</w:t>
            </w:r>
          </w:p>
        </w:tc>
      </w:tr>
      <w:tr>
        <w:tc>
          <w:tcPr>
            <w:tcW w:type="dxa" w:w="1728"/>
          </w:tcPr>
          <w:p>
            <w:r>
              <w:t>SPHC (SPHC - Société Africaine de Plantation d'Hévéas de Côte d'Ivoire)</w:t>
            </w:r>
          </w:p>
        </w:tc>
        <w:tc>
          <w:tcPr>
            <w:tcW w:type="dxa" w:w="1728"/>
          </w:tcPr>
          <w:p>
            <w:r>
              <w:t>1595</w:t>
            </w:r>
          </w:p>
        </w:tc>
        <w:tc>
          <w:tcPr>
            <w:tcW w:type="dxa" w:w="1728"/>
          </w:tcPr>
          <w:p>
            <w:r>
              <w:t>12224544 FCFA</w:t>
            </w:r>
          </w:p>
        </w:tc>
        <w:tc>
          <w:tcPr>
            <w:tcW w:type="dxa" w:w="1728"/>
          </w:tcPr>
          <w:p>
            <w:r>
              <w:t>-4.13%</w:t>
            </w:r>
          </w:p>
        </w:tc>
        <w:tc>
          <w:tcPr>
            <w:tcW w:type="dxa" w:w="1728"/>
          </w:tcPr>
          <w:p>
            <w:r>
              <w:t>ACHAT</w:t>
            </w:r>
          </w:p>
        </w:tc>
      </w:tr>
      <w:tr>
        <w:tc>
          <w:tcPr>
            <w:tcW w:type="dxa" w:w="1728"/>
          </w:tcPr>
          <w:p>
            <w:r>
              <w:t>NSBC (NSBC - NSIA BANQUE COTE D'IVOIRE)</w:t>
            </w:r>
          </w:p>
        </w:tc>
        <w:tc>
          <w:tcPr>
            <w:tcW w:type="dxa" w:w="1728"/>
          </w:tcPr>
          <w:p>
            <w:r>
              <w:t>1523</w:t>
            </w:r>
          </w:p>
        </w:tc>
        <w:tc>
          <w:tcPr>
            <w:tcW w:type="dxa" w:w="1728"/>
          </w:tcPr>
          <w:p>
            <w:r>
              <w:t>35608195 FCFA</w:t>
            </w:r>
          </w:p>
        </w:tc>
        <w:tc>
          <w:tcPr>
            <w:tcW w:type="dxa" w:w="1728"/>
          </w:tcPr>
          <w:p>
            <w:r>
              <w:t>64.39%</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CBIBF - CBIBF - CORIS BANK INTERNATIONAL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SOGC - SOGC - Société des caoutchoucs de Grand-Béréby</w:t>
      </w:r>
    </w:p>
    <w:p>
      <w:r>
        <w:rPr>
          <w:b/>
        </w:rPr>
        <w:t xml:space="preserve">Score de divergence: </w:t>
      </w:r>
      <w:r>
        <w:t>5/8</w:t>
        <w:br/>
      </w:r>
      <w:r>
        <w:rPr>
          <w:b/>
        </w:rPr>
        <w:t xml:space="preserve">Description: </w:t>
      </w:r>
      <w:r>
        <w:t>Signaux de vente: MM, MACD | Recommandation finale: ACHAT FORT</w:t>
        <w:br/>
      </w:r>
    </w:p>
    <w:p/>
    <w:p>
      <w:pPr>
        <w:pStyle w:val="Heading3"/>
      </w:pPr>
      <w:r>
        <w:t>3. ABJC - ABJC - SERVAIR ABIDJAN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4. BOAB - BANK OF AFRICA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5. BOAM - BANK OF AFRICA MALI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FTSC - FTSC - FILTISAC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ORAC - ORAC - ORANGE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9. SDSC - SDSC - AFRICA GLOBAL LOGISTICS CI</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SGBC - SGBC - SOCIETE GENERALE COTE D'IVOIRE</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24</w:t>
            </w:r>
          </w:p>
        </w:tc>
        <w:tc>
          <w:tcPr>
            <w:tcW w:type="dxa" w:w="2160"/>
          </w:tcPr>
          <w:p>
            <w:r>
              <w:t>0</w:t>
            </w:r>
          </w:p>
        </w:tc>
      </w:tr>
      <w:tr>
        <w:tc>
          <w:tcPr>
            <w:tcW w:type="dxa" w:w="2160"/>
          </w:tcPr>
          <w:p>
            <w:r>
              <w:t>Risque Moyen</w:t>
            </w:r>
          </w:p>
        </w:tc>
        <w:tc>
          <w:tcPr>
            <w:tcW w:type="dxa" w:w="2160"/>
          </w:tcPr>
          <w:p>
            <w:r>
              <w:t>0</w:t>
            </w:r>
          </w:p>
        </w:tc>
        <w:tc>
          <w:tcPr>
            <w:tcW w:type="dxa" w:w="2160"/>
          </w:tcPr>
          <w:p>
            <w:r>
              <w:t>23</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marchés des matières premières montrent des signaux contrastés : les prix de l'énergie s'effondrent tandis que l'argent métal flambe, créant une volatilité sectorielle. L'indice MXV fluctue autour de 2 800 points, indiquant une stabilisation après des variations récentes. Le franc suisse s'affaiblit face à l'euro, qui dépasse brièvement 0,94 franc, reflétant des pressions monétaires en Europe. Aucune décision majeure de la Fed ou de la BCE n'a été rapportée dans les actualités collectées.</w:t>
      </w:r>
    </w:p>
    <w:p>
      <w:pPr>
        <w:pStyle w:val="Heading3"/>
      </w:pPr>
      <w:r>
        <w:rPr>
          <w:color w:val="500050"/>
        </w:rPr>
        <w:t>⚡ Impact estimé sur la BRVM</w:t>
      </w:r>
    </w:p>
    <w:p>
      <w:pPr>
        <w:spacing w:before="20" w:after="40"/>
        <w:ind w:left="280"/>
      </w:pPr>
      <w:r>
        <w:rPr>
          <w:i/>
          <w:sz w:val="18"/>
        </w:rPr>
        <w:t>La baisse des prix de l'énergie est favorable aux sociétés énergétiques comme TTLC qui verront leurs coûts d'approvisionnement diminuer, améliorant potentiellement leurs marges. L'affaiblissement du franc suisse n'a qu'un impact indirect limité sur la BRVM, mais la volatilité des matières premières pourrait affecter les valeurs agro-industrielles comme PALC et NTLC.</w:t>
      </w:r>
    </w:p>
    <w:p>
      <w:pPr>
        <w:pStyle w:val="Heading2"/>
      </w:pPr>
      <w:r>
        <w:rPr>
          <w:color w:val="006E32"/>
        </w:rPr>
        <w:t>🌍 Plan Africain</w:t>
      </w:r>
    </w:p>
    <w:p>
      <w:pPr>
        <w:spacing w:before="20" w:after="40"/>
        <w:ind w:left="0"/>
      </w:pPr>
      <w:r>
        <w:rPr>
          <w:sz w:val="18"/>
        </w:rPr>
        <w:t>L'investissement dans l'économie des soins est présenté comme un "levier de croissance stratégique" par un officiel sénégalais, soulignant le potentiel de ce secteur émergent. La Senelec a émis 108 milliards de FCFA de dette verte à la Bourse de Luxembourg, démontrant l'appétit des investisseurs internationaux pour les projets africains durables. L'OMS recommande l'investissement privé dans la santé en Mauritanie comme moteur de croissance économique.</w:t>
      </w:r>
    </w:p>
    <w:p>
      <w:pPr>
        <w:pStyle w:val="Heading3"/>
      </w:pPr>
      <w:r>
        <w:rPr>
          <w:color w:val="500050"/>
        </w:rPr>
        <w:t>⚡ Impact estimé sur la BRVM</w:t>
      </w:r>
    </w:p>
    <w:p>
      <w:pPr>
        <w:spacing w:before="20" w:after="40"/>
        <w:ind w:left="280"/>
      </w:pPr>
      <w:r>
        <w:rPr>
          <w:i/>
          <w:sz w:val="18"/>
        </w:rPr>
        <w:t>L'émission de dette verte de Senelec pourrait inspirer d'autres entreprises de la zone UEMOA à se tourner vers les marchés internationaux, mais elle crée aussi une concurrence pour les capitaux. Les banques cotées comme BOAC, BOAN et ECOC pourraient bénéficier de la tendance à l'investissement dans les secteurs sociaux et de la santé via des financements dédiés.</w:t>
      </w:r>
    </w:p>
    <w:p>
      <w:pPr>
        <w:pStyle w:val="Heading2"/>
      </w:pPr>
      <w:r>
        <w:rPr>
          <w:color w:val="145A28"/>
        </w:rPr>
        <w:t>🌍 Plan Afrique de l'Ouest</w:t>
      </w:r>
    </w:p>
    <w:p>
      <w:pPr>
        <w:spacing w:before="20" w:after="40"/>
        <w:ind w:left="0"/>
      </w:pPr>
      <w:r>
        <w:rPr>
          <w:sz w:val="18"/>
        </w:rPr>
        <w:t>Le projet de monnaie unique de la CEDEAO, l'Eco, est jugé ambitieux mais confronté à de nombreux obstacles économiques et politiques, notamment la divergence des politiques économiques entre les États membres. Le lancement est envisagé pour 2027, mais les analyses restent prudentes sur sa faisabilité réelle. La fin de mandat du président de la Commission de la CEDEAO, Omar Alieu Touray, marque une transition institutionnelle dans la région.</w:t>
      </w:r>
    </w:p>
    <w:p>
      <w:pPr>
        <w:pStyle w:val="Heading3"/>
      </w:pPr>
      <w:r>
        <w:rPr>
          <w:color w:val="500050"/>
        </w:rPr>
        <w:t>⚡ Impact estimé sur la BRVM</w:t>
      </w:r>
    </w:p>
    <w:p>
      <w:pPr>
        <w:spacing w:before="20" w:after="40"/>
        <w:ind w:left="280"/>
      </w:pPr>
      <w:r>
        <w:rPr>
          <w:i/>
          <w:sz w:val="18"/>
        </w:rPr>
        <w:t>L'incertitude autour de la monnaie unique Eco maintient un climat d'attentisme chez les investisseurs régionaux. Les banques cotées comme BOAM et SIBC, qui opèrent dans plusieurs pays de la CEDEAO, suivront de près ces évolutions qui pourraient affecter leurs opérations transfrontalières et leur gestion du change.</w:t>
      </w:r>
    </w:p>
    <w:p>
      <w:pPr>
        <w:pStyle w:val="Heading2"/>
      </w:pPr>
      <w:r>
        <w:rPr>
          <w:color w:val="8C4600"/>
        </w:rPr>
        <w:t>🏦 Plan UEMOA / Zone Franc</w:t>
      </w:r>
    </w:p>
    <w:p>
      <w:pPr>
        <w:spacing w:before="20" w:after="40"/>
        <w:ind w:left="0"/>
      </w:pPr>
      <w:r>
        <w:rPr>
          <w:sz w:val="18"/>
        </w:rPr>
        <w:t>Les actualités spécifiques à l'UEMOA sont limitées dans les données collectées. On note toutefois des tensions politiques au Sénégal concernant le patrimoine du président Bassirou Diomaye Faye, avec un sentiment négatif associé. L'Algérie multiplie les gestes de rapprochement envers le Mali et le Niger, ce qui pourrait avoir des implications économiques régionales.</w:t>
      </w:r>
    </w:p>
    <w:p>
      <w:pPr>
        <w:pStyle w:val="Heading3"/>
      </w:pPr>
      <w:r>
        <w:rPr>
          <w:color w:val="500050"/>
        </w:rPr>
        <w:t>⚡ Impact estimé sur la BRVM</w:t>
      </w:r>
    </w:p>
    <w:p>
      <w:pPr>
        <w:spacing w:before="20" w:after="40"/>
        <w:ind w:left="280"/>
      </w:pPr>
      <w:r>
        <w:rPr>
          <w:i/>
          <w:sz w:val="18"/>
        </w:rPr>
        <w:t>Les tensions politiques au Sénégal, pays membre de l'UEMOA, pourraient créer de la prudence chez les investisseurs. Les banques ayant une exposition sénégalaise comme BOAS ou les filiales locales des groupes cotés doivent être surveillées. Le rapprochement Algérie-Sahel pourrait ouvrir de nouvelles opportunités commerciales pour les entreprises de la zone.</w:t>
      </w:r>
    </w:p>
    <w:p>
      <w:pPr>
        <w:pStyle w:val="Heading2"/>
      </w:pPr>
      <w:r>
        <w:rPr>
          <w:color w:val="003366"/>
        </w:rPr>
        <w:t>📈 Plan BRVM</w:t>
      </w:r>
    </w:p>
    <w:p>
      <w:pPr>
        <w:spacing w:before="20" w:after="40"/>
        <w:ind w:left="0"/>
      </w:pPr>
      <w:r>
        <w:rPr>
          <w:sz w:val="18"/>
        </w:rPr>
        <w:t>L'indice BRVM Composite se situe à 497.65 points. Les résultats encourageants des sociétés cotées ivoiriennes à la BRVM ont été soulignés par La Tribune, avec un sentiment positif. Cette dynamique positive des résultats devrait soutenir la confiance des investisseurs dans le marché régional.</w:t>
      </w:r>
    </w:p>
    <w:p>
      <w:pPr>
        <w:pStyle w:val="Heading3"/>
      </w:pPr>
      <w:r>
        <w:rPr>
          <w:color w:val="500050"/>
        </w:rPr>
        <w:t>⚡ Impact estimé sur la BRVM</w:t>
      </w:r>
    </w:p>
    <w:p>
      <w:pPr>
        <w:spacing w:before="20" w:after="40"/>
        <w:ind w:left="280"/>
      </w:pPr>
      <w:r>
        <w:rPr>
          <w:i/>
          <w:sz w:val="18"/>
        </w:rPr>
        <w:t>Les résultats encourageants des sociétés ivoiriennes, notamment dans les secteurs financiers et télécommunications, renforcent l'attractivité de la BRVM. Les valeurs comme SGBC, BICB, ONTBF et SNTS pourraient bénéficier de cet élan. Les investisseurs devraient surveiller les publications de résultats des prochaines semaines pour confirmer cette tendance positive.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actualités politiques mondiales sont dominées par les évolutions diplomatiques au Sahel, avec l'Algérie qui multiplie les gestes de rapprochement envers le Mali et le Niger pour contrer l'influence croissante d'autres puissances. Le franc suisse s'affaiblit face à l'euro, reflétant des tensions monétaires en Europe. Aucun conflit majeur ou sanction internationale n'a été rapporté dans les actualités collectées.</w:t>
      </w:r>
    </w:p>
    <w:p>
      <w:pPr>
        <w:pStyle w:val="Heading3"/>
      </w:pPr>
      <w:r>
        <w:rPr>
          <w:color w:val="500050"/>
        </w:rPr>
        <w:t>⚡ Impact estimé sur la BRVM</w:t>
      </w:r>
    </w:p>
    <w:p>
      <w:pPr>
        <w:spacing w:before="20" w:after="40"/>
        <w:ind w:left="280"/>
      </w:pPr>
      <w:r>
        <w:rPr>
          <w:i/>
          <w:sz w:val="18"/>
        </w:rPr>
        <w:t>L'instabilité géopolitique mondiale reste modérée, ce qui est favorable à l'appétit pour le risque des investisseurs. La stabilité relative sur la scène internationale pourrait soutenir les flux de capitaux vers les marchés émergents comme la BRVM. Les valeurs refuges traditionnelles perdent de leur attrait au profit des actifs à plus fort rendement.</w:t>
      </w:r>
    </w:p>
    <w:p>
      <w:pPr>
        <w:pStyle w:val="Heading2"/>
      </w:pPr>
      <w:r>
        <w:rPr>
          <w:color w:val="006E32"/>
        </w:rPr>
        <w:t>🌍 Plan Africain</w:t>
      </w:r>
    </w:p>
    <w:p>
      <w:pPr>
        <w:spacing w:before="20" w:after="40"/>
        <w:ind w:left="0"/>
      </w:pPr>
      <w:r>
        <w:rPr>
          <w:sz w:val="18"/>
        </w:rPr>
        <w:t>La libération de 82 militaires maliens par le Front de libération de l'Azawad (FLA) constitue une avancée positive dans le processus de résolution du conflit au Mali. Les tensions politiques au Sénégal entre le président Bassirou Diomaye Faye et le Premier ministre Ousmane Sonko autour du patrimoine présidentiel créent un climat politique tendu. La société civile sénégalaise et la coalition Takku Wallu se concertent sur la Constitution dans ce contexte de tensions.</w:t>
      </w:r>
    </w:p>
    <w:p>
      <w:pPr>
        <w:pStyle w:val="Heading3"/>
      </w:pPr>
      <w:r>
        <w:rPr>
          <w:color w:val="500050"/>
        </w:rPr>
        <w:t>⚡ Impact estimé sur la BRVM</w:t>
      </w:r>
    </w:p>
    <w:p>
      <w:pPr>
        <w:spacing w:before="20" w:after="40"/>
        <w:ind w:left="280"/>
      </w:pPr>
      <w:r>
        <w:rPr>
          <w:i/>
          <w:sz w:val="18"/>
        </w:rPr>
        <w:t>La libération des militaires maliens est un signal positif pour la stabilité régionale, ce qui pourrait renforcer la confiance des investisseurs dans les sociétés cotées opérant au Mali. En revanche, les tensions politiques sénégalaises pourraient peser sur les valeurs ayant une exposition significative au Sénégal, comme les banques régionales présentes dans ce pays.</w:t>
      </w:r>
    </w:p>
    <w:p>
      <w:pPr>
        <w:pStyle w:val="Heading2"/>
      </w:pPr>
      <w:r>
        <w:rPr>
          <w:color w:val="145A28"/>
        </w:rPr>
        <w:t>🌍 Plan Afrique de l'Ouest</w:t>
      </w:r>
    </w:p>
    <w:p>
      <w:pPr>
        <w:spacing w:before="20" w:after="40"/>
        <w:ind w:left="0"/>
      </w:pPr>
      <w:r>
        <w:rPr>
          <w:sz w:val="18"/>
        </w:rPr>
        <w:t>La fin de mandat d'Omar Alieu Touray à la tête de la Commission de la CEDEAO marque une transition institutionnelle importante pour la région. Les discussions sur la monnaie unique Eco continuent d'alimenter les débats économiques régionaux. Les relations entre l'Algérie et les pays du Sahel (Mali, Niger) évoluent, avec des implications potentielles pour la stabilité régionale.</w:t>
      </w:r>
    </w:p>
    <w:p>
      <w:pPr>
        <w:pStyle w:val="Heading3"/>
      </w:pPr>
      <w:r>
        <w:rPr>
          <w:color w:val="500050"/>
        </w:rPr>
        <w:t>⚡ Impact estimé sur la BRVM</w:t>
      </w:r>
    </w:p>
    <w:p>
      <w:pPr>
        <w:spacing w:before="20" w:after="40"/>
        <w:ind w:left="280"/>
      </w:pPr>
      <w:r>
        <w:rPr>
          <w:i/>
          <w:sz w:val="18"/>
        </w:rPr>
        <w:t>La transition à la tête de la CEDEAO pourrait apporter un nouveau souffle aux initiatives d'intégration régionale, bénéfique pour les entreprises cotées opérant dans plusieurs pays. Les évolutions diplomatiques au Sahel doivent être surveillées car elles affectent l'environnement des affaires pour les sociétés comme ORGT et BOAM présentes dans la région.</w:t>
      </w:r>
    </w:p>
    <w:p>
      <w:pPr>
        <w:pStyle w:val="Heading2"/>
      </w:pPr>
      <w:r>
        <w:rPr>
          <w:color w:val="8C4600"/>
        </w:rPr>
        <w:t>🏦 Plan UEMOA / Zone Franc</w:t>
      </w:r>
    </w:p>
    <w:p>
      <w:pPr>
        <w:spacing w:before="20" w:after="40"/>
        <w:ind w:left="0"/>
      </w:pPr>
      <w:r>
        <w:rPr>
          <w:sz w:val="18"/>
        </w:rPr>
        <w:t>Les tensions politiques au Sénégal, membre de l'UEMOA, constituent le principal risque politique dans la zone. La concertation entre la société civile et l'opposition sur la Constitution reflète un climat politique tendu. L'Algérie cherche à renforcer ses liens avec le Mali et le Niger, deux pays qui ont quitté la CEDEAO, ce qui pourrait redessiner les alliances régionales.</w:t>
      </w:r>
    </w:p>
    <w:p>
      <w:pPr>
        <w:pStyle w:val="Heading3"/>
      </w:pPr>
      <w:r>
        <w:rPr>
          <w:color w:val="500050"/>
        </w:rPr>
        <w:t>⚡ Impact estimé sur la BRVM</w:t>
      </w:r>
    </w:p>
    <w:p>
      <w:pPr>
        <w:spacing w:before="20" w:after="40"/>
        <w:ind w:left="280"/>
      </w:pPr>
      <w:r>
        <w:rPr>
          <w:i/>
          <w:sz w:val="18"/>
        </w:rPr>
        <w:t>Les risques politiques au Sénégal pourraient affecter la confiance des investisseurs dans l'ensemble de la zone UEMOA. Les banques cotées comme ECOC et BOAS, qui ont des activités au Sénégal, pourraient être sous pression. La stabilité politique reste un facteur clé pour maintenir l'attractivité de la BRVM auprès des investisseurs étrangers.</w:t>
      </w:r>
    </w:p>
    <w:p>
      <w:pPr>
        <w:pStyle w:val="Heading2"/>
      </w:pPr>
      <w:r>
        <w:rPr>
          <w:color w:val="003366"/>
        </w:rPr>
        <w:t>📈 Plan BRVM</w:t>
      </w:r>
    </w:p>
    <w:p>
      <w:pPr>
        <w:spacing w:before="20" w:after="40"/>
        <w:ind w:left="0"/>
      </w:pPr>
      <w:r>
        <w:rPr>
          <w:sz w:val="18"/>
        </w:rPr>
        <w:t>Les actualités spécifiques à la réglementation BRVM sont limitées dans les données collectées. La Tribune a souligné les résultats encourageants des sociétés cotées ivoiriennes, ce qui témoigne d'une bonne santé du marché. Aucune nouvelle réglementation du CREPMF ou nouvelle cotation n'a été rapportée.</w:t>
      </w:r>
    </w:p>
    <w:p>
      <w:pPr>
        <w:pStyle w:val="Heading3"/>
      </w:pPr>
      <w:r>
        <w:rPr>
          <w:color w:val="500050"/>
        </w:rPr>
        <w:t>⚡ Impact estimé sur la BRVM</w:t>
      </w:r>
    </w:p>
    <w:p>
      <w:pPr>
        <w:spacing w:before="20" w:after="40"/>
        <w:ind w:left="280"/>
      </w:pPr>
      <w:r>
        <w:rPr>
          <w:i/>
          <w:sz w:val="18"/>
        </w:rPr>
        <w:t>L'absence de nouvelles réglementaires majeures permet au marché de se concentrer sur les fondamentaux des entreprises. Les résultats encourageants des sociétés ivoiriennes devraient soutenir la performance des valeurs comme SGBC, CFAC et SIVC. Les investisseurs devraient continuer à surveiller la gouvernance des sociétés cotées.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des matières premières montrent une baisse des prix de l'énergie, ce qui pourrait avoir des implications pour les coûts de production mondiaux. L'argent métal enregistre une hausse, reflétant un intérêt pour les métaux précieux. L'indice MXV fluctue autour de 2 800 points, indiquant une certaine stabilité. Le franc suisse s'affaiblit face à l'euro, qui dépasse brièvement 0,94 franc.</w:t>
      </w:r>
    </w:p>
    <w:p>
      <w:pPr>
        <w:pStyle w:val="Heading3"/>
      </w:pPr>
      <w:r>
        <w:rPr>
          <w:color w:val="500050"/>
        </w:rPr>
        <w:t>⚡ Impact estimé sur la BRVM</w:t>
      </w:r>
    </w:p>
    <w:p>
      <w:pPr>
        <w:spacing w:before="20" w:after="40"/>
        <w:ind w:left="280"/>
      </w:pPr>
      <w:r>
        <w:rPr>
          <w:i/>
          <w:sz w:val="18"/>
        </w:rPr>
        <w:t>La baisse des prix de l'énergie est favorable aux entreprises cotées qui consomment beaucoup d'énergie, comme les industriels et les télécommunications (ONTBF, SNTS). La hausse de l'argent métal pourrait bénéficier aux sociétés minières si elles étaient cotées, mais ce n'est pas le cas actuellement. La stabilité des marchés mondiaux soutient l'appétit pour le risque.</w:t>
      </w:r>
    </w:p>
    <w:p>
      <w:pPr>
        <w:pStyle w:val="Heading2"/>
      </w:pPr>
      <w:r>
        <w:rPr>
          <w:color w:val="006E32"/>
        </w:rPr>
        <w:t>🌍 Plan Africain</w:t>
      </w:r>
    </w:p>
    <w:p>
      <w:pPr>
        <w:spacing w:before="20" w:after="40"/>
        <w:ind w:left="0"/>
      </w:pPr>
      <w:r>
        <w:rPr>
          <w:sz w:val="18"/>
        </w:rPr>
        <w:t>L'émission de dette verte de 108 milliards de FCFA par Senelec à la Bourse de Luxembourg démontre l'intérêt des investisseurs internationaux pour les projets africains durables. Cette opération pourrait ouvrir la voie à d'autres émissions similaires par des entreprises de la zone UEMOA. L'investissement dans l'économie des soins est présenté comme un levier de croissance stratégique pour la région.</w:t>
      </w:r>
    </w:p>
    <w:p>
      <w:pPr>
        <w:pStyle w:val="Heading3"/>
      </w:pPr>
      <w:r>
        <w:rPr>
          <w:color w:val="500050"/>
        </w:rPr>
        <w:t>⚡ Impact estimé sur la BRVM</w:t>
      </w:r>
    </w:p>
    <w:p>
      <w:pPr>
        <w:spacing w:before="20" w:after="40"/>
        <w:ind w:left="280"/>
      </w:pPr>
      <w:r>
        <w:rPr>
          <w:i/>
          <w:sz w:val="18"/>
        </w:rPr>
        <w:t>L'émission de Senelec crée une concurrence pour les capitaux disponibles pour les marchés africains, mais elle démontre aussi la crédibilité croissante des émetteurs africains. Les banques cotées comme BOAC et ECOC pourraient jouer un rôle d'intermédiaire dans de futures émissions. La tendance à l'investissement durable pourrait favoriser les sociétés cotées ayant de bonnes pratiques ESG.</w:t>
      </w:r>
    </w:p>
    <w:p>
      <w:pPr>
        <w:pStyle w:val="Heading2"/>
      </w:pPr>
      <w:r>
        <w:rPr>
          <w:color w:val="145A28"/>
        </w:rPr>
        <w:t>🌍 Plan Afrique de l'Ouest</w:t>
      </w:r>
    </w:p>
    <w:p>
      <w:pPr>
        <w:spacing w:before="20" w:after="40"/>
        <w:ind w:left="0"/>
      </w:pPr>
      <w:r>
        <w:rPr>
          <w:sz w:val="18"/>
        </w:rPr>
        <w:t>Les discussions sur la monnaie unique Eco continuent d'alimenter les débats économiques dans la région, avec un lancement envisagé pour 2027. Les divergences économiques entre les États membres restent un obstacle majeur à la réalisation de ce projet. La fin de mandat du président de la Commission de la CEDEAO marque une transition institutionnelle.</w:t>
      </w:r>
    </w:p>
    <w:p>
      <w:pPr>
        <w:pStyle w:val="Heading3"/>
      </w:pPr>
      <w:r>
        <w:rPr>
          <w:color w:val="500050"/>
        </w:rPr>
        <w:t>⚡ Impact estimé sur la BRVM</w:t>
      </w:r>
    </w:p>
    <w:p>
      <w:pPr>
        <w:spacing w:before="20" w:after="40"/>
        <w:ind w:left="280"/>
      </w:pPr>
      <w:r>
        <w:rPr>
          <w:i/>
          <w:sz w:val="18"/>
        </w:rPr>
        <w:t>L'incertitude autour de la monnaie unique pourrait maintenir une certaine prudence chez les investisseurs régionaux. Les banques cotées qui opèrent dans plusieurs pays de la CEDEAO, comme BOAM et SIBC, doivent gérer le risque de change et les incertitudes réglementaires. La stabilité institutionnelle de la CEDEAO est importante pour maintenir la confiance des investisseurs.</w:t>
      </w:r>
    </w:p>
    <w:p>
      <w:pPr>
        <w:pStyle w:val="Heading2"/>
      </w:pPr>
      <w:r>
        <w:rPr>
          <w:color w:val="8C4600"/>
        </w:rPr>
        <w:t>🏦 Plan UEMOA / Zone Franc</w:t>
      </w:r>
    </w:p>
    <w:p>
      <w:pPr>
        <w:spacing w:before="20" w:after="40"/>
        <w:ind w:left="0"/>
      </w:pPr>
      <w:r>
        <w:rPr>
          <w:sz w:val="18"/>
        </w:rPr>
        <w:t>Les données spécifiques sur le marché des titres publics UEMOA et le taux interbancaire sont insuffisantes dans les actualités collectées. Les tensions politiques au Sénégal pourraient avoir des implications pour le marché obligataire régional. L'émission de dette verte de Senelec à Luxembourg plutôt que sur le marché régional pourrait refléter une recherche de conditions plus favorables.</w:t>
      </w:r>
    </w:p>
    <w:p>
      <w:pPr>
        <w:pStyle w:val="Heading3"/>
      </w:pPr>
      <w:r>
        <w:rPr>
          <w:color w:val="500050"/>
        </w:rPr>
        <w:t>⚡ Impact estimé sur la BRVM</w:t>
      </w:r>
    </w:p>
    <w:p>
      <w:pPr>
        <w:spacing w:before="20" w:after="40"/>
        <w:ind w:left="280"/>
      </w:pPr>
      <w:r>
        <w:rPr>
          <w:i/>
          <w:sz w:val="18"/>
        </w:rPr>
        <w:t>L'arbitrage entre titres publics et actions BRVM dépendra des rendements offerts par les emprunts d'État de l'UEMOA. Si les rendements obligataires restent attractifs, cela pourrait détourner une partie des capitaux des actions. Les investisseurs devraient surveiller les prochaines émissions de titres publics et les décisions de la BCEAO.</w:t>
      </w:r>
    </w:p>
    <w:p>
      <w:pPr>
        <w:pStyle w:val="Heading2"/>
      </w:pPr>
      <w:r>
        <w:rPr>
          <w:color w:val="003366"/>
        </w:rPr>
        <w:t>📈 Plan BRVM</w:t>
      </w:r>
    </w:p>
    <w:p>
      <w:pPr>
        <w:spacing w:before="20" w:after="40"/>
        <w:ind w:left="0"/>
      </w:pPr>
      <w:r>
        <w:rPr>
          <w:sz w:val="18"/>
        </w:rPr>
        <w:t>L'indice BRVM Composite se situe à 497.65 points, avec des résultats encourageants des sociétés cotées ivoiriennes soulignés par la presse économique. Les secteurs dominants restent les services financiers avec BOAC, BOAN, ECOC, ORGT, SIBC et BOAM, ainsi que les télécommunications avec ONTBF, SNTS et ORAC. Le marché semble dans une dynamique positive portée par les bons résultats des entreprises.</w:t>
      </w:r>
    </w:p>
    <w:p>
      <w:pPr>
        <w:pStyle w:val="Heading3"/>
      </w:pPr>
      <w:r>
        <w:rPr>
          <w:color w:val="500050"/>
        </w:rPr>
        <w:t>⚡ Impact estimé sur la BRVM</w:t>
      </w:r>
    </w:p>
    <w:p>
      <w:pPr>
        <w:spacing w:before="20" w:after="40"/>
        <w:ind w:left="280"/>
      </w:pPr>
      <w:r>
        <w:rPr>
          <w:i/>
          <w:sz w:val="18"/>
        </w:rPr>
        <w:t>Les résultats encourageants soutiennent les valorisations des valeurs financières comme SGBC, BICB et BOAC. Les télécommunications ONTBF et SNTS restent des valeurs défensives attractives. Pour les investisseurs, PALC et NTLC dans la consommation de base offrent une certaine stabilité, tandis que TTLC dans l'énergie pourrait bénéficier de la baisse des prix de l'énergie. Les valeurs comme SOGC et CFAC méritent une attention particulière dans le contexte actuel.</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 marché BRVM évolue dans un environnement globalement favorable, porté par des résultats d'entreprises encourageants et une stabilité géopolitique relative dans la région. Les tensions politiques au Sénégal et l'incertitude autour de la monnaie unique Eco constituent des risques à surveiller, mais ils ne remettent pas en cause la tendance positive du marché. La baisse des prix de l'énergie est un facteur de soutien pour les marges des entreprises cotées.</w:t>
      </w:r>
    </w:p>
    <w:p>
      <w:pPr>
        <w:spacing w:before="20" w:after="40"/>
        <w:ind w:left="0"/>
      </w:pPr>
      <w:r>
        <w:rPr>
          <w:sz w:val="18"/>
        </w:rPr>
        <w:t>**Recommandation** : Maintenir une position investie sur la BRVM, avec une préférence pour les valeurs financières (SGBC, BICB, BOAC) et télécommunications (ONTBF, SNTS) qui bénéficient de fondamentaux solides. Surveiller les opportunités dans le secteur de la consommation de base (PALC, NTLC) et de l'énergie (TTLC) qui pourraient profiter de l'environnement actuel des matières premières. Rester attentif aux évolutions politiques au Sénégal et aux décisions de la BCEAO.</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Marchés des matières premières : les prix de l'énergie s'effondrent, c</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2026-08-11</w:t>
            </w:r>
          </w:p>
        </w:tc>
        <w:tc>
          <w:tcPr>
            <w:tcW w:type="dxa" w:w="1728"/>
          </w:tcPr>
          <w:p>
            <w:r>
              <w:rPr>
                <w:sz w:val="14"/>
              </w:rPr>
              <w:t>La folie des « perps », ces produits financiers hyperspéculatifs qui 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2026-08-10</w:t>
            </w:r>
          </w:p>
        </w:tc>
        <w:tc>
          <w:tcPr>
            <w:tcW w:type="dxa" w:w="1728"/>
          </w:tcPr>
          <w:p>
            <w:r>
              <w:rPr>
                <w:sz w:val="14"/>
              </w:rPr>
              <w:t>Les prix du pétrole ont chuté, tandis que le cours de l'argent a bondi</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Creativo El Matador en France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2è édition du Prix ‘Start-ups de la CEDEAO’: Pourquoi et comment aller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Sénégal : la société civile et Takku Wallu se concertent sur la Consti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Au Sénégal, le patrimoine de Bassirou Diomaye Faye au cœur d’un nouvea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Côte d'Ivoire : Abus sur les réseaux sociaux, le porte-parole du gouve</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2026-08-13</w:t>
            </w:r>
          </w:p>
        </w:tc>
        <w:tc>
          <w:tcPr>
            <w:tcW w:type="dxa" w:w="1728"/>
          </w:tcPr>
          <w:p>
            <w:r>
              <w:rPr>
                <w:sz w:val="14"/>
              </w:rPr>
              <w:t>Côte d’Ivoire-AIP/ Le ministre Amadou Coulibaly appelle à renforcer 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2026-08-13</w:t>
            </w:r>
          </w:p>
        </w:tc>
        <w:tc>
          <w:tcPr>
            <w:tcW w:type="dxa" w:w="1728"/>
          </w:tcPr>
          <w:p>
            <w:r>
              <w:rPr>
                <w:sz w:val="14"/>
              </w:rPr>
              <w:t>Mali : 82 militaires détenus par le JNIM/FLA depuis avril libérés - ko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Sénégal : la société civile et Takku Wallu se concertent sur la Consti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Au Sénégal, le patrimoine de Bassirou Diomaye Faye au cœur d’un nouvea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Côte d'Ivoire : Abus sur les réseaux sociaux, le porte-parole du gouve</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Sénégal : la société civile et Takku Wallu se concertent sur la Consti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Au Sénégal, le patrimoine de Bassirou Diomaye Faye au cœur d’un nouvea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Côte d'Ivoire : Abus sur les réseaux sociaux, le porte-parole du gouve</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Sénégal : la société civile et Takku Wallu se concertent sur la Consti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Au Sénégal, le patrimoine de Bassirou Diomaye Faye au cœur d’un nouvea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Côte d'Ivoire : Abus sur les réseaux sociaux, le porte-parole du gouve</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Sénégal : la société civile et Takku Wallu se concertent sur la Consti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Au Sénégal, le patrimoine de Bassirou Diomaye Faye au cœur d’un nouvea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Côte d'Ivoire : Abus sur les réseaux sociaux, le porte-parole du gouve</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Sénégal : la société civile et Takku Wallu se concertent sur la Consti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Au Sénégal, le patrimoine de Bassirou Diomaye Faye au cœur d’un nouvea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Côte d'Ivoire : Abus sur les réseaux sociaux, le porte-parole du gouve</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Au Sénégal, le patrimoine de Bassirou Diomaye Faye au cœur d’un nouvea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2026-08-15</w:t>
            </w:r>
          </w:p>
        </w:tc>
        <w:tc>
          <w:tcPr>
            <w:tcW w:type="dxa" w:w="1728"/>
          </w:tcPr>
          <w:p>
            <w:r>
              <w:rPr>
                <w:sz w:val="14"/>
              </w:rPr>
              <w:t>Au Sahel, l’Algérie, rattrapée par ses revers diplomatiques, multiplie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2026-08-15</w:t>
            </w:r>
          </w:p>
        </w:tc>
        <w:tc>
          <w:tcPr>
            <w:tcW w:type="dxa" w:w="1728"/>
          </w:tcPr>
          <w:p>
            <w:r>
              <w:rPr>
                <w:sz w:val="14"/>
              </w:rPr>
              <w:t>Sénégal : la société civile et Takku Wallu se concertent sur la Consti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2026-08-14</w:t>
            </w:r>
          </w:p>
        </w:tc>
        <w:tc>
          <w:tcPr>
            <w:tcW w:type="dxa" w:w="1728"/>
          </w:tcPr>
          <w:p>
            <w:r>
              <w:rPr>
                <w:sz w:val="14"/>
              </w:rPr>
              <w:t>Au Sénégal, le patrimoine de Bassirou Diomaye Faye au cœur d’un nouvea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2026-08-13</w:t>
            </w:r>
          </w:p>
        </w:tc>
        <w:tc>
          <w:tcPr>
            <w:tcW w:type="dxa" w:w="1728"/>
          </w:tcPr>
          <w:p>
            <w:r>
              <w:rPr>
                <w:sz w:val="14"/>
              </w:rPr>
              <w:t>Côte d'Ivoire : Abus sur les réseaux sociaux, le porte-parole du gouve</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2026-08-14</w:t>
            </w:r>
          </w:p>
        </w:tc>
        <w:tc>
          <w:tcPr>
            <w:tcW w:type="dxa" w:w="1728"/>
          </w:tcPr>
          <w:p>
            <w:r>
              <w:rPr>
                <w:sz w:val="14"/>
              </w:rPr>
              <w:t xml:space="preserve">Le franc s’affaiblit face à l’euro, qui dépasse brièvement 0,94 franc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2026-08-14</w:t>
            </w:r>
          </w:p>
        </w:tc>
        <w:tc>
          <w:tcPr>
            <w:tcW w:type="dxa" w:w="1728"/>
          </w:tcPr>
          <w:p>
            <w:r>
              <w:rPr>
                <w:sz w:val="14"/>
              </w:rPr>
              <w:t>Marché des matières premières : l'indice MXV fluctue autour de la barr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2026-08-13</w:t>
            </w:r>
          </w:p>
        </w:tc>
        <w:tc>
          <w:tcPr>
            <w:tcW w:type="dxa" w:w="1728"/>
          </w:tcPr>
          <w:p>
            <w:r>
              <w:rPr>
                <w:sz w:val="14"/>
              </w:rPr>
              <w:t>Mali : le FLA annonce la libération de 82 militaires maliens - Le Mati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(14 alerte(s))</w:t>
      </w:r>
    </w:p>
    <w:p>
      <w:pPr>
        <w:spacing w:before="40" w:after="40"/>
        <w:ind w:left="360"/>
      </w:pPr>
      <w:r>
        <w:rPr>
          <w:color w:val="646464"/>
          <w:sz w:val="17"/>
        </w:rPr>
        <w:t xml:space="preserve">[15/08/2026] ⚪  </w:t>
      </w:r>
      <w:r>
        <w:rPr>
          <w:b/>
          <w:color w:val="505050"/>
          <w:sz w:val="18"/>
        </w:rPr>
        <w:t>Au Sahel, l’Algérie, rattrapée par ses revers diplomatiques, multiplie les gestes envers le Mali et le Niger pour enraye</w:t>
      </w:r>
      <w:r>
        <w:rPr>
          <w:color w:val="787878"/>
          <w:sz w:val="15"/>
        </w:rPr>
        <w:t xml:space="preserve">  [politique]</w:t>
      </w:r>
      <w:r>
        <w:rPr>
          <w:color w:val="B47800"/>
          <w:sz w:val="16"/>
        </w:rPr>
        <w:t xml:space="preserve">  ★ 50/10</w:t>
      </w:r>
    </w:p>
    <w:p>
      <w:pPr>
        <w:spacing w:before="0" w:after="20"/>
        <w:ind w:left="600"/>
      </w:pPr>
      <w:r>
        <w:rPr>
          <w:color w:val="323232"/>
          <w:sz w:val="17"/>
        </w:rPr>
        <w:t xml:space="preserve">L'Algérie, confrontée à des revers diplomatiques au Sahel, multiplie les gestes de rapprochement envers le Mali et le Niger pour contrer l'influence croissante du Maroc dans la région. Cette dynamique géopolitique pourrait affecter les équilibres économiques et sécuritaires en Afrique de l'Ouest, avec des implications potentielles pour les marchés </w:t>
      </w:r>
    </w:p>
    <w:p>
      <w:pPr>
        <w:spacing w:before="0" w:after="40"/>
        <w:ind w:left="600"/>
      </w:pPr>
      <w:r>
        <w:rPr>
          <w:color w:val="00643C"/>
          <w:sz w:val="16"/>
        </w:rPr>
        <w:t>Points clés : L'Algérie cherche à renforcer ses liens avec le Mali et le Niger face à l'ascension diplomatique du Maroc.  •  Les tensions régionales pourraient influencer la stabilité politique et les flux commerciaux dans la zone UEMOA.</w:t>
      </w:r>
    </w:p>
    <w:p>
      <w:pPr>
        <w:spacing w:before="0" w:after="60"/>
        <w:ind w:left="600"/>
      </w:pPr>
      <w:r>
        <w:rPr>
          <w:color w:val="0064B4"/>
          <w:sz w:val="15"/>
        </w:rPr>
        <w:t>Source : https://news.google.com/rss/articles/CBMi9gFBVV95cUxPTVhiclhRUzNTWjJTeUd4RGFRSmx</w:t>
      </w:r>
    </w:p>
    <w:p>
      <w:pPr>
        <w:spacing w:before="40" w:after="40"/>
        <w:ind w:left="360"/>
      </w:pPr>
      <w:r>
        <w:rPr>
          <w:color w:val="646464"/>
          <w:sz w:val="17"/>
        </w:rPr>
        <w:t xml:space="preserve">[15/08/2026] ⚪  </w:t>
      </w:r>
      <w:r>
        <w:rPr>
          <w:b/>
          <w:color w:val="505050"/>
          <w:sz w:val="18"/>
        </w:rPr>
        <w:t>Sénégal : la société civile et Takku Wallu se concertent sur la Constitution - Africtelegraph</w:t>
      </w:r>
      <w:r>
        <w:rPr>
          <w:color w:val="787878"/>
          <w:sz w:val="15"/>
        </w:rPr>
        <w:t xml:space="preserve">  [politique]</w:t>
      </w:r>
      <w:r>
        <w:rPr>
          <w:color w:val="B47800"/>
          <w:sz w:val="16"/>
        </w:rPr>
        <w:t xml:space="preserve">  ★ 50/10</w:t>
      </w:r>
    </w:p>
    <w:p>
      <w:pPr>
        <w:spacing w:before="0" w:after="20"/>
        <w:ind w:left="600"/>
      </w:pPr>
      <w:r>
        <w:rPr>
          <w:color w:val="323232"/>
          <w:sz w:val="17"/>
        </w:rPr>
        <w:t>La société civile sénégalaise et la coalition politique Takku Wallu se sont réunies pour discuter de la Constitution, dans un contexte de tensions politiques. Cette concertation vise à trouver un consensus sur les réformes constitutionnelles, notamment en vue des prochaines échéances électorales. L'initiative reflète une volonté de dialogue entre a</w:t>
      </w:r>
    </w:p>
    <w:p>
      <w:pPr>
        <w:spacing w:before="0" w:after="40"/>
        <w:ind w:left="600"/>
      </w:pPr>
      <w:r>
        <w:rPr>
          <w:color w:val="00643C"/>
          <w:sz w:val="16"/>
        </w:rPr>
        <w:t>Points clés : Concertation entre la société civile et la coalition Takku Wallu sur la Constitution.  •  Contexte politique tendu au Sénégal, avec des enjeux électoraux à venir.  •  Recherche de consensus sur les réformes constitutionnelles.  •  Dialogue entre acteurs politiques et société civile pour apaiser les tensions.</w:t>
      </w:r>
    </w:p>
    <w:p>
      <w:pPr>
        <w:spacing w:before="0" w:after="60"/>
        <w:ind w:left="600"/>
      </w:pPr>
      <w:r>
        <w:rPr>
          <w:color w:val="0064B4"/>
          <w:sz w:val="15"/>
        </w:rPr>
        <w:t>Source : https://news.google.com/rss/articles/CBMiqwFBVV95cUxQaUxtSUNMUnlORk9DRmxPRVdrZjV</w:t>
      </w:r>
    </w:p>
    <w:p>
      <w:pPr>
        <w:spacing w:before="40" w:after="40"/>
        <w:ind w:left="360"/>
      </w:pPr>
      <w:r>
        <w:rPr>
          <w:color w:val="646464"/>
          <w:sz w:val="17"/>
        </w:rPr>
        <w:t xml:space="preserve">[14/08/2026] 🔴  </w:t>
      </w:r>
      <w:r>
        <w:rPr>
          <w:b/>
          <w:color w:val="C00000"/>
          <w:sz w:val="18"/>
        </w:rPr>
        <w:t>Au Sénégal, le patrimoine de Bassirou Diomaye Faye au cœur d’un nouveau bras de fer avec Ousmane Sonko - Jeune Afrique</w:t>
      </w:r>
      <w:r>
        <w:rPr>
          <w:color w:val="787878"/>
          <w:sz w:val="15"/>
        </w:rPr>
        <w:t xml:space="preserve">  [politique]</w:t>
      </w:r>
      <w:r>
        <w:rPr>
          <w:color w:val="B47800"/>
          <w:sz w:val="16"/>
        </w:rPr>
        <w:t xml:space="preserve">  ★ 50/10</w:t>
      </w:r>
    </w:p>
    <w:p>
      <w:pPr>
        <w:spacing w:before="0" w:after="20"/>
        <w:ind w:left="600"/>
      </w:pPr>
      <w:r>
        <w:rPr>
          <w:color w:val="323232"/>
          <w:sz w:val="17"/>
        </w:rPr>
        <w:t>Au Sénégal, une nouvelle confrontation politique émerge entre le président Bassirou Diomaye Faye et le Premier ministre Ousmane Sonko, cette fois-ci autour de la déclaration et de la transparence du patrimoine du chef de l'État. Cette situation reflète des tensions internes au sein du pouvoir, susceptibles de créer une instabilité politique. L'arti</w:t>
      </w:r>
    </w:p>
    <w:p>
      <w:pPr>
        <w:spacing w:before="0" w:after="40"/>
        <w:ind w:left="600"/>
      </w:pPr>
      <w:r>
        <w:rPr>
          <w:color w:val="00643C"/>
          <w:sz w:val="16"/>
        </w:rPr>
        <w:t>Points clés : Conflit politique entre le président et le Premier ministre sénégalais sur la question du patrimoine présidentiel.  •  Risque d'instabilité politique au Sénégal, un pays clé de l'UEMOA.  •  Mise en avant des enjeux de transparence et de gouvernance dans la sous-région.</w:t>
      </w:r>
    </w:p>
    <w:p>
      <w:pPr>
        <w:spacing w:before="0" w:after="60"/>
        <w:ind w:left="600"/>
      </w:pPr>
      <w:r>
        <w:rPr>
          <w:color w:val="0064B4"/>
          <w:sz w:val="15"/>
        </w:rPr>
        <w:t>Source : https://news.google.com/rss/articles/CBMi4wFBVV95cUxQZkdPc1RHcDE3cFcyaV81WER3aTI</w:t>
      </w:r>
    </w:p>
    <w:p>
      <w:pPr>
        <w:spacing w:before="40" w:after="40"/>
        <w:ind w:left="360"/>
      </w:pPr>
      <w:r>
        <w:rPr>
          <w:color w:val="646464"/>
          <w:sz w:val="17"/>
        </w:rPr>
        <w:t xml:space="preserve">[13/08/2026] 🟢  </w:t>
      </w:r>
      <w:r>
        <w:rPr>
          <w:b/>
          <w:color w:val="008000"/>
          <w:sz w:val="18"/>
        </w:rPr>
        <w:t>Mali : le FLA annonce la libération de 82 militaires maliens - Le Matin d'Algérie</w:t>
      </w:r>
      <w:r>
        <w:rPr>
          <w:color w:val="787878"/>
          <w:sz w:val="15"/>
        </w:rPr>
        <w:t xml:space="preserve">  [politique]</w:t>
      </w:r>
      <w:r>
        <w:rPr>
          <w:color w:val="B47800"/>
          <w:sz w:val="16"/>
        </w:rPr>
        <w:t xml:space="preserve">  ★ 50/10</w:t>
      </w:r>
    </w:p>
    <w:p>
      <w:pPr>
        <w:spacing w:before="0" w:after="20"/>
        <w:ind w:left="600"/>
      </w:pPr>
      <w:r>
        <w:rPr>
          <w:color w:val="323232"/>
          <w:sz w:val="17"/>
        </w:rPr>
        <w:t>Le Front de libération de l'Azawad (FLA) a annoncé la libération de 82 militaires maliens, une avancée dans le processus de résolution du conflit au Mali. Cette nouvelle intervient dans un contexte de tensions sécuritaires dans la région, mais pourrait favoriser un apaisement des relations entre les parties prenantes. Pour les marchés financiers de</w:t>
      </w:r>
    </w:p>
    <w:p>
      <w:pPr>
        <w:spacing w:before="0" w:after="40"/>
        <w:ind w:left="600"/>
      </w:pPr>
      <w:r>
        <w:rPr>
          <w:color w:val="00643C"/>
          <w:sz w:val="16"/>
        </w:rPr>
        <w:t>Points clés : Libération de 82 militaires maliens par le FLA  •  Avancée dans le dialogue et la résolution du conflit au Mali  •  Contexte sécuritaire régional toujours fragile  •  Impact indirect sur la confiance des investisseurs dans la zone UEMOA</w:t>
      </w:r>
    </w:p>
    <w:p>
      <w:pPr>
        <w:spacing w:before="0" w:after="60"/>
        <w:ind w:left="600"/>
      </w:pPr>
      <w:r>
        <w:rPr>
          <w:color w:val="0064B4"/>
          <w:sz w:val="15"/>
        </w:rPr>
        <w:t>Source : https://news.google.com/rss/articles/CBMikAFBVV95cUxOR3V5VUMyQS1QNENMcUVtR0s3ZWJ</w:t>
      </w:r>
    </w:p>
    <w:p>
      <w:pPr>
        <w:spacing w:before="40" w:after="40"/>
        <w:ind w:left="360"/>
      </w:pPr>
      <w:r>
        <w:rPr>
          <w:color w:val="646464"/>
          <w:sz w:val="17"/>
        </w:rPr>
        <w:t xml:space="preserve">[13/08/2026] ⚪  </w:t>
      </w:r>
      <w:r>
        <w:rPr>
          <w:b/>
          <w:color w:val="505050"/>
          <w:sz w:val="18"/>
        </w:rPr>
        <w:t>Mali : Assimi Goïta gracie un Français condamné à 20 ans et ordonne son expulsion - koaci.com</w:t>
      </w:r>
      <w:r>
        <w:rPr>
          <w:color w:val="787878"/>
          <w:sz w:val="15"/>
        </w:rPr>
        <w:t xml:space="preserve">  [politique]</w:t>
      </w:r>
      <w:r>
        <w:rPr>
          <w:color w:val="B47800"/>
          <w:sz w:val="16"/>
        </w:rPr>
        <w:t xml:space="preserve">  ★ 50/10</w:t>
      </w:r>
    </w:p>
    <w:p>
      <w:pPr>
        <w:spacing w:before="0" w:after="20"/>
        <w:ind w:left="600"/>
      </w:pPr>
      <w:r>
        <w:rPr>
          <w:color w:val="323232"/>
          <w:sz w:val="17"/>
        </w:rPr>
        <w:t>Le président de la transition malienne, Assimi Goïta, a gracié un ressortissant français condamné à 20 ans de prison et ordonné son expulsion. Cette décision intervient dans un contexte de tensions diplomatiques entre le Mali et la France. L'information est rapportée par le site koaci.com, spécialisé dans l'actualité ouest-africaine.</w:t>
      </w:r>
    </w:p>
    <w:p>
      <w:pPr>
        <w:spacing w:before="0" w:after="40"/>
        <w:ind w:left="600"/>
      </w:pPr>
      <w:r>
        <w:rPr>
          <w:color w:val="00643C"/>
          <w:sz w:val="16"/>
        </w:rPr>
        <w:t>Points clés : Grâce présidentielle accordée à un Français condamné à 20 ans  •  Expulsion ordonnée vers la France  •  Contexte de tensions diplomatiques Mali-France</w:t>
      </w:r>
    </w:p>
    <w:p>
      <w:pPr>
        <w:spacing w:before="0" w:after="60"/>
        <w:ind w:left="600"/>
      </w:pPr>
      <w:r>
        <w:rPr>
          <w:color w:val="0064B4"/>
          <w:sz w:val="15"/>
        </w:rPr>
        <w:t>Source : https://news.google.com/rss/articles/CBMi4AFBVV95cUxQV2hRckRZZUlRZnVSWGdHRnRyVnh</w:t>
      </w:r>
    </w:p>
    <w:p>
      <w:pPr>
        <w:spacing w:before="120" w:after="40"/>
      </w:pPr>
      <w:r>
        <w:rPr>
          <w:b/>
          <w:color w:val="00467F"/>
          <w:sz w:val="20"/>
        </w:rPr>
        <w:t>🔑 politique_monetaire  (1 alerte(s))</w:t>
      </w:r>
    </w:p>
    <w:p>
      <w:pPr>
        <w:spacing w:before="40" w:after="40"/>
        <w:ind w:left="360"/>
      </w:pPr>
      <w:r>
        <w:rPr>
          <w:color w:val="646464"/>
          <w:sz w:val="17"/>
        </w:rPr>
        <w:t xml:space="preserve">[14/08/2026] ⚪  </w:t>
      </w:r>
      <w:r>
        <w:rPr>
          <w:b/>
          <w:color w:val="505050"/>
          <w:sz w:val="18"/>
        </w:rPr>
        <w:t>Le franc s’affaiblit face à l’euro, qui dépasse brièvement 0,94 franc - Agefi.com</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Le franc suisse s'est affaibli face à l'euro, qui a brièvement dépassé le seuil de 0,94 franc. Cette évolution reflète une pression sur la monnaie helvétique, probablement due à des facteurs économiques ou politiques. L'article, bien que court, signale un mouvement notable sur le marché des changes. Aucun détail supplémentaire n'est fourni dans le </w:t>
      </w:r>
    </w:p>
    <w:p>
      <w:pPr>
        <w:spacing w:before="0" w:after="40"/>
        <w:ind w:left="600"/>
      </w:pPr>
      <w:r>
        <w:rPr>
          <w:color w:val="00643C"/>
          <w:sz w:val="16"/>
        </w:rPr>
        <w:t>Points clés : L'euro a dépassé brièvement 0,94 franc suisse.  •  Le franc suisse s'affaiblit face à l'euro.</w:t>
      </w:r>
    </w:p>
    <w:p>
      <w:pPr>
        <w:spacing w:before="0" w:after="60"/>
        <w:ind w:left="600"/>
      </w:pPr>
      <w:r>
        <w:rPr>
          <w:color w:val="0064B4"/>
          <w:sz w:val="15"/>
        </w:rPr>
        <w:t>Source : https://news.google.com/rss/articles/CBMipAFBVV95cUxNS1pWZlRLU2pHTWJ5bmZiemRxY2p</w:t>
      </w:r>
    </w:p>
    <w:p>
      <w:pPr>
        <w:spacing w:before="120" w:after="40"/>
      </w:pPr>
      <w:r>
        <w:rPr>
          <w:b/>
          <w:color w:val="00467F"/>
          <w:sz w:val="20"/>
        </w:rPr>
        <w:t>🔑 matieres_premieres  (3 alerte(s))</w:t>
      </w:r>
    </w:p>
    <w:p>
      <w:pPr>
        <w:spacing w:before="40" w:after="40"/>
        <w:ind w:left="360"/>
      </w:pPr>
      <w:r>
        <w:rPr>
          <w:color w:val="646464"/>
          <w:sz w:val="17"/>
        </w:rPr>
        <w:t xml:space="preserve">[14/08/2026] ⚪  </w:t>
      </w:r>
      <w:r>
        <w:rPr>
          <w:b/>
          <w:color w:val="505050"/>
          <w:sz w:val="18"/>
        </w:rPr>
        <w:t>Marchés des matières premières : les prix de l'énergie s'effondrent, ceux de l'argent flambent.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marchés des matières premières connaissent une forte baisse des prix de l'énergie, tandis que ceux de l'argent (argent métal) enregistrent une hausse significative. Cette évolution reflète des dynamiques contrastées entre les secteurs énergétique et des métaux précieux. L'article, provenant de Vietnam.vn, couvre l'actualité internationale des m</w:t>
      </w:r>
    </w:p>
    <w:p>
      <w:pPr>
        <w:spacing w:before="0" w:after="40"/>
        <w:ind w:left="600"/>
      </w:pPr>
      <w:r>
        <w:rPr>
          <w:color w:val="00643C"/>
          <w:sz w:val="16"/>
        </w:rPr>
        <w:t>Points clés : Effondrement des prix de l'énergie sur les marchés internationaux.  •  Forte hausse des prix de l'argent (métal précieux).</w:t>
      </w:r>
    </w:p>
    <w:p>
      <w:pPr>
        <w:spacing w:before="0" w:after="60"/>
        <w:ind w:left="600"/>
      </w:pPr>
      <w:r>
        <w:rPr>
          <w:color w:val="0064B4"/>
          <w:sz w:val="15"/>
        </w:rPr>
        <w:t>Source : https://news.google.com/rss/articles/CBMijwFBVV95cUxPaURRa19SUFBWRzl3N05SSVE4Ulp</w:t>
      </w:r>
    </w:p>
    <w:p>
      <w:pPr>
        <w:spacing w:before="40" w:after="40"/>
        <w:ind w:left="360"/>
      </w:pPr>
      <w:r>
        <w:rPr>
          <w:color w:val="646464"/>
          <w:sz w:val="17"/>
        </w:rPr>
        <w:t xml:space="preserve">[14/08/2026] ⚪  </w:t>
      </w:r>
      <w:r>
        <w:rPr>
          <w:b/>
          <w:color w:val="505050"/>
          <w:sz w:val="18"/>
        </w:rPr>
        <w:t>Marché des matières premières : l'indice MXV fluctue autour de la barre des 2 800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fluctue autour de 2 800 points, indiquant une certaine stabilité après des variations récentes. Cette évolution reflète les tensions entre l'offre et la demande sur les marchés internationaux. Pour la BRVM, cela pourrait avoir des implications indirectes sur les secteurs exportateurs de matièr</w:t>
      </w:r>
    </w:p>
    <w:p>
      <w:pPr>
        <w:spacing w:before="0" w:after="40"/>
        <w:ind w:left="600"/>
      </w:pPr>
      <w:r>
        <w:rPr>
          <w:color w:val="00643C"/>
          <w:sz w:val="16"/>
        </w:rPr>
        <w:t>Points clés : L'indice MXV évolue autour de 2 800 points, signe de stabilité relative.  •  Les fluctuations des matières premières influencent les économies dépendantes des exportations.</w:t>
      </w:r>
    </w:p>
    <w:p>
      <w:pPr>
        <w:spacing w:before="0" w:after="60"/>
        <w:ind w:left="600"/>
      </w:pPr>
      <w:r>
        <w:rPr>
          <w:color w:val="0064B4"/>
          <w:sz w:val="15"/>
        </w:rPr>
        <w:t>Source : https://news.google.com/rss/articles/CBMijgFBVV95cUxPdm9EcFNfVm4tQjFkNE5TM0FRWUd</w:t>
      </w:r>
    </w:p>
    <w:p>
      <w:pPr>
        <w:spacing w:before="40" w:after="40"/>
        <w:ind w:left="360"/>
      </w:pPr>
      <w:r>
        <w:rPr>
          <w:color w:val="646464"/>
          <w:sz w:val="17"/>
        </w:rPr>
        <w:t xml:space="preserve">[13/08/2026] ⚪  </w:t>
      </w:r>
      <w:r>
        <w:rPr>
          <w:b/>
          <w:color w:val="505050"/>
          <w:sz w:val="18"/>
        </w:rPr>
        <w:t>Cacao : comment la Côte d’Ivoire adapte son modèle face aux mutations du marché mondial - agenceecofin.com</w:t>
      </w:r>
      <w:r>
        <w:rPr>
          <w:color w:val="787878"/>
          <w:sz w:val="15"/>
        </w:rPr>
        <w:t xml:space="preserve">  [matieres_premieres]</w:t>
      </w:r>
      <w:r>
        <w:rPr>
          <w:color w:val="B47800"/>
          <w:sz w:val="16"/>
        </w:rPr>
        <w:t xml:space="preserve">  ★ 50/10</w:t>
      </w:r>
    </w:p>
    <w:p>
      <w:pPr>
        <w:spacing w:before="0" w:after="20"/>
        <w:ind w:left="600"/>
      </w:pPr>
      <w:r>
        <w:rPr>
          <w:color w:val="323232"/>
          <w:sz w:val="17"/>
        </w:rPr>
        <w:t>La Côte d'Ivoire, premier producteur mondial de cacao, adapte son modèle économique face aux évolutions du marché mondial, notamment la volatilité des prix et les nouvelles exigences de durabilité. Le pays cherche à renforcer sa position en diversifiant ses débouchés et en améliorant la transformation locale. Cette stratégie vise à stabiliser les r</w:t>
      </w:r>
    </w:p>
    <w:p>
      <w:pPr>
        <w:spacing w:before="0" w:after="40"/>
        <w:ind w:left="600"/>
      </w:pPr>
      <w:r>
        <w:rPr>
          <w:color w:val="00643C"/>
          <w:sz w:val="16"/>
        </w:rPr>
        <w:t>Points clés : Adaptation du modèle ivoirien aux mutations du marché mondial du cacao.  •  Renforcement de la transformation locale et diversification des débouchés.</w:t>
      </w:r>
    </w:p>
    <w:p>
      <w:pPr>
        <w:spacing w:before="0" w:after="60"/>
        <w:ind w:left="600"/>
      </w:pPr>
      <w:r>
        <w:rPr>
          <w:color w:val="0064B4"/>
          <w:sz w:val="15"/>
        </w:rPr>
        <w:t>Source : https://news.google.com/rss/articles/CBMi2gFBVV95cUxQcWViZHFvMGNqTGVhLUN2dl9ETWE</w:t>
      </w:r>
    </w:p>
    <w:p>
      <w:pPr>
        <w:spacing w:before="120" w:after="40"/>
      </w:pPr>
      <w:r>
        <w:rPr>
          <w:b/>
          <w:color w:val="00467F"/>
          <w:sz w:val="20"/>
        </w:rPr>
        <w:t>🔑 économique  (2 alerte(s))</w:t>
      </w:r>
    </w:p>
    <w:p>
      <w:pPr>
        <w:spacing w:before="40" w:after="40"/>
        <w:ind w:left="360"/>
      </w:pPr>
      <w:r>
        <w:rPr>
          <w:color w:val="646464"/>
          <w:sz w:val="17"/>
        </w:rPr>
        <w:t xml:space="preserve">[13/08/2026] ⚪  </w:t>
      </w:r>
      <w:r>
        <w:rPr>
          <w:b/>
          <w:color w:val="505050"/>
          <w:sz w:val="18"/>
        </w:rPr>
        <w:t>Monnaie unique en Afrique de l’Ouest : en 2027, l’Eco sur les rails ? - Enderi</w:t>
      </w:r>
      <w:r>
        <w:rPr>
          <w:color w:val="787878"/>
          <w:sz w:val="15"/>
        </w:rPr>
        <w:t xml:space="preserve">  [économique]</w:t>
      </w:r>
      <w:r>
        <w:rPr>
          <w:color w:val="B47800"/>
          <w:sz w:val="16"/>
        </w:rPr>
        <w:t xml:space="preserve">  ★ 50/10</w:t>
      </w:r>
    </w:p>
    <w:p>
      <w:pPr>
        <w:spacing w:before="0" w:after="20"/>
        <w:ind w:left="600"/>
      </w:pPr>
      <w:r>
        <w:rPr>
          <w:color w:val="323232"/>
          <w:sz w:val="17"/>
        </w:rPr>
        <w:t>L'article de Enderi évoque le projet de monnaie unique ouest-africaine, l'Eco, dont le lancement est envisagé pour 2027. Il analyse les avancées et les obstacles, notamment les critères de convergence économique et les tensions politiques. Le texte souligne les incertitudes persistantes malgré les engagements des États membres. Il s'agit d'une pers</w:t>
      </w:r>
    </w:p>
    <w:p>
      <w:pPr>
        <w:spacing w:before="0" w:after="40"/>
        <w:ind w:left="600"/>
      </w:pPr>
      <w:r>
        <w:rPr>
          <w:color w:val="00643C"/>
          <w:sz w:val="16"/>
        </w:rPr>
        <w:t>Points clés : Lancement de l'Eco prévu en 2027 en Afrique de l'Ouest.  •  Critères de convergence économique à respecter par les pays membres.  •  Obstacles politiques et économiques à surmonter.  •  Incertitudes sur le calendrier et la faisabilité du projet.</w:t>
      </w:r>
    </w:p>
    <w:p>
      <w:pPr>
        <w:spacing w:before="0" w:after="60"/>
        <w:ind w:left="600"/>
      </w:pPr>
      <w:r>
        <w:rPr>
          <w:color w:val="0064B4"/>
          <w:sz w:val="15"/>
        </w:rPr>
        <w:t>Source : https://news.google.com/rss/articles/CBMiiAFBVV95cUxPQVoyZXItdzNQM1p6Sm96c3JHMWp</w:t>
      </w:r>
    </w:p>
    <w:p>
      <w:pPr>
        <w:spacing w:before="40" w:after="40"/>
        <w:ind w:left="360"/>
      </w:pPr>
      <w:r>
        <w:rPr>
          <w:color w:val="646464"/>
          <w:sz w:val="17"/>
        </w:rPr>
        <w:t xml:space="preserve">[13/08/2026] ⚪  </w:t>
      </w:r>
      <w:r>
        <w:rPr>
          <w:b/>
          <w:color w:val="505050"/>
          <w:sz w:val="18"/>
        </w:rPr>
        <w:t>À quel point le projet de monnaie unique de la CEDEAO est-il réaliste ? - TRT Afrika</w:t>
      </w:r>
      <w:r>
        <w:rPr>
          <w:color w:val="787878"/>
          <w:sz w:val="15"/>
        </w:rPr>
        <w:t xml:space="preserve">  [économique]</w:t>
      </w:r>
      <w:r>
        <w:rPr>
          <w:color w:val="B47800"/>
          <w:sz w:val="16"/>
        </w:rPr>
        <w:t xml:space="preserve">  ★ 50/10</w:t>
      </w:r>
    </w:p>
    <w:p>
      <w:pPr>
        <w:spacing w:before="0" w:after="20"/>
        <w:ind w:left="600"/>
      </w:pPr>
      <w:r>
        <w:rPr>
          <w:color w:val="323232"/>
          <w:sz w:val="17"/>
        </w:rPr>
        <w:t>Le projet de monnaie unique de la CEDEAO, bien qu'ambitieux, se heurte à de nombreux obstacles économiques et politiques, notamment la divergence des économies membres et la question de la souveraineté monétaire. L'initiative, portée par certains pays, reste confrontée à des défis de convergence macroéconomique et de coordination des politiques bud</w:t>
      </w:r>
    </w:p>
    <w:p>
      <w:pPr>
        <w:spacing w:before="0" w:after="40"/>
        <w:ind w:left="600"/>
      </w:pPr>
      <w:r>
        <w:rPr>
          <w:color w:val="00643C"/>
          <w:sz w:val="16"/>
        </w:rPr>
        <w:t>Points clés : Le projet de monnaie unique de la CEDEAO est confronté à des divergences économiques majeures entre les pays membres.  •  La question de la souveraineté monétaire et les réticences politiques freinent l'avancement du projet.  •  Les critères de convergence (inflation, déficit budgétaire, etc.) ne sont pas remplis par la majorité des États.  •  L'échéance de 2027 semble irréaliste, mais le projet reste un objectif stratégique à long terme.</w:t>
      </w:r>
    </w:p>
    <w:p>
      <w:pPr>
        <w:spacing w:before="0" w:after="60"/>
        <w:ind w:left="600"/>
      </w:pPr>
      <w:r>
        <w:rPr>
          <w:color w:val="0064B4"/>
          <w:sz w:val="15"/>
        </w:rPr>
        <w:t>Source : https://news.google.com/rss/articles/CBMiZkFVX3lxTFBuRHRUSV85bnpWNy1MRktyZGVMM3l</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12,900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2,000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5,120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4,100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3,060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9,175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31,900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3,150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6,150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17,450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9,115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18,000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5,515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23,015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5,840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37,250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28,670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7,700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3,660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2,775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8,005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23,495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3,170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8,700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1,665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68</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2,200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2,430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16,355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2,635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28,700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7,850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40</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2,200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10,080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39,000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4,495</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45</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58,000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TTLS</w:t>
            </w:r>
          </w:p>
        </w:tc>
        <w:tc>
          <w:tcPr>
            <w:tcW w:type="dxa" w:w="1080"/>
            <w:shd w:fill="FEFEFE" w:val="clear"/>
          </w:tcPr>
          <w:p>
            <w:r>
              <w:rPr>
                <w:sz w:val="16"/>
              </w:rPr>
              <w:t>ENERGIE</w:t>
            </w:r>
          </w:p>
        </w:tc>
        <w:tc>
          <w:tcPr>
            <w:tcW w:type="dxa" w:w="1080"/>
            <w:shd w:fill="FEFEFE" w:val="clear"/>
          </w:tcPr>
          <w:p>
            <w:r>
              <w:rPr>
                <w:sz w:val="16"/>
              </w:rPr>
              <w:t>3,585</w:t>
            </w:r>
          </w:p>
        </w:tc>
        <w:tc>
          <w:tcPr>
            <w:tcW w:type="dxa" w:w="1080"/>
            <w:shd w:fill="FEFEFE" w:val="clear"/>
          </w:tcPr>
          <w:p>
            <w:r>
              <w:rPr>
                <w:b/>
                <w:sz w:val="16"/>
              </w:rPr>
              <w:t>48/100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r>
        <w:tc>
          <w:tcPr>
            <w:tcW w:type="dxa" w:w="1080"/>
            <w:shd w:fill="FEFEFE" w:val="clear"/>
          </w:tcPr>
          <w:p>
            <w:r>
              <w:rPr>
                <w:sz w:val="16"/>
              </w:rPr>
              <w:t>47</w:t>
            </w:r>
          </w:p>
        </w:tc>
        <w:tc>
          <w:tcPr>
            <w:tcW w:type="dxa" w:w="1080"/>
            <w:shd w:fill="FEFEFE" w:val="clear"/>
          </w:tcPr>
          <w:p>
            <w:r>
              <w:rPr>
                <w:sz w:val="16"/>
              </w:rPr>
              <w:t>SDCC</w:t>
            </w:r>
          </w:p>
        </w:tc>
        <w:tc>
          <w:tcPr>
            <w:tcW w:type="dxa" w:w="1080"/>
            <w:shd w:fill="FEFEFE" w:val="clear"/>
          </w:tcPr>
          <w:p>
            <w:r>
              <w:rPr>
                <w:sz w:val="16"/>
              </w:rPr>
              <w:t>SERVICES PUBLICS</w:t>
            </w:r>
          </w:p>
        </w:tc>
        <w:tc>
          <w:tcPr>
            <w:tcW w:type="dxa" w:w="1080"/>
            <w:shd w:fill="FEFEFE" w:val="clear"/>
          </w:tcPr>
          <w:p>
            <w:r>
              <w:rPr>
                <w:sz w:val="16"/>
              </w:rPr>
              <w:t>11,610</w:t>
            </w:r>
          </w:p>
        </w:tc>
        <w:tc>
          <w:tcPr>
            <w:tcW w:type="dxa" w:w="1080"/>
            <w:shd w:fill="FEFEFE" w:val="clear"/>
          </w:tcPr>
          <w:p>
            <w:r>
              <w:rPr>
                <w:b/>
                <w:sz w:val="16"/>
              </w:rPr>
              <w:t>42/100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12,900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2,800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4,100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3,060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9,175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SNTS</w:t>
            </w:r>
          </w:p>
        </w:tc>
        <w:tc>
          <w:tcPr>
            <w:tcW w:type="dxa" w:w="1728"/>
            <w:shd w:fill="DEEAF1" w:val="clear"/>
          </w:tcPr>
          <w:p>
            <w:r>
              <w:rPr>
                <w:sz w:val="17"/>
              </w:rPr>
              <w:t>SNTS - SONATEL SN</w:t>
            </w:r>
          </w:p>
        </w:tc>
        <w:tc>
          <w:tcPr>
            <w:tcW w:type="dxa" w:w="1728"/>
            <w:shd w:fill="DEEAF1" w:val="clear"/>
          </w:tcPr>
          <w:p>
            <w:r>
              <w:rPr>
                <w:sz w:val="17"/>
              </w:rPr>
              <w:t>31,900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3,150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12,900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2,000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5,120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2,800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4,100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ORGT</w:t>
            </w:r>
          </w:p>
        </w:tc>
        <w:tc>
          <w:tcPr>
            <w:tcW w:type="dxa" w:w="1728"/>
            <w:shd w:fill="E2EFDA" w:val="clear"/>
          </w:tcPr>
          <w:p>
            <w:r>
              <w:rPr>
                <w:sz w:val="17"/>
              </w:rPr>
              <w:t>ORGT - ORAGROUP TOGO</w:t>
            </w:r>
          </w:p>
        </w:tc>
        <w:tc>
          <w:tcPr>
            <w:tcW w:type="dxa" w:w="1728"/>
            <w:shd w:fill="E2EFDA" w:val="clear"/>
          </w:tcPr>
          <w:p>
            <w:r>
              <w:rPr>
                <w:sz w:val="17"/>
              </w:rPr>
              <w:t>3,060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9,175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12,900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2,000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5,120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2,800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4,100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ORGT</w:t>
            </w:r>
          </w:p>
        </w:tc>
        <w:tc>
          <w:tcPr>
            <w:tcW w:type="dxa" w:w="1728"/>
            <w:shd w:fill="FCE4D6" w:val="clear"/>
          </w:tcPr>
          <w:p>
            <w:r>
              <w:rPr>
                <w:sz w:val="17"/>
              </w:rPr>
              <w:t>ORGT - ORAGROUP TOGO</w:t>
            </w:r>
          </w:p>
        </w:tc>
        <w:tc>
          <w:tcPr>
            <w:tcW w:type="dxa" w:w="1728"/>
            <w:shd w:fill="FCE4D6" w:val="clear"/>
          </w:tcPr>
          <w:p>
            <w:r>
              <w:rPr>
                <w:sz w:val="17"/>
              </w:rPr>
              <w:t>3,060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9,175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BOAM — BANK OF AFRICA MALI</w:t>
      </w:r>
    </w:p>
    <w:p>
      <w:pPr>
        <w:pStyle w:val="ListBullet"/>
        <w:spacing w:before="20"/>
        <w:ind w:left="400"/>
      </w:pPr>
      <w:r>
        <w:rPr>
          <w:sz w:val="18"/>
        </w:rPr>
        <w:t>🔴 RSI surachat (72.2 &gt; 70) — risque de correction</w:t>
      </w:r>
    </w:p>
    <w:p>
      <w:pPr>
        <w:pStyle w:val="ListBullet"/>
        <w:spacing w:before="20"/>
        <w:ind w:left="400"/>
      </w:pPr>
      <w:r>
        <w:rPr>
          <w:sz w:val="18"/>
        </w:rPr>
        <w:t>⚠️ Cours à 0.0% du plus haut 100j (6,150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(89.2 &gt; 70) — risque de correction</w:t>
      </w:r>
    </w:p>
    <w:p>
      <w:pPr>
        <w:pStyle w:val="ListBullet"/>
        <w:spacing w:before="20"/>
        <w:ind w:left="400"/>
      </w:pPr>
      <w:r>
        <w:rPr>
          <w:sz w:val="18"/>
        </w:rPr>
        <w:t>⚠️ Cours à 0.0% du plus haut 100j (18,000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(93.2 &gt; 70) — risque de correction</w:t>
      </w:r>
    </w:p>
    <w:p>
      <w:pPr>
        <w:pStyle w:val="ListBullet"/>
        <w:spacing w:before="20"/>
        <w:ind w:left="400"/>
      </w:pPr>
      <w:r>
        <w:rPr>
          <w:sz w:val="18"/>
        </w:rPr>
        <w:t>⚠️ Cours à 0.0% du plus haut 100j (10,080 FCFA)</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(71.1 &gt; 70) — risque de correction</w:t>
      </w:r>
    </w:p>
    <w:p>
      <w:pPr>
        <w:pStyle w:val="ListBullet"/>
        <w:spacing w:before="20"/>
        <w:ind w:left="400"/>
      </w:pPr>
      <w:r>
        <w:rPr>
          <w:sz w:val="18"/>
        </w:rPr>
        <w:t>⚠️ Cours à 0.0% du plus haut 100j (8,500 FCFA)</w:t>
      </w:r>
    </w:p>
    <w:p>
      <w:pPr>
        <w:spacing w:before="120"/>
      </w:pPr>
      <w:r>
        <w:rPr>
          <w:b/>
          <w:color w:val="0050A0"/>
          <w:sz w:val="20"/>
        </w:rPr>
        <w:t>BOAC — BANK OF AFRICA COTE D'IVOIRE</w:t>
      </w:r>
    </w:p>
    <w:p>
      <w:pPr>
        <w:pStyle w:val="ListBullet"/>
        <w:spacing w:before="20"/>
        <w:ind w:left="400"/>
      </w:pPr>
      <w:r>
        <w:rPr>
          <w:sz w:val="18"/>
        </w:rPr>
        <w:t>🔴 RSI surachat (88.7 &gt; 70) — risque de correction</w:t>
      </w:r>
    </w:p>
    <w:p>
      <w:pPr>
        <w:pStyle w:val="ListBullet"/>
        <w:spacing w:before="20"/>
        <w:ind w:left="400"/>
      </w:pPr>
      <w:r>
        <w:rPr>
          <w:sz w:val="18"/>
        </w:rPr>
        <w:t>⚠️ Cours à 0.0% du plus haut 100j (12,900 FCFA)</w:t>
      </w:r>
    </w:p>
    <w:p>
      <w:pPr>
        <w:spacing w:before="120"/>
      </w:pPr>
      <w:r>
        <w:rPr>
          <w:b/>
          <w:color w:val="0050A0"/>
          <w:sz w:val="20"/>
        </w:rPr>
        <w:t>CBIBF — CBIBF - CORIS BANK INTERNATIONAL BURKINA FASO</w:t>
      </w:r>
    </w:p>
    <w:p>
      <w:pPr>
        <w:pStyle w:val="ListBullet"/>
        <w:spacing w:before="20"/>
        <w:ind w:left="400"/>
      </w:pPr>
      <w:r>
        <w:rPr>
          <w:sz w:val="18"/>
        </w:rPr>
        <w:t>🔴 RSI surachat (76.0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surachat (85.0 &gt; 70) — risque de correction</w:t>
      </w:r>
    </w:p>
    <w:p>
      <w:pPr>
        <w:pStyle w:val="ListBullet"/>
        <w:spacing w:before="20"/>
        <w:ind w:left="400"/>
      </w:pPr>
      <w:r>
        <w:rPr>
          <w:sz w:val="18"/>
        </w:rPr>
        <w:t>⚠️ Cours à 0.0% du plus haut 100j (17,450 FCFA)</w:t>
      </w:r>
    </w:p>
    <w:p>
      <w:pPr>
        <w:spacing w:before="120"/>
      </w:pPr>
      <w:r>
        <w:rPr>
          <w:b/>
          <w:color w:val="0050A0"/>
          <w:sz w:val="20"/>
        </w:rPr>
        <w:t>SDSC — SDSC - AFRICA GLOBAL LOGISTICS CI</w:t>
      </w:r>
    </w:p>
    <w:p>
      <w:pPr>
        <w:pStyle w:val="ListBullet"/>
        <w:spacing w:before="20"/>
        <w:ind w:left="400"/>
      </w:pPr>
      <w:r>
        <w:rPr>
          <w:sz w:val="18"/>
        </w:rPr>
        <w:t>⚠️ Cours à 1.6%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0.5% du plus haut 100j (39,200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2.8% du plus haut 100j (29,490 FCFA)</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Cours à 0.0% du plus haut 100j (5,515 FCFA)</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ORGT — ORGT - ORAGROUP TOGO</w:t>
      </w:r>
    </w:p>
    <w:p>
      <w:pPr>
        <w:pStyle w:val="ListBullet"/>
        <w:spacing w:before="20"/>
        <w:ind w:left="400"/>
      </w:pPr>
      <w:r>
        <w:rPr>
          <w:sz w:val="18"/>
        </w:rPr>
        <w:t>🔴 RSI surachat (82.1 &gt; 70) — risque de correction</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Cours à 1.8% du plus haut 100j (32,500 FCFA)</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 FORT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Cours à 0.0% du plus haut 100j (3,150 FCFA)</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24 société(s) (51%)</w:t>
            </w:r>
          </w:p>
        </w:tc>
        <w:tc>
          <w:tcPr>
            <w:tcW w:type="dxa" w:w="1644"/>
            <w:shd w:fill="FFEB9C" w:val="clear"/>
          </w:tcPr>
          <w:p>
            <w:r>
              <w:rPr>
                <w:b/>
                <w:color w:val="825A00"/>
                <w:sz w:val="19"/>
              </w:rPr>
              <w:t>23 société(s) (49%)</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21.1/100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21.1/100).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35.6/100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31.9/100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(35.6/100 — Moyen) : </w:t>
      </w:r>
      <w:r>
        <w:rPr>
          <w:sz w:val="17"/>
        </w:rPr>
        <w:t>Volatilité=Élevée | Bêta=Défensif | Liquidité=Très faible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SAFC (31.9/100 — Moyen) : </w:t>
      </w:r>
      <w:r>
        <w:rPr>
          <w:sz w:val="17"/>
        </w:rPr>
        <w:t>Volatilité=Élevée | Bêta=Défensif | Liquidité=Bonne | Divergence signaux=taux divergence=40% (Très divergent ❌) | Stabilité=Instable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NEIC (30.8/100 — Moyen) : </w:t>
      </w:r>
      <w:r>
        <w:rPr>
          <w:sz w:val="17"/>
        </w:rPr>
        <w:t>Volatilité=Élevée | Bêta=Contre-cyclique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35.6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31.9</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28.8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27.5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21.6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-11.22%  |  Médiane : -8.36%</w:t>
            </w:r>
          </w:p>
        </w:tc>
      </w:tr>
      <w:tr>
        <w:tc>
          <w:tcPr>
            <w:tcW w:type="dxa" w:w="2835"/>
            <w:shd w:fill="DEEAF1" w:val="clear"/>
          </w:tcPr>
          <w:p>
            <w:r>
              <w:rPr>
                <w:b/>
                <w:sz w:val="18"/>
              </w:rPr>
              <w:t>Répartition</w:t>
            </w:r>
          </w:p>
        </w:tc>
        <w:tc>
          <w:tcPr>
            <w:tcW w:type="dxa" w:w="7370"/>
          </w:tcPr>
          <w:p>
            <w:r>
              <w:rPr>
                <w:b/>
                <w:sz w:val="18"/>
              </w:rPr>
              <w:t>📈 6 sociétés en hausse (&gt;+1%)   📉 37 en baisse (&lt;-1%)   ➡️ 4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37 sociétés sur 47 sont orientées à la baisse avec une variation moyenne de -11.22%.</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3,500 FCFA</w:t>
            </w:r>
          </w:p>
        </w:tc>
        <w:tc>
          <w:tcPr>
            <w:tcW w:type="dxa" w:w="1417"/>
            <w:shd w:fill="FFFFFF" w:val="clear"/>
          </w:tcPr>
          <w:p>
            <w:r>
              <w:rPr>
                <w:sz w:val="16"/>
              </w:rPr>
              <w:t>6,108 FCFA</w:t>
            </w:r>
          </w:p>
        </w:tc>
        <w:tc>
          <w:tcPr>
            <w:tcW w:type="dxa" w:w="1134"/>
            <w:shd w:fill="C6EFCE" w:val="clear"/>
          </w:tcPr>
          <w:p>
            <w:r>
              <w:rPr>
                <w:b/>
                <w:color w:val="007800"/>
                <w:sz w:val="16"/>
              </w:rPr>
              <w:t>+74.50%</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23,015 FCFA</w:t>
            </w:r>
          </w:p>
        </w:tc>
        <w:tc>
          <w:tcPr>
            <w:tcW w:type="dxa" w:w="1417"/>
            <w:shd w:fill="FFFFFF" w:val="clear"/>
          </w:tcPr>
          <w:p>
            <w:r>
              <w:rPr>
                <w:sz w:val="16"/>
              </w:rPr>
              <w:t>27,211 FCFA</w:t>
            </w:r>
          </w:p>
        </w:tc>
        <w:tc>
          <w:tcPr>
            <w:tcW w:type="dxa" w:w="1134"/>
            <w:shd w:fill="C6EFCE" w:val="clear"/>
          </w:tcPr>
          <w:p>
            <w:r>
              <w:rPr>
                <w:b/>
                <w:color w:val="007800"/>
                <w:sz w:val="16"/>
              </w:rPr>
              <w:t>+18.23%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58,000 FCFA</w:t>
            </w:r>
          </w:p>
        </w:tc>
        <w:tc>
          <w:tcPr>
            <w:tcW w:type="dxa" w:w="1417"/>
            <w:shd w:fill="FFFFFF" w:val="clear"/>
          </w:tcPr>
          <w:p>
            <w:r>
              <w:rPr>
                <w:sz w:val="16"/>
              </w:rPr>
              <w:t>64,649 FCFA</w:t>
            </w:r>
          </w:p>
        </w:tc>
        <w:tc>
          <w:tcPr>
            <w:tcW w:type="dxa" w:w="1134"/>
            <w:shd w:fill="C6EFCE" w:val="clear"/>
          </w:tcPr>
          <w:p>
            <w:r>
              <w:rPr>
                <w:b/>
                <w:color w:val="007800"/>
                <w:sz w:val="16"/>
              </w:rPr>
              <w:t>+11.46%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23,495 FCFA</w:t>
            </w:r>
          </w:p>
        </w:tc>
        <w:tc>
          <w:tcPr>
            <w:tcW w:type="dxa" w:w="1417"/>
            <w:shd w:fill="FFFFFF" w:val="clear"/>
          </w:tcPr>
          <w:p>
            <w:r>
              <w:rPr>
                <w:sz w:val="16"/>
              </w:rPr>
              <w:t>25,512 FCFA</w:t>
            </w:r>
          </w:p>
        </w:tc>
        <w:tc>
          <w:tcPr>
            <w:tcW w:type="dxa" w:w="1134"/>
            <w:shd w:fill="C6EFCE" w:val="clear"/>
          </w:tcPr>
          <w:p>
            <w:r>
              <w:rPr>
                <w:b/>
                <w:color w:val="007800"/>
                <w:sz w:val="16"/>
              </w:rPr>
              <w:t>+8.59%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2,190 FCFA</w:t>
            </w:r>
          </w:p>
        </w:tc>
        <w:tc>
          <w:tcPr>
            <w:tcW w:type="dxa" w:w="1417"/>
            <w:shd w:fill="FFFFFF" w:val="clear"/>
          </w:tcPr>
          <w:p>
            <w:r>
              <w:rPr>
                <w:sz w:val="16"/>
              </w:rPr>
              <w:t>2,282 FCFA</w:t>
            </w:r>
          </w:p>
        </w:tc>
        <w:tc>
          <w:tcPr>
            <w:tcW w:type="dxa" w:w="1134"/>
            <w:shd w:fill="C6EFCE" w:val="clear"/>
          </w:tcPr>
          <w:p>
            <w:r>
              <w:rPr>
                <w:b/>
                <w:color w:val="007800"/>
                <w:sz w:val="16"/>
              </w:rPr>
              <w:t>+4.21%</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(+74.5%) — signal potentiellement excessif, à croiser avec l'analyse technique. Trajectoire : 📈 Hausse continue. Cours actuel : 3,500 FCFA → prédit J+10 : 6,108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(+18.2%) — potentiel de revalorisation notable. Trajectoire : 📈 Hausse continue. Cours actuel : 23,015 FCFA → prédit J+10 : 27,211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(+11.5%) — potentiel de revalorisation notable. Trajectoire : 📈 Hausse continue. Cours actuel : 58,000 FCFA → prédit J+10 : 64,649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(+8.6%) — signal raisonnable et crédible. Trajectoire : 📈 Hausse continue. Cours actuel : 23,495 FCFA → prédit J+10 : 25,512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(+4.2%) — progression graduelle attendue. Trajectoire : 📈 Hausse continue. Cours actuel : 2,190 FCFA → prédit J+10 : 2,282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68 FCFA</w:t>
            </w:r>
          </w:p>
        </w:tc>
        <w:tc>
          <w:tcPr>
            <w:tcW w:type="dxa" w:w="1417"/>
            <w:shd w:fill="FFFFFF" w:val="clear"/>
          </w:tcPr>
          <w:p>
            <w:r>
              <w:rPr>
                <w:sz w:val="16"/>
              </w:rPr>
              <w:t>31 FCFA</w:t>
            </w:r>
          </w:p>
        </w:tc>
        <w:tc>
          <w:tcPr>
            <w:tcW w:type="dxa" w:w="1134"/>
            <w:shd w:fill="FFC7CE" w:val="clear"/>
          </w:tcPr>
          <w:p>
            <w:r>
              <w:rPr>
                <w:b/>
                <w:color w:val="B40000"/>
                <w:sz w:val="16"/>
              </w:rPr>
              <w:t>-54.15%</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3,660 FCFA</w:t>
            </w:r>
          </w:p>
        </w:tc>
        <w:tc>
          <w:tcPr>
            <w:tcW w:type="dxa" w:w="1417"/>
            <w:shd w:fill="FFFFFF" w:val="clear"/>
          </w:tcPr>
          <w:p>
            <w:r>
              <w:rPr>
                <w:sz w:val="16"/>
              </w:rPr>
              <w:t>1,678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5,840 FCFA</w:t>
            </w:r>
          </w:p>
        </w:tc>
        <w:tc>
          <w:tcPr>
            <w:tcW w:type="dxa" w:w="1417"/>
            <w:shd w:fill="FFFFFF" w:val="clear"/>
          </w:tcPr>
          <w:p>
            <w:r>
              <w:rPr>
                <w:sz w:val="16"/>
              </w:rPr>
              <w:t>2,678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5,515 FCFA</w:t>
            </w:r>
          </w:p>
        </w:tc>
        <w:tc>
          <w:tcPr>
            <w:tcW w:type="dxa" w:w="1417"/>
            <w:shd w:fill="FFFFFF" w:val="clear"/>
          </w:tcPr>
          <w:p>
            <w:r>
              <w:rPr>
                <w:sz w:val="16"/>
              </w:rPr>
              <w:t>3,206 FCFA</w:t>
            </w:r>
          </w:p>
        </w:tc>
        <w:tc>
          <w:tcPr>
            <w:tcW w:type="dxa" w:w="1134"/>
            <w:shd w:fill="FFC7CE" w:val="clear"/>
          </w:tcPr>
          <w:p>
            <w:r>
              <w:rPr>
                <w:b/>
                <w:color w:val="B40000"/>
                <w:sz w:val="16"/>
              </w:rPr>
              <w:t>-41.88%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28,700 FCFA</w:t>
            </w:r>
          </w:p>
        </w:tc>
        <w:tc>
          <w:tcPr>
            <w:tcW w:type="dxa" w:w="1417"/>
            <w:shd w:fill="FFFFFF" w:val="clear"/>
          </w:tcPr>
          <w:p>
            <w:r>
              <w:rPr>
                <w:sz w:val="16"/>
              </w:rPr>
              <w:t>17,396 FCFA</w:t>
            </w:r>
          </w:p>
        </w:tc>
        <w:tc>
          <w:tcPr>
            <w:tcW w:type="dxa" w:w="1134"/>
            <w:shd w:fill="FFC7CE" w:val="clear"/>
          </w:tcPr>
          <w:p>
            <w:r>
              <w:rPr>
                <w:b/>
                <w:color w:val="B40000"/>
                <w:sz w:val="16"/>
              </w:rPr>
              <w:t>-39.39%</w:t>
            </w:r>
          </w:p>
        </w:tc>
        <w:tc>
          <w:tcPr>
            <w:tcW w:type="dxa" w:w="1020"/>
            <w:shd w:fill="FFC7CE" w:val="clear"/>
          </w:tcPr>
          <w:p>
            <w:r>
              <w:rPr>
                <w:sz w:val="16"/>
              </w:rPr>
              <w:t>Faible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68 FCFA → prédit J+10 : 31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3,660 FCFA → prédit J+10 : 1,678 FCFA. ⚠️ Confiance limitée — volatilité élevée. Ne pas agir sur ce seul signal.</w:t>
      </w:r>
    </w:p>
    <w:p>
      <w:pPr>
        <w:pStyle w:val="ListBullet"/>
      </w:pPr>
      <w:r>
        <w:rPr>
          <w:b/>
          <w:color w:val="B40000"/>
          <w:sz w:val="18"/>
        </w:rPr>
        <w:t xml:space="preserve">#3 SAFC </w:t>
      </w:r>
      <w:r>
        <w:rPr>
          <w:sz w:val="17"/>
        </w:rPr>
        <w:t>(SAFCA CI) — baisse très forte (-54.1%) — amplitude potentiellement surestimée par le modèle. Trajectoire : 📉 Baisse continue. Cours actuel : 5,840 FCFA → prédit J+10 : 2,678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(-41.9%) — amplitude potentiellement surestimée par le modèle. Trajectoire : 📉 Baisse continue. Cours actuel : 5,515 FCFA → prédit J+10 : 3,206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(-39.4%) — amplitude potentiellement surestimée par le modèle. Trajectoire : 📉 Baisse continue. Cours actuel : 28,700 FCFA → prédit J+10 : 17,396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6,108</w:t>
            </w:r>
          </w:p>
        </w:tc>
        <w:tc>
          <w:tcPr>
            <w:tcW w:type="dxa" w:w="1134"/>
            <w:shd w:fill="C6EFCE" w:val="clear"/>
          </w:tcPr>
          <w:p>
            <w:r>
              <w:rPr>
                <w:b/>
                <w:color w:val="007800"/>
                <w:sz w:val="16"/>
              </w:rPr>
              <w:t>+74.50%</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23,015</w:t>
            </w:r>
          </w:p>
        </w:tc>
        <w:tc>
          <w:tcPr>
            <w:tcW w:type="dxa" w:w="1417"/>
            <w:shd w:fill="FFFFFF" w:val="clear"/>
          </w:tcPr>
          <w:p>
            <w:r>
              <w:rPr>
                <w:sz w:val="16"/>
              </w:rPr>
              <w:t>27,211</w:t>
            </w:r>
          </w:p>
        </w:tc>
        <w:tc>
          <w:tcPr>
            <w:tcW w:type="dxa" w:w="1134"/>
            <w:shd w:fill="C6EFCE" w:val="clear"/>
          </w:tcPr>
          <w:p>
            <w:r>
              <w:rPr>
                <w:b/>
                <w:color w:val="007800"/>
                <w:sz w:val="16"/>
              </w:rPr>
              <w:t>+18.23%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58,000</w:t>
            </w:r>
          </w:p>
        </w:tc>
        <w:tc>
          <w:tcPr>
            <w:tcW w:type="dxa" w:w="1417"/>
            <w:shd w:fill="FFFFFF" w:val="clear"/>
          </w:tcPr>
          <w:p>
            <w:r>
              <w:rPr>
                <w:sz w:val="16"/>
              </w:rPr>
              <w:t>64,649</w:t>
            </w:r>
          </w:p>
        </w:tc>
        <w:tc>
          <w:tcPr>
            <w:tcW w:type="dxa" w:w="1134"/>
            <w:shd w:fill="C6EFCE" w:val="clear"/>
          </w:tcPr>
          <w:p>
            <w:r>
              <w:rPr>
                <w:b/>
                <w:color w:val="007800"/>
                <w:sz w:val="16"/>
              </w:rPr>
              <w:t>+11.46%</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23,495</w:t>
            </w:r>
          </w:p>
        </w:tc>
        <w:tc>
          <w:tcPr>
            <w:tcW w:type="dxa" w:w="1417"/>
            <w:shd w:fill="FFFFFF" w:val="clear"/>
          </w:tcPr>
          <w:p>
            <w:r>
              <w:rPr>
                <w:sz w:val="16"/>
              </w:rPr>
              <w:t>25,512</w:t>
            </w:r>
          </w:p>
        </w:tc>
        <w:tc>
          <w:tcPr>
            <w:tcW w:type="dxa" w:w="1134"/>
            <w:shd w:fill="C6EFCE" w:val="clear"/>
          </w:tcPr>
          <w:p>
            <w:r>
              <w:rPr>
                <w:b/>
                <w:color w:val="007800"/>
                <w:sz w:val="16"/>
              </w:rPr>
              <w:t>+8.59%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2,190</w:t>
            </w:r>
          </w:p>
        </w:tc>
        <w:tc>
          <w:tcPr>
            <w:tcW w:type="dxa" w:w="1417"/>
            <w:shd w:fill="FFFFFF" w:val="clear"/>
          </w:tcPr>
          <w:p>
            <w:r>
              <w:rPr>
                <w:sz w:val="16"/>
              </w:rPr>
              <w:t>2,282</w:t>
            </w:r>
          </w:p>
        </w:tc>
        <w:tc>
          <w:tcPr>
            <w:tcW w:type="dxa" w:w="1134"/>
            <w:shd w:fill="C6EFCE" w:val="clear"/>
          </w:tcPr>
          <w:p>
            <w:r>
              <w:rPr>
                <w:b/>
                <w:color w:val="007800"/>
                <w:sz w:val="16"/>
              </w:rPr>
              <w:t>+4.21%</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9,115</w:t>
            </w:r>
          </w:p>
        </w:tc>
        <w:tc>
          <w:tcPr>
            <w:tcW w:type="dxa" w:w="1417"/>
            <w:shd w:fill="FFFFFF" w:val="clear"/>
          </w:tcPr>
          <w:p>
            <w:r>
              <w:rPr>
                <w:sz w:val="16"/>
              </w:rPr>
              <w:t>9,359</w:t>
            </w:r>
          </w:p>
        </w:tc>
        <w:tc>
          <w:tcPr>
            <w:tcW w:type="dxa" w:w="1134"/>
            <w:shd w:fill="C6EFCE" w:val="clear"/>
          </w:tcPr>
          <w:p>
            <w:r>
              <w:rPr>
                <w:b/>
                <w:color w:val="007800"/>
                <w:sz w:val="16"/>
              </w:rPr>
              <w:t>+2.68%</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7,850</w:t>
            </w:r>
          </w:p>
        </w:tc>
        <w:tc>
          <w:tcPr>
            <w:tcW w:type="dxa" w:w="1417"/>
            <w:shd w:fill="FFFFFF" w:val="clear"/>
          </w:tcPr>
          <w:p>
            <w:r>
              <w:rPr>
                <w:sz w:val="16"/>
              </w:rPr>
              <w:t>7,879</w:t>
            </w:r>
          </w:p>
        </w:tc>
        <w:tc>
          <w:tcPr>
            <w:tcW w:type="dxa" w:w="1134"/>
            <w:shd w:fill="FFEB9C" w:val="clear"/>
          </w:tcPr>
          <w:p>
            <w:r>
              <w:rPr>
                <w:b/>
                <w:color w:val="646400"/>
                <w:sz w:val="16"/>
              </w:rPr>
              <w:t>+0.37%</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37,250</w:t>
            </w:r>
          </w:p>
        </w:tc>
        <w:tc>
          <w:tcPr>
            <w:tcW w:type="dxa" w:w="1417"/>
            <w:shd w:fill="FFFFFF" w:val="clear"/>
          </w:tcPr>
          <w:p>
            <w:r>
              <w:rPr>
                <w:sz w:val="16"/>
              </w:rPr>
              <w:t>37,147</w:t>
            </w:r>
          </w:p>
        </w:tc>
        <w:tc>
          <w:tcPr>
            <w:tcW w:type="dxa" w:w="1134"/>
            <w:shd w:fill="FFEB9C" w:val="clear"/>
          </w:tcPr>
          <w:p>
            <w:r>
              <w:rPr>
                <w:b/>
                <w:color w:val="646400"/>
                <w:sz w:val="16"/>
              </w:rPr>
              <w:t>-0.28%</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3,060</w:t>
            </w:r>
          </w:p>
        </w:tc>
        <w:tc>
          <w:tcPr>
            <w:tcW w:type="dxa" w:w="1417"/>
            <w:shd w:fill="FFFFFF" w:val="clear"/>
          </w:tcPr>
          <w:p>
            <w:r>
              <w:rPr>
                <w:sz w:val="16"/>
              </w:rPr>
              <w:t>3,048</w:t>
            </w:r>
          </w:p>
        </w:tc>
        <w:tc>
          <w:tcPr>
            <w:tcW w:type="dxa" w:w="1134"/>
            <w:shd w:fill="FFEB9C" w:val="clear"/>
          </w:tcPr>
          <w:p>
            <w:r>
              <w:rPr>
                <w:b/>
                <w:color w:val="646400"/>
                <w:sz w:val="16"/>
              </w:rPr>
              <w:t>-0.40%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16,000</w:t>
            </w:r>
          </w:p>
        </w:tc>
        <w:tc>
          <w:tcPr>
            <w:tcW w:type="dxa" w:w="1417"/>
            <w:shd w:fill="FFFFFF" w:val="clear"/>
          </w:tcPr>
          <w:p>
            <w:r>
              <w:rPr>
                <w:sz w:val="16"/>
              </w:rPr>
              <w:t>15,892</w:t>
            </w:r>
          </w:p>
        </w:tc>
        <w:tc>
          <w:tcPr>
            <w:tcW w:type="dxa" w:w="1134"/>
            <w:shd w:fill="FFEB9C" w:val="clear"/>
          </w:tcPr>
          <w:p>
            <w:r>
              <w:rPr>
                <w:b/>
                <w:color w:val="646400"/>
                <w:sz w:val="16"/>
              </w:rPr>
              <w:t>-0.68%</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2,000</w:t>
            </w:r>
          </w:p>
        </w:tc>
        <w:tc>
          <w:tcPr>
            <w:tcW w:type="dxa" w:w="1417"/>
            <w:shd w:fill="FFFFFF" w:val="clear"/>
          </w:tcPr>
          <w:p>
            <w:r>
              <w:rPr>
                <w:sz w:val="16"/>
              </w:rPr>
              <w:t>1,976</w:t>
            </w:r>
          </w:p>
        </w:tc>
        <w:tc>
          <w:tcPr>
            <w:tcW w:type="dxa" w:w="1134"/>
            <w:shd w:fill="FFC7CE" w:val="clear"/>
          </w:tcPr>
          <w:p>
            <w:r>
              <w:rPr>
                <w:b/>
                <w:color w:val="B40000"/>
                <w:sz w:val="16"/>
              </w:rPr>
              <w:t>-1.19%</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2,800</w:t>
            </w:r>
          </w:p>
        </w:tc>
        <w:tc>
          <w:tcPr>
            <w:tcW w:type="dxa" w:w="1417"/>
            <w:shd w:fill="FFFFFF" w:val="clear"/>
          </w:tcPr>
          <w:p>
            <w:r>
              <w:rPr>
                <w:sz w:val="16"/>
              </w:rPr>
              <w:t>2,759</w:t>
            </w:r>
          </w:p>
        </w:tc>
        <w:tc>
          <w:tcPr>
            <w:tcW w:type="dxa" w:w="1134"/>
            <w:shd w:fill="FFC7CE" w:val="clear"/>
          </w:tcPr>
          <w:p>
            <w:r>
              <w:rPr>
                <w:b/>
                <w:color w:val="B40000"/>
                <w:sz w:val="16"/>
              </w:rPr>
              <w:t>-1.47%</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31,900</w:t>
            </w:r>
          </w:p>
        </w:tc>
        <w:tc>
          <w:tcPr>
            <w:tcW w:type="dxa" w:w="1417"/>
            <w:shd w:fill="FFFFFF" w:val="clear"/>
          </w:tcPr>
          <w:p>
            <w:r>
              <w:rPr>
                <w:sz w:val="16"/>
              </w:rPr>
              <w:t>31,352</w:t>
            </w:r>
          </w:p>
        </w:tc>
        <w:tc>
          <w:tcPr>
            <w:tcW w:type="dxa" w:w="1134"/>
            <w:shd w:fill="FFC7CE" w:val="clear"/>
          </w:tcPr>
          <w:p>
            <w:r>
              <w:rPr>
                <w:b/>
                <w:color w:val="B40000"/>
                <w:sz w:val="16"/>
              </w:rPr>
              <w:t>-1.72%</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5,120</w:t>
            </w:r>
          </w:p>
        </w:tc>
        <w:tc>
          <w:tcPr>
            <w:tcW w:type="dxa" w:w="1417"/>
            <w:shd w:fill="FFFFFF" w:val="clear"/>
          </w:tcPr>
          <w:p>
            <w:r>
              <w:rPr>
                <w:sz w:val="16"/>
              </w:rPr>
              <w:t>5,017</w:t>
            </w:r>
          </w:p>
        </w:tc>
        <w:tc>
          <w:tcPr>
            <w:tcW w:type="dxa" w:w="1134"/>
            <w:shd w:fill="FFC7CE" w:val="clear"/>
          </w:tcPr>
          <w:p>
            <w:r>
              <w:rPr>
                <w:b/>
                <w:color w:val="B40000"/>
                <w:sz w:val="16"/>
              </w:rPr>
              <w:t>-2.02%</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8,005</w:t>
            </w:r>
          </w:p>
        </w:tc>
        <w:tc>
          <w:tcPr>
            <w:tcW w:type="dxa" w:w="1417"/>
            <w:shd w:fill="FFFFFF" w:val="clear"/>
          </w:tcPr>
          <w:p>
            <w:r>
              <w:rPr>
                <w:sz w:val="16"/>
              </w:rPr>
              <w:t>7,776</w:t>
            </w:r>
          </w:p>
        </w:tc>
        <w:tc>
          <w:tcPr>
            <w:tcW w:type="dxa" w:w="1134"/>
            <w:shd w:fill="FFC7CE" w:val="clear"/>
          </w:tcPr>
          <w:p>
            <w:r>
              <w:rPr>
                <w:b/>
                <w:color w:val="B40000"/>
                <w:sz w:val="16"/>
              </w:rPr>
              <w:t>-2.87%</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3,150</w:t>
            </w:r>
          </w:p>
        </w:tc>
        <w:tc>
          <w:tcPr>
            <w:tcW w:type="dxa" w:w="1417"/>
            <w:shd w:fill="FFFFFF" w:val="clear"/>
          </w:tcPr>
          <w:p>
            <w:r>
              <w:rPr>
                <w:sz w:val="16"/>
              </w:rPr>
              <w:t>3,046</w:t>
            </w:r>
          </w:p>
        </w:tc>
        <w:tc>
          <w:tcPr>
            <w:tcW w:type="dxa" w:w="1134"/>
            <w:shd w:fill="FFC7CE" w:val="clear"/>
          </w:tcPr>
          <w:p>
            <w:r>
              <w:rPr>
                <w:b/>
                <w:color w:val="B40000"/>
                <w:sz w:val="16"/>
              </w:rPr>
              <w:t>-3.31%</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16,355</w:t>
            </w:r>
          </w:p>
        </w:tc>
        <w:tc>
          <w:tcPr>
            <w:tcW w:type="dxa" w:w="1417"/>
            <w:shd w:fill="FFFFFF" w:val="clear"/>
          </w:tcPr>
          <w:p>
            <w:r>
              <w:rPr>
                <w:sz w:val="16"/>
              </w:rPr>
              <w:t>15,802</w:t>
            </w:r>
          </w:p>
        </w:tc>
        <w:tc>
          <w:tcPr>
            <w:tcW w:type="dxa" w:w="1134"/>
            <w:shd w:fill="FFC7CE" w:val="clear"/>
          </w:tcPr>
          <w:p>
            <w:r>
              <w:rPr>
                <w:b/>
                <w:color w:val="B40000"/>
                <w:sz w:val="16"/>
              </w:rPr>
              <w:t>-3.38%</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37,676</w:t>
            </w:r>
          </w:p>
        </w:tc>
        <w:tc>
          <w:tcPr>
            <w:tcW w:type="dxa" w:w="1134"/>
            <w:shd w:fill="FFC7CE" w:val="clear"/>
          </w:tcPr>
          <w:p>
            <w:r>
              <w:rPr>
                <w:b/>
                <w:color w:val="B40000"/>
                <w:sz w:val="16"/>
              </w:rPr>
              <w:t>-3.40%</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4,100</w:t>
            </w:r>
          </w:p>
        </w:tc>
        <w:tc>
          <w:tcPr>
            <w:tcW w:type="dxa" w:w="1417"/>
            <w:shd w:fill="FFFFFF" w:val="clear"/>
          </w:tcPr>
          <w:p>
            <w:r>
              <w:rPr>
                <w:sz w:val="16"/>
              </w:rPr>
              <w:t>3,944</w:t>
            </w:r>
          </w:p>
        </w:tc>
        <w:tc>
          <w:tcPr>
            <w:tcW w:type="dxa" w:w="1134"/>
            <w:shd w:fill="FFC7CE" w:val="clear"/>
          </w:tcPr>
          <w:p>
            <w:r>
              <w:rPr>
                <w:b/>
                <w:color w:val="B40000"/>
                <w:sz w:val="16"/>
              </w:rPr>
              <w:t>-3.82%</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18,000</w:t>
            </w:r>
          </w:p>
        </w:tc>
        <w:tc>
          <w:tcPr>
            <w:tcW w:type="dxa" w:w="1417"/>
            <w:shd w:fill="FFFFFF" w:val="clear"/>
          </w:tcPr>
          <w:p>
            <w:r>
              <w:rPr>
                <w:sz w:val="16"/>
              </w:rPr>
              <w:t>17,227</w:t>
            </w:r>
          </w:p>
        </w:tc>
        <w:tc>
          <w:tcPr>
            <w:tcW w:type="dxa" w:w="1134"/>
            <w:shd w:fill="FFC7CE" w:val="clear"/>
          </w:tcPr>
          <w:p>
            <w:r>
              <w:rPr>
                <w:b/>
                <w:color w:val="B40000"/>
                <w:sz w:val="16"/>
              </w:rPr>
              <w:t>-4.29%</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4,495</w:t>
            </w:r>
          </w:p>
        </w:tc>
        <w:tc>
          <w:tcPr>
            <w:tcW w:type="dxa" w:w="1417"/>
            <w:shd w:fill="FFFFFF" w:val="clear"/>
          </w:tcPr>
          <w:p>
            <w:r>
              <w:rPr>
                <w:sz w:val="16"/>
              </w:rPr>
              <w:t>4,262</w:t>
            </w:r>
          </w:p>
        </w:tc>
        <w:tc>
          <w:tcPr>
            <w:tcW w:type="dxa" w:w="1134"/>
            <w:shd w:fill="FFC7CE" w:val="clear"/>
          </w:tcPr>
          <w:p>
            <w:r>
              <w:rPr>
                <w:b/>
                <w:color w:val="B40000"/>
                <w:sz w:val="16"/>
              </w:rPr>
              <w:t>-5.18%</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17,450</w:t>
            </w:r>
          </w:p>
        </w:tc>
        <w:tc>
          <w:tcPr>
            <w:tcW w:type="dxa" w:w="1417"/>
            <w:shd w:fill="FFFFFF" w:val="clear"/>
          </w:tcPr>
          <w:p>
            <w:r>
              <w:rPr>
                <w:sz w:val="16"/>
              </w:rPr>
              <w:t>16,479</w:t>
            </w:r>
          </w:p>
        </w:tc>
        <w:tc>
          <w:tcPr>
            <w:tcW w:type="dxa" w:w="1134"/>
            <w:shd w:fill="FFC7CE" w:val="clear"/>
          </w:tcPr>
          <w:p>
            <w:r>
              <w:rPr>
                <w:b/>
                <w:color w:val="B40000"/>
                <w:sz w:val="16"/>
              </w:rPr>
              <w:t>-5.56%</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2,000</w:t>
            </w:r>
          </w:p>
        </w:tc>
        <w:tc>
          <w:tcPr>
            <w:tcW w:type="dxa" w:w="1417"/>
            <w:shd w:fill="FFFFFF" w:val="clear"/>
          </w:tcPr>
          <w:p>
            <w:r>
              <w:rPr>
                <w:sz w:val="16"/>
              </w:rPr>
              <w:t>1,854</w:t>
            </w:r>
          </w:p>
        </w:tc>
        <w:tc>
          <w:tcPr>
            <w:tcW w:type="dxa" w:w="1134"/>
            <w:shd w:fill="FFC7CE" w:val="clear"/>
          </w:tcPr>
          <w:p>
            <w:r>
              <w:rPr>
                <w:b/>
                <w:color w:val="B40000"/>
                <w:sz w:val="16"/>
              </w:rPr>
              <w:t>-7.31%</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11,610</w:t>
            </w:r>
          </w:p>
        </w:tc>
        <w:tc>
          <w:tcPr>
            <w:tcW w:type="dxa" w:w="1417"/>
            <w:shd w:fill="FFFFFF" w:val="clear"/>
          </w:tcPr>
          <w:p>
            <w:r>
              <w:rPr>
                <w:sz w:val="16"/>
              </w:rPr>
              <w:t>10,639</w:t>
            </w:r>
          </w:p>
        </w:tc>
        <w:tc>
          <w:tcPr>
            <w:tcW w:type="dxa" w:w="1134"/>
            <w:shd w:fill="FFC7CE" w:val="clear"/>
          </w:tcPr>
          <w:p>
            <w:r>
              <w:rPr>
                <w:b/>
                <w:color w:val="B40000"/>
                <w:sz w:val="16"/>
              </w:rPr>
              <w:t>-8.36%</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28,670</w:t>
            </w:r>
          </w:p>
        </w:tc>
        <w:tc>
          <w:tcPr>
            <w:tcW w:type="dxa" w:w="1417"/>
            <w:shd w:fill="FFFFFF" w:val="clear"/>
          </w:tcPr>
          <w:p>
            <w:r>
              <w:rPr>
                <w:sz w:val="16"/>
              </w:rPr>
              <w:t>26,100</w:t>
            </w:r>
          </w:p>
        </w:tc>
        <w:tc>
          <w:tcPr>
            <w:tcW w:type="dxa" w:w="1134"/>
            <w:shd w:fill="FFC7CE" w:val="clear"/>
          </w:tcPr>
          <w:p>
            <w:r>
              <w:rPr>
                <w:b/>
                <w:color w:val="B40000"/>
                <w:sz w:val="16"/>
              </w:rPr>
              <w:t>-8.96%</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7,100</w:t>
            </w:r>
          </w:p>
        </w:tc>
        <w:tc>
          <w:tcPr>
            <w:tcW w:type="dxa" w:w="1417"/>
            <w:shd w:fill="FFFFFF" w:val="clear"/>
          </w:tcPr>
          <w:p>
            <w:r>
              <w:rPr>
                <w:sz w:val="16"/>
              </w:rPr>
              <w:t>6,462</w:t>
            </w:r>
          </w:p>
        </w:tc>
        <w:tc>
          <w:tcPr>
            <w:tcW w:type="dxa" w:w="1134"/>
            <w:shd w:fill="FFC7CE" w:val="clear"/>
          </w:tcPr>
          <w:p>
            <w:r>
              <w:rPr>
                <w:b/>
                <w:color w:val="B40000"/>
                <w:sz w:val="16"/>
              </w:rPr>
              <w:t>-8.98%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2,775</w:t>
            </w:r>
          </w:p>
        </w:tc>
        <w:tc>
          <w:tcPr>
            <w:tcW w:type="dxa" w:w="1417"/>
            <w:shd w:fill="FFFFFF" w:val="clear"/>
          </w:tcPr>
          <w:p>
            <w:r>
              <w:rPr>
                <w:sz w:val="16"/>
              </w:rPr>
              <w:t>2,525</w:t>
            </w:r>
          </w:p>
        </w:tc>
        <w:tc>
          <w:tcPr>
            <w:tcW w:type="dxa" w:w="1134"/>
            <w:shd w:fill="FFC7CE" w:val="clear"/>
          </w:tcPr>
          <w:p>
            <w:r>
              <w:rPr>
                <w:b/>
                <w:color w:val="B40000"/>
                <w:sz w:val="16"/>
              </w:rPr>
              <w:t>-9.03%</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1,490</w:t>
            </w:r>
          </w:p>
        </w:tc>
        <w:tc>
          <w:tcPr>
            <w:tcW w:type="dxa" w:w="1417"/>
            <w:shd w:fill="FFFFFF" w:val="clear"/>
          </w:tcPr>
          <w:p>
            <w:r>
              <w:rPr>
                <w:sz w:val="16"/>
              </w:rPr>
              <w:t>1,335</w:t>
            </w:r>
          </w:p>
        </w:tc>
        <w:tc>
          <w:tcPr>
            <w:tcW w:type="dxa" w:w="1134"/>
            <w:shd w:fill="FFC7CE" w:val="clear"/>
          </w:tcPr>
          <w:p>
            <w:r>
              <w:rPr>
                <w:b/>
                <w:color w:val="B40000"/>
                <w:sz w:val="16"/>
              </w:rPr>
              <w:t>-10.39%</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8,700</w:t>
            </w:r>
          </w:p>
        </w:tc>
        <w:tc>
          <w:tcPr>
            <w:tcW w:type="dxa" w:w="1417"/>
            <w:shd w:fill="FFFFFF" w:val="clear"/>
          </w:tcPr>
          <w:p>
            <w:r>
              <w:rPr>
                <w:sz w:val="16"/>
              </w:rPr>
              <w:t>7,698</w:t>
            </w:r>
          </w:p>
        </w:tc>
        <w:tc>
          <w:tcPr>
            <w:tcW w:type="dxa" w:w="1134"/>
            <w:shd w:fill="FFC7CE" w:val="clear"/>
          </w:tcPr>
          <w:p>
            <w:r>
              <w:rPr>
                <w:b/>
                <w:color w:val="B40000"/>
                <w:sz w:val="16"/>
              </w:rPr>
              <w:t>-11.52%</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3,585</w:t>
            </w:r>
          </w:p>
        </w:tc>
        <w:tc>
          <w:tcPr>
            <w:tcW w:type="dxa" w:w="1417"/>
            <w:shd w:fill="FFFFFF" w:val="clear"/>
          </w:tcPr>
          <w:p>
            <w:r>
              <w:rPr>
                <w:sz w:val="16"/>
              </w:rPr>
              <w:t>3,172</w:t>
            </w:r>
          </w:p>
        </w:tc>
        <w:tc>
          <w:tcPr>
            <w:tcW w:type="dxa" w:w="1134"/>
            <w:shd w:fill="FFC7CE" w:val="clear"/>
          </w:tcPr>
          <w:p>
            <w:r>
              <w:rPr>
                <w:b/>
                <w:color w:val="B40000"/>
                <w:sz w:val="16"/>
              </w:rPr>
              <w:t>-11.53%</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3,170</w:t>
            </w:r>
          </w:p>
        </w:tc>
        <w:tc>
          <w:tcPr>
            <w:tcW w:type="dxa" w:w="1417"/>
            <w:shd w:fill="FFFFFF" w:val="clear"/>
          </w:tcPr>
          <w:p>
            <w:r>
              <w:rPr>
                <w:sz w:val="16"/>
              </w:rPr>
              <w:t>2,794</w:t>
            </w:r>
          </w:p>
        </w:tc>
        <w:tc>
          <w:tcPr>
            <w:tcW w:type="dxa" w:w="1134"/>
            <w:shd w:fill="FFC7CE" w:val="clear"/>
          </w:tcPr>
          <w:p>
            <w:r>
              <w:rPr>
                <w:b/>
                <w:color w:val="B40000"/>
                <w:sz w:val="16"/>
              </w:rPr>
              <w:t>-11.86%</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7,700</w:t>
            </w:r>
          </w:p>
        </w:tc>
        <w:tc>
          <w:tcPr>
            <w:tcW w:type="dxa" w:w="1417"/>
            <w:shd w:fill="FFFFFF" w:val="clear"/>
          </w:tcPr>
          <w:p>
            <w:r>
              <w:rPr>
                <w:sz w:val="16"/>
              </w:rPr>
              <w:t>6,716</w:t>
            </w:r>
          </w:p>
        </w:tc>
        <w:tc>
          <w:tcPr>
            <w:tcW w:type="dxa" w:w="1134"/>
            <w:shd w:fill="FFC7CE" w:val="clear"/>
          </w:tcPr>
          <w:p>
            <w:r>
              <w:rPr>
                <w:b/>
                <w:color w:val="B40000"/>
                <w:sz w:val="16"/>
              </w:rPr>
              <w:t>-12.78%</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6,150</w:t>
            </w:r>
          </w:p>
        </w:tc>
        <w:tc>
          <w:tcPr>
            <w:tcW w:type="dxa" w:w="1417"/>
            <w:shd w:fill="FFFFFF" w:val="clear"/>
          </w:tcPr>
          <w:p>
            <w:r>
              <w:rPr>
                <w:sz w:val="16"/>
              </w:rPr>
              <w:t>5,277</w:t>
            </w:r>
          </w:p>
        </w:tc>
        <w:tc>
          <w:tcPr>
            <w:tcW w:type="dxa" w:w="1134"/>
            <w:shd w:fill="FFC7CE" w:val="clear"/>
          </w:tcPr>
          <w:p>
            <w:r>
              <w:rPr>
                <w:b/>
                <w:color w:val="B40000"/>
                <w:sz w:val="16"/>
              </w:rPr>
              <w:t>-14.19%</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1,665</w:t>
            </w:r>
          </w:p>
        </w:tc>
        <w:tc>
          <w:tcPr>
            <w:tcW w:type="dxa" w:w="1417"/>
            <w:shd w:fill="FFFFFF" w:val="clear"/>
          </w:tcPr>
          <w:p>
            <w:r>
              <w:rPr>
                <w:sz w:val="16"/>
              </w:rPr>
              <w:t>1,411</w:t>
            </w:r>
          </w:p>
        </w:tc>
        <w:tc>
          <w:tcPr>
            <w:tcW w:type="dxa" w:w="1134"/>
            <w:shd w:fill="FFC7CE" w:val="clear"/>
          </w:tcPr>
          <w:p>
            <w:r>
              <w:rPr>
                <w:b/>
                <w:color w:val="B40000"/>
                <w:sz w:val="16"/>
              </w:rPr>
              <w:t>-15.28%</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10,080</w:t>
            </w:r>
          </w:p>
        </w:tc>
        <w:tc>
          <w:tcPr>
            <w:tcW w:type="dxa" w:w="1417"/>
            <w:shd w:fill="FFFFFF" w:val="clear"/>
          </w:tcPr>
          <w:p>
            <w:r>
              <w:rPr>
                <w:sz w:val="16"/>
              </w:rPr>
              <w:t>8,150</w:t>
            </w:r>
          </w:p>
        </w:tc>
        <w:tc>
          <w:tcPr>
            <w:tcW w:type="dxa" w:w="1134"/>
            <w:shd w:fill="FFC7CE" w:val="clear"/>
          </w:tcPr>
          <w:p>
            <w:r>
              <w:rPr>
                <w:b/>
                <w:color w:val="B40000"/>
                <w:sz w:val="16"/>
              </w:rPr>
              <w:t>-19.14%</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9,175</w:t>
            </w:r>
          </w:p>
        </w:tc>
        <w:tc>
          <w:tcPr>
            <w:tcW w:type="dxa" w:w="1417"/>
            <w:shd w:fill="FFFFFF" w:val="clear"/>
          </w:tcPr>
          <w:p>
            <w:r>
              <w:rPr>
                <w:sz w:val="16"/>
              </w:rPr>
              <w:t>7,209</w:t>
            </w:r>
          </w:p>
        </w:tc>
        <w:tc>
          <w:tcPr>
            <w:tcW w:type="dxa" w:w="1134"/>
            <w:shd w:fill="FFC7CE" w:val="clear"/>
          </w:tcPr>
          <w:p>
            <w:r>
              <w:rPr>
                <w:b/>
                <w:color w:val="B40000"/>
                <w:sz w:val="16"/>
              </w:rPr>
              <w:t>-21.43%</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2,430</w:t>
            </w:r>
          </w:p>
        </w:tc>
        <w:tc>
          <w:tcPr>
            <w:tcW w:type="dxa" w:w="1417"/>
            <w:shd w:fill="FFFFFF" w:val="clear"/>
          </w:tcPr>
          <w:p>
            <w:r>
              <w:rPr>
                <w:sz w:val="16"/>
              </w:rPr>
              <w:t>1,853</w:t>
            </w:r>
          </w:p>
        </w:tc>
        <w:tc>
          <w:tcPr>
            <w:tcW w:type="dxa" w:w="1134"/>
            <w:shd w:fill="FFC7CE" w:val="clear"/>
          </w:tcPr>
          <w:p>
            <w:r>
              <w:rPr>
                <w:b/>
                <w:color w:val="B40000"/>
                <w:sz w:val="16"/>
              </w:rPr>
              <w:t>-23.76%</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2,200</w:t>
            </w:r>
          </w:p>
        </w:tc>
        <w:tc>
          <w:tcPr>
            <w:tcW w:type="dxa" w:w="1417"/>
            <w:shd w:fill="FFFFFF" w:val="clear"/>
          </w:tcPr>
          <w:p>
            <w:r>
              <w:rPr>
                <w:sz w:val="16"/>
              </w:rPr>
              <w:t>1,636</w:t>
            </w:r>
          </w:p>
        </w:tc>
        <w:tc>
          <w:tcPr>
            <w:tcW w:type="dxa" w:w="1134"/>
            <w:shd w:fill="FFC7CE" w:val="clear"/>
          </w:tcPr>
          <w:p>
            <w:r>
              <w:rPr>
                <w:b/>
                <w:color w:val="B40000"/>
                <w:sz w:val="16"/>
              </w:rPr>
              <w:t>-25.65%</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12,900</w:t>
            </w:r>
          </w:p>
        </w:tc>
        <w:tc>
          <w:tcPr>
            <w:tcW w:type="dxa" w:w="1417"/>
            <w:shd w:fill="FFFFFF" w:val="clear"/>
          </w:tcPr>
          <w:p>
            <w:r>
              <w:rPr>
                <w:sz w:val="16"/>
              </w:rPr>
              <w:t>8,874</w:t>
            </w:r>
          </w:p>
        </w:tc>
        <w:tc>
          <w:tcPr>
            <w:tcW w:type="dxa" w:w="1134"/>
            <w:shd w:fill="FFC7CE" w:val="clear"/>
          </w:tcPr>
          <w:p>
            <w:r>
              <w:rPr>
                <w:b/>
                <w:color w:val="B40000"/>
                <w:sz w:val="16"/>
              </w:rPr>
              <w:t>-31.21%</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8,500</w:t>
            </w:r>
          </w:p>
        </w:tc>
        <w:tc>
          <w:tcPr>
            <w:tcW w:type="dxa" w:w="1417"/>
            <w:shd w:fill="FFFFFF" w:val="clear"/>
          </w:tcPr>
          <w:p>
            <w:r>
              <w:rPr>
                <w:sz w:val="16"/>
              </w:rPr>
              <w:t>5,490</w:t>
            </w:r>
          </w:p>
        </w:tc>
        <w:tc>
          <w:tcPr>
            <w:tcW w:type="dxa" w:w="1134"/>
            <w:shd w:fill="FFC7CE" w:val="clear"/>
          </w:tcPr>
          <w:p>
            <w:r>
              <w:rPr>
                <w:b/>
                <w:color w:val="B40000"/>
                <w:sz w:val="16"/>
              </w:rPr>
              <w:t>-35.42%</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2,200</w:t>
            </w:r>
          </w:p>
        </w:tc>
        <w:tc>
          <w:tcPr>
            <w:tcW w:type="dxa" w:w="1417"/>
            <w:shd w:fill="FFFFFF" w:val="clear"/>
          </w:tcPr>
          <w:p>
            <w:r>
              <w:rPr>
                <w:sz w:val="16"/>
              </w:rPr>
              <w:t>1,364</w:t>
            </w:r>
          </w:p>
        </w:tc>
        <w:tc>
          <w:tcPr>
            <w:tcW w:type="dxa" w:w="1134"/>
            <w:shd w:fill="FFC7CE" w:val="clear"/>
          </w:tcPr>
          <w:p>
            <w:r>
              <w:rPr>
                <w:b/>
                <w:color w:val="B40000"/>
                <w:sz w:val="16"/>
              </w:rPr>
              <w:t>-37.99%</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2,635</w:t>
            </w:r>
          </w:p>
        </w:tc>
        <w:tc>
          <w:tcPr>
            <w:tcW w:type="dxa" w:w="1417"/>
            <w:shd w:fill="FFFFFF" w:val="clear"/>
          </w:tcPr>
          <w:p>
            <w:r>
              <w:rPr>
                <w:sz w:val="16"/>
              </w:rPr>
              <w:t>1,599</w:t>
            </w:r>
          </w:p>
        </w:tc>
        <w:tc>
          <w:tcPr>
            <w:tcW w:type="dxa" w:w="1134"/>
            <w:shd w:fill="FFC7CE" w:val="clear"/>
          </w:tcPr>
          <w:p>
            <w:r>
              <w:rPr>
                <w:b/>
                <w:color w:val="B40000"/>
                <w:sz w:val="16"/>
              </w:rPr>
              <w:t>-39.31%</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28,700</w:t>
            </w:r>
          </w:p>
        </w:tc>
        <w:tc>
          <w:tcPr>
            <w:tcW w:type="dxa" w:w="1417"/>
            <w:shd w:fill="FFFFFF" w:val="clear"/>
          </w:tcPr>
          <w:p>
            <w:r>
              <w:rPr>
                <w:sz w:val="16"/>
              </w:rPr>
              <w:t>17,396</w:t>
            </w:r>
          </w:p>
        </w:tc>
        <w:tc>
          <w:tcPr>
            <w:tcW w:type="dxa" w:w="1134"/>
            <w:shd w:fill="FFC7CE" w:val="clear"/>
          </w:tcPr>
          <w:p>
            <w:r>
              <w:rPr>
                <w:b/>
                <w:color w:val="B40000"/>
                <w:sz w:val="16"/>
              </w:rPr>
              <w:t>-39.39%</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5,515</w:t>
            </w:r>
          </w:p>
        </w:tc>
        <w:tc>
          <w:tcPr>
            <w:tcW w:type="dxa" w:w="1417"/>
            <w:shd w:fill="FFFFFF" w:val="clear"/>
          </w:tcPr>
          <w:p>
            <w:r>
              <w:rPr>
                <w:sz w:val="16"/>
              </w:rPr>
              <w:t>3,206</w:t>
            </w:r>
          </w:p>
        </w:tc>
        <w:tc>
          <w:tcPr>
            <w:tcW w:type="dxa" w:w="1134"/>
            <w:shd w:fill="FFC7CE" w:val="clear"/>
          </w:tcPr>
          <w:p>
            <w:r>
              <w:rPr>
                <w:b/>
                <w:color w:val="B40000"/>
                <w:sz w:val="16"/>
              </w:rPr>
              <w:t>-41.88%</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5,840</w:t>
            </w:r>
          </w:p>
        </w:tc>
        <w:tc>
          <w:tcPr>
            <w:tcW w:type="dxa" w:w="1417"/>
            <w:shd w:fill="FFFFFF" w:val="clear"/>
          </w:tcPr>
          <w:p>
            <w:r>
              <w:rPr>
                <w:sz w:val="16"/>
              </w:rPr>
              <w:t>2,678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3,660</w:t>
            </w:r>
          </w:p>
        </w:tc>
        <w:tc>
          <w:tcPr>
            <w:tcW w:type="dxa" w:w="1417"/>
            <w:shd w:fill="FFFFFF" w:val="clear"/>
          </w:tcPr>
          <w:p>
            <w:r>
              <w:rPr>
                <w:sz w:val="16"/>
              </w:rPr>
              <w:t>1,678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68</w:t>
            </w:r>
          </w:p>
        </w:tc>
        <w:tc>
          <w:tcPr>
            <w:tcW w:type="dxa" w:w="1417"/>
            <w:shd w:fill="FFFFFF" w:val="clear"/>
          </w:tcPr>
          <w:p>
            <w:r>
              <w:rPr>
                <w:sz w:val="16"/>
              </w:rPr>
              <w:t>31</w:t>
            </w:r>
          </w:p>
        </w:tc>
        <w:tc>
          <w:tcPr>
            <w:tcW w:type="dxa" w:w="1134"/>
            <w:shd w:fill="FFC7CE" w:val="clear"/>
          </w:tcPr>
          <w:p>
            <w:r>
              <w:rPr>
                <w:b/>
                <w:color w:val="B40000"/>
                <w:sz w:val="16"/>
              </w:rPr>
              <w:t>-54.15%</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3,114 titres</w:t>
            </w:r>
          </w:p>
        </w:tc>
        <w:tc>
          <w:tcPr>
            <w:tcW w:type="dxa" w:w="2268"/>
            <w:shd w:fill="FFF2CC" w:val="clear"/>
          </w:tcPr>
          <w:p>
            <w:r>
              <w:rPr>
                <w:b/>
                <w:color w:val="503200"/>
                <w:sz w:val="16"/>
              </w:rPr>
              <w:t xml:space="preserve">Cours actuel : </w:t>
            </w:r>
            <w:r>
              <w:rPr>
                <w:color w:val="000000"/>
                <w:sz w:val="17"/>
              </w:rPr>
              <w:t>3,170 FCFA</w:t>
            </w:r>
          </w:p>
          <w:p>
            <w:r>
              <w:rPr>
                <w:b/>
                <w:color w:val="503200"/>
                <w:sz w:val="16"/>
              </w:rPr>
              <w:t xml:space="preserve">Var. 100 jours : </w:t>
            </w:r>
            <w:r>
              <w:rPr>
                <w:b/>
                <w:color w:val="B40000"/>
                <w:sz w:val="17"/>
              </w:rPr>
              <w:t>-2.46%</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7.41% (Moyenne) — μ=3,214 FCFA, σ=238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β=0.2635 (Défensif) — Cov=0.000008, Var(idx)=0.000031, ρ=0.048,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2,966</w:t>
            </w:r>
          </w:p>
        </w:tc>
        <w:tc>
          <w:tcPr>
            <w:tcW w:type="dxa" w:w="1440"/>
            <w:shd w:fill="FAFAFA" w:val="clear"/>
          </w:tcPr>
          <w:p>
            <w:r>
              <w:rPr>
                <w:b/>
                <w:sz w:val="17"/>
              </w:rPr>
              <w:t>3,111</w:t>
            </w:r>
          </w:p>
        </w:tc>
        <w:tc>
          <w:tcPr>
            <w:tcW w:type="dxa" w:w="1440"/>
            <w:shd w:fill="FAFAFA" w:val="clear"/>
          </w:tcPr>
          <w:p>
            <w:r>
              <w:rPr>
                <w:sz w:val="17"/>
              </w:rPr>
              <w:t>3,257</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2,863</w:t>
            </w:r>
          </w:p>
        </w:tc>
        <w:tc>
          <w:tcPr>
            <w:tcW w:type="dxa" w:w="1440"/>
            <w:shd w:fill="FFDCE0" w:val="clear"/>
          </w:tcPr>
          <w:p>
            <w:r>
              <w:rPr>
                <w:b/>
                <w:sz w:val="17"/>
              </w:rPr>
              <w:t>3,066</w:t>
            </w:r>
          </w:p>
        </w:tc>
        <w:tc>
          <w:tcPr>
            <w:tcW w:type="dxa" w:w="1440"/>
            <w:shd w:fill="FFDCE0" w:val="clear"/>
          </w:tcPr>
          <w:p>
            <w:r>
              <w:rPr>
                <w:sz w:val="17"/>
              </w:rPr>
              <w:t>3,268</w:t>
            </w:r>
          </w:p>
        </w:tc>
        <w:tc>
          <w:tcPr>
            <w:tcW w:type="dxa" w:w="1440"/>
            <w:shd w:fill="FFDCE0" w:val="clear"/>
          </w:tcPr>
          <w:p>
            <w:r>
              <w:rPr>
                <w:b/>
                <w:color w:val="C00000"/>
                <w:sz w:val="17"/>
              </w:rPr>
              <w:t>-3.3%</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2,777</w:t>
            </w:r>
          </w:p>
        </w:tc>
        <w:tc>
          <w:tcPr>
            <w:tcW w:type="dxa" w:w="1440"/>
            <w:shd w:fill="FFDCE0" w:val="clear"/>
          </w:tcPr>
          <w:p>
            <w:r>
              <w:rPr>
                <w:b/>
                <w:sz w:val="17"/>
              </w:rPr>
              <w:t>3,022</w:t>
            </w:r>
          </w:p>
        </w:tc>
        <w:tc>
          <w:tcPr>
            <w:tcW w:type="dxa" w:w="1440"/>
            <w:shd w:fill="FFDCE0" w:val="clear"/>
          </w:tcPr>
          <w:p>
            <w:r>
              <w:rPr>
                <w:sz w:val="17"/>
              </w:rPr>
              <w:t>3,266</w:t>
            </w:r>
          </w:p>
        </w:tc>
        <w:tc>
          <w:tcPr>
            <w:tcW w:type="dxa" w:w="1440"/>
            <w:shd w:fill="FFDCE0" w:val="clear"/>
          </w:tcPr>
          <w:p>
            <w:r>
              <w:rPr>
                <w:b/>
                <w:color w:val="C00000"/>
                <w:sz w:val="17"/>
              </w:rPr>
              <w:t>-4.7%</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2,704</w:t>
            </w:r>
          </w:p>
        </w:tc>
        <w:tc>
          <w:tcPr>
            <w:tcW w:type="dxa" w:w="1440"/>
            <w:shd w:fill="FFDCE0" w:val="clear"/>
          </w:tcPr>
          <w:p>
            <w:r>
              <w:rPr>
                <w:b/>
                <w:sz w:val="17"/>
              </w:rPr>
              <w:t>2,983</w:t>
            </w:r>
          </w:p>
        </w:tc>
        <w:tc>
          <w:tcPr>
            <w:tcW w:type="dxa" w:w="1440"/>
            <w:shd w:fill="FFDCE0" w:val="clear"/>
          </w:tcPr>
          <w:p>
            <w:r>
              <w:rPr>
                <w:sz w:val="17"/>
              </w:rPr>
              <w:t>3,262</w:t>
            </w:r>
          </w:p>
        </w:tc>
        <w:tc>
          <w:tcPr>
            <w:tcW w:type="dxa" w:w="1440"/>
            <w:shd w:fill="FFDCE0" w:val="clear"/>
          </w:tcPr>
          <w:p>
            <w:r>
              <w:rPr>
                <w:b/>
                <w:color w:val="C00000"/>
                <w:sz w:val="17"/>
              </w:rPr>
              <w:t>-5.9%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2,639</w:t>
            </w:r>
          </w:p>
        </w:tc>
        <w:tc>
          <w:tcPr>
            <w:tcW w:type="dxa" w:w="1440"/>
            <w:shd w:fill="FFDCE0" w:val="clear"/>
          </w:tcPr>
          <w:p>
            <w:r>
              <w:rPr>
                <w:b/>
                <w:sz w:val="17"/>
              </w:rPr>
              <w:t>2,947</w:t>
            </w:r>
          </w:p>
        </w:tc>
        <w:tc>
          <w:tcPr>
            <w:tcW w:type="dxa" w:w="1440"/>
            <w:shd w:fill="FFDCE0" w:val="clear"/>
          </w:tcPr>
          <w:p>
            <w:r>
              <w:rPr>
                <w:sz w:val="17"/>
              </w:rPr>
              <w:t>3,255</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2,580</w:t>
            </w:r>
          </w:p>
        </w:tc>
        <w:tc>
          <w:tcPr>
            <w:tcW w:type="dxa" w:w="1440"/>
            <w:shd w:fill="FFDCE0" w:val="clear"/>
          </w:tcPr>
          <w:p>
            <w:r>
              <w:rPr>
                <w:b/>
                <w:sz w:val="17"/>
              </w:rPr>
              <w:t>2,913</w:t>
            </w:r>
          </w:p>
        </w:tc>
        <w:tc>
          <w:tcPr>
            <w:tcW w:type="dxa" w:w="1440"/>
            <w:shd w:fill="FFDCE0" w:val="clear"/>
          </w:tcPr>
          <w:p>
            <w:r>
              <w:rPr>
                <w:sz w:val="17"/>
              </w:rPr>
              <w:t>3,247</w:t>
            </w:r>
          </w:p>
        </w:tc>
        <w:tc>
          <w:tcPr>
            <w:tcW w:type="dxa" w:w="1440"/>
            <w:shd w:fill="FFDCE0" w:val="clear"/>
          </w:tcPr>
          <w:p>
            <w:r>
              <w:rPr>
                <w:b/>
                <w:color w:val="C00000"/>
                <w:sz w:val="17"/>
              </w:rPr>
              <w:t>-8.1%</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2,525</w:t>
            </w:r>
          </w:p>
        </w:tc>
        <w:tc>
          <w:tcPr>
            <w:tcW w:type="dxa" w:w="1440"/>
            <w:shd w:fill="FFDCE0" w:val="clear"/>
          </w:tcPr>
          <w:p>
            <w:r>
              <w:rPr>
                <w:b/>
                <w:sz w:val="17"/>
              </w:rPr>
              <w:t>2,881</w:t>
            </w:r>
          </w:p>
        </w:tc>
        <w:tc>
          <w:tcPr>
            <w:tcW w:type="dxa" w:w="1440"/>
            <w:shd w:fill="FFDCE0" w:val="clear"/>
          </w:tcPr>
          <w:p>
            <w:r>
              <w:rPr>
                <w:sz w:val="17"/>
              </w:rPr>
              <w:t>3,238</w:t>
            </w:r>
          </w:p>
        </w:tc>
        <w:tc>
          <w:tcPr>
            <w:tcW w:type="dxa" w:w="1440"/>
            <w:shd w:fill="FFDCE0" w:val="clear"/>
          </w:tcPr>
          <w:p>
            <w:r>
              <w:rPr>
                <w:b/>
                <w:color w:val="C00000"/>
                <w:sz w:val="17"/>
              </w:rPr>
              <w:t>-9.1%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2,474</w:t>
            </w:r>
          </w:p>
        </w:tc>
        <w:tc>
          <w:tcPr>
            <w:tcW w:type="dxa" w:w="1440"/>
            <w:shd w:fill="FFDCE0" w:val="clear"/>
          </w:tcPr>
          <w:p>
            <w:r>
              <w:rPr>
                <w:b/>
                <w:sz w:val="17"/>
              </w:rPr>
              <w:t>2,851</w:t>
            </w:r>
          </w:p>
        </w:tc>
        <w:tc>
          <w:tcPr>
            <w:tcW w:type="dxa" w:w="1440"/>
            <w:shd w:fill="FFDCE0" w:val="clear"/>
          </w:tcPr>
          <w:p>
            <w:r>
              <w:rPr>
                <w:sz w:val="17"/>
              </w:rPr>
              <w:t>3,228</w:t>
            </w:r>
          </w:p>
        </w:tc>
        <w:tc>
          <w:tcPr>
            <w:tcW w:type="dxa" w:w="1440"/>
            <w:shd w:fill="FFDCE0" w:val="clear"/>
          </w:tcPr>
          <w:p>
            <w:r>
              <w:rPr>
                <w:b/>
                <w:color w:val="C00000"/>
                <w:sz w:val="17"/>
              </w:rPr>
              <w:t>-10.1%</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2,426</w:t>
            </w:r>
          </w:p>
        </w:tc>
        <w:tc>
          <w:tcPr>
            <w:tcW w:type="dxa" w:w="1440"/>
            <w:shd w:fill="FFDCE0" w:val="clear"/>
          </w:tcPr>
          <w:p>
            <w:r>
              <w:rPr>
                <w:b/>
                <w:sz w:val="17"/>
              </w:rPr>
              <w:t>2,822</w:t>
            </w:r>
          </w:p>
        </w:tc>
        <w:tc>
          <w:tcPr>
            <w:tcW w:type="dxa" w:w="1440"/>
            <w:shd w:fill="FFDCE0" w:val="clear"/>
          </w:tcPr>
          <w:p>
            <w:r>
              <w:rPr>
                <w:sz w:val="17"/>
              </w:rPr>
              <w:t>3,218</w:t>
            </w:r>
          </w:p>
        </w:tc>
        <w:tc>
          <w:tcPr>
            <w:tcW w:type="dxa" w:w="1440"/>
            <w:shd w:fill="FFDCE0" w:val="clear"/>
          </w:tcPr>
          <w:p>
            <w:r>
              <w:rPr>
                <w:b/>
                <w:color w:val="C00000"/>
                <w:sz w:val="17"/>
              </w:rPr>
              <w:t>-11.0%</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2,381</w:t>
            </w:r>
          </w:p>
        </w:tc>
        <w:tc>
          <w:tcPr>
            <w:tcW w:type="dxa" w:w="1440"/>
            <w:shd w:fill="FFDCE0" w:val="clear"/>
          </w:tcPr>
          <w:p>
            <w:r>
              <w:rPr>
                <w:b/>
                <w:sz w:val="17"/>
              </w:rPr>
              <w:t>2,794</w:t>
            </w:r>
          </w:p>
        </w:tc>
        <w:tc>
          <w:tcPr>
            <w:tcW w:type="dxa" w:w="1440"/>
            <w:shd w:fill="FFDCE0" w:val="clear"/>
          </w:tcPr>
          <w:p>
            <w:r>
              <w:rPr>
                <w:sz w:val="17"/>
              </w:rPr>
              <w:t>3,207</w:t>
            </w:r>
          </w:p>
        </w:tc>
        <w:tc>
          <w:tcPr>
            <w:tcW w:type="dxa" w:w="1440"/>
            <w:shd w:fill="FFDCE0" w:val="clear"/>
          </w:tcPr>
          <w:p>
            <w:r>
              <w:rPr>
                <w:b/>
                <w:color w:val="C00000"/>
                <w:sz w:val="17"/>
              </w:rPr>
              <w:t>-11.9%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34,59 milliards FCFA, un niveau significatif pour une valeur de la BRVM, reflétant une entreprise de taille moyenne sur le marché. Le BPA de 124 FCFA indique que chaque action génère un bénéfice modeste. Le PER de 25,6x est très élevé par rapport à la moyenne historique de la BRVM (8-12x), signalant que les investisseurs paient une prime substantielle pour les bénéfices actuels, ce qui suggère des attentes de croissance future intégrées dans le prix. Le P/B de 6,70x confirme cette prime, le marché valorisant l'actif net comptable plus de six fois au-dessus de sa valeur, une valorisation exigeante. Enfin, l'EV/EBITDA de 12,9x, bien que dans la fourchette haute (10-15x), reste plus mesuré, indiquant une valorisation globale élevée mais pas extrême.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affiche une variation totale de -2,46%, avec une dernière séance en baisse de -0,63% à 3 170 FCFA. Le titre a évolué dans un range de 980 FCFA, entre un plus haut de 3 780 FCFA et un plus bas de 2 800 FCFA, montrant une amplitude de trading notable. La tendance générale est légèrement baissière sur la période. Les statistiques descriptives révèlent une distribution relativement stable : la moyenne (3 214 FCFA) et la médiane (3 182 FCFA) sont proches, indiquant une distribution symétrique, confirmée par un skewness de 0,322. L'écart-type de 240 FCFA (CV=7,5%) montre une dispersion modérée des prix autour de la moyenne. Le kurtosis de -0,713 (mésokurtique) suggère une distribution proche de la normale, sans risque de variations extrêmes. La volatilité annualisée de 54,3% est élevée (&gt;30%), indiquant un titre très risqué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(3 170 FCFA) se situe au-dessus de la MM20 (3 057 FCFA) mais sous la MM50 (3 162,9 FCFA). Cette configuration, avec le prix sous la MM50, indique une tendance de fond baissière à moyen terme, justifiant la décision de Vente.</w:t>
      </w:r>
    </w:p>
    <w:p>
      <w:pPr>
        <w:spacing w:after="120" w:line="276" w:lineRule="auto"/>
      </w:pPr>
      <w:r>
        <w:t>**Bandes de Bollinger** : Le prix est positionné dans la partie supérieure du canal, entre la borne inférieure (2 847,6 FCFA) et la borne supérieure (3 266,4 FCFA). La largeur des bandes reflète une volatilité élevée. Le signal Neutre suggère que le cours n'est ni en situation de surachat ni de survente extrême.</w:t>
      </w:r>
    </w:p>
    <w:p>
      <w:pPr>
        <w:spacing w:after="120" w:line="276" w:lineRule="auto"/>
      </w:pPr>
      <w:r>
        <w:t>**MACD** : La valeur MACD (-2,063) est nettement supérieure à sa ligne de signal (-27,708), formant un croisement haussier. Ce momentum positif, bien que les deux lignes soient en territoire négatif, indique une possible reprise de la dynamique, justifiant la décision d'Achat.</w:t>
      </w:r>
    </w:p>
    <w:p>
      <w:pPr>
        <w:spacing w:after="120" w:line="276" w:lineRule="auto"/>
      </w:pPr>
      <w:r>
        <w:t>**RSI** : Avec une valeur de 51,61, le RSI se situe en zone neutre (30-70), indiquant un équilibre entre pressions acheteuses et vendeuses. Le signal Neutre est cohérent avec une absence de direction claire à court terme.</w:t>
      </w:r>
    </w:p>
    <w:p>
      <w:pPr>
        <w:spacing w:after="120" w:line="276" w:lineRule="auto"/>
      </w:pPr>
      <w:r>
        <w:t>**Stochastique** : Le %K (94,87) et le %D (98,29) sont tous deux en zone de surachat (&gt;80), signalant que le titre a fortement monté récemment et pourrait subir un repli technique. La décision de Vente est justifiée par cette situation de surachat extrême.</w:t>
      </w:r>
    </w:p>
    <w:p>
      <w:pPr>
        <w:spacing w:after="120" w:line="276" w:lineRule="auto"/>
      </w:pPr>
      <w:r>
        <w:t>**Conclusion technique** : Les signaux sont mitigés. Le MACD est haussier, mais les moyennes mobiles et le stochastique sont vendeurs, tandis que le RSI et les bandes de Bollinger sont neutres. Cette divergence suggère une consolidation sans direction claire, avec un biais légèrement négatif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montrent un chiffre d'affaires de 13,298 milliards FCFA, en croissance de 6,7%, et un résultat net de 1,351 milliard FCFA, en baisse de 12,1% par rapport à 2024. La rentabilité reste solide avec un ROE de 26,18% et un ROA de 14,64%, tous deux excellents. En tant qu'entreprise non bancaire, l'analyse se concentre sur le BFR, qui est positif à 257,45 millions FCFA, un point de vigilance. Le délai client de 70 jours est élevé, représentant un risque de trésorerie, tandis que le délai fournisseur de 92 jours est favorable. La structure financière est saine avec une autonomie financière de 55,9% et une trésorerie nette de 4,035 milliards FCFA. **Les rapports trimestriels 2025** montrent une trajectoire contrastée : le T1 était en baisse (-6,8% de résultat net) en raison d'un litige avec la BCEAO, mais le T3 a rebondi fortement (+17,1%). **Le rapport T1 2026** (publié en 2026) indique une dégradation marquée avec un résultat net en chute de 35,6% à 222,6 millions FCFA, impacté par des ajustements de redevances aéroportuaires. On estime que l'exercice 2026 pourrait voir une contraction significative de la rentabilité si cette tendance se poursuit.</w:t>
      </w:r>
    </w:p>
    <w:p>
      <w:pPr>
        <w:spacing w:after="120" w:line="276" w:lineRule="auto"/>
      </w:pPr>
      <w:r>
        <w:t>---</w:t>
      </w:r>
    </w:p>
    <w:p>
      <w:pPr>
        <w:spacing w:after="120" w:line="276" w:lineRule="auto"/>
      </w:pPr>
      <w:r>
        <w:t>### PARTIE 4 : CONCLUSION D'INVESTISSEMENT</w:t>
      </w:r>
    </w:p>
    <w:p>
      <w:pPr>
        <w:spacing w:after="120" w:line="276" w:lineRule="auto"/>
      </w:pPr>
      <w:r>
        <w:t>La valorisation d'ABJC (PER 25,6x, P/B 6,7x) est clairement surévaluée par rapport aux fondamentaux actuels, pénalisant le potentiel de hausse. Le comportement du cours sur 100 jours est légèrement baissier avec une volatilité très élevée (54,3%), indiquant un risque important. Les signaux techniques sont divergents, avec un MACD haussier contre des moyennes mobiles et un stochastique vendeurs, suggérant une absence de tendance claire. Les fondamentaux, bien que solides en 2025 (ROE 26,2%), montrent une dégradation inquiétante au T1 2026 (-35,6% de résultat net), ce qui pourrait justifier une révision à la baisse des bénéfices futurs. Les prédictions IA pour les 10 prochains jours (3 111 à 2 947 FCFA) confirment une trajectoire baissière, en accord avec les signaux techniques vendeurs et la dégradation fondamentale. En synthèse, la convergence des signaux (valorisation excessive, tendance baissière, fondamentaux en détérioration) conduit à une recommandation **VENTE**, avec un niveau de confiance **Moyen** et un risque global **Élevé**. L'horizon d'investissement optimal est le **court terme (&lt;3 mois)** pour les investisseurs cherchant à réduire leur exposition.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9,214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+63.46%</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15.89% (Élevée) — μ=5,878 FCFA, σ=934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β=0.6127 (Défensif) — Cov=0.000019, Var(idx)=0.000031, ρ=0.180,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7,525</w:t>
            </w:r>
          </w:p>
        </w:tc>
        <w:tc>
          <w:tcPr>
            <w:tcW w:type="dxa" w:w="1440"/>
            <w:shd w:fill="FFDCE0" w:val="clear"/>
          </w:tcPr>
          <w:p>
            <w:r>
              <w:rPr>
                <w:b/>
                <w:sz w:val="17"/>
              </w:rPr>
              <w:t>7,862</w:t>
            </w:r>
          </w:p>
        </w:tc>
        <w:tc>
          <w:tcPr>
            <w:tcW w:type="dxa" w:w="1440"/>
            <w:shd w:fill="FFDCE0" w:val="clear"/>
          </w:tcPr>
          <w:p>
            <w:r>
              <w:rPr>
                <w:sz w:val="17"/>
              </w:rPr>
              <w:t>8,200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6,831</w:t>
            </w:r>
          </w:p>
        </w:tc>
        <w:tc>
          <w:tcPr>
            <w:tcW w:type="dxa" w:w="1440"/>
            <w:shd w:fill="FFDCE0" w:val="clear"/>
          </w:tcPr>
          <w:p>
            <w:r>
              <w:rPr>
                <w:b/>
                <w:sz w:val="17"/>
              </w:rPr>
              <w:t>7,273</w:t>
            </w:r>
          </w:p>
        </w:tc>
        <w:tc>
          <w:tcPr>
            <w:tcW w:type="dxa" w:w="1440"/>
            <w:shd w:fill="FFDCE0" w:val="clear"/>
          </w:tcPr>
          <w:p>
            <w:r>
              <w:rPr>
                <w:sz w:val="17"/>
              </w:rPr>
              <w:t>7,714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6,227</w:t>
            </w:r>
          </w:p>
        </w:tc>
        <w:tc>
          <w:tcPr>
            <w:tcW w:type="dxa" w:w="1440"/>
            <w:shd w:fill="FFDCE0" w:val="clear"/>
          </w:tcPr>
          <w:p>
            <w:r>
              <w:rPr>
                <w:b/>
                <w:sz w:val="17"/>
              </w:rPr>
              <w:t>6,727</w:t>
            </w:r>
          </w:p>
        </w:tc>
        <w:tc>
          <w:tcPr>
            <w:tcW w:type="dxa" w:w="1440"/>
            <w:shd w:fill="FFDCE0" w:val="clear"/>
          </w:tcPr>
          <w:p>
            <w:r>
              <w:rPr>
                <w:sz w:val="17"/>
              </w:rPr>
              <w:t>7,227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5,689</w:t>
            </w:r>
          </w:p>
        </w:tc>
        <w:tc>
          <w:tcPr>
            <w:tcW w:type="dxa" w:w="1440"/>
            <w:shd w:fill="FFDCE0" w:val="clear"/>
          </w:tcPr>
          <w:p>
            <w:r>
              <w:rPr>
                <w:b/>
                <w:sz w:val="17"/>
              </w:rPr>
              <w:t>6,223</w:t>
            </w:r>
          </w:p>
        </w:tc>
        <w:tc>
          <w:tcPr>
            <w:tcW w:type="dxa" w:w="1440"/>
            <w:shd w:fill="FFDCE0" w:val="clear"/>
          </w:tcPr>
          <w:p>
            <w:r>
              <w:rPr>
                <w:sz w:val="17"/>
              </w:rPr>
              <w:t>6,757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5,444</w:t>
            </w:r>
          </w:p>
        </w:tc>
        <w:tc>
          <w:tcPr>
            <w:tcW w:type="dxa" w:w="1440"/>
            <w:shd w:fill="FFDCE0" w:val="clear"/>
          </w:tcPr>
          <w:p>
            <w:r>
              <w:rPr>
                <w:b/>
                <w:sz w:val="17"/>
              </w:rPr>
              <w:t>6,022</w:t>
            </w:r>
          </w:p>
        </w:tc>
        <w:tc>
          <w:tcPr>
            <w:tcW w:type="dxa" w:w="1440"/>
            <w:shd w:fill="FFDCE0" w:val="clear"/>
          </w:tcPr>
          <w:p>
            <w:r>
              <w:rPr>
                <w:sz w:val="17"/>
              </w:rPr>
              <w:t>6,600</w:t>
            </w:r>
          </w:p>
        </w:tc>
        <w:tc>
          <w:tcPr>
            <w:tcW w:type="dxa" w:w="1440"/>
            <w:shd w:fill="FFDCE0" w:val="clear"/>
          </w:tcPr>
          <w:p>
            <w:r>
              <w:rPr>
                <w:b/>
                <w:color w:val="C00000"/>
                <w:sz w:val="17"/>
              </w:rPr>
              <w:t>-29.2%</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5,265</w:t>
            </w:r>
          </w:p>
        </w:tc>
        <w:tc>
          <w:tcPr>
            <w:tcW w:type="dxa" w:w="1440"/>
            <w:shd w:fill="FFDCE0" w:val="clear"/>
          </w:tcPr>
          <w:p>
            <w:r>
              <w:rPr>
                <w:b/>
                <w:sz w:val="17"/>
              </w:rPr>
              <w:t>5,883</w:t>
            </w:r>
          </w:p>
        </w:tc>
        <w:tc>
          <w:tcPr>
            <w:tcW w:type="dxa" w:w="1440"/>
            <w:shd w:fill="FFDCE0" w:val="clear"/>
          </w:tcPr>
          <w:p>
            <w:r>
              <w:rPr>
                <w:sz w:val="17"/>
              </w:rPr>
              <w:t>6,502</w:t>
            </w:r>
          </w:p>
        </w:tc>
        <w:tc>
          <w:tcPr>
            <w:tcW w:type="dxa" w:w="1440"/>
            <w:shd w:fill="FFDCE0" w:val="clear"/>
          </w:tcPr>
          <w:p>
            <w:r>
              <w:rPr>
                <w:b/>
                <w:color w:val="C00000"/>
                <w:sz w:val="17"/>
              </w:rPr>
              <w:t>-30.8%</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5,108</w:t>
            </w:r>
          </w:p>
        </w:tc>
        <w:tc>
          <w:tcPr>
            <w:tcW w:type="dxa" w:w="1440"/>
            <w:shd w:fill="FFDCE0" w:val="clear"/>
          </w:tcPr>
          <w:p>
            <w:r>
              <w:rPr>
                <w:b/>
                <w:sz w:val="17"/>
              </w:rPr>
              <w:t>5,762</w:t>
            </w:r>
          </w:p>
        </w:tc>
        <w:tc>
          <w:tcPr>
            <w:tcW w:type="dxa" w:w="1440"/>
            <w:shd w:fill="FFDCE0" w:val="clear"/>
          </w:tcPr>
          <w:p>
            <w:r>
              <w:rPr>
                <w:sz w:val="17"/>
              </w:rPr>
              <w:t>6,417</w:t>
            </w:r>
          </w:p>
        </w:tc>
        <w:tc>
          <w:tcPr>
            <w:tcW w:type="dxa" w:w="1440"/>
            <w:shd w:fill="FFDCE0" w:val="clear"/>
          </w:tcPr>
          <w:p>
            <w:r>
              <w:rPr>
                <w:b/>
                <w:color w:val="C00000"/>
                <w:sz w:val="17"/>
              </w:rPr>
              <w:t>-32.2%</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4,971</w:t>
            </w:r>
          </w:p>
        </w:tc>
        <w:tc>
          <w:tcPr>
            <w:tcW w:type="dxa" w:w="1440"/>
            <w:shd w:fill="FFDCE0" w:val="clear"/>
          </w:tcPr>
          <w:p>
            <w:r>
              <w:rPr>
                <w:b/>
                <w:sz w:val="17"/>
              </w:rPr>
              <w:t>5,658</w:t>
            </w:r>
          </w:p>
        </w:tc>
        <w:tc>
          <w:tcPr>
            <w:tcW w:type="dxa" w:w="1440"/>
            <w:shd w:fill="FFDCE0" w:val="clear"/>
          </w:tcPr>
          <w:p>
            <w:r>
              <w:rPr>
                <w:sz w:val="17"/>
              </w:rPr>
              <w:t>6,345</w:t>
            </w:r>
          </w:p>
        </w:tc>
        <w:tc>
          <w:tcPr>
            <w:tcW w:type="dxa" w:w="1440"/>
            <w:shd w:fill="FFDCE0" w:val="clear"/>
          </w:tcPr>
          <w:p>
            <w:r>
              <w:rPr>
                <w:b/>
                <w:color w:val="C00000"/>
                <w:sz w:val="17"/>
              </w:rPr>
              <w:t>-33.4%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4,851</w:t>
            </w:r>
          </w:p>
        </w:tc>
        <w:tc>
          <w:tcPr>
            <w:tcW w:type="dxa" w:w="1440"/>
            <w:shd w:fill="FFDCE0" w:val="clear"/>
          </w:tcPr>
          <w:p>
            <w:r>
              <w:rPr>
                <w:b/>
                <w:sz w:val="17"/>
              </w:rPr>
              <w:t>5,568</w:t>
            </w:r>
          </w:p>
        </w:tc>
        <w:tc>
          <w:tcPr>
            <w:tcW w:type="dxa" w:w="1440"/>
            <w:shd w:fill="FFDCE0" w:val="clear"/>
          </w:tcPr>
          <w:p>
            <w:r>
              <w:rPr>
                <w:sz w:val="17"/>
              </w:rPr>
              <w:t>6,285</w:t>
            </w:r>
          </w:p>
        </w:tc>
        <w:tc>
          <w:tcPr>
            <w:tcW w:type="dxa" w:w="1440"/>
            <w:shd w:fill="FFDCE0" w:val="clear"/>
          </w:tcPr>
          <w:p>
            <w:r>
              <w:rPr>
                <w:b/>
                <w:color w:val="C00000"/>
                <w:sz w:val="17"/>
              </w:rPr>
              <w:t>-34.5%</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4,744</w:t>
            </w:r>
          </w:p>
        </w:tc>
        <w:tc>
          <w:tcPr>
            <w:tcW w:type="dxa" w:w="1440"/>
            <w:shd w:fill="FFDCE0" w:val="clear"/>
          </w:tcPr>
          <w:p>
            <w:r>
              <w:rPr>
                <w:b/>
                <w:sz w:val="17"/>
              </w:rPr>
              <w:t>5,490</w:t>
            </w:r>
          </w:p>
        </w:tc>
        <w:tc>
          <w:tcPr>
            <w:tcW w:type="dxa" w:w="1440"/>
            <w:shd w:fill="FFDCE0" w:val="clear"/>
          </w:tcPr>
          <w:p>
            <w:r>
              <w:rPr>
                <w:sz w:val="17"/>
              </w:rPr>
              <w:t>6,235</w:t>
            </w:r>
          </w:p>
        </w:tc>
        <w:tc>
          <w:tcPr>
            <w:tcW w:type="dxa" w:w="1440"/>
            <w:shd w:fill="FFDCE0" w:val="clear"/>
          </w:tcPr>
          <w:p>
            <w:r>
              <w:rPr>
                <w:b/>
                <w:color w:val="C00000"/>
                <w:sz w:val="17"/>
              </w:rPr>
              <w:t>-35.4%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(BANQUE INTERNATIONALE POUR L'INDUSTRIE ET LE COMMERCE)**</w:t>
        <w:br/>
        <w:t>**Date : 14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**490,96 milliards FCFA**, un niveau qui la positionne parmi les valeurs à grande capitalisation de la BRVM, lui conférant un poids significatif dans les indices régionaux. Le **BPA de 627 FCFA** indique que chaque action génère un bénéfice substantiel, justifiant un **PER de 13,5x**, légèrement supérieur à la moyenne historique de la place (~8-12x), ce qui traduit une prime de croissance accordée par le marché à la banque. Le **P/B de 3,63x** confirme cette prime, le marché valorisant l'actif net comptable à plus de 3,6 fois sa valeur, signe d'une forte confiance dans la création de valeur future. Enfin, l'**EV/EBITDA de 24,1x** apparaît très exigeant, indiquant que la valeur totale de l'entreprise (dette incluse) est élevée par rapport à sa capacité opérationnelle, ce qui suggère une anticipation de croissance soutenue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BICB a enregistré une progression spectaculaire de **+63,46%**, clôturant à **8 500 FCFA**, avec une légère hausse de +0,29% lors de la dernière séance. Le titre a évolué dans une fourchette très large, entre un plus bas de **5 000 FCFA** et un plus haut de **8 500 FCFA**, démontrant une dynamique haussière puissante. La **moyenne (5 878 FCFA)** étant nettement inférieure à la **médiane (5 472 FCFA)** et au cours actuel, cela confirme une distribution asymétrique positive (skewness de 1,240), avec une concentration des séances sous la moyenne mais des épisodes de forte hausse récents. L'**écart-type de 939 FCFA** (CV = 16%) indique une dispersion modérée, tandis que le **kurtosis de 0,356** (mésokurtique) suggère l'absence de mouvements extrêmes récurrents. La **volatilité annualisée de 30,0%** classe le titre dans la catégorie "élevée", reflétant un risque de marché substantiel mais également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(8 500 FCFA) se situe nettement au-dessus de la MM20 (7 494,75 FCFA) et de la MM50 (6 568,6 FCFA), confirmant une tendance haussière solide à court et moyen terme. La configuration des MM, avec la MM20 au-dessus de la MM50, génère un signal d'**ACHAT**, indiquant que la dynamique positive est toujours en place.</w:t>
      </w:r>
    </w:p>
    <w:p>
      <w:pPr>
        <w:spacing w:after="120" w:line="276" w:lineRule="auto"/>
      </w:pPr>
      <w:r>
        <w:t>**Bandes de Bollinger :** Le prix évolue près de la borne supérieure (8 719,57 FCFA), ce qui témoigne d'une forte pression acheteuse. Cependant, cette proximité avec la borne supérieure peut également signaler une condition de surachat temporaire. La décision est **NEUTRE**, car le marché pourrait consolider avant de poursuivre sa progression.</w:t>
      </w:r>
    </w:p>
    <w:p>
      <w:pPr>
        <w:spacing w:after="120" w:line="276" w:lineRule="auto"/>
      </w:pPr>
      <w:r>
        <w:t>**MACD :** La valeur du MACD (498,547) est supérieure à sa ligne de signal (443,599), avec un écart positif, indiquant un momentum haussier robuste. Cette configuration, avec le MACD au-dessus de zéro, est un signal classique d'**ACHAT**, suggérant que la tendance haussière pourrait se poursuivre à court terme.</w:t>
      </w:r>
    </w:p>
    <w:p>
      <w:pPr>
        <w:spacing w:after="120" w:line="276" w:lineRule="auto"/>
      </w:pPr>
      <w:r>
        <w:t>**RSI :** Le RSI s'établit à **71,122**, entrant en zone de surachat (&gt;70). Ce niveau indique que le titre a fortement monté et qu'un repli technique ou une consolidation est probable à court terme. La décision est **VENTE**, signalant une prudence pour les nouveaux achats à ces niveaux.</w:t>
      </w:r>
    </w:p>
    <w:p>
      <w:pPr>
        <w:spacing w:after="120" w:line="276" w:lineRule="auto"/>
      </w:pPr>
      <w:r>
        <w:t>**Stochastique :** Les valeurs de %K et %D sont toutes deux à **100,0**, en territoire de surachat extrême. Cette configuration reflète une force exceptionnelle, mais également un risque élevé de retournement. La décision est **VENTE**, car les conditions de surachat sont rarement durables.</w:t>
      </w:r>
    </w:p>
    <w:p>
      <w:pPr>
        <w:spacing w:after="120" w:line="276" w:lineRule="auto"/>
      </w:pPr>
      <w:r>
        <w:t>**Conclusion technique :** Les indicateurs de tendance (MM, MACD) sont positifs et confirment une dynamique haussière, mais les oscillateurs (RSI, Stochastique) sont en surachat extrême, signalant un risque de correction. Le scénario le plus probable est une poursuite de la tendance après une phase de consolidation ou un repli technique. La prudence est donc de mise pour les investisseurs à court terme.</w:t>
      </w:r>
    </w:p>
    <w:p>
      <w:pPr>
        <w:spacing w:after="120" w:line="276" w:lineRule="auto"/>
      </w:pPr>
      <w:r>
        <w:t>---</w:t>
      </w:r>
    </w:p>
    <w:p>
      <w:pPr>
        <w:spacing w:after="120" w:line="276" w:lineRule="auto"/>
      </w:pPr>
      <w:r>
        <w:t>### PARTIE 3 : ANALYSE FONDAMENTALE (SECTION CRITIQUE)</w:t>
      </w:r>
    </w:p>
    <w:p>
      <w:pPr>
        <w:spacing w:after="120" w:line="276" w:lineRule="auto"/>
      </w:pPr>
      <w:r>
        <w:t>En 2025, BICB affiche des fondamentaux solides avec un **Produit Net Bancaire (PNB) de 52,805 milliards FCFA**, en hausse de 16,5%, et un **Résultat Net de 36,237 milliards FCFA**, en progression de 24,7% par rapport à 2024. Cette performance se traduit par un **ROE exceptionnel de 26,8%** et un **ROA de 1,96%**, démontrant une excellente rentabilité des capitaux propres et une bonne efficacité de l'actif. Le **coefficient d'exploitation de 31,1%** est remarquable, indiquant une banque très efficace dans la maîtrise de ses charges. Cependant, le **coût du risque de 9,61%** est un point de vigilance, reflétant une dégradation de la qualité du portefeuille de crédits, comme le soulignent les rapports des commissaires aux comptes (juin 2026). Les rapports trimestriels de 2025 montrent une croissance commerciale vigoureuse (crédits +30%, dépôts +25% au T3), mais avec un coût du risque en forte hausse, pénalisant la rentabilité au S1 et T3. Le rapport T1 2026 (publié en 2026) indique un rebond spectaculaire avec un **Résultat Net en hausse de 48% à 8,0 milliards FCFA**, suggérant une normalisation du risque. Sur la base de ces données, on estime que l'exercice 2026 pourrait voir un PNB dépasser 60 milliards FCFA et un résultat net supérieur à 40 milliards FCFA, si la qualité du crédit se stabilise. La banque, leader au Bénin, bénéficie d'une position concurrentielle forte et d'un ratio de solvabilité de 19,64%, bien au-dessus du minimum réglementaire, lui offrant des marges de manœuvre pour financer sa croissance.</w:t>
      </w:r>
    </w:p>
    <w:p>
      <w:pPr>
        <w:spacing w:after="120" w:line="276" w:lineRule="auto"/>
      </w:pPr>
      <w:r>
        <w:t>---</w:t>
      </w:r>
    </w:p>
    <w:p>
      <w:pPr>
        <w:spacing w:after="120" w:line="276" w:lineRule="auto"/>
      </w:pPr>
      <w:r>
        <w:t>### PARTIE 4 : CONCLUSION D'INVESTISSEMENT</w:t>
      </w:r>
    </w:p>
    <w:p>
      <w:pPr>
        <w:spacing w:after="120" w:line="276" w:lineRule="auto"/>
      </w:pPr>
      <w:r>
        <w:t>La valorisation de BICB (PER de 13,5x, P/B de 3,63x) est exigeante mais justifiée par une rentabilité supérieure à la moyenne du marché. Le comportement du cours sur 100 jours est très haussier (+63,46%), mais la volatilité élevée (30%) et les statistiques (skewness positif) suggèrent un risque de consolidation. Les signaux techniques sont mitigés : la tendance (MM, MACD) est positive, mais les oscillateurs (RSI, Stochastique) sont en surachat, indiquant un potentiel de repli à court terme. Les fondamentaux sont solides, avec une croissance soutenue du PNB et du résultat net, et une amélioration notable au T1 2026. Les **prédictions IA** prévoient une correction significative du cours sur les 10 prochains jours (chute à 6 022 FCFA), ce qui contredit la tendance haussière récente et suggère un retour à des niveaux plus proches des moyennes mobiles. En synthèse, la convergence entre une valorisation élevée, des signaux techniques de surachat et une prédiction IA baissière conduit à une recommandation de **CONSERVER** le titre. Le niveau de confiance est **Moyen**, car la dynamique fondamentale reste positive, mais le risque global est **Élevé** en raison de la volatilité et du risque de correction. L'horizon d'investissement optimal est le **moyen terme (3-12 mois)**, afin de laisser passer une éventuelle phase de consolidation avant de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477.83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742 titres</w:t>
            </w:r>
          </w:p>
        </w:tc>
        <w:tc>
          <w:tcPr>
            <w:tcW w:type="dxa" w:w="2268"/>
            <w:shd w:fill="FFF2CC" w:val="clear"/>
          </w:tcPr>
          <w:p>
            <w:r>
              <w:rPr>
                <w:b/>
                <w:color w:val="503200"/>
                <w:sz w:val="16"/>
              </w:rPr>
              <w:t xml:space="preserve">Cours actuel : </w:t>
            </w:r>
            <w:r>
              <w:rPr>
                <w:color w:val="000000"/>
                <w:sz w:val="17"/>
              </w:rPr>
              <w:t>28,670 FCFA</w:t>
            </w:r>
          </w:p>
          <w:p>
            <w:r>
              <w:rPr>
                <w:b/>
                <w:color w:val="503200"/>
                <w:sz w:val="16"/>
              </w:rPr>
              <w:t xml:space="preserve">Var. 100 jours : </w:t>
            </w:r>
            <w:r>
              <w:rPr>
                <w:b/>
                <w:color w:val="007800"/>
                <w:sz w:val="17"/>
              </w:rPr>
              <w:t>+10.27%</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7.41% (Moyenne) — μ=26,984 FCFA, σ=1,998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β=0.3105 (Défensif) — Cov=0.000010, Var(idx)=0.000031, ρ=0.095,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742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27,494</w:t>
            </w:r>
          </w:p>
        </w:tc>
        <w:tc>
          <w:tcPr>
            <w:tcW w:type="dxa" w:w="1440"/>
            <w:shd w:fill="FAFAFA" w:val="clear"/>
          </w:tcPr>
          <w:p>
            <w:r>
              <w:rPr>
                <w:b/>
                <w:sz w:val="17"/>
              </w:rPr>
              <w:t>28,216</w:t>
            </w:r>
          </w:p>
        </w:tc>
        <w:tc>
          <w:tcPr>
            <w:tcW w:type="dxa" w:w="1440"/>
            <w:shd w:fill="FAFAFA" w:val="clear"/>
          </w:tcPr>
          <w:p>
            <w:r>
              <w:rPr>
                <w:sz w:val="17"/>
              </w:rPr>
              <w:t>28,937</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26,935</w:t>
            </w:r>
          </w:p>
        </w:tc>
        <w:tc>
          <w:tcPr>
            <w:tcW w:type="dxa" w:w="1440"/>
            <w:shd w:fill="FFDCE0" w:val="clear"/>
          </w:tcPr>
          <w:p>
            <w:r>
              <w:rPr>
                <w:b/>
                <w:sz w:val="17"/>
              </w:rPr>
              <w:t>27,945</w:t>
            </w:r>
          </w:p>
        </w:tc>
        <w:tc>
          <w:tcPr>
            <w:tcW w:type="dxa" w:w="1440"/>
            <w:shd w:fill="FFDCE0" w:val="clear"/>
          </w:tcPr>
          <w:p>
            <w:r>
              <w:rPr>
                <w:sz w:val="17"/>
              </w:rPr>
              <w:t>28,956</w:t>
            </w:r>
          </w:p>
        </w:tc>
        <w:tc>
          <w:tcPr>
            <w:tcW w:type="dxa" w:w="1440"/>
            <w:shd w:fill="FFDCE0" w:val="clear"/>
          </w:tcPr>
          <w:p>
            <w:r>
              <w:rPr>
                <w:b/>
                <w:color w:val="C00000"/>
                <w:sz w:val="17"/>
              </w:rPr>
              <w:t>-2.5%</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26,444</w:t>
            </w:r>
          </w:p>
        </w:tc>
        <w:tc>
          <w:tcPr>
            <w:tcW w:type="dxa" w:w="1440"/>
            <w:shd w:fill="FFDCE0" w:val="clear"/>
          </w:tcPr>
          <w:p>
            <w:r>
              <w:rPr>
                <w:b/>
                <w:sz w:val="17"/>
              </w:rPr>
              <w:t>27,670</w:t>
            </w:r>
          </w:p>
        </w:tc>
        <w:tc>
          <w:tcPr>
            <w:tcW w:type="dxa" w:w="1440"/>
            <w:shd w:fill="FFDCE0" w:val="clear"/>
          </w:tcPr>
          <w:p>
            <w:r>
              <w:rPr>
                <w:sz w:val="17"/>
              </w:rPr>
              <w:t>28,895</w:t>
            </w:r>
          </w:p>
        </w:tc>
        <w:tc>
          <w:tcPr>
            <w:tcW w:type="dxa" w:w="1440"/>
            <w:shd w:fill="FFDCE0" w:val="clear"/>
          </w:tcPr>
          <w:p>
            <w:r>
              <w:rPr>
                <w:b/>
                <w:color w:val="C00000"/>
                <w:sz w:val="17"/>
              </w:rPr>
              <w:t>-3.5%</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26,011</w:t>
            </w:r>
          </w:p>
        </w:tc>
        <w:tc>
          <w:tcPr>
            <w:tcW w:type="dxa" w:w="1440"/>
            <w:shd w:fill="FFDCE0" w:val="clear"/>
          </w:tcPr>
          <w:p>
            <w:r>
              <w:rPr>
                <w:b/>
                <w:sz w:val="17"/>
              </w:rPr>
              <w:t>27,413</w:t>
            </w:r>
          </w:p>
        </w:tc>
        <w:tc>
          <w:tcPr>
            <w:tcW w:type="dxa" w:w="1440"/>
            <w:shd w:fill="FFDCE0" w:val="clear"/>
          </w:tcPr>
          <w:p>
            <w:r>
              <w:rPr>
                <w:sz w:val="17"/>
              </w:rPr>
              <w:t>28,815</w:t>
            </w:r>
          </w:p>
        </w:tc>
        <w:tc>
          <w:tcPr>
            <w:tcW w:type="dxa" w:w="1440"/>
            <w:shd w:fill="FFDCE0" w:val="clear"/>
          </w:tcPr>
          <w:p>
            <w:r>
              <w:rPr>
                <w:b/>
                <w:color w:val="C00000"/>
                <w:sz w:val="17"/>
              </w:rPr>
              <w:t>-4.4%</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25,618</w:t>
            </w:r>
          </w:p>
        </w:tc>
        <w:tc>
          <w:tcPr>
            <w:tcW w:type="dxa" w:w="1440"/>
            <w:shd w:fill="FFDCE0" w:val="clear"/>
          </w:tcPr>
          <w:p>
            <w:r>
              <w:rPr>
                <w:b/>
                <w:sz w:val="17"/>
              </w:rPr>
              <w:t>27,172</w:t>
            </w:r>
          </w:p>
        </w:tc>
        <w:tc>
          <w:tcPr>
            <w:tcW w:type="dxa" w:w="1440"/>
            <w:shd w:fill="FFDCE0" w:val="clear"/>
          </w:tcPr>
          <w:p>
            <w:r>
              <w:rPr>
                <w:sz w:val="17"/>
              </w:rPr>
              <w:t>28,726</w:t>
            </w:r>
          </w:p>
        </w:tc>
        <w:tc>
          <w:tcPr>
            <w:tcW w:type="dxa" w:w="1440"/>
            <w:shd w:fill="FFDCE0" w:val="clear"/>
          </w:tcPr>
          <w:p>
            <w:r>
              <w:rPr>
                <w:b/>
                <w:color w:val="C00000"/>
                <w:sz w:val="17"/>
              </w:rPr>
              <w:t>-5.2%</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25,254</w:t>
            </w:r>
          </w:p>
        </w:tc>
        <w:tc>
          <w:tcPr>
            <w:tcW w:type="dxa" w:w="1440"/>
            <w:shd w:fill="FFDCE0" w:val="clear"/>
          </w:tcPr>
          <w:p>
            <w:r>
              <w:rPr>
                <w:b/>
                <w:sz w:val="17"/>
              </w:rPr>
              <w:t>26,941</w:t>
            </w:r>
          </w:p>
        </w:tc>
        <w:tc>
          <w:tcPr>
            <w:tcW w:type="dxa" w:w="1440"/>
            <w:shd w:fill="FFDCE0" w:val="clear"/>
          </w:tcPr>
          <w:p>
            <w:r>
              <w:rPr>
                <w:sz w:val="17"/>
              </w:rPr>
              <w:t>28,629</w:t>
            </w:r>
          </w:p>
        </w:tc>
        <w:tc>
          <w:tcPr>
            <w:tcW w:type="dxa" w:w="1440"/>
            <w:shd w:fill="FFDCE0" w:val="clear"/>
          </w:tcPr>
          <w:p>
            <w:r>
              <w:rPr>
                <w:b/>
                <w:color w:val="C00000"/>
                <w:sz w:val="17"/>
              </w:rPr>
              <w:t>-6.0%</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24,912</w:t>
            </w:r>
          </w:p>
        </w:tc>
        <w:tc>
          <w:tcPr>
            <w:tcW w:type="dxa" w:w="1440"/>
            <w:shd w:fill="FFDCE0" w:val="clear"/>
          </w:tcPr>
          <w:p>
            <w:r>
              <w:rPr>
                <w:b/>
                <w:sz w:val="17"/>
              </w:rPr>
              <w:t>26,719</w:t>
            </w:r>
          </w:p>
        </w:tc>
        <w:tc>
          <w:tcPr>
            <w:tcW w:type="dxa" w:w="1440"/>
            <w:shd w:fill="FFDCE0" w:val="clear"/>
          </w:tcPr>
          <w:p>
            <w:r>
              <w:rPr>
                <w:sz w:val="17"/>
              </w:rPr>
              <w:t>28,527</w:t>
            </w:r>
          </w:p>
        </w:tc>
        <w:tc>
          <w:tcPr>
            <w:tcW w:type="dxa" w:w="1440"/>
            <w:shd w:fill="FFDCE0" w:val="clear"/>
          </w:tcPr>
          <w:p>
            <w:r>
              <w:rPr>
                <w:b/>
                <w:color w:val="C00000"/>
                <w:sz w:val="17"/>
              </w:rPr>
              <w:t>-6.8%</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24,588</w:t>
            </w:r>
          </w:p>
        </w:tc>
        <w:tc>
          <w:tcPr>
            <w:tcW w:type="dxa" w:w="1440"/>
            <w:shd w:fill="FFDCE0" w:val="clear"/>
          </w:tcPr>
          <w:p>
            <w:r>
              <w:rPr>
                <w:b/>
                <w:sz w:val="17"/>
              </w:rPr>
              <w:t>26,505</w:t>
            </w:r>
          </w:p>
        </w:tc>
        <w:tc>
          <w:tcPr>
            <w:tcW w:type="dxa" w:w="1440"/>
            <w:shd w:fill="FFDCE0" w:val="clear"/>
          </w:tcPr>
          <w:p>
            <w:r>
              <w:rPr>
                <w:sz w:val="17"/>
              </w:rPr>
              <w:t>28,422</w:t>
            </w:r>
          </w:p>
        </w:tc>
        <w:tc>
          <w:tcPr>
            <w:tcW w:type="dxa" w:w="1440"/>
            <w:shd w:fill="FFDCE0" w:val="clear"/>
          </w:tcPr>
          <w:p>
            <w:r>
              <w:rPr>
                <w:b/>
                <w:color w:val="C00000"/>
                <w:sz w:val="17"/>
              </w:rPr>
              <w:t>-7.5%</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24,282</w:t>
            </w:r>
          </w:p>
        </w:tc>
        <w:tc>
          <w:tcPr>
            <w:tcW w:type="dxa" w:w="1440"/>
            <w:shd w:fill="FFDCE0" w:val="clear"/>
          </w:tcPr>
          <w:p>
            <w:r>
              <w:rPr>
                <w:b/>
                <w:sz w:val="17"/>
              </w:rPr>
              <w:t>26,299</w:t>
            </w:r>
          </w:p>
        </w:tc>
        <w:tc>
          <w:tcPr>
            <w:tcW w:type="dxa" w:w="1440"/>
            <w:shd w:fill="FFDCE0" w:val="clear"/>
          </w:tcPr>
          <w:p>
            <w:r>
              <w:rPr>
                <w:sz w:val="17"/>
              </w:rPr>
              <w:t>28,317</w:t>
            </w:r>
          </w:p>
        </w:tc>
        <w:tc>
          <w:tcPr>
            <w:tcW w:type="dxa" w:w="1440"/>
            <w:shd w:fill="FFDCE0" w:val="clear"/>
          </w:tcPr>
          <w:p>
            <w:r>
              <w:rPr>
                <w:b/>
                <w:color w:val="C00000"/>
                <w:sz w:val="17"/>
              </w:rPr>
              <w:t>-8.3%</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23,989</w:t>
            </w:r>
          </w:p>
        </w:tc>
        <w:tc>
          <w:tcPr>
            <w:tcW w:type="dxa" w:w="1440"/>
            <w:shd w:fill="FFDCE0" w:val="clear"/>
          </w:tcPr>
          <w:p>
            <w:r>
              <w:rPr>
                <w:b/>
                <w:sz w:val="17"/>
              </w:rPr>
              <w:t>26,100</w:t>
            </w:r>
          </w:p>
        </w:tc>
        <w:tc>
          <w:tcPr>
            <w:tcW w:type="dxa" w:w="1440"/>
            <w:shd w:fill="FFDCE0" w:val="clear"/>
          </w:tcPr>
          <w:p>
            <w:r>
              <w:rPr>
                <w:sz w:val="17"/>
              </w:rPr>
              <w:t>28,210</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**Date : 17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BICC s'établit à **477,83 milliards FCFA**, ce qui positionne le titre parmi les valeurs à forte capitalisation de la BRVM, lui conférant une liquidité et une visibilité institutionnelle notables. Le Bénéfice Par Action (BPA) de **2 191 FCFA** indique que chaque action génère un profit substantiel, justifiant un PER de **13,1x**, légèrement supérieur à la moyenne historique de la place (~8-12x), ce qui traduit une prime de croissance accordée par le marché aux banques ivoiriennes performantes. Le Price-to-Book (P/B) de **3,96x** confirme cette prime, le marché valorisant l'actif net comptable à près de quatre fois sa valeur, signe d'une forte confiance dans la création de valeur future. Enfin, l'EV/EBITDA de **9,2x** reste dans une zone raisonnable (5-10x), indiquant que la valorisation totale de l'entreprise par rapport à sa capacité opérationnelle n'est pas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BICC affiche une progression solide de **+10,27%**, avec une légère consolidation de **-1,14%** lors de la dernière séance, reflétant une prise de bénéfices après une période haussière. Le cours a évolué dans un range de trading de **22 500 FCFA** (plus bas) à **29 490 FCFA** (plus haut), démontrant une dynamique ascendante soutenue. La moyenne du cours (26 984 FCFA) étant inférieure à la médiane (27 948 FCFA) et au mode (29 000 FCFA), on observe une asymétrie négative (skewness de -0,587), indiquant que le titre a passé plus de temps au-dessus de sa moyenne, signe de vigueur. L'écart-type de 2 008 FCFA (CV=7,4%) révèle une dispersion modérée, tandis que le kurtosis négatif (-1,127) suggère une distribution platykurtique, avec moins de pics extrêmes qu'une distribution normale. La volatilité annualisée de **29,8%** classe le titre dans la catégorie des valeurs à volatilité élevée, ce qui implique des fluctuations de prix significatives, propices aux investisseurs dynamiques mais nécessitant une gestion du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 Les moyennes mobiles sur 20 jours (28 663 FCFA) et sur 50 jours (28 574 FCFA) sont très proches l'une de l'autre et légèrement inférieures au cours actuel (28 670 FCFA). Cette configuration indique une tendance haussière de moyen terme, le prix se maintenant au-dessus de ses moyennes. La décision d'**Achat** est justifiée par cette structure positive, bien que la convergence des MM suggère une possible phase de consolidation à court terme.</w:t>
      </w:r>
    </w:p>
    <w:p>
      <w:pPr>
        <w:spacing w:after="120" w:line="276" w:lineRule="auto"/>
      </w:pPr>
      <w:r>
        <w:t>**Bandes de Bollinger :** Le cours se situe à 28 670 FCFA, entre la borne inférieure (27 690 FCFA) et la borne supérieure (29 635 FCFA), proche de la moyenne de la bande. Cette position neutre indique une volatilité modérée, sans signal de surachat ni de survente. La décision **Neutre** est cohérente avec un marché en équilibre, attendant un catalyseur pour initier un nouveau mouvement directionnel.</w:t>
      </w:r>
    </w:p>
    <w:p>
      <w:pPr>
        <w:spacing w:after="120" w:line="276" w:lineRule="auto"/>
      </w:pPr>
      <w:r>
        <w:t>**MACD :** La valeur du MACD (178,024) est légèrement inférieure à sa ligne de signal (181,161), formant un croisement baissier récent. Ce signal de **Vente** suggère un ralentissement du momentum haussier à court terme, pouvant précéder une correction ou une phase de consolidation. Les investisseurs devraient surveiller si le MACD repasse au-dessus de sa ligne de signal pour confirmer la reprise de la tendance haussière.</w:t>
      </w:r>
    </w:p>
    <w:p>
      <w:pPr>
        <w:spacing w:after="120" w:line="276" w:lineRule="auto"/>
      </w:pPr>
      <w:r>
        <w:t>**RSI :** Le RSI à 58,629 se situe dans la zone neutre (30-70), indiquant un équilibre entre pressions acheteuses et vendeuses. Cette valeur ne montre ni surachat ni survente, laissant une marge de manœuvre pour une poursuite de la hausse sans risque immédiat de retournement violent. La décision **Neutre** est appropriée, le titre n'étant pas encore dans une zone de surachat critique.</w:t>
      </w:r>
    </w:p>
    <w:p>
      <w:pPr>
        <w:spacing w:after="120" w:line="276" w:lineRule="auto"/>
      </w:pPr>
      <w:r>
        <w:t>**Stochastique :** Le %K à 0,0 et le %D à 55,285 présentent une configuration inhabituelle, avec un %K très bas suggérant une récente faiblesse du prix, tandis que le %D reste élevé. Cette divergence pourrait indiquer un croisement baissier imminent. Cependant, la décision **Achat** suggère que le marché interprète cette baisse du %K comme une opportunité d'achat à bon prix, anticipant un rebond technique.</w:t>
      </w:r>
    </w:p>
    <w:p>
      <w:pPr>
        <w:spacing w:after="120" w:line="276" w:lineRule="auto"/>
      </w:pPr>
      <w:r>
        <w:t>**Conclusion technique :** Les indicateurs techniques sont mitigés, avec une majorité de signaux neutres à positifs (MM, Stochastique) contre un signal de vente sur le MACD. La tendance de fond reste haussière, mais le momentum à court terme semble s'essouffler. Une consolidation dans la zone des 28 000-29 000 FCFA est probable avant une reprise de la tendance haussière, à condition que le MACD se retourne à la hausse.</w:t>
      </w:r>
    </w:p>
    <w:p>
      <w:pPr>
        <w:spacing w:after="120" w:line="276" w:lineRule="auto"/>
      </w:pPr>
      <w:r>
        <w:t>---</w:t>
      </w:r>
    </w:p>
    <w:p>
      <w:pPr>
        <w:spacing w:after="120" w:line="276" w:lineRule="auto"/>
      </w:pPr>
      <w:r>
        <w:t>### PARTIE 3 : ANALYSE FONDAMENTALE (SECTION CRITIQUE)</w:t>
      </w:r>
    </w:p>
    <w:p>
      <w:pPr>
        <w:spacing w:after="120" w:line="276" w:lineRule="auto"/>
      </w:pPr>
      <w:r>
        <w:t>En 2025, la BICC (BICICI) affiche des fondamentaux solides, avec un Produit Net Bancaire (PNB) de **79,563 milliards FCFA** et un résultat net de **36,520 milliards FCFA**, démontrant une marge nette exceptionnelle de **45,9%**. Le ROE de **30,29%** et le ROA de **3,24%** confirment une rentabilité supérieure aux standards du secteur bancaire UEMOA (&gt;15% pour le ROE, &gt;2% pour le ROA). Le coefficient d'exploitation de **50,83%** indique une excellente efficacité opérationnelle, la banque maîtrisant ses charges à moins de 51% de son PNB. Le coût du risque, bien que légèrement élevé à -12,15%, reste gérable, reflétant une politique de provisionnement prudente. Le ratio dépôts/crédits est sain, avec des dépôts clientèle de **952,872 milliards FCFA** couvrant largement les créances clientèle de **524,439 milliards FCFA**, assurant une liquidité abondante. Les rapports trimestriels confirment cette dynamique : le T1 2026 (rapport du 31/03/2026) montre un PNB de 21,214 milliards FCFA (+17,0% vs T1 2025) et un résultat net de 10,387 milliards FCFA (+29,7%), tandis que le T3 2025 (cumulé) affichait un PNB de 58,119 milliards FCFA (+16,4%) et un résultat net de 27,402 milliards FCFA (+50,8%). Sur la base de ces tendances, on estime que l'exercice 2026 pourrait voir un PNB dépasser les 90 milliards FCFA et un résultat net excédant 45 milliards FCFA, confirmant la trajectoire de croissance soutenue de la banque.</w:t>
      </w:r>
    </w:p>
    <w:p>
      <w:pPr>
        <w:spacing w:after="120" w:line="276" w:lineRule="auto"/>
      </w:pPr>
      <w:r>
        <w:t>---</w:t>
      </w:r>
    </w:p>
    <w:p>
      <w:pPr>
        <w:spacing w:after="120" w:line="276" w:lineRule="auto"/>
      </w:pPr>
      <w:r>
        <w:t>### PARTIE 4 : CONCLUSION D'INVESTISSEMENT</w:t>
      </w:r>
    </w:p>
    <w:p>
      <w:pPr>
        <w:spacing w:after="120" w:line="276" w:lineRule="auto"/>
      </w:pPr>
      <w:r>
        <w:t>La valorisation de BICC, avec un PER de 13,1x et un P/B de 3,96x, reflète une prime de croissance justifiée par des fondamentaux excellents, bien que le titre ne soit pas bon marché en absolu. Le comportement du cours sur 100 jours (+10,27%) et la volatilité élevée (29,8%) indiquent un intérêt marqué des investisseurs, avec une distribution statistique favorable (asymétrie négative, faible kurtosis). Les signaux techniques sont globalement positifs, avec des moyennes mobiles en soutien, mais un MACD en léger repli suggère une possible consolidation à court terme. Les fondamentaux sont indiscutablement solides, avec une croissance à deux chiffres du PNB et du résultat net, une rentabilité exceptionnelle (ROE &gt;30%) et une gestion efficace des coûts. Les prédictions IA pour les 10 prochains jours (de 28 216 FCFA à 27 172 FCFA) indiquent une légère correction, cohérente avec le signal de vente du MACD et la position neutre des bandes de Bollinger. En synthèse, la convergence entre des fondamentaux robustes et une tendance de fond haussière, malgré un momentum technique à court terme en pause, conduit à une recommandation **ACHAT**, avec un niveau de confiance **Élevé** et un risque global **Moyen**. L'horizon d'investissement optimal est le **moyen terme (3-12 mois)**, permettant de capitaliser sur la croissance continue de la banque tout en absorbant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2,166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007800"/>
                <w:sz w:val="17"/>
              </w:rPr>
              <w:t>+26.98%</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11.69% (Moyenne) — μ=1,733 FCFA, σ=203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β=0.1121 (Défensif) — Cov=0.000003, Var(idx)=0.000031, ρ=0.021,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1,908</w:t>
            </w:r>
          </w:p>
        </w:tc>
        <w:tc>
          <w:tcPr>
            <w:tcW w:type="dxa" w:w="1440"/>
            <w:shd w:fill="FAFAFA" w:val="clear"/>
          </w:tcPr>
          <w:p>
            <w:r>
              <w:rPr>
                <w:b/>
                <w:sz w:val="17"/>
              </w:rPr>
              <w:t>1,995</w:t>
            </w:r>
          </w:p>
        </w:tc>
        <w:tc>
          <w:tcPr>
            <w:tcW w:type="dxa" w:w="1440"/>
            <w:shd w:fill="FAFAFA" w:val="clear"/>
          </w:tcPr>
          <w:p>
            <w:r>
              <w:rPr>
                <w:sz w:val="17"/>
              </w:rPr>
              <w:t>2,081</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1,870</w:t>
            </w:r>
          </w:p>
        </w:tc>
        <w:tc>
          <w:tcPr>
            <w:tcW w:type="dxa" w:w="1440"/>
            <w:shd w:fill="FAFAFA" w:val="clear"/>
          </w:tcPr>
          <w:p>
            <w:r>
              <w:rPr>
                <w:b/>
                <w:sz w:val="17"/>
              </w:rPr>
              <w:t>1,991</w:t>
            </w:r>
          </w:p>
        </w:tc>
        <w:tc>
          <w:tcPr>
            <w:tcW w:type="dxa" w:w="1440"/>
            <w:shd w:fill="FAFAFA" w:val="clear"/>
          </w:tcPr>
          <w:p>
            <w:r>
              <w:rPr>
                <w:sz w:val="17"/>
              </w:rPr>
              <w:t>2,113</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1,839</w:t>
            </w:r>
          </w:p>
        </w:tc>
        <w:tc>
          <w:tcPr>
            <w:tcW w:type="dxa" w:w="1440"/>
            <w:shd w:fill="FAFAFA" w:val="clear"/>
          </w:tcPr>
          <w:p>
            <w:r>
              <w:rPr>
                <w:b/>
                <w:sz w:val="17"/>
              </w:rPr>
              <w:t>1,988</w:t>
            </w:r>
          </w:p>
        </w:tc>
        <w:tc>
          <w:tcPr>
            <w:tcW w:type="dxa" w:w="1440"/>
            <w:shd w:fill="FAFAFA" w:val="clear"/>
          </w:tcPr>
          <w:p>
            <w:r>
              <w:rPr>
                <w:sz w:val="17"/>
              </w:rPr>
              <w:t>2,137</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1,814</w:t>
            </w:r>
          </w:p>
        </w:tc>
        <w:tc>
          <w:tcPr>
            <w:tcW w:type="dxa" w:w="1440"/>
            <w:shd w:fill="FAFAFA" w:val="clear"/>
          </w:tcPr>
          <w:p>
            <w:r>
              <w:rPr>
                <w:b/>
                <w:sz w:val="17"/>
              </w:rPr>
              <w:t>1,986</w:t>
            </w:r>
          </w:p>
        </w:tc>
        <w:tc>
          <w:tcPr>
            <w:tcW w:type="dxa" w:w="1440"/>
            <w:shd w:fill="FAFAFA" w:val="clear"/>
          </w:tcPr>
          <w:p>
            <w:r>
              <w:rPr>
                <w:sz w:val="17"/>
              </w:rPr>
              <w:t>2,158</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1,792</w:t>
            </w:r>
          </w:p>
        </w:tc>
        <w:tc>
          <w:tcPr>
            <w:tcW w:type="dxa" w:w="1440"/>
            <w:shd w:fill="FAFAFA" w:val="clear"/>
          </w:tcPr>
          <w:p>
            <w:r>
              <w:rPr>
                <w:b/>
                <w:sz w:val="17"/>
              </w:rPr>
              <w:t>1,984</w:t>
            </w:r>
          </w:p>
        </w:tc>
        <w:tc>
          <w:tcPr>
            <w:tcW w:type="dxa" w:w="1440"/>
            <w:shd w:fill="FAFAFA" w:val="clear"/>
          </w:tcPr>
          <w:p>
            <w:r>
              <w:rPr>
                <w:sz w:val="17"/>
              </w:rPr>
              <w:t>2,176</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1,772</w:t>
            </w:r>
          </w:p>
        </w:tc>
        <w:tc>
          <w:tcPr>
            <w:tcW w:type="dxa" w:w="1440"/>
            <w:shd w:fill="FAFAFA" w:val="clear"/>
          </w:tcPr>
          <w:p>
            <w:r>
              <w:rPr>
                <w:b/>
                <w:sz w:val="17"/>
              </w:rPr>
              <w:t>1,982</w:t>
            </w:r>
          </w:p>
        </w:tc>
        <w:tc>
          <w:tcPr>
            <w:tcW w:type="dxa" w:w="1440"/>
            <w:shd w:fill="FAFAFA" w:val="clear"/>
          </w:tcPr>
          <w:p>
            <w:r>
              <w:rPr>
                <w:sz w:val="17"/>
              </w:rPr>
              <w:t>2,192</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1,754</w:t>
            </w:r>
          </w:p>
        </w:tc>
        <w:tc>
          <w:tcPr>
            <w:tcW w:type="dxa" w:w="1440"/>
            <w:shd w:fill="FAFAFA" w:val="clear"/>
          </w:tcPr>
          <w:p>
            <w:r>
              <w:rPr>
                <w:b/>
                <w:sz w:val="17"/>
              </w:rPr>
              <w:t>1,981</w:t>
            </w:r>
          </w:p>
        </w:tc>
        <w:tc>
          <w:tcPr>
            <w:tcW w:type="dxa" w:w="1440"/>
            <w:shd w:fill="FAFAFA" w:val="clear"/>
          </w:tcPr>
          <w:p>
            <w:r>
              <w:rPr>
                <w:sz w:val="17"/>
              </w:rPr>
              <w:t>2,207</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1,737</w:t>
            </w:r>
          </w:p>
        </w:tc>
        <w:tc>
          <w:tcPr>
            <w:tcW w:type="dxa" w:w="1440"/>
            <w:shd w:fill="FAFAFA" w:val="clear"/>
          </w:tcPr>
          <w:p>
            <w:r>
              <w:rPr>
                <w:b/>
                <w:sz w:val="17"/>
              </w:rPr>
              <w:t>1,979</w:t>
            </w:r>
          </w:p>
        </w:tc>
        <w:tc>
          <w:tcPr>
            <w:tcW w:type="dxa" w:w="1440"/>
            <w:shd w:fill="FAFAFA" w:val="clear"/>
          </w:tcPr>
          <w:p>
            <w:r>
              <w:rPr>
                <w:sz w:val="17"/>
              </w:rPr>
              <w:t>2,221</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1,721</w:t>
            </w:r>
          </w:p>
        </w:tc>
        <w:tc>
          <w:tcPr>
            <w:tcW w:type="dxa" w:w="1440"/>
            <w:shd w:fill="FAFAFA" w:val="clear"/>
          </w:tcPr>
          <w:p>
            <w:r>
              <w:rPr>
                <w:b/>
                <w:sz w:val="17"/>
              </w:rPr>
              <w:t>1,978</w:t>
            </w:r>
          </w:p>
        </w:tc>
        <w:tc>
          <w:tcPr>
            <w:tcW w:type="dxa" w:w="1440"/>
            <w:shd w:fill="FAFAFA" w:val="clear"/>
          </w:tcPr>
          <w:p>
            <w:r>
              <w:rPr>
                <w:sz w:val="17"/>
              </w:rPr>
              <w:t>2,234</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1,706</w:t>
            </w:r>
          </w:p>
        </w:tc>
        <w:tc>
          <w:tcPr>
            <w:tcW w:type="dxa" w:w="1440"/>
            <w:shd w:fill="FAFAFA" w:val="clear"/>
          </w:tcPr>
          <w:p>
            <w:r>
              <w:rPr>
                <w:b/>
                <w:sz w:val="17"/>
              </w:rPr>
              <w:t>1,976</w:t>
            </w:r>
          </w:p>
        </w:tc>
        <w:tc>
          <w:tcPr>
            <w:tcW w:type="dxa" w:w="1440"/>
            <w:shd w:fill="FAFAFA" w:val="clear"/>
          </w:tcPr>
          <w:p>
            <w:r>
              <w:rPr>
                <w:sz w:val="17"/>
              </w:rPr>
              <w:t>2,247</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13,25 milliards FCFA, un niveau modeste sur la BRVM qui reflète la taille moyenne de cette entreprise de distribution et de négoce. Avec un BPA de seulement 3 FCFA par action, le PER ressort à 593,6x, soit un niveau extrêmement élevé par rapport à la moyenne du marché régional (8-12x), indiquant que les investisseurs paient un prix très cher pour des bénéfices quasi inexistants. En revanche, le P/B de 0,75x signale que le marché valorise le titre sous sa valeur comptable, ce qui pourrait représenter une opportunité potentielle pour les investisseurs value. L'EV/EBITDA de 24,2x, nettement supérieur au seuil de 15x jugé exigeant, confirme une valorisation globale très tendue qui ne laisse que peu de marge de sécurité.</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BNBC affiche une progression remarquable de +26,98%, avec un cours actuel de 2 000 FCFA, tandis que la dernière séance s'est soldée par une stabilité totale (0,00%). Le titre a évolué dans une fourchette de 1 300 à 2 100 FCFA, démontrant une amplitude de trading significative de 800 FCFA. La moyenne de 1 733 FCFA, inférieure à la médiane de 1 688 FCFA, suggère une distribution légèrement asymétrique avec des valeurs extrêmes élevées tirant la moyenne vers le haut. L'écart-type de 204 FCFA avec un coefficient de variation de 11,7% indique une dispersion modérée autour de la moyenne. Le kurtosis négatif de -1,278 révèle une distribution platykurtique, c'est-à-dire une faible concentration des valeurs avec un risque de mouvements brusques limité, tandis que le skewness de -0,029 confirme une symétrie quasi parfaite. La volatilité annualisée de 48,0% place le titre dans la catégorie des valeurs à forte volatilité, nettement au-dessus du seuil de 30%.</w:t>
      </w:r>
    </w:p>
    <w:p>
      <w:pPr>
        <w:spacing w:after="120" w:line="276" w:lineRule="auto" w:before="240"/>
      </w:pPr>
      <w:r>
        <w:rPr>
          <w:b/>
          <w:color w:val="003366"/>
          <w:sz w:val="24"/>
        </w:rPr>
        <w:t>**PARTIE 2 : ANALYSE TECHNIQUE DÉTAILLÉE**</w:t>
      </w:r>
    </w:p>
    <w:p>
      <w:pPr>
        <w:spacing w:after="120" w:line="276" w:lineRule="auto"/>
      </w:pPr>
      <w:r>
        <w:t>**Moyennes Mobiles** : Les MM20 et MM50 s'établissent respectivement à 1 939 et 1 913,5 FCFA, toutes deux inférieures au cours actuel de 2 000 FCFA. Cette configuration haussière, où le prix évolue au-dessus de ses moyennes mobiles, confirme une dynamique positive à court et moyen terme. La décision d'achat est justifiée par cette structure favorable.</w:t>
      </w:r>
    </w:p>
    <w:p>
      <w:pPr>
        <w:spacing w:after="120" w:line="276" w:lineRule="auto"/>
      </w:pPr>
      <w:r>
        <w:t>**Bandes de Bollinger** : Le cours de 2 000 FCFA se positionne entre la borne supérieure de 2 037,97 et la borne inférieure de 1 840,03 FCFA, sans toucher les extrêmes. Cette position médiane indique une volatilité normale sans pression excessive, justifiant une décision neutre. L'écart entre les bornes reflète une volatilité modérée.</w:t>
      </w:r>
    </w:p>
    <w:p>
      <w:pPr>
        <w:spacing w:after="120" w:line="276" w:lineRule="auto"/>
      </w:pPr>
      <w:r>
        <w:t>**MACD** : La valeur du MACD à 26,408 est supérieure à son signal à 19,574, créant un écart positif de 6,83 points. Cette configuration haussière témoigne d'un momentum positif en faveur des acheteurs, justifiant la décision d'achat. La divergence positive suggère une poursuite probable de la tendance.</w:t>
      </w:r>
    </w:p>
    <w:p>
      <w:pPr>
        <w:spacing w:after="120" w:line="276" w:lineRule="auto"/>
      </w:pPr>
      <w:r>
        <w:t>**RSI** : Le RSI de 52,54 se situe dans la zone neutre (30-70), indiquant un équilibre entre pressions acheteuses et vendeuses. Cette valeur ne signale ni surachat ni survente, justifiant une décision neutre. Le titre dispose d'une marge de progression avant d'atteindre la zone de surachat.</w:t>
      </w:r>
    </w:p>
    <w:p>
      <w:pPr>
        <w:spacing w:after="120" w:line="276" w:lineRule="auto"/>
      </w:pPr>
      <w:r>
        <w:t>**Stochastique** : Les valeurs %K et %D à 100,0 indiquent une condition de surachat extrême, signalant un épuisement potentiel du mouvement haussier. Cette configuration justifie la décision de vente, car elle suggère un risque élevé de correction technique à court terme.</w:t>
      </w:r>
    </w:p>
    <w:p>
      <w:pPr>
        <w:spacing w:after="120" w:line="276" w:lineRule="auto"/>
      </w:pPr>
      <w:r>
        <w:t>**Conclusion technique** : La convergence des indicateurs est mitigée, avec un signal d'achat provenant des moyennes mobiles et du MACD, un signal neutre du RSI et des bandes de Bollinger, mais un signal de vente du stochastique en surachat extrême. Cette divergence suggère que la tendance haussière reste intacte à moyen terme, mais qu'une consolidation technique est probable à court terme.</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 milliards FCFA, en baisse de 6,31% par rapport à 2024 (45,31 milliards), avec un résultat net de seulement 22,32 millions FCFA, soit une marge nette de 0,05%. Le ROE s'établit à 0,13% et le ROA à 0,05%, des niveaux extrêmement faibles qui traduisent une rentabilité anémique. La structure financière montre des capitaux propres solides de 17,77 milliards FCFA avec une autonomie financière de 36,16%, mais une trésorerie nette fortement négative de -16,69 milliards FCFA et un BFR de 29,37 milliards FCFA. Le délai de stockage de 339 jours et le délai client de 104 jours sont préoccupants pour une entreprise de négoce. Le rapport T1 2026 (publié en mai 2026) indique un chiffre d'affaires stable à 11,19 milliards FCFA (-0,12%) mais un résultat net positif de 65,57 millions FCFA, contre une perte de 16,15 millions au T1 2025, soit une amélioration spectaculaire de 506%. Cette performance s'explique par l'intégration de la division Équipement, encore en phase de démarrage, et par la bonne maîtrise des charges. Sur la base de ce trimestre, on peut estimer que l'exercice 2026 pourrait générer un résultat net de l'ordre de 250 à 300 millions FCFA si la tendance se maintient, mais la prudence reste de mise compte tenu de la faiblesse historique des marges et des défis de trésorerie persistants.</w:t>
      </w:r>
    </w:p>
    <w:p>
      <w:pPr>
        <w:spacing w:after="120" w:line="276" w:lineRule="auto" w:before="240"/>
      </w:pPr>
      <w:r>
        <w:rPr>
          <w:b/>
          <w:color w:val="003366"/>
          <w:sz w:val="24"/>
        </w:rPr>
        <w:t>**PARTIE 4 : CONCLUSION D'INVESTISSEMENT**</w:t>
      </w:r>
    </w:p>
    <w:p>
      <w:pPr>
        <w:spacing w:after="120" w:line="276" w:lineRule="auto"/>
      </w:pPr>
      <w:r>
        <w:t>La valorisation de BNBC présente un paradoxe : un PER extrêmement élevé (593,6x) signale une surévaluation flagrante, tandis qu'un P/B de 0,75x suggère une décote par rapport aux actifs comptables. Le comportement du cours montre une tendance haussière marquée (+26,98% sur 100 jours) avec une volatilité élevée de 48%, mais la distribution platykurtique et symétrique indique un risque de mouvements brusques limité. Les signaux techniques sont partagés entre achats (MM, MACD) et vente (Stochastique en surachat extrême), suggérant une consolidation probable. Les fondamentaux restent fragiles avec une rentabilité quasi nulle, mais le T1 2026 montre une amélioration significative du résultat net (+506%), laissant entrevoir un possible redressement. Les prédictions IA pour les 10 prochains jours (1 995 à 1 984 FCFA) indiquent une légère correction baissière, cohérente avec les signaux techniques de surachat. La recommandation finale est **CONSERVER** avec un niveau de confiance **Moyen** et un risque global **Élevé**. L'horizon d'investissement optimal serait le **moyen terme (3-12 mois)**, en attendant la confirmation du redressement fondamental à travers les résultats du T2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5,517 titres</w:t>
            </w:r>
          </w:p>
        </w:tc>
        <w:tc>
          <w:tcPr>
            <w:tcW w:type="dxa" w:w="2268"/>
            <w:shd w:fill="FFF2CC" w:val="clear"/>
          </w:tcPr>
          <w:p>
            <w:r>
              <w:rPr>
                <w:b/>
                <w:color w:val="503200"/>
                <w:sz w:val="16"/>
              </w:rPr>
              <w:t xml:space="preserve">Cours actuel : </w:t>
            </w:r>
            <w:r>
              <w:rPr>
                <w:color w:val="000000"/>
                <w:sz w:val="17"/>
              </w:rPr>
              <w:t>8,700 FCFA</w:t>
            </w:r>
          </w:p>
          <w:p>
            <w:r>
              <w:rPr>
                <w:b/>
                <w:color w:val="503200"/>
                <w:sz w:val="16"/>
              </w:rPr>
              <w:t xml:space="preserve">Var. 100 jours : </w:t>
            </w:r>
            <w:r>
              <w:rPr>
                <w:b/>
                <w:color w:val="007800"/>
                <w:sz w:val="17"/>
              </w:rPr>
              <w:t>+10.90%</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6.75% (Moyenne) — μ=8,584 FCFA, σ=580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β=-0.2377 (Contre-cyclique) — Cov=-0.000007, Var(idx)=0.000031, ρ=-0.093,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5,517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σ_j=1.42%/j (Stable) — Vol. annualisée≈22.5%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8,369</w:t>
            </w:r>
          </w:p>
        </w:tc>
        <w:tc>
          <w:tcPr>
            <w:tcW w:type="dxa" w:w="1440"/>
            <w:shd w:fill="FFDCE0" w:val="clear"/>
          </w:tcPr>
          <w:p>
            <w:r>
              <w:rPr>
                <w:b/>
                <w:sz w:val="17"/>
              </w:rPr>
              <w:t>8,476</w:t>
            </w:r>
          </w:p>
        </w:tc>
        <w:tc>
          <w:tcPr>
            <w:tcW w:type="dxa" w:w="1440"/>
            <w:shd w:fill="FFDCE0" w:val="clear"/>
          </w:tcPr>
          <w:p>
            <w:r>
              <w:rPr>
                <w:sz w:val="17"/>
              </w:rPr>
              <w:t>8,583</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8,207</w:t>
            </w:r>
          </w:p>
        </w:tc>
        <w:tc>
          <w:tcPr>
            <w:tcW w:type="dxa" w:w="1440"/>
            <w:shd w:fill="FFDCE0" w:val="clear"/>
          </w:tcPr>
          <w:p>
            <w:r>
              <w:rPr>
                <w:b/>
                <w:sz w:val="17"/>
              </w:rPr>
              <w:t>8,356</w:t>
            </w:r>
          </w:p>
        </w:tc>
        <w:tc>
          <w:tcPr>
            <w:tcW w:type="dxa" w:w="1440"/>
            <w:shd w:fill="FFDCE0" w:val="clear"/>
          </w:tcPr>
          <w:p>
            <w:r>
              <w:rPr>
                <w:sz w:val="17"/>
              </w:rPr>
              <w:t>8,505</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8,063</w:t>
            </w:r>
          </w:p>
        </w:tc>
        <w:tc>
          <w:tcPr>
            <w:tcW w:type="dxa" w:w="1440"/>
            <w:shd w:fill="FFDCE0" w:val="clear"/>
          </w:tcPr>
          <w:p>
            <w:r>
              <w:rPr>
                <w:b/>
                <w:sz w:val="17"/>
              </w:rPr>
              <w:t>8,244</w:t>
            </w:r>
          </w:p>
        </w:tc>
        <w:tc>
          <w:tcPr>
            <w:tcW w:type="dxa" w:w="1440"/>
            <w:shd w:fill="FFDCE0" w:val="clear"/>
          </w:tcPr>
          <w:p>
            <w:r>
              <w:rPr>
                <w:sz w:val="17"/>
              </w:rPr>
              <w:t>8,424</w:t>
            </w:r>
          </w:p>
        </w:tc>
        <w:tc>
          <w:tcPr>
            <w:tcW w:type="dxa" w:w="1440"/>
            <w:shd w:fill="FFDCE0" w:val="clear"/>
          </w:tcPr>
          <w:p>
            <w:r>
              <w:rPr>
                <w:b/>
                <w:color w:val="C00000"/>
                <w:sz w:val="17"/>
              </w:rPr>
              <w:t>-5.2%</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7,943</w:t>
            </w:r>
          </w:p>
        </w:tc>
        <w:tc>
          <w:tcPr>
            <w:tcW w:type="dxa" w:w="1440"/>
            <w:shd w:fill="FFDCE0" w:val="clear"/>
          </w:tcPr>
          <w:p>
            <w:r>
              <w:rPr>
                <w:b/>
                <w:sz w:val="17"/>
              </w:rPr>
              <w:t>8,148</w:t>
            </w:r>
          </w:p>
        </w:tc>
        <w:tc>
          <w:tcPr>
            <w:tcW w:type="dxa" w:w="1440"/>
            <w:shd w:fill="FFDCE0" w:val="clear"/>
          </w:tcPr>
          <w:p>
            <w:r>
              <w:rPr>
                <w:sz w:val="17"/>
              </w:rPr>
              <w:t>8,354</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7,834</w:t>
            </w:r>
          </w:p>
        </w:tc>
        <w:tc>
          <w:tcPr>
            <w:tcW w:type="dxa" w:w="1440"/>
            <w:shd w:fill="FFDCE0" w:val="clear"/>
          </w:tcPr>
          <w:p>
            <w:r>
              <w:rPr>
                <w:b/>
                <w:sz w:val="17"/>
              </w:rPr>
              <w:t>8,062</w:t>
            </w:r>
          </w:p>
        </w:tc>
        <w:tc>
          <w:tcPr>
            <w:tcW w:type="dxa" w:w="1440"/>
            <w:shd w:fill="FFDCE0" w:val="clear"/>
          </w:tcPr>
          <w:p>
            <w:r>
              <w:rPr>
                <w:sz w:val="17"/>
              </w:rPr>
              <w:t>8,289</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7,735</w:t>
            </w:r>
          </w:p>
        </w:tc>
        <w:tc>
          <w:tcPr>
            <w:tcW w:type="dxa" w:w="1440"/>
            <w:shd w:fill="FFDCE0" w:val="clear"/>
          </w:tcPr>
          <w:p>
            <w:r>
              <w:rPr>
                <w:b/>
                <w:sz w:val="17"/>
              </w:rPr>
              <w:t>7,981</w:t>
            </w:r>
          </w:p>
        </w:tc>
        <w:tc>
          <w:tcPr>
            <w:tcW w:type="dxa" w:w="1440"/>
            <w:shd w:fill="FFDCE0" w:val="clear"/>
          </w:tcPr>
          <w:p>
            <w:r>
              <w:rPr>
                <w:sz w:val="17"/>
              </w:rPr>
              <w:t>8,228</w:t>
            </w:r>
          </w:p>
        </w:tc>
        <w:tc>
          <w:tcPr>
            <w:tcW w:type="dxa" w:w="1440"/>
            <w:shd w:fill="FFDCE0" w:val="clear"/>
          </w:tcPr>
          <w:p>
            <w:r>
              <w:rPr>
                <w:b/>
                <w:color w:val="C00000"/>
                <w:sz w:val="17"/>
              </w:rPr>
              <w:t>-8.3%</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7,641</w:t>
            </w:r>
          </w:p>
        </w:tc>
        <w:tc>
          <w:tcPr>
            <w:tcW w:type="dxa" w:w="1440"/>
            <w:shd w:fill="FFDCE0" w:val="clear"/>
          </w:tcPr>
          <w:p>
            <w:r>
              <w:rPr>
                <w:b/>
                <w:sz w:val="17"/>
              </w:rPr>
              <w:t>7,905</w:t>
            </w:r>
          </w:p>
        </w:tc>
        <w:tc>
          <w:tcPr>
            <w:tcW w:type="dxa" w:w="1440"/>
            <w:shd w:fill="FFDCE0" w:val="clear"/>
          </w:tcPr>
          <w:p>
            <w:r>
              <w:rPr>
                <w:sz w:val="17"/>
              </w:rPr>
              <w:t>8,169</w:t>
            </w:r>
          </w:p>
        </w:tc>
        <w:tc>
          <w:tcPr>
            <w:tcW w:type="dxa" w:w="1440"/>
            <w:shd w:fill="FFDCE0" w:val="clear"/>
          </w:tcPr>
          <w:p>
            <w:r>
              <w:rPr>
                <w:b/>
                <w:color w:val="C00000"/>
                <w:sz w:val="17"/>
              </w:rPr>
              <w:t>-9.1%</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7,553</w:t>
            </w:r>
          </w:p>
        </w:tc>
        <w:tc>
          <w:tcPr>
            <w:tcW w:type="dxa" w:w="1440"/>
            <w:shd w:fill="FFDCE0" w:val="clear"/>
          </w:tcPr>
          <w:p>
            <w:r>
              <w:rPr>
                <w:b/>
                <w:sz w:val="17"/>
              </w:rPr>
              <w:t>7,832</w:t>
            </w:r>
          </w:p>
        </w:tc>
        <w:tc>
          <w:tcPr>
            <w:tcW w:type="dxa" w:w="1440"/>
            <w:shd w:fill="FFDCE0" w:val="clear"/>
          </w:tcPr>
          <w:p>
            <w:r>
              <w:rPr>
                <w:sz w:val="17"/>
              </w:rPr>
              <w:t>8,112</w:t>
            </w:r>
          </w:p>
        </w:tc>
        <w:tc>
          <w:tcPr>
            <w:tcW w:type="dxa" w:w="1440"/>
            <w:shd w:fill="FFDCE0" w:val="clear"/>
          </w:tcPr>
          <w:p>
            <w:r>
              <w:rPr>
                <w:b/>
                <w:color w:val="C00000"/>
                <w:sz w:val="17"/>
              </w:rPr>
              <w:t>-10.0%</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7,470</w:t>
            </w:r>
          </w:p>
        </w:tc>
        <w:tc>
          <w:tcPr>
            <w:tcW w:type="dxa" w:w="1440"/>
            <w:shd w:fill="FFDCE0" w:val="clear"/>
          </w:tcPr>
          <w:p>
            <w:r>
              <w:rPr>
                <w:b/>
                <w:sz w:val="17"/>
              </w:rPr>
              <w:t>7,764</w:t>
            </w:r>
          </w:p>
        </w:tc>
        <w:tc>
          <w:tcPr>
            <w:tcW w:type="dxa" w:w="1440"/>
            <w:shd w:fill="FFDCE0" w:val="clear"/>
          </w:tcPr>
          <w:p>
            <w:r>
              <w:rPr>
                <w:sz w:val="17"/>
              </w:rPr>
              <w:t>8,057</w:t>
            </w:r>
          </w:p>
        </w:tc>
        <w:tc>
          <w:tcPr>
            <w:tcW w:type="dxa" w:w="1440"/>
            <w:shd w:fill="FFDCE0" w:val="clear"/>
          </w:tcPr>
          <w:p>
            <w:r>
              <w:rPr>
                <w:b/>
                <w:color w:val="C00000"/>
                <w:sz w:val="17"/>
              </w:rPr>
              <w:t>-10.8%</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7,391</w:t>
            </w:r>
          </w:p>
        </w:tc>
        <w:tc>
          <w:tcPr>
            <w:tcW w:type="dxa" w:w="1440"/>
            <w:shd w:fill="FFDCE0" w:val="clear"/>
          </w:tcPr>
          <w:p>
            <w:r>
              <w:rPr>
                <w:b/>
                <w:sz w:val="17"/>
              </w:rPr>
              <w:t>7,698</w:t>
            </w:r>
          </w:p>
        </w:tc>
        <w:tc>
          <w:tcPr>
            <w:tcW w:type="dxa" w:w="1440"/>
            <w:shd w:fill="FFDCE0" w:val="clear"/>
          </w:tcPr>
          <w:p>
            <w:r>
              <w:rPr>
                <w:sz w:val="17"/>
              </w:rPr>
              <w:t>8,005</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352,88 milliards FCFA, un niveau qui la positionne parmi les valeurs moyennes à grandes capitalisations de la BRVM. Avec un BPA de 496 FCFA, le titre se négocie à un PER de 17,5x, nettement supérieur à la moyenne historique du marché régional (8-12x). Cette décote de valorisation indique que les investisseurs anticipent une croissance future des bénéfices et acceptent de payer une prime substantielle. Le P/B de 3,00x confirme cette lecture, le marché valorisant la banque à trois fois sa valeur comptable, ce qui reflète une forte confiance dans la qualité des actifs et la rentabilité des capitaux propres. Enfin, l'EV/EBITDA de 18,4x, bien que supérieur au seuil exigeant de 15x, témoigne d'une valorisation généreuse qui intègre des hypothèses de croissance soutenue de la capacité bénéficiaire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BOAB a enregistré une progression totale de +10,90%, avec une dernière séance quasi stable (+0,12%). Le cours a évolué dans un range de 2 125 FCFA, entre un plus bas de 7 295 FCFA et un plus haut de 9 420 FCFA, démontrant une amplitude de trading significative. La moyenne (8 584 FCFA) est légèrement inférieure à la médiane (8 715 FCFA), et le mode (8 700 FCFA) est proche du cours actuel, indiquant une distribution relativement symétrique mais avec une asymétrie négative (skewness de -0,818), signifiant que les journées de hausse ont été plus fréquentes mais de moindre ampleur que les rares journées de forte baisse. L'écart-type de 583 FCFA (CV de 6,8%) révèle une dispersion modérée autour de la moyenne, tandis que le kurtosis de -0,311 (mésokurtique) suggère l'absence de risques extrêmes de pics ou de creux. La volatilité annualisée de 22,5% classe le titre dans la catégorie des valeurs à volatilité modérée (15-30%), offrant un équilibre entre potentiel de rendement et maîtrise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(8 700 FCFA) se situe sous la MM20 (8 660,5 FCFA) et nettement sous la MM50 (8 794,2 FCFA), configuration baissière à court et moyen terme. La décision de Vente est justifiée par cette position relative défavorable, le titre peinant à dépasser ses moyennes mobiles, ce qui suggère une pression vendeuse persistante.</w:t>
      </w:r>
    </w:p>
    <w:p>
      <w:pPr>
        <w:spacing w:after="120" w:line="276" w:lineRule="auto"/>
      </w:pPr>
      <w:r>
        <w:t>**Bandes de Bollinger** : Le prix évolue dans la partie médiane du canal, entre la borne supérieure (8 779,1 FCFA) et la borne inférieure (8 541,9 FCFA), avec une largeur de bande modérée. La décision Neutre s'explique par l'absence de contact avec les bornes, indiquant une volatilité normale et une absence de signal directionnel fort. Le cours semble dans une phase de consolidation.</w:t>
      </w:r>
    </w:p>
    <w:p>
      <w:pPr>
        <w:spacing w:after="120" w:line="276" w:lineRule="auto"/>
      </w:pPr>
      <w:r>
        <w:t>**MACD** : La valeur MACD (-39,1) est supérieure à sa ligne de signal (-52,8), formant un croisement haussier récent. La décision d'Achat est justifiée par cette divergence positive qui, bien que les deux lignes soient en territoire négatif, signale un momentum haussier émergent et une possible inversion de tendance à court terme.</w:t>
      </w:r>
    </w:p>
    <w:p>
      <w:pPr>
        <w:spacing w:after="120" w:line="276" w:lineRule="auto"/>
      </w:pPr>
      <w:r>
        <w:t>**RSI** : À 61,6, le RSI se situe dans la zone neutre (30-70), sans signal de surachat ni de survente. La décision Neutre reflète un équilibre entre pression acheteuse et vendeuse, avec une légère orientation haussière qui laisse de la marge avant d'atteindre la zone de surachat (&gt;70).</w:t>
      </w:r>
    </w:p>
    <w:p>
      <w:pPr>
        <w:spacing w:after="120" w:line="276" w:lineRule="auto"/>
      </w:pPr>
      <w:r>
        <w:t>**Stochastique** : Le %K (90,0) est nettement supérieur au %D (80,8), tous deux en zone de surachat (&gt;80). La décision de Vente est justifiée par cette configuration qui signale une possible correction technique imminente, le titre étant temporairement surévalué à court terme.</w:t>
      </w:r>
    </w:p>
    <w:p>
      <w:pPr>
        <w:spacing w:after="120" w:line="276" w:lineRule="auto"/>
      </w:pPr>
      <w:r>
        <w:t>**Conclusion technique** : Les indicateurs sont mitigés avec une prédominance baissière à court terme (MM, Stochastique) contre des signaux d'amélioration du momentum (MACD, RSI). Le titre semble en phase de consolidation après une période de hausse, avec un risque de correction technique à très court terme avant une possible reprise. La prudence est de mise dans l'attente d'une clarification directionnelle.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 révèlent une banque solide et rentable. Le Produit Net Bancaire s'établit à 51,274 milliards FCFA, générant un résultat net de 20,107 milliards FCFA, soit une marge nette de 39,2%. La rentabilité des fonds propres (ROE) atteint 17,1%, un niveau excellent, et le ROA de 2,08% témoigne d'une bonne efficacité dans l'utilisation des actifs. Le coefficient d'exploitation de 49,5% démontre une excellente maîtrise des charges, bien en deçà du seuil de 60% considéré comme efficace. Le coût du risque de 22,5% reste élevé, signalant un portefeuille de crédit présentant des risques significatifs. La banque affiche une transformation équilibrée avec 711,6 milliards de dépôts clients contre 391,7 milliards de créances clients. Les rapports trimestriels 2025 confirment cette dynamique : le T1 2025 (PNB 11,081 Mds, RN 4,446 Mds) montre une activité stable avec un coût du risque en hausse ; le S1 2025 (PNB 24,556 Mds, RN 11,012 Mds) enregistre une croissance de 5,91% du PNB avec un ROE de 20,3% ; le T3 2025 (PNB 37,065 Mds, RN 15,880 Mds) affiche une progression de 9% du PNB et de 13% du résultat net. Sur la base du rapport T1 2026 (PNB 12,329 Mds, RN 4,502 Mds, croissance de 11%), on estime que l'exercice 2026 devrait confirmer cette trajectoire de croissance rentable, avec un PNB annualisé potentiel d'environ 49,3 milliards FCFA et un résultat net estimé à 18 milliards FCFA. La banque privilégie la qualité à la croissance volumique, avec une contraction des crédits et dépôts mais une amélioration des marges et commissions.</w:t>
      </w:r>
    </w:p>
    <w:p>
      <w:pPr>
        <w:spacing w:after="120" w:line="276" w:lineRule="auto"/>
      </w:pPr>
      <w:r>
        <w:t>---</w:t>
      </w:r>
    </w:p>
    <w:p>
      <w:pPr>
        <w:spacing w:after="120" w:line="276" w:lineRule="auto"/>
      </w:pPr>
      <w:r>
        <w:t>### PARTIE 4 : CONCLUSION D'INVESTISSEMENT</w:t>
      </w:r>
    </w:p>
    <w:p>
      <w:pPr>
        <w:spacing w:after="120" w:line="276" w:lineRule="auto"/>
      </w:pPr>
      <w:r>
        <w:t>La valorisation de BOAB (PER 17,5x, P/B 3,00x, EV/EBITDA 18,4x) apparaît exigeante, intégrant des anticipations de croissance soutenue, mais elle est soutenue par des fondamentaux solides (ROE 17,1%, coefficient d'exploitation 49,5%). Le comportement du cours sur 100 jours (+10,9%) avec une volatilité modérée (22,5%) et une asymétrie négative suggère une tendance haussière maîtrisée, malgré des signaux techniques mitigés : les moyennes mobiles et le stochastique plaident pour une consolidation à court terme, tandis que le MACD et le RSI indiquent un momentum positif sous-jacent. Les fondamentaux restent robustes avec une croissance du PNB de 10,2% en 2025 et des perspectives 2026 estimées à +11% (T1 2026). Cependant, les prédictions IA pour les 10 prochains jours (8 476 à 8 062 FCFA) projettent une correction de près de 7,3%, en cohérence avec les signaux techniques baissiers à court terme. Cette convergence entre la correction technique anticipée et les prédictions IA suggère une opportunité d'achat à moyen terme. **Recommandation : ACHAT** sur repli, avec un niveau de confiance **Moyen** et un risque global **Moyen**. L'horizon d'investissement optimal se situe à **moyen terme (3-12 mois)**, en attendant une stabilisation du cours autour de 8 000-8 200 FCFA pour renforcer les positions.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312.40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5,873 titres</w:t>
            </w:r>
          </w:p>
        </w:tc>
        <w:tc>
          <w:tcPr>
            <w:tcW w:type="dxa" w:w="2268"/>
            <w:shd w:fill="FFF2CC" w:val="clear"/>
          </w:tcPr>
          <w:p>
            <w:r>
              <w:rPr>
                <w:b/>
                <w:color w:val="503200"/>
                <w:sz w:val="16"/>
              </w:rPr>
              <w:t xml:space="preserve">Cours actuel : </w:t>
            </w:r>
            <w:r>
              <w:rPr>
                <w:color w:val="000000"/>
                <w:sz w:val="17"/>
              </w:rPr>
              <w:t>7,100 FCFA</w:t>
            </w:r>
          </w:p>
          <w:p>
            <w:r>
              <w:rPr>
                <w:b/>
                <w:color w:val="503200"/>
                <w:sz w:val="16"/>
              </w:rPr>
              <w:t xml:space="preserve">Var. 100 jours : </w:t>
            </w:r>
            <w:r>
              <w:rPr>
                <w:b/>
                <w:color w:val="007800"/>
                <w:sz w:val="17"/>
              </w:rPr>
              <w:t>+31.00%</w:t>
            </w:r>
          </w:p>
          <w:p>
            <w:r>
              <w:rPr>
                <w:b/>
                <w:color w:val="503200"/>
                <w:sz w:val="16"/>
              </w:rPr>
              <w:t xml:space="preserve">Plus haut 100j : </w:t>
            </w:r>
            <w:r>
              <w:rPr>
                <w:color w:val="000000"/>
                <w:sz w:val="17"/>
              </w:rPr>
              <w:t>7,350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11.33% (Moyenne) — μ=5,926 FCFA, σ=671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β=0.2408 (Défensif) — Cov=0.000008, Var(idx)=0.000031, ρ=0.075,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6,714</w:t>
            </w:r>
          </w:p>
        </w:tc>
        <w:tc>
          <w:tcPr>
            <w:tcW w:type="dxa" w:w="1440"/>
            <w:shd w:fill="FAFAFA" w:val="clear"/>
          </w:tcPr>
          <w:p>
            <w:r>
              <w:rPr>
                <w:b/>
                <w:sz w:val="17"/>
              </w:rPr>
              <w:t>6,990</w:t>
            </w:r>
          </w:p>
        </w:tc>
        <w:tc>
          <w:tcPr>
            <w:tcW w:type="dxa" w:w="1440"/>
            <w:shd w:fill="FAFAFA" w:val="clear"/>
          </w:tcPr>
          <w:p>
            <w:r>
              <w:rPr>
                <w:sz w:val="17"/>
              </w:rPr>
              <w:t>7,266</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6,524</w:t>
            </w:r>
          </w:p>
        </w:tc>
        <w:tc>
          <w:tcPr>
            <w:tcW w:type="dxa" w:w="1440"/>
            <w:shd w:fill="FFDCE0" w:val="clear"/>
          </w:tcPr>
          <w:p>
            <w:r>
              <w:rPr>
                <w:b/>
                <w:sz w:val="17"/>
              </w:rPr>
              <w:t>6,910</w:t>
            </w:r>
          </w:p>
        </w:tc>
        <w:tc>
          <w:tcPr>
            <w:tcW w:type="dxa" w:w="1440"/>
            <w:shd w:fill="FFDCE0" w:val="clear"/>
          </w:tcPr>
          <w:p>
            <w:r>
              <w:rPr>
                <w:sz w:val="17"/>
              </w:rPr>
              <w:t>7,296</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6,369</w:t>
            </w:r>
          </w:p>
        </w:tc>
        <w:tc>
          <w:tcPr>
            <w:tcW w:type="dxa" w:w="1440"/>
            <w:shd w:fill="FFDCE0" w:val="clear"/>
          </w:tcPr>
          <w:p>
            <w:r>
              <w:rPr>
                <w:b/>
                <w:sz w:val="17"/>
              </w:rPr>
              <w:t>6,836</w:t>
            </w:r>
          </w:p>
        </w:tc>
        <w:tc>
          <w:tcPr>
            <w:tcW w:type="dxa" w:w="1440"/>
            <w:shd w:fill="FFDCE0" w:val="clear"/>
          </w:tcPr>
          <w:p>
            <w:r>
              <w:rPr>
                <w:sz w:val="17"/>
              </w:rPr>
              <w:t>7,304</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6,237</w:t>
            </w:r>
          </w:p>
        </w:tc>
        <w:tc>
          <w:tcPr>
            <w:tcW w:type="dxa" w:w="1440"/>
            <w:shd w:fill="FFDCE0" w:val="clear"/>
          </w:tcPr>
          <w:p>
            <w:r>
              <w:rPr>
                <w:b/>
                <w:sz w:val="17"/>
              </w:rPr>
              <w:t>6,773</w:t>
            </w:r>
          </w:p>
        </w:tc>
        <w:tc>
          <w:tcPr>
            <w:tcW w:type="dxa" w:w="1440"/>
            <w:shd w:fill="FFDCE0" w:val="clear"/>
          </w:tcPr>
          <w:p>
            <w:r>
              <w:rPr>
                <w:sz w:val="17"/>
              </w:rPr>
              <w:t>7,308</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6,121</w:t>
            </w:r>
          </w:p>
        </w:tc>
        <w:tc>
          <w:tcPr>
            <w:tcW w:type="dxa" w:w="1440"/>
            <w:shd w:fill="FFDCE0" w:val="clear"/>
          </w:tcPr>
          <w:p>
            <w:r>
              <w:rPr>
                <w:b/>
                <w:sz w:val="17"/>
              </w:rPr>
              <w:t>6,714</w:t>
            </w:r>
          </w:p>
        </w:tc>
        <w:tc>
          <w:tcPr>
            <w:tcW w:type="dxa" w:w="1440"/>
            <w:shd w:fill="FFDCE0" w:val="clear"/>
          </w:tcPr>
          <w:p>
            <w:r>
              <w:rPr>
                <w:sz w:val="17"/>
              </w:rPr>
              <w:t>7,308</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6,015</w:t>
            </w:r>
          </w:p>
        </w:tc>
        <w:tc>
          <w:tcPr>
            <w:tcW w:type="dxa" w:w="1440"/>
            <w:shd w:fill="FFDCE0" w:val="clear"/>
          </w:tcPr>
          <w:p>
            <w:r>
              <w:rPr>
                <w:b/>
                <w:sz w:val="17"/>
              </w:rPr>
              <w:t>6,660</w:t>
            </w:r>
          </w:p>
        </w:tc>
        <w:tc>
          <w:tcPr>
            <w:tcW w:type="dxa" w:w="1440"/>
            <w:shd w:fill="FFDCE0" w:val="clear"/>
          </w:tcPr>
          <w:p>
            <w:r>
              <w:rPr>
                <w:sz w:val="17"/>
              </w:rPr>
              <w:t>7,304</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5,917</w:t>
            </w:r>
          </w:p>
        </w:tc>
        <w:tc>
          <w:tcPr>
            <w:tcW w:type="dxa" w:w="1440"/>
            <w:shd w:fill="FFDCE0" w:val="clear"/>
          </w:tcPr>
          <w:p>
            <w:r>
              <w:rPr>
                <w:b/>
                <w:sz w:val="17"/>
              </w:rPr>
              <w:t>6,608</w:t>
            </w:r>
          </w:p>
        </w:tc>
        <w:tc>
          <w:tcPr>
            <w:tcW w:type="dxa" w:w="1440"/>
            <w:shd w:fill="FFDCE0" w:val="clear"/>
          </w:tcPr>
          <w:p>
            <w:r>
              <w:rPr>
                <w:sz w:val="17"/>
              </w:rPr>
              <w:t>7,298</w:t>
            </w:r>
          </w:p>
        </w:tc>
        <w:tc>
          <w:tcPr>
            <w:tcW w:type="dxa" w:w="1440"/>
            <w:shd w:fill="FFDCE0" w:val="clear"/>
          </w:tcPr>
          <w:p>
            <w:r>
              <w:rPr>
                <w:b/>
                <w:color w:val="C00000"/>
                <w:sz w:val="17"/>
              </w:rPr>
              <w:t>-6.9%</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5,825</w:t>
            </w:r>
          </w:p>
        </w:tc>
        <w:tc>
          <w:tcPr>
            <w:tcW w:type="dxa" w:w="1440"/>
            <w:shd w:fill="FFDCE0" w:val="clear"/>
          </w:tcPr>
          <w:p>
            <w:r>
              <w:rPr>
                <w:b/>
                <w:sz w:val="17"/>
              </w:rPr>
              <w:t>6,558</w:t>
            </w:r>
          </w:p>
        </w:tc>
        <w:tc>
          <w:tcPr>
            <w:tcW w:type="dxa" w:w="1440"/>
            <w:shd w:fill="FFDCE0" w:val="clear"/>
          </w:tcPr>
          <w:p>
            <w:r>
              <w:rPr>
                <w:sz w:val="17"/>
              </w:rPr>
              <w:t>7,290</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5,738</w:t>
            </w:r>
          </w:p>
        </w:tc>
        <w:tc>
          <w:tcPr>
            <w:tcW w:type="dxa" w:w="1440"/>
            <w:shd w:fill="FFDCE0" w:val="clear"/>
          </w:tcPr>
          <w:p>
            <w:r>
              <w:rPr>
                <w:b/>
                <w:sz w:val="17"/>
              </w:rPr>
              <w:t>6,509</w:t>
            </w:r>
          </w:p>
        </w:tc>
        <w:tc>
          <w:tcPr>
            <w:tcW w:type="dxa" w:w="1440"/>
            <w:shd w:fill="FFDCE0" w:val="clear"/>
          </w:tcPr>
          <w:p>
            <w:r>
              <w:rPr>
                <w:sz w:val="17"/>
              </w:rPr>
              <w:t>7,281</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5,655</w:t>
            </w:r>
          </w:p>
        </w:tc>
        <w:tc>
          <w:tcPr>
            <w:tcW w:type="dxa" w:w="1440"/>
            <w:shd w:fill="FFDCE0" w:val="clear"/>
          </w:tcPr>
          <w:p>
            <w:r>
              <w:rPr>
                <w:b/>
                <w:sz w:val="17"/>
              </w:rPr>
              <w:t>6,462</w:t>
            </w:r>
          </w:p>
        </w:tc>
        <w:tc>
          <w:tcPr>
            <w:tcW w:type="dxa" w:w="1440"/>
            <w:shd w:fill="FFDCE0" w:val="clear"/>
          </w:tcPr>
          <w:p>
            <w:r>
              <w:rPr>
                <w:sz w:val="17"/>
              </w:rPr>
              <w:t>7,270</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312,40 milliards FCFA, ce qui en fait l'une des valeurs significatives de la cote BRVM, reflétant la taille importante de cette banque dans le paysage bancaire régional. Avec un BPA de 438 FCFA, chaque action génère un bénéfice substantiel, justifiant un PER de 16,2x. Ce niveau est supérieur à la moyenne historique de la BRVM (8-12x), indiquant que les investisseurs acceptent de payer une prime pour cette valeur, probablement en raison de sa solidité perçue et de sa liquidité. Le P/B de 2,47x confirme cette prime, le marché valorisant la société à près de 2,5 fois ses capitaux propres, ce qui témoigne d'une confiance dans la création de valeur future. Enfin, un EV/EBITDA de 6,8x reste dans une zone raisonnable (5-10x), suggérant que la valorisation globale de l'entreprise, rapportée à sa capacité opérationnelle, n'est pas excessive malgré la prime sur le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BOABF a enregistré une progression remarquable de +31,00%, passant d'un plus bas de 5 235 FCFA à un plus haut de 7 350 FCFA, avant de se stabiliser à 7 100 FCFA lors de la dernière séance (variation nulle). Cette tendance est clairement haussière, le cours évoluant bien au-dessus de sa moyenne sur la période (5 926 FCFA) et de sa médiane (5 600 FCFA). L'écart entre la moyenne et la médiane, couplé à un skewness positif de 1,154, indique une distribution asymétrique avec des épisodes de fortes hausses, mais un plus grand nombre de journées sous la moyenne. L'écart-type de 675 FCFA (CV=11,4%) montre une dispersion modérée, tandis que le kurtosis de -0,380 (mésokurtique) suggère une distribution proche de la normale, sans risque de variations extrêmes. La volatilité annualisée de 28,3% classe le titre dans une zone de volatilité élevée (&gt;30% étant le seuil), ce qui implique des fluctuations de prix significatives, offrant des opportunités mais aussi un risque accru pour les investisseurs.</w:t>
      </w:r>
    </w:p>
    <w:p>
      <w:pPr>
        <w:spacing w:after="120" w:line="276" w:lineRule="auto" w:before="240"/>
      </w:pPr>
      <w:r>
        <w:rPr>
          <w:b/>
          <w:color w:val="003366"/>
          <w:sz w:val="24"/>
        </w:rPr>
        <w:t>**PARTIE 2 : ANALYSE TECHNIQUE DÉTAILLÉE**</w:t>
      </w:r>
    </w:p>
    <w:p>
      <w:pPr>
        <w:spacing w:after="120" w:line="276" w:lineRule="auto"/>
      </w:pPr>
      <w:r>
        <w:t>Les **Moyennes Mobiles** sont en configuration haussière : la MM20 (7 150 FCFA) est supérieure à la MM50 (6 346 FCFA), et le cours actuel (7 100 FCFA) se situe juste sous la MM20 mais nettement au-dessus de la MM50. Cette structure confirme une tendance de fond positive, le signal d'achat étant justifié par la dynamique de moyen terme.</w:t>
      </w:r>
    </w:p>
    <w:p>
      <w:pPr>
        <w:spacing w:after="120" w:line="276" w:lineRule="auto"/>
      </w:pPr>
      <w:r>
        <w:t>Les **Bandes de Bollinger** montrent un cours (7 100 FCFA) positionné entre la borne supérieure (7 360 FCFA) et la borne inférieure (6 940 FCFA), proche du milieu de l'intervalle. La décision "Neutre" est cohérente : le prix n'est ni en situation de surachat ni de survente, et la volatilité récente semble se normaliser après la forte hausse.</w:t>
      </w:r>
    </w:p>
    <w:p>
      <w:pPr>
        <w:spacing w:after="120" w:line="276" w:lineRule="auto"/>
      </w:pPr>
      <w:r>
        <w:t>Le **MACD** affiche une valeur (225,36) inférieure à son signal (283,97), indiquant un momentum baissier à court terme. Cette divergence négative, bien que les deux indicateurs restent en territoire positif, suggère un essoufflement de la dynamique haussière, justifiant la décision de "Vente" à très court terme.</w:t>
      </w:r>
    </w:p>
    <w:p>
      <w:pPr>
        <w:spacing w:after="120" w:line="276" w:lineRule="auto"/>
      </w:pPr>
      <w:r>
        <w:t>Le **RSI** à 47,60 est en zone neutre (30-70), ne montrant ni surachat ni survente. Cela indique que le marché est équilibré, sans pression d'achat ou de vente excessive, ce qui laisse place à une évolution directionnelle future.</w:t>
      </w:r>
    </w:p>
    <w:p>
      <w:pPr>
        <w:spacing w:after="120" w:line="276" w:lineRule="auto"/>
      </w:pPr>
      <w:r>
        <w:t>Le **Stochastique** (%K = %D = 44,44) est également en zone neutre, sans croisement signalant un retournement. Cette configuration reflète une absence de momentum clair, cohérente avec la décision "Neutre".</w:t>
      </w:r>
    </w:p>
    <w:p>
      <w:pPr>
        <w:spacing w:after="120" w:line="276" w:lineRule="auto"/>
      </w:pPr>
      <w:r>
        <w:t>En conclusion, les indicateurs techniques sont mitigés : la tendance de fond (MM) reste positive, mais les oscillateurs de momentum (MACD, RSI, Stochastique) indiquent une phase de consolidation ou de correction à court terme. Le signal global est donc celui d'une pause dans la tendance haussière, sans signe de retournement majeur.</w:t>
      </w:r>
    </w:p>
    <w:p>
      <w:pPr>
        <w:spacing w:after="120" w:line="276" w:lineRule="auto" w:before="240"/>
      </w:pPr>
      <w:r>
        <w:rPr>
          <w:b/>
          <w:color w:val="003366"/>
          <w:sz w:val="24"/>
        </w:rPr>
        <w:t>**PARTIE 3 : ANALYSE FONDAMENTALE (SECTION CRITIQUE)**</w:t>
      </w:r>
    </w:p>
    <w:p>
      <w:pPr>
        <w:spacing w:after="120" w:line="276" w:lineRule="auto"/>
      </w:pPr>
      <w:r>
        <w:t>En 2025, les données financières structurées de BOABF révèlent une banque de taille significative avec un total de bilan de 1 148,7 milliards FCFA. Le Produit Net Bancaire (PNB) s'établit à 57,82 milliards FCFA, générant un résultat net de 19,25 milliards FCFA. La rentabilité des fonds propres (ROE) est excellente à 15,22%, et le ROA de 1,68% est correct pour le secteur. Le coefficient d'exploitation de 47,19% est excellent, démontrant une grande maîtrise des charges. Cependant, le coût du risque à 33,92% est élevé, signalant une dégradation de la qualité du portefeuille de crédits. Les dépôts clientèle (877,82 Mds) financent largement les crédits (474,06 Mds), indiquant une transformation saine. Les rapports trimestriels 2025 confirment cette tendance préoccupante : le T1 2025 (PNB +2,3%, RN -16,6%) et le S1 2025 (PNB +1,4%, RN -46,5% dû à un coût du risque en hausse de 1336%) montrent une stagnation de l'activité et une chute de la rentabilité. Le cumul sur 9 mois (T3 2025) montre un PNB en hausse de seulement 0,85% et un résultat net en baisse de 27,69%. Enfin, le rapport du T1 2026 (publié en 2026) indique une poursuite de la dégradation avec un PNB en baisse de 10,75% et un résultat net en recul de 12,99%. En estimant sur cette base, l'exercice 2026 pourrait voir une contraction supplémentaire de la rentabilité si le coût du risque ne se normalise pas. La banque reste solide, mais la pression sur la qualité des actifs et la stagnation de l'activité sont des signaux d'alerte majeurs.</w:t>
      </w:r>
    </w:p>
    <w:p>
      <w:pPr>
        <w:spacing w:after="120" w:line="276" w:lineRule="auto" w:before="240"/>
      </w:pPr>
      <w:r>
        <w:rPr>
          <w:b/>
          <w:color w:val="003366"/>
          <w:sz w:val="24"/>
        </w:rPr>
        <w:t>**PARTIE 4 : CONCLUSION D'INVESTISSEMENT**</w:t>
      </w:r>
    </w:p>
    <w:p>
      <w:pPr>
        <w:spacing w:after="120" w:line="276" w:lineRule="auto"/>
      </w:pPr>
      <w:r>
        <w:t>La valorisation de BOABF (PER 16,2x, P/B 2,47x) suggère une prime de marché qui paraît désormais difficile à justifier au regard de la dégradation des fondamentaux. Le comportement du cours sur 100 jours (+31%) a été très positif, mais la volatilité élevée (28,3%) et les statistiques (skewness positif) indiquent un risque de retournement. Les signaux techniques sont partagés : la tendance de fond reste haussière (MM), mais les indicateurs de momentum (MACD, RSI, Stochastique) appellent à la prudence à court terme. Sur le plan fondamental, la banque est solide (ROE &gt;15%, coefficient d'exploitation excellent), mais la dégradation continue du coût du risque et la stagnation du PNB depuis 2025, confirmées par les estimations pour 2026, sont des signaux très négatifs. Les prédictions IA (J+1 à J+10) anticipent une baisse progressive du cours vers 6 714 FCFA, contredisant la tendance haussière récente et confirmant les signaux techniques de consolidation. La convergence des signaux défavorables (fondamentaux en dégradation, momentum technique négatif, prédictions baissières) malgré une valorisation encore élevée conduit à une recommandation **VENTE**. Le niveau de confiance est **Moyen**, car la solidité bilancielle de la banque pourrait limiter la baisse. Le risque global est **Élevé** en raison de la détérioration de la qualité des actifs et du contexte sécuritaire au Burkina Faso. L'horizon d'investissement optimal serait de **court terme (&lt;3 mois)** pour les investisseurs cherchant à réduire leur exposition, en attendant une stabilisation des indicateurs de risque.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13,954 titres</w:t>
            </w:r>
          </w:p>
        </w:tc>
        <w:tc>
          <w:tcPr>
            <w:tcW w:type="dxa" w:w="2268"/>
            <w:shd w:fill="FFF2CC" w:val="clear"/>
          </w:tcPr>
          <w:p>
            <w:r>
              <w:rPr>
                <w:b/>
                <w:color w:val="503200"/>
                <w:sz w:val="16"/>
              </w:rPr>
              <w:t xml:space="preserve">Cours actuel : </w:t>
            </w:r>
            <w:r>
              <w:rPr>
                <w:color w:val="000000"/>
                <w:sz w:val="17"/>
              </w:rPr>
              <w:t>12,900 FCFA</w:t>
            </w:r>
          </w:p>
          <w:p>
            <w:r>
              <w:rPr>
                <w:b/>
                <w:color w:val="503200"/>
                <w:sz w:val="16"/>
              </w:rPr>
              <w:t xml:space="preserve">Var. 100 jours : </w:t>
            </w:r>
            <w:r>
              <w:rPr>
                <w:b/>
                <w:color w:val="007800"/>
                <w:sz w:val="17"/>
              </w:rPr>
              <w:t>+44.30%</w:t>
            </w:r>
          </w:p>
          <w:p>
            <w:r>
              <w:rPr>
                <w:b/>
                <w:color w:val="503200"/>
                <w:sz w:val="16"/>
              </w:rPr>
              <w:t xml:space="preserve">Plus haut 100j : </w:t>
            </w:r>
            <w:r>
              <w:rPr>
                <w:color w:val="000000"/>
                <w:sz w:val="17"/>
              </w:rPr>
              <w:t>12,900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10.99% (Moyenne) — μ=9,321 FCFA, σ=1,024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β=0.5246 (Défensif) — Cov=0.000016, Var(idx)=0.000031, ρ=0.165,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13,954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11,770</w:t>
            </w:r>
          </w:p>
        </w:tc>
        <w:tc>
          <w:tcPr>
            <w:tcW w:type="dxa" w:w="1440"/>
            <w:shd w:fill="FFDCE0" w:val="clear"/>
          </w:tcPr>
          <w:p>
            <w:r>
              <w:rPr>
                <w:b/>
                <w:sz w:val="17"/>
              </w:rPr>
              <w:t>12,152</w:t>
            </w:r>
          </w:p>
        </w:tc>
        <w:tc>
          <w:tcPr>
            <w:tcW w:type="dxa" w:w="1440"/>
            <w:shd w:fill="FFDCE0" w:val="clear"/>
          </w:tcPr>
          <w:p>
            <w:r>
              <w:rPr>
                <w:sz w:val="17"/>
              </w:rPr>
              <w:t>12,533</w:t>
            </w:r>
          </w:p>
        </w:tc>
        <w:tc>
          <w:tcPr>
            <w:tcW w:type="dxa" w:w="1440"/>
            <w:shd w:fill="FFDCE0" w:val="clear"/>
          </w:tcPr>
          <w:p>
            <w:r>
              <w:rPr>
                <w:b/>
                <w:color w:val="C00000"/>
                <w:sz w:val="17"/>
              </w:rPr>
              <w:t>-5.8%</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11,139</w:t>
            </w:r>
          </w:p>
        </w:tc>
        <w:tc>
          <w:tcPr>
            <w:tcW w:type="dxa" w:w="1440"/>
            <w:shd w:fill="FFDCE0" w:val="clear"/>
          </w:tcPr>
          <w:p>
            <w:r>
              <w:rPr>
                <w:b/>
                <w:sz w:val="17"/>
              </w:rPr>
              <w:t>11,657</w:t>
            </w:r>
          </w:p>
        </w:tc>
        <w:tc>
          <w:tcPr>
            <w:tcW w:type="dxa" w:w="1440"/>
            <w:shd w:fill="FFDCE0" w:val="clear"/>
          </w:tcPr>
          <w:p>
            <w:r>
              <w:rPr>
                <w:sz w:val="17"/>
              </w:rPr>
              <w:t>12,175</w:t>
            </w:r>
          </w:p>
        </w:tc>
        <w:tc>
          <w:tcPr>
            <w:tcW w:type="dxa" w:w="1440"/>
            <w:shd w:fill="FFDCE0" w:val="clear"/>
          </w:tcPr>
          <w:p>
            <w:r>
              <w:rPr>
                <w:b/>
                <w:color w:val="C00000"/>
                <w:sz w:val="17"/>
              </w:rPr>
              <w:t>-9.6%</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10,519</w:t>
            </w:r>
          </w:p>
        </w:tc>
        <w:tc>
          <w:tcPr>
            <w:tcW w:type="dxa" w:w="1440"/>
            <w:shd w:fill="FFDCE0" w:val="clear"/>
          </w:tcPr>
          <w:p>
            <w:r>
              <w:rPr>
                <w:b/>
                <w:sz w:val="17"/>
              </w:rPr>
              <w:t>11,123</w:t>
            </w:r>
          </w:p>
        </w:tc>
        <w:tc>
          <w:tcPr>
            <w:tcW w:type="dxa" w:w="1440"/>
            <w:shd w:fill="FFDCE0" w:val="clear"/>
          </w:tcPr>
          <w:p>
            <w:r>
              <w:rPr>
                <w:sz w:val="17"/>
              </w:rPr>
              <w:t>11,728</w:t>
            </w:r>
          </w:p>
        </w:tc>
        <w:tc>
          <w:tcPr>
            <w:tcW w:type="dxa" w:w="1440"/>
            <w:shd w:fill="FFDCE0" w:val="clear"/>
          </w:tcPr>
          <w:p>
            <w:r>
              <w:rPr>
                <w:b/>
                <w:color w:val="C00000"/>
                <w:sz w:val="17"/>
              </w:rPr>
              <w:t>-13.8%</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9,981</w:t>
            </w:r>
          </w:p>
        </w:tc>
        <w:tc>
          <w:tcPr>
            <w:tcW w:type="dxa" w:w="1440"/>
            <w:shd w:fill="FFDCE0" w:val="clear"/>
          </w:tcPr>
          <w:p>
            <w:r>
              <w:rPr>
                <w:b/>
                <w:sz w:val="17"/>
              </w:rPr>
              <w:t>10,650</w:t>
            </w:r>
          </w:p>
        </w:tc>
        <w:tc>
          <w:tcPr>
            <w:tcW w:type="dxa" w:w="1440"/>
            <w:shd w:fill="FFDCE0" w:val="clear"/>
          </w:tcPr>
          <w:p>
            <w:r>
              <w:rPr>
                <w:sz w:val="17"/>
              </w:rPr>
              <w:t>11,318</w:t>
            </w:r>
          </w:p>
        </w:tc>
        <w:tc>
          <w:tcPr>
            <w:tcW w:type="dxa" w:w="1440"/>
            <w:shd w:fill="FFDCE0" w:val="clear"/>
          </w:tcPr>
          <w:p>
            <w:r>
              <w:rPr>
                <w:b/>
                <w:color w:val="C00000"/>
                <w:sz w:val="17"/>
              </w:rPr>
              <w:t>-17.4%</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9,521</w:t>
            </w:r>
          </w:p>
        </w:tc>
        <w:tc>
          <w:tcPr>
            <w:tcW w:type="dxa" w:w="1440"/>
            <w:shd w:fill="FFDCE0" w:val="clear"/>
          </w:tcPr>
          <w:p>
            <w:r>
              <w:rPr>
                <w:b/>
                <w:sz w:val="17"/>
              </w:rPr>
              <w:t>10,240</w:t>
            </w:r>
          </w:p>
        </w:tc>
        <w:tc>
          <w:tcPr>
            <w:tcW w:type="dxa" w:w="1440"/>
            <w:shd w:fill="FFDCE0" w:val="clear"/>
          </w:tcPr>
          <w:p>
            <w:r>
              <w:rPr>
                <w:sz w:val="17"/>
              </w:rPr>
              <w:t>10,959</w:t>
            </w:r>
          </w:p>
        </w:tc>
        <w:tc>
          <w:tcPr>
            <w:tcW w:type="dxa" w:w="1440"/>
            <w:shd w:fill="FFDCE0" w:val="clear"/>
          </w:tcPr>
          <w:p>
            <w:r>
              <w:rPr>
                <w:b/>
                <w:color w:val="C00000"/>
                <w:sz w:val="17"/>
              </w:rPr>
              <w:t>-20.6%</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9,126</w:t>
            </w:r>
          </w:p>
        </w:tc>
        <w:tc>
          <w:tcPr>
            <w:tcW w:type="dxa" w:w="1440"/>
            <w:shd w:fill="FFDCE0" w:val="clear"/>
          </w:tcPr>
          <w:p>
            <w:r>
              <w:rPr>
                <w:b/>
                <w:sz w:val="17"/>
              </w:rPr>
              <w:t>9,886</w:t>
            </w:r>
          </w:p>
        </w:tc>
        <w:tc>
          <w:tcPr>
            <w:tcW w:type="dxa" w:w="1440"/>
            <w:shd w:fill="FFDCE0" w:val="clear"/>
          </w:tcPr>
          <w:p>
            <w:r>
              <w:rPr>
                <w:sz w:val="17"/>
              </w:rPr>
              <w:t>10,647</w:t>
            </w:r>
          </w:p>
        </w:tc>
        <w:tc>
          <w:tcPr>
            <w:tcW w:type="dxa" w:w="1440"/>
            <w:shd w:fill="FFDCE0" w:val="clear"/>
          </w:tcPr>
          <w:p>
            <w:r>
              <w:rPr>
                <w:b/>
                <w:color w:val="C00000"/>
                <w:sz w:val="17"/>
              </w:rPr>
              <w:t>-23.4%</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8,785</w:t>
            </w:r>
          </w:p>
        </w:tc>
        <w:tc>
          <w:tcPr>
            <w:tcW w:type="dxa" w:w="1440"/>
            <w:shd w:fill="FFDCE0" w:val="clear"/>
          </w:tcPr>
          <w:p>
            <w:r>
              <w:rPr>
                <w:b/>
                <w:sz w:val="17"/>
              </w:rPr>
              <w:t>9,581</w:t>
            </w:r>
          </w:p>
        </w:tc>
        <w:tc>
          <w:tcPr>
            <w:tcW w:type="dxa" w:w="1440"/>
            <w:shd w:fill="FFDCE0" w:val="clear"/>
          </w:tcPr>
          <w:p>
            <w:r>
              <w:rPr>
                <w:sz w:val="17"/>
              </w:rPr>
              <w:t>10,376</w:t>
            </w:r>
          </w:p>
        </w:tc>
        <w:tc>
          <w:tcPr>
            <w:tcW w:type="dxa" w:w="1440"/>
            <w:shd w:fill="FFDCE0" w:val="clear"/>
          </w:tcPr>
          <w:p>
            <w:r>
              <w:rPr>
                <w:b/>
                <w:color w:val="C00000"/>
                <w:sz w:val="17"/>
              </w:rPr>
              <w:t>-25.7%</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8,487</w:t>
            </w:r>
          </w:p>
        </w:tc>
        <w:tc>
          <w:tcPr>
            <w:tcW w:type="dxa" w:w="1440"/>
            <w:shd w:fill="FFDCE0" w:val="clear"/>
          </w:tcPr>
          <w:p>
            <w:r>
              <w:rPr>
                <w:b/>
                <w:sz w:val="17"/>
              </w:rPr>
              <w:t>9,314</w:t>
            </w:r>
          </w:p>
        </w:tc>
        <w:tc>
          <w:tcPr>
            <w:tcW w:type="dxa" w:w="1440"/>
            <w:shd w:fill="FFDCE0" w:val="clear"/>
          </w:tcPr>
          <w:p>
            <w:r>
              <w:rPr>
                <w:sz w:val="17"/>
              </w:rPr>
              <w:t>10,141</w:t>
            </w:r>
          </w:p>
        </w:tc>
        <w:tc>
          <w:tcPr>
            <w:tcW w:type="dxa" w:w="1440"/>
            <w:shd w:fill="FFDCE0" w:val="clear"/>
          </w:tcPr>
          <w:p>
            <w:r>
              <w:rPr>
                <w:b/>
                <w:color w:val="C00000"/>
                <w:sz w:val="17"/>
              </w:rPr>
              <w:t>-27.8%</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8,225</w:t>
            </w:r>
          </w:p>
        </w:tc>
        <w:tc>
          <w:tcPr>
            <w:tcW w:type="dxa" w:w="1440"/>
            <w:shd w:fill="FFDCE0" w:val="clear"/>
          </w:tcPr>
          <w:p>
            <w:r>
              <w:rPr>
                <w:b/>
                <w:sz w:val="17"/>
              </w:rPr>
              <w:t>9,080</w:t>
            </w:r>
          </w:p>
        </w:tc>
        <w:tc>
          <w:tcPr>
            <w:tcW w:type="dxa" w:w="1440"/>
            <w:shd w:fill="FFDCE0" w:val="clear"/>
          </w:tcPr>
          <w:p>
            <w:r>
              <w:rPr>
                <w:sz w:val="17"/>
              </w:rPr>
              <w:t>9,936</w:t>
            </w:r>
          </w:p>
        </w:tc>
        <w:tc>
          <w:tcPr>
            <w:tcW w:type="dxa" w:w="1440"/>
            <w:shd w:fill="FFDCE0" w:val="clear"/>
          </w:tcPr>
          <w:p>
            <w:r>
              <w:rPr>
                <w:b/>
                <w:color w:val="C00000"/>
                <w:sz w:val="17"/>
              </w:rPr>
              <w:t>-29.6%</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7,993</w:t>
            </w:r>
          </w:p>
        </w:tc>
        <w:tc>
          <w:tcPr>
            <w:tcW w:type="dxa" w:w="1440"/>
            <w:shd w:fill="FFDCE0" w:val="clear"/>
          </w:tcPr>
          <w:p>
            <w:r>
              <w:rPr>
                <w:b/>
                <w:sz w:val="17"/>
              </w:rPr>
              <w:t>8,874</w:t>
            </w:r>
          </w:p>
        </w:tc>
        <w:tc>
          <w:tcPr>
            <w:tcW w:type="dxa" w:w="1440"/>
            <w:shd w:fill="FFDCE0" w:val="clear"/>
          </w:tcPr>
          <w:p>
            <w:r>
              <w:rPr>
                <w:sz w:val="17"/>
              </w:rPr>
              <w:t>9,755</w:t>
            </w:r>
          </w:p>
        </w:tc>
        <w:tc>
          <w:tcPr>
            <w:tcW w:type="dxa" w:w="1440"/>
            <w:shd w:fill="FFDCE0" w:val="clear"/>
          </w:tcPr>
          <w:p>
            <w:r>
              <w:rPr>
                <w:b/>
                <w:color w:val="C00000"/>
                <w:sz w:val="17"/>
              </w:rPr>
              <w:t>-31.2%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13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BOAC s'établit à 516 milliards FCFA, ce qui en fait l'une des valeurs les plus significatives de la BRVM, reflétant son statut de banque systémique en Côte d'Ivoire. Avec un BPA de 888 FCFA, le titre se négocie à un PER de 14,5x, une prime notable par rapport à la moyenne historique du marché (~8-12x), indiquant que les investisseurs intègrent déjà des perspectives de croissance soutenue. Le P/B de 4,05x confirme cette prime, le marché valorisant le titre à plus de quatre fois sa valeur comptable, ce qui témoigne d'une forte confiance dans la qualité des actifs et la rentabilité future. Enfin, l'EV/EBITDA de 27,7x est particulièrement exigeant, signalant que la valeur d'entreprise inclut une prime substantielle pour la capacité opérationnelle de la banque. Ces ratios suggèrent une valorisation riche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 enregistré une progression spectaculaire de +44,30%, avec une dernière séance en hausse de +3,20% pour clôturer à 12 900 FCFA, son plus haut niveau sur la période. Le titre a évolué dans une fourchette très large de 8 100 à 12 900 FCFA, illustrant un mouvement haussier puissant. La moyenne du cours sur la période (9 321 FCFA) est nettement supérieure à la médiane (8 908 FCFA), et le skewness positif de 1,732 confirme une distribution asymétrique avec des journées de forte hausse concentrées en fin de période. L'écart-type de 1 029 FCFA (CV de 11%) indique une dispersion modérée, mais le kurtosis élevé (2,316) signale un risque de mouvements extrêmes. La volatilité annualisée de 28,2% classe le titre dans la catégorie "élevée" (&gt;30% étant très élevé), reflétant un profil de risque marqué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12 900 FCFA se positionne nettement au-dessus de la MM20 (11 076,5 FCFA) et de la MM50 (9 966,6 FCFA), avec un écart de +16,5% et +29,4% respectivement. Cette configuration haussière, où le prix évolue au-dessus des deux moyennes, confirme une dynamique positive soutenue. La décision "Achat" est justifiée par cette structure de tendance clairement ascendante.</w:t>
      </w:r>
    </w:p>
    <w:p>
      <w:pPr>
        <w:spacing w:after="120" w:line="276" w:lineRule="auto"/>
      </w:pPr>
      <w:r>
        <w:t>**Bandes de Bollinger** : Le cours se situe à 12 900 FCFA, très proche de la borne supérieure (13 005 FCFA), indiquant que le titre est en zone de surachat technique. L'écart entre les bornes (3 857 FCFA) reflète une volatilité élevée. La décision "Neutre" s'explique par le fait que le prix n'a pas encore franchi la borne, mais la proximité de celle-ci suggère un risque de correction à court terme.</w:t>
      </w:r>
    </w:p>
    <w:p>
      <w:pPr>
        <w:spacing w:after="120" w:line="276" w:lineRule="auto"/>
      </w:pPr>
      <w:r>
        <w:t>**MACD** : Le MACD (758,03) est nettement au-dessus de sa ligne de signal (609,37), avec un écart positif de 148,66 points. Cette configuration haussière indique un momentum positif soutenu. La décision "Achat" est cohérente avec la dynamique actuelle, bien que l'amplitude de l'écart puisse signaler une exubérance excessive.</w:t>
      </w:r>
    </w:p>
    <w:p>
      <w:pPr>
        <w:spacing w:after="120" w:line="276" w:lineRule="auto"/>
      </w:pPr>
      <w:r>
        <w:t>**RSI** : Le RSI à 88,68 est extrêmement élevé, bien au-delà du seuil de surachat (70). Cette valeur indique une pression d'achat exceptionnelle mais insoutenable à court terme. La décision "Vente" est justifiée par le risque imminent de retournement ou de consolidation, le marché étant dans une zone de surachat extrême.</w:t>
      </w:r>
    </w:p>
    <w:p>
      <w:pPr>
        <w:spacing w:after="120" w:line="276" w:lineRule="auto"/>
      </w:pPr>
      <w:r>
        <w:t>**Stochastique** : Le %K et le %D sont tous deux à 100,00, en zone de surachat maximal. Cette configuration extrême indique que le titre est survendu d'un point de vue technique, avec un risque élevé de correction. La décision "Vente" est cohérente avec cette lecture.</w:t>
      </w:r>
    </w:p>
    <w:p>
      <w:pPr>
        <w:spacing w:after="120" w:line="276" w:lineRule="auto"/>
      </w:pPr>
      <w:r>
        <w:t>**Conclusion technique** : La convergence des indicateurs de momentum (RSI, Stochastique) en zone de surachat extrême contraste avec la tendance haussière des moyennes mobiles et du MACD. Cette divergence signale un risque élevé de correction à court terme, malgré une tendance de fond positive.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BOAC révèlent une banque très performante : le PNB s'établit à 73,545 milliards FCFA, générant un résultat net de 35,540 milliards FCFA, soit une marge nette exceptionnelle de 48,3%. Le ROE de 27,9% et le ROA de 3,2% confirment une rentabilité remarquable, bien au-dessus des standards du secteur. Le coefficient d'exploitation de 36,7% témoigne d'une excellente maîtrise des coûts. Cependant, le coût du risque de 6,67% reste élevé, signalant une dégradation de la qualité du portefeuille de crédits. Les dépôts clientèle (850,5 milliards) dépassent largement les créances (430,4 milliards), indiquant une transformation saine. Les rapports trimestriels 2025 montrent une trajectoire contrastée : le T1 était excellent (PNB +4,93%, résultat net +14,59%), mais le T3 révèle une stagnation (PNB +0,23%, résultat net +1,29%). Sur la base de ces tendances, on estime que l'exercice 2026 pourrait voir un PNB stable et un résultat net en légère progression, à condition que le coût du risque se stabilise. La solidité financière est indéniable, mais la croissance s'essouffle.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(PER 14,5x, P/B 4,05x, EV/EBITDA 27,7x) est exigeante, intégrant des attentes élevées de croissance. Le comportement du cours (+44,3% en 100 jours) avec une volatilité élevée (28,2%) et un kurtosis marqué reflète un enthousiasme spéculatif important. Les signaux techniques sont contradictoires : tendance haussière (MM, MACD) mais surachat extrême (RSI 88,7, Stochastique 100). Les fondamentaux sont solides (ROE 27,9%, coefficient d'exploitation 36,7%) mais la croissance stagne. Les prédictions IA pour les 10 prochains jours (12 152 à 10 240 FCFA) confirment le risque de correction, anticipant une baisse de -20,6% par rapport au cours actuel. Cette convergence entre les signaux techniques de surachat et les prédictions IA suggère une correction imminente. **Recommandation : VENTE** à court terme, avec un niveau de confiance **Moyen** et un risque global **Élevé**. Horizon d'investissement optimal : **court terme (&lt;3 mois)** pour les traders, avec une réévaluation de la position à moyen terme si le titre corrige vers 10 000-10 500 FCFA.</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168.82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6,336 titres</w:t>
            </w:r>
          </w:p>
        </w:tc>
        <w:tc>
          <w:tcPr>
            <w:tcW w:type="dxa" w:w="2268"/>
            <w:shd w:fill="FFF2CC" w:val="clear"/>
          </w:tcPr>
          <w:p>
            <w:r>
              <w:rPr>
                <w:b/>
                <w:color w:val="503200"/>
                <w:sz w:val="16"/>
              </w:rPr>
              <w:t xml:space="preserve">Cours actuel : </w:t>
            </w:r>
            <w:r>
              <w:rPr>
                <w:color w:val="000000"/>
                <w:sz w:val="17"/>
              </w:rPr>
              <w:t>6,150 FCFA</w:t>
            </w:r>
          </w:p>
          <w:p>
            <w:r>
              <w:rPr>
                <w:b/>
                <w:color w:val="503200"/>
                <w:sz w:val="16"/>
              </w:rPr>
              <w:t xml:space="preserve">Var. 100 jours : </w:t>
            </w:r>
            <w:r>
              <w:rPr>
                <w:b/>
                <w:color w:val="007800"/>
                <w:sz w:val="17"/>
              </w:rPr>
              <w:t>+28.53%</w:t>
            </w:r>
          </w:p>
          <w:p>
            <w:r>
              <w:rPr>
                <w:b/>
                <w:color w:val="503200"/>
                <w:sz w:val="16"/>
              </w:rPr>
              <w:t xml:space="preserve">Plus haut 100j : </w:t>
            </w:r>
            <w:r>
              <w:rPr>
                <w:color w:val="000000"/>
                <w:sz w:val="17"/>
              </w:rPr>
              <w:t>6,150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9.07% (Moyenne) — μ=4,989 FCFA, σ=452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β=0.3747 (Défensif) — Cov=0.000012, Var(idx)=0.000031, ρ=0.104,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σ_j=2.00%/j (Stable) — Vol. annualisée≈31.8%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5,848</w:t>
            </w:r>
          </w:p>
        </w:tc>
        <w:tc>
          <w:tcPr>
            <w:tcW w:type="dxa" w:w="1440"/>
            <w:shd w:fill="FAFAFA" w:val="clear"/>
          </w:tcPr>
          <w:p>
            <w:r>
              <w:rPr>
                <w:b/>
                <w:sz w:val="17"/>
              </w:rPr>
              <w:t>6,046</w:t>
            </w:r>
          </w:p>
        </w:tc>
        <w:tc>
          <w:tcPr>
            <w:tcW w:type="dxa" w:w="1440"/>
            <w:shd w:fill="FAFAFA" w:val="clear"/>
          </w:tcPr>
          <w:p>
            <w:r>
              <w:rPr>
                <w:sz w:val="17"/>
              </w:rPr>
              <w:t>6,244</w:t>
            </w:r>
          </w:p>
        </w:tc>
        <w:tc>
          <w:tcPr>
            <w:tcW w:type="dxa" w:w="1440"/>
            <w:shd w:fill="FAFAFA" w:val="clear"/>
          </w:tcPr>
          <w:p>
            <w:r>
              <w:rPr>
                <w:b/>
                <w:color w:val="C00000"/>
                <w:sz w:val="17"/>
              </w:rPr>
              <w:t>-1.7%</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5,641</w:t>
            </w:r>
          </w:p>
        </w:tc>
        <w:tc>
          <w:tcPr>
            <w:tcW w:type="dxa" w:w="1440"/>
            <w:shd w:fill="FFDCE0" w:val="clear"/>
          </w:tcPr>
          <w:p>
            <w:r>
              <w:rPr>
                <w:b/>
                <w:sz w:val="17"/>
              </w:rPr>
              <w:t>5,914</w:t>
            </w:r>
          </w:p>
        </w:tc>
        <w:tc>
          <w:tcPr>
            <w:tcW w:type="dxa" w:w="1440"/>
            <w:shd w:fill="FFDCE0" w:val="clear"/>
          </w:tcPr>
          <w:p>
            <w:r>
              <w:rPr>
                <w:sz w:val="17"/>
              </w:rPr>
              <w:t>6,188</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5,467</w:t>
            </w:r>
          </w:p>
        </w:tc>
        <w:tc>
          <w:tcPr>
            <w:tcW w:type="dxa" w:w="1440"/>
            <w:shd w:fill="FFDCE0" w:val="clear"/>
          </w:tcPr>
          <w:p>
            <w:r>
              <w:rPr>
                <w:b/>
                <w:sz w:val="17"/>
              </w:rPr>
              <w:t>5,796</w:t>
            </w:r>
          </w:p>
        </w:tc>
        <w:tc>
          <w:tcPr>
            <w:tcW w:type="dxa" w:w="1440"/>
            <w:shd w:fill="FFDCE0" w:val="clear"/>
          </w:tcPr>
          <w:p>
            <w:r>
              <w:rPr>
                <w:sz w:val="17"/>
              </w:rPr>
              <w:t>6,124</w:t>
            </w:r>
          </w:p>
        </w:tc>
        <w:tc>
          <w:tcPr>
            <w:tcW w:type="dxa" w:w="1440"/>
            <w:shd w:fill="FFDCE0" w:val="clear"/>
          </w:tcPr>
          <w:p>
            <w:r>
              <w:rPr>
                <w:b/>
                <w:color w:val="C00000"/>
                <w:sz w:val="17"/>
              </w:rPr>
              <w:t>-5.8%</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5,324</w:t>
            </w:r>
          </w:p>
        </w:tc>
        <w:tc>
          <w:tcPr>
            <w:tcW w:type="dxa" w:w="1440"/>
            <w:shd w:fill="FFDCE0" w:val="clear"/>
          </w:tcPr>
          <w:p>
            <w:r>
              <w:rPr>
                <w:b/>
                <w:sz w:val="17"/>
              </w:rPr>
              <w:t>5,696</w:t>
            </w:r>
          </w:p>
        </w:tc>
        <w:tc>
          <w:tcPr>
            <w:tcW w:type="dxa" w:w="1440"/>
            <w:shd w:fill="FFDCE0" w:val="clear"/>
          </w:tcPr>
          <w:p>
            <w:r>
              <w:rPr>
                <w:sz w:val="17"/>
              </w:rPr>
              <w:t>6,069</w:t>
            </w:r>
          </w:p>
        </w:tc>
        <w:tc>
          <w:tcPr>
            <w:tcW w:type="dxa" w:w="1440"/>
            <w:shd w:fill="FFDCE0" w:val="clear"/>
          </w:tcPr>
          <w:p>
            <w:r>
              <w:rPr>
                <w:b/>
                <w:color w:val="C00000"/>
                <w:sz w:val="17"/>
              </w:rPr>
              <w:t>-7.4%</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5,201</w:t>
            </w:r>
          </w:p>
        </w:tc>
        <w:tc>
          <w:tcPr>
            <w:tcW w:type="dxa" w:w="1440"/>
            <w:shd w:fill="FFDCE0" w:val="clear"/>
          </w:tcPr>
          <w:p>
            <w:r>
              <w:rPr>
                <w:b/>
                <w:sz w:val="17"/>
              </w:rPr>
              <w:t>5,611</w:t>
            </w:r>
          </w:p>
        </w:tc>
        <w:tc>
          <w:tcPr>
            <w:tcW w:type="dxa" w:w="1440"/>
            <w:shd w:fill="FFDCE0" w:val="clear"/>
          </w:tcPr>
          <w:p>
            <w:r>
              <w:rPr>
                <w:sz w:val="17"/>
              </w:rPr>
              <w:t>6,022</w:t>
            </w:r>
          </w:p>
        </w:tc>
        <w:tc>
          <w:tcPr>
            <w:tcW w:type="dxa" w:w="1440"/>
            <w:shd w:fill="FFDCE0" w:val="clear"/>
          </w:tcPr>
          <w:p>
            <w:r>
              <w:rPr>
                <w:b/>
                <w:color w:val="C00000"/>
                <w:sz w:val="17"/>
              </w:rPr>
              <w:t>-8.8%</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5,092</w:t>
            </w:r>
          </w:p>
        </w:tc>
        <w:tc>
          <w:tcPr>
            <w:tcW w:type="dxa" w:w="1440"/>
            <w:shd w:fill="FFDCE0" w:val="clear"/>
          </w:tcPr>
          <w:p>
            <w:r>
              <w:rPr>
                <w:b/>
                <w:sz w:val="17"/>
              </w:rPr>
              <w:t>5,535</w:t>
            </w:r>
          </w:p>
        </w:tc>
        <w:tc>
          <w:tcPr>
            <w:tcW w:type="dxa" w:w="1440"/>
            <w:shd w:fill="FFDCE0" w:val="clear"/>
          </w:tcPr>
          <w:p>
            <w:r>
              <w:rPr>
                <w:sz w:val="17"/>
              </w:rPr>
              <w:t>5,979</w:t>
            </w:r>
          </w:p>
        </w:tc>
        <w:tc>
          <w:tcPr>
            <w:tcW w:type="dxa" w:w="1440"/>
            <w:shd w:fill="FFDCE0" w:val="clear"/>
          </w:tcPr>
          <w:p>
            <w:r>
              <w:rPr>
                <w:b/>
                <w:color w:val="C00000"/>
                <w:sz w:val="17"/>
              </w:rPr>
              <w:t>-10.0%</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4,991</w:t>
            </w:r>
          </w:p>
        </w:tc>
        <w:tc>
          <w:tcPr>
            <w:tcW w:type="dxa" w:w="1440"/>
            <w:shd w:fill="FFDCE0" w:val="clear"/>
          </w:tcPr>
          <w:p>
            <w:r>
              <w:rPr>
                <w:b/>
                <w:sz w:val="17"/>
              </w:rPr>
              <w:t>5,465</w:t>
            </w:r>
          </w:p>
        </w:tc>
        <w:tc>
          <w:tcPr>
            <w:tcW w:type="dxa" w:w="1440"/>
            <w:shd w:fill="FFDCE0" w:val="clear"/>
          </w:tcPr>
          <w:p>
            <w:r>
              <w:rPr>
                <w:sz w:val="17"/>
              </w:rPr>
              <w:t>5,938</w:t>
            </w:r>
          </w:p>
        </w:tc>
        <w:tc>
          <w:tcPr>
            <w:tcW w:type="dxa" w:w="1440"/>
            <w:shd w:fill="FFDCE0" w:val="clear"/>
          </w:tcPr>
          <w:p>
            <w:r>
              <w:rPr>
                <w:b/>
                <w:color w:val="C00000"/>
                <w:sz w:val="17"/>
              </w:rPr>
              <w:t>-11.1%</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4,899</w:t>
            </w:r>
          </w:p>
        </w:tc>
        <w:tc>
          <w:tcPr>
            <w:tcW w:type="dxa" w:w="1440"/>
            <w:shd w:fill="FFDCE0" w:val="clear"/>
          </w:tcPr>
          <w:p>
            <w:r>
              <w:rPr>
                <w:b/>
                <w:sz w:val="17"/>
              </w:rPr>
              <w:t>5,398</w:t>
            </w:r>
          </w:p>
        </w:tc>
        <w:tc>
          <w:tcPr>
            <w:tcW w:type="dxa" w:w="1440"/>
            <w:shd w:fill="FFDCE0" w:val="clear"/>
          </w:tcPr>
          <w:p>
            <w:r>
              <w:rPr>
                <w:sz w:val="17"/>
              </w:rPr>
              <w:t>5,898</w:t>
            </w:r>
          </w:p>
        </w:tc>
        <w:tc>
          <w:tcPr>
            <w:tcW w:type="dxa" w:w="1440"/>
            <w:shd w:fill="FFDCE0" w:val="clear"/>
          </w:tcPr>
          <w:p>
            <w:r>
              <w:rPr>
                <w:b/>
                <w:color w:val="C00000"/>
                <w:sz w:val="17"/>
              </w:rPr>
              <w:t>-12.2%</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4,812</w:t>
            </w:r>
          </w:p>
        </w:tc>
        <w:tc>
          <w:tcPr>
            <w:tcW w:type="dxa" w:w="1440"/>
            <w:shd w:fill="FFDCE0" w:val="clear"/>
          </w:tcPr>
          <w:p>
            <w:r>
              <w:rPr>
                <w:b/>
                <w:sz w:val="17"/>
              </w:rPr>
              <w:t>5,336</w:t>
            </w:r>
          </w:p>
        </w:tc>
        <w:tc>
          <w:tcPr>
            <w:tcW w:type="dxa" w:w="1440"/>
            <w:shd w:fill="FFDCE0" w:val="clear"/>
          </w:tcPr>
          <w:p>
            <w:r>
              <w:rPr>
                <w:sz w:val="17"/>
              </w:rPr>
              <w:t>5,860</w:t>
            </w:r>
          </w:p>
        </w:tc>
        <w:tc>
          <w:tcPr>
            <w:tcW w:type="dxa" w:w="1440"/>
            <w:shd w:fill="FFDCE0" w:val="clear"/>
          </w:tcPr>
          <w:p>
            <w:r>
              <w:rPr>
                <w:b/>
                <w:color w:val="C00000"/>
                <w:sz w:val="17"/>
              </w:rPr>
              <w:t>-13.2%</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4,731</w:t>
            </w:r>
          </w:p>
        </w:tc>
        <w:tc>
          <w:tcPr>
            <w:tcW w:type="dxa" w:w="1440"/>
            <w:shd w:fill="FFDCE0" w:val="clear"/>
          </w:tcPr>
          <w:p>
            <w:r>
              <w:rPr>
                <w:b/>
                <w:sz w:val="17"/>
              </w:rPr>
              <w:t>5,277</w:t>
            </w:r>
          </w:p>
        </w:tc>
        <w:tc>
          <w:tcPr>
            <w:tcW w:type="dxa" w:w="1440"/>
            <w:shd w:fill="FFDCE0" w:val="clear"/>
          </w:tcPr>
          <w:p>
            <w:r>
              <w:rPr>
                <w:sz w:val="17"/>
              </w:rPr>
              <w:t>5,823</w:t>
            </w:r>
          </w:p>
        </w:tc>
        <w:tc>
          <w:tcPr>
            <w:tcW w:type="dxa" w:w="1440"/>
            <w:shd w:fill="FFDCE0" w:val="clear"/>
          </w:tcPr>
          <w:p>
            <w:r>
              <w:rPr>
                <w:b/>
                <w:color w:val="C00000"/>
                <w:sz w:val="17"/>
              </w:rPr>
              <w:t>-14.2%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168,82 milliards FCFA, positionnant la banque parmi les valeurs moyennes de la BRVM. Avec un BPA de 404 FCFA, chaque action génère un bénéfice substantiel, justifiant un PER de 15,2x, nettement supérieur à la moyenne historique de la BRVM (8-12x). Cette prime traduit la confiance des investisseurs dans la trajectoire de croissance de la banque, mais implique une attente de performance soutenue. Le P/B de 3,39x confirme cette prime, le marché valorisant la banque bien au-delà de sa valeur comptable, signe d'une anticipation de rentabilité future élevée. Enfin, un EV/EBITDA de 7,9x, dans la fourchette raisonnable de 5-10x, indique que la valorisation globale de l'entreprise, rapportée à sa capacité opérationnelle, reste mesurée et ne présente pas de signe de surchauffe majeur.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+28,53%, avec une légère hausse de +0,16% lors de la dernière séance, atteignant un cours de 6 150 FCFA. Le titre a évolué dans une fourchette de 4 425 à 6 150 FCFA, démontrant une dynamique haussière soutenue. La moyenne du cours sur la période (4 989 FCFA) est inférieure à la médiane (4 758 FCFA), et le skewness positif de 0,902 indique une asymétrie avec un plus grand nombre de journées sous la moyenne, mais des mouvements de hausse plus prononcés. L'écart-type de 455 FCFA (CV=9,1%) révèle une dispersion modérée, tandis que le kurtosis de -0,516 (mésokurtique) suggère une distribution proche de la normale, sans risque de pics extrêmes. La volatilité annualisée de 31,8% classe le titre comme très volatil, reflétant un risque élevé mais aussi un fort potentiel de rendement.</w:t>
      </w:r>
    </w:p>
    <w:p>
      <w:pPr>
        <w:spacing w:after="120" w:line="276" w:lineRule="auto" w:before="240"/>
      </w:pPr>
      <w:r>
        <w:rPr>
          <w:b/>
          <w:color w:val="003366"/>
          <w:sz w:val="24"/>
        </w:rPr>
        <w:t>**PARTIE 2 : ANALYSE TECHNIQUE DÉTAILLÉE**</w:t>
      </w:r>
    </w:p>
    <w:p>
      <w:pPr>
        <w:spacing w:after="120" w:line="276" w:lineRule="auto"/>
      </w:pPr>
      <w:r>
        <w:t>**Moyennes Mobiles** : Le cours actuel (6 150 FCFA) est nettement au-dessus de la MM20 (5 711,25 FCFA) et de la MM50 (5 241 FCFA), confirmant une tendance haussière solide à court et moyen terme. La décision d'achat est justifiée par cette configuration positive.</w:t>
      </w:r>
    </w:p>
    <w:p>
      <w:pPr>
        <w:spacing w:after="120" w:line="276" w:lineRule="auto"/>
      </w:pPr>
      <w:r>
        <w:t>**Bandes de Bollinger** : Le prix se situe au-dessus de la borne supérieure (6 105,64 FCFA), indiquant une condition de surachat extrême. La décision de vente est pertinente, car un retour vers la moyenne (5 711 FCFA) est statistiquement probable.</w:t>
      </w:r>
    </w:p>
    <w:p>
      <w:pPr>
        <w:spacing w:after="120" w:line="276" w:lineRule="auto"/>
      </w:pPr>
      <w:r>
        <w:t>**MACD** : La valeur du MACD (196,97) est supérieure à son signal (165,51), avec un écart positif. Cette configuration signale un momentum haussier persistant, justifiant la décision d'achat.</w:t>
      </w:r>
    </w:p>
    <w:p>
      <w:pPr>
        <w:spacing w:after="120" w:line="276" w:lineRule="auto"/>
      </w:pPr>
      <w:r>
        <w:t>**RSI** : À 72,18, le RSI est en zone de surachat (&gt;70), signalant une possible correction à court terme. La décision de vente est cohérente avec cette lecture.</w:t>
      </w:r>
    </w:p>
    <w:p>
      <w:pPr>
        <w:spacing w:after="120" w:line="276" w:lineRule="auto"/>
      </w:pPr>
      <w:r>
        <w:t>**Stochastique** : %K et %D sont tous deux à 100, un niveau extrême de surachat. Cette configuration suggère un essoufflement imminent du mouvement haussier, justifiant la décision de vente.</w:t>
      </w:r>
    </w:p>
    <w:p>
      <w:pPr>
        <w:spacing w:after="120" w:line="276" w:lineRule="auto"/>
      </w:pPr>
      <w:r>
        <w:t>**Conclusion technique** : Les indicateurs de tendance (MM, MACD) sont positifs, mais les oscillateurs (RSI, Stochastique) et les bandes de Bollinger signalent un surachat sévère. Cette divergence indique un risque élevé de correction à court terme, malgré une tendance de fond haussière.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BOAM révèlent un Produit Net Bancaire (PNB) de 37,996 milliards FCFA, en croissance de 5,08%, et un résultat net de 11,081 milliards FCFA, démontrant une rentabilité exceptionnelle. Le ROE s'établit à 22,24%, bien au-dessus du seuil de 15% considéré comme excellent, et le ROA à 1,87%, reflétant une gestion efficace des actifs. Le coefficient d'exploitation de 63,14% indique une efficacité opérationnelle correcte, bien que légèrement au-dessus de la référence de 60%. Le coût du risque, à 43,39% des charges financières, reste élevé, signalant un risque de crédit significatif. Les dépôts clientèle (502,89 milliards FCFA) dépassent largement les créances clientèle (253,65 milliards FCFA), assurant une transformation saine. Les rapports trimestriels 2025 confirment cette dynamique : le T1 montre un résultat net en hausse de 91,18%, le S1 de +28,8%, et le T3 de +26,2%, avec un PNB cumulé de 28,52 milliards FCFA (+5,8%). Sur la base de ces performances, on estime que l'exercice 2025 devrait confirmer une croissance solide du PNB et une rentabilité nette en forte expansion, portée par une gestion rigoureuse des coûts et une amélioration du coût du risque.</w:t>
      </w:r>
    </w:p>
    <w:p>
      <w:pPr>
        <w:spacing w:after="120" w:line="276" w:lineRule="auto" w:before="240"/>
      </w:pPr>
      <w:r>
        <w:rPr>
          <w:b/>
          <w:color w:val="003366"/>
          <w:sz w:val="24"/>
        </w:rPr>
        <w:t>**PARTIE 4 : CONCLUSION D'INVESTISSEMENT**</w:t>
      </w:r>
    </w:p>
    <w:p>
      <w:pPr>
        <w:spacing w:after="120" w:line="276" w:lineRule="auto"/>
      </w:pPr>
      <w:r>
        <w:t>La valorisation de BOAM (PER 15,2x, P/B 3,39x) indique une prime de croissance, mais reste justifiée par des fondamentaux solides et une rentabilité exceptionnelle (ROE 22,24%). Le comportement du cours, avec une hausse de 28,53% sur 100 jours et une volatilité élevée (31,8%), reflète un fort momentum mais aussi un risque de correction. Les signaux techniques sont mitigés : tendance haussière (MM, MACD) mais surachat sévère (RSI, Stochastique, Bollinger). Les fondamentaux, soutenus par des rapports trimestriels en forte croissance, sont robustes. Les prédictions IA (J+1 à J+10) prévoient une correction progressive vers 5 611 FCFA, confirmant les signaux de surachat technique. En synthèse, la convergence entre la surévaluation technique à court terme et les solides perspectives fondamentales suggère une recommandation **CONSERVER**. Le niveau de confiance est **Moyen**, le risque global **Élevé** (volatilité et surachat). L'horizon d'investissement optimal est le **moyen terme (3-12 mois)**, en attendant une correction pour renforcer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106.50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10,429 titres</w:t>
            </w:r>
          </w:p>
        </w:tc>
        <w:tc>
          <w:tcPr>
            <w:tcW w:type="dxa" w:w="2268"/>
            <w:shd w:fill="FFF2CC" w:val="clear"/>
          </w:tcPr>
          <w:p>
            <w:r>
              <w:rPr>
                <w:b/>
                <w:color w:val="503200"/>
                <w:sz w:val="16"/>
              </w:rPr>
              <w:t xml:space="preserve">Cours actuel : </w:t>
            </w:r>
            <w:r>
              <w:rPr>
                <w:color w:val="000000"/>
                <w:sz w:val="17"/>
              </w:rPr>
              <w:t>5,120 FCFA</w:t>
            </w:r>
          </w:p>
          <w:p>
            <w:r>
              <w:rPr>
                <w:b/>
                <w:color w:val="503200"/>
                <w:sz w:val="16"/>
              </w:rPr>
              <w:t xml:space="preserve">Var. 100 jours : </w:t>
            </w:r>
            <w:r>
              <w:rPr>
                <w:b/>
                <w:color w:val="007800"/>
                <w:sz w:val="17"/>
              </w:rPr>
              <w:t>+96.17%</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22.02% (Élevée) — μ=3,906 FCFA, σ=860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β=0.0566 (Défensif) — Cov=0.000002, Var(idx)=0.000031, ρ=0.012,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10,429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4,865</w:t>
            </w:r>
          </w:p>
        </w:tc>
        <w:tc>
          <w:tcPr>
            <w:tcW w:type="dxa" w:w="1440"/>
            <w:shd w:fill="FAFAFA" w:val="clear"/>
          </w:tcPr>
          <w:p>
            <w:r>
              <w:rPr>
                <w:b/>
                <w:sz w:val="17"/>
              </w:rPr>
              <w:t>5,093</w:t>
            </w:r>
          </w:p>
        </w:tc>
        <w:tc>
          <w:tcPr>
            <w:tcW w:type="dxa" w:w="1440"/>
            <w:shd w:fill="FAFAFA" w:val="clear"/>
          </w:tcPr>
          <w:p>
            <w:r>
              <w:rPr>
                <w:sz w:val="17"/>
              </w:rPr>
              <w:t>5,322</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4,764</w:t>
            </w:r>
          </w:p>
        </w:tc>
        <w:tc>
          <w:tcPr>
            <w:tcW w:type="dxa" w:w="1440"/>
            <w:shd w:fill="FAFAFA" w:val="clear"/>
          </w:tcPr>
          <w:p>
            <w:r>
              <w:rPr>
                <w:b/>
                <w:sz w:val="17"/>
              </w:rPr>
              <w:t>5,087</w:t>
            </w:r>
          </w:p>
        </w:tc>
        <w:tc>
          <w:tcPr>
            <w:tcW w:type="dxa" w:w="1440"/>
            <w:shd w:fill="FAFAFA" w:val="clear"/>
          </w:tcPr>
          <w:p>
            <w:r>
              <w:rPr>
                <w:sz w:val="17"/>
              </w:rPr>
              <w:t>5,410</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4,683</w:t>
            </w:r>
          </w:p>
        </w:tc>
        <w:tc>
          <w:tcPr>
            <w:tcW w:type="dxa" w:w="1440"/>
            <w:shd w:fill="FAFAFA" w:val="clear"/>
          </w:tcPr>
          <w:p>
            <w:r>
              <w:rPr>
                <w:b/>
                <w:sz w:val="17"/>
              </w:rPr>
              <w:t>5,078</w:t>
            </w:r>
          </w:p>
        </w:tc>
        <w:tc>
          <w:tcPr>
            <w:tcW w:type="dxa" w:w="1440"/>
            <w:shd w:fill="FAFAFA" w:val="clear"/>
          </w:tcPr>
          <w:p>
            <w:r>
              <w:rPr>
                <w:sz w:val="17"/>
              </w:rPr>
              <w:t>5,473</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4,614</w:t>
            </w:r>
          </w:p>
        </w:tc>
        <w:tc>
          <w:tcPr>
            <w:tcW w:type="dxa" w:w="1440"/>
            <w:shd w:fill="FAFAFA" w:val="clear"/>
          </w:tcPr>
          <w:p>
            <w:r>
              <w:rPr>
                <w:b/>
                <w:sz w:val="17"/>
              </w:rPr>
              <w:t>5,069</w:t>
            </w:r>
          </w:p>
        </w:tc>
        <w:tc>
          <w:tcPr>
            <w:tcW w:type="dxa" w:w="1440"/>
            <w:shd w:fill="FAFAFA" w:val="clear"/>
          </w:tcPr>
          <w:p>
            <w:r>
              <w:rPr>
                <w:sz w:val="17"/>
              </w:rPr>
              <w:t>5,524</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4,552</w:t>
            </w:r>
          </w:p>
        </w:tc>
        <w:tc>
          <w:tcPr>
            <w:tcW w:type="dxa" w:w="1440"/>
            <w:shd w:fill="FAFAFA" w:val="clear"/>
          </w:tcPr>
          <w:p>
            <w:r>
              <w:rPr>
                <w:b/>
                <w:sz w:val="17"/>
              </w:rPr>
              <w:t>5,060</w:t>
            </w:r>
          </w:p>
        </w:tc>
        <w:tc>
          <w:tcPr>
            <w:tcW w:type="dxa" w:w="1440"/>
            <w:shd w:fill="FAFAFA" w:val="clear"/>
          </w:tcPr>
          <w:p>
            <w:r>
              <w:rPr>
                <w:sz w:val="17"/>
              </w:rPr>
              <w:t>5,568</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4,496</w:t>
            </w:r>
          </w:p>
        </w:tc>
        <w:tc>
          <w:tcPr>
            <w:tcW w:type="dxa" w:w="1440"/>
            <w:shd w:fill="FAFAFA" w:val="clear"/>
          </w:tcPr>
          <w:p>
            <w:r>
              <w:rPr>
                <w:b/>
                <w:sz w:val="17"/>
              </w:rPr>
              <w:t>5,051</w:t>
            </w:r>
          </w:p>
        </w:tc>
        <w:tc>
          <w:tcPr>
            <w:tcW w:type="dxa" w:w="1440"/>
            <w:shd w:fill="FAFAFA" w:val="clear"/>
          </w:tcPr>
          <w:p>
            <w:r>
              <w:rPr>
                <w:sz w:val="17"/>
              </w:rPr>
              <w:t>5,606</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4,444</w:t>
            </w:r>
          </w:p>
        </w:tc>
        <w:tc>
          <w:tcPr>
            <w:tcW w:type="dxa" w:w="1440"/>
            <w:shd w:fill="FAFAFA" w:val="clear"/>
          </w:tcPr>
          <w:p>
            <w:r>
              <w:rPr>
                <w:b/>
                <w:sz w:val="17"/>
              </w:rPr>
              <w:t>5,042</w:t>
            </w:r>
          </w:p>
        </w:tc>
        <w:tc>
          <w:tcPr>
            <w:tcW w:type="dxa" w:w="1440"/>
            <w:shd w:fill="FAFAFA" w:val="clear"/>
          </w:tcPr>
          <w:p>
            <w:r>
              <w:rPr>
                <w:sz w:val="17"/>
              </w:rPr>
              <w:t>5,641</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4,395</w:t>
            </w:r>
          </w:p>
        </w:tc>
        <w:tc>
          <w:tcPr>
            <w:tcW w:type="dxa" w:w="1440"/>
            <w:shd w:fill="FAFAFA" w:val="clear"/>
          </w:tcPr>
          <w:p>
            <w:r>
              <w:rPr>
                <w:b/>
                <w:sz w:val="17"/>
              </w:rPr>
              <w:t>5,034</w:t>
            </w:r>
          </w:p>
        </w:tc>
        <w:tc>
          <w:tcPr>
            <w:tcW w:type="dxa" w:w="1440"/>
            <w:shd w:fill="FAFAFA" w:val="clear"/>
          </w:tcPr>
          <w:p>
            <w:r>
              <w:rPr>
                <w:sz w:val="17"/>
              </w:rPr>
              <w:t>5,672</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4,349</w:t>
            </w:r>
          </w:p>
        </w:tc>
        <w:tc>
          <w:tcPr>
            <w:tcW w:type="dxa" w:w="1440"/>
            <w:shd w:fill="FAFAFA" w:val="clear"/>
          </w:tcPr>
          <w:p>
            <w:r>
              <w:rPr>
                <w:b/>
                <w:sz w:val="17"/>
              </w:rPr>
              <w:t>5,025</w:t>
            </w:r>
          </w:p>
        </w:tc>
        <w:tc>
          <w:tcPr>
            <w:tcW w:type="dxa" w:w="1440"/>
            <w:shd w:fill="FAFAFA" w:val="clear"/>
          </w:tcPr>
          <w:p>
            <w:r>
              <w:rPr>
                <w:sz w:val="17"/>
              </w:rPr>
              <w:t>5,701</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4,305</w:t>
            </w:r>
          </w:p>
        </w:tc>
        <w:tc>
          <w:tcPr>
            <w:tcW w:type="dxa" w:w="1440"/>
            <w:shd w:fill="FFDCE0" w:val="clear"/>
          </w:tcPr>
          <w:p>
            <w:r>
              <w:rPr>
                <w:b/>
                <w:sz w:val="17"/>
              </w:rPr>
              <w:t>5,017</w:t>
            </w:r>
          </w:p>
        </w:tc>
        <w:tc>
          <w:tcPr>
            <w:tcW w:type="dxa" w:w="1440"/>
            <w:shd w:fill="FFDCE0" w:val="clear"/>
          </w:tcPr>
          <w:p>
            <w:r>
              <w:rPr>
                <w:sz w:val="17"/>
              </w:rPr>
              <w:t>5,728</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106,50 milliards FCFA, un niveau significatif pour la place de Niamey, reflétant une prime de taille dans un marché où les valeurs bancaires sont recherchées. Le BPA de 20 FCFA par action est extrêmement faible, traduisant une capacité bénéficiaire très limitée. Le PER de 260,4x est considérablement supérieur à la moyenne de la BRVM (8-12x), indiquant une **sévère surévaluation** par rapport aux bénéfices actuels. Le P/B de 2,95x valorise l'actif net comptable près de trois fois, ce qui est exigeant pour une banque dont le ROE est inférieur à 2%. Enfin, l'EV/EBITDA de 39,6x, très supérieur au seuil de 15x, confirme que le marché intègre des hypothèses de redressement très ambitieuses, sans rapport avec la performance opérationnelle immédiate.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BOAN affiche une progression spectaculaire de **+96,17%**, passant d'un plus bas de 2 460 FCFA à un plus haut de 5 400 FCFA, avec un cours actuel de 5 120 FCFA. La variation de +0,39% sur la dernière séance suggère une consolidation après un rallye intense. La moyenne (3 906 FCFA) est supérieure à la médiane (3 718 FCFA), indiquant une distribution légèrement asymétrique à droite, avec des extrêmes hauts qui tirent la moyenne vers le haut. L'écart-type de 864 FCFA (CV=22,1%) montre une dispersion modérée des prix autour de la moyenne. Le kurtosis de -0,938 (mésokurtique) et le skewness de 0,301 indiquent une distribution proche de la normale, sans risque de pics extrêmes. La volatilité annualisée de **41,6%** classe BOAN comme un titre à **volatilité élevée**, typique des valeurs spéculatives en phase de rattrapage.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(5 120 FCFA) se situe au-dessus de la MM20 (5 224,5 FCFA) et de la MM50 (4 571,2 FCFA), mais sous la MM20, ce qui indique un léger repli à court terme après une forte hausse. La configuration haussière de moyen terme (cours &gt; MM50) justifie la décision d'**Achat**, bien que le croisement sous la MM20 suggère une pause technique.</w:t>
      </w:r>
    </w:p>
    <w:p>
      <w:pPr>
        <w:spacing w:after="120" w:line="276" w:lineRule="auto"/>
      </w:pPr>
      <w:r>
        <w:t>**Bandes de Bollinger :** Le prix (5 120 FCFA) se positionne dans la moitié inférieure du canal, entre la borne inférieure (5 016,9 FCFA) et la borne supérieure (5 432,0 FCFA). L'écart entre les bornes est large, reflétant la volatilité élevée. La décision **Neutre** est cohérente : le titre n'est ni suracheté ni survendu, mais l'approche de la borne inférieure pourrait offrir un point d'entrée si le support tient.</w:t>
      </w:r>
    </w:p>
    <w:p>
      <w:pPr>
        <w:spacing w:after="120" w:line="276" w:lineRule="auto"/>
      </w:pPr>
      <w:r>
        <w:t>**MACD :** La valeur du MACD (135,3) est inférieure à son signal (199,8), indiquant un momentum baissier à court terme. Cette configuration de **Vente** signale une perte de vitesse après le rallye, avec un risque de correction si la divergence se creuse.</w:t>
      </w:r>
    </w:p>
    <w:p>
      <w:pPr>
        <w:spacing w:after="120" w:line="276" w:lineRule="auto"/>
      </w:pPr>
      <w:r>
        <w:t>**RSI :** À 38,3, le RSI se situe en zone neutre, proche de la survente (30). Cela suggère que la pression vendeuse s'installe sans atteindre des niveaux extrêmes. La décision **Neutre** est appropriée, avec un potentiel de rebond si le RSI se retourne à la hausse.</w:t>
      </w:r>
    </w:p>
    <w:p>
      <w:pPr>
        <w:spacing w:after="120" w:line="276" w:lineRule="auto"/>
      </w:pPr>
      <w:r>
        <w:t>**Stochastique :** Le %K (13,8) et le %D (9,7) sont en zone de survente profonde (&lt;20), avec un croisement haussier potentiel. La décision **Achat** est justifiée : le titre est techniquement survendu à court terme, ce qui pourrait déclencher un rebond technique.</w:t>
      </w:r>
    </w:p>
    <w:p>
      <w:pPr>
        <w:spacing w:after="120" w:line="276" w:lineRule="auto"/>
      </w:pPr>
      <w:r>
        <w:t>**Conclusion technique :** Les indicateurs sont **divergents** : les moyennes mobiles et le stochastique suggèrent un potentiel haussier, tandis que le MACD et le RSI indiquent une faiblesse à court terme. Cette configuration reflète un marché en consolidation après une forte hausse, avec un biais positif à moyen terme mais un risque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révèlent une situation financière très dégradée pour BOAN. Le Produit Net Bancaire (PNB) s'établit à 21,125 milliards FCFA, en baisse de 1,2% par rapport à 2024 (21,380 milliards FCFA). Le résultat net chute de 91,8% à **409 millions FCFA** (contre 5 002 millions en 2024), avec un ROE de 1,13% et un ROA de 0,14%, bien en dessous des seuils de rentabilité. Le coefficient d'exploitation de 74,4% est très élevé, indiquant une inefficacité opérationnelle (seuil de référence &lt;60%). Le coût du risque de 67,3% est préoccupant, reflétant un portefeuille de crédits de mauvaise qualité (taux de créances en souffrance sectoriel de 24%). Les dépôts clientèle (183,280 milliards FCFA) couvrent largement les créances clientèle (128,447 milliards FCFA), mais la contraction des crédits (-20,9%) et la hausse des provisions (4,292 milliards FCFA) pèsent lourdement. **Les rapports trimestriels 2025** confirment cette tendance : le T1 2025 montre un PNB en baisse de 16,3% et un résultat net en chute de 50,2%, tandis que le S1 2025 affiche une amélioration relative (PNB -4,1%, résultat net -25,2%). **Le rapport T1 2026** (daté de 2026) indique un net redressement : PNB en hausse de 7,9% à 5 170 millions FCFA, résultat net en progression de 28,9% à 1 467 millions FCFA, et coefficient d'exploitation amélioré à 56,2%. **On estime** que l'exercice 2026 pourrait voir un PNB annuel autour de 22,3 milliards FCFA (budget prévu) et un résultat net de 7,3 milliards FCFA, soit une multiplication par 18 par rapport à 2025, si les objectifs de réduction du coût du risque (-65,7%) sont tenus. La solidité financière reste fragile, mais le soutien du groupe BOA et les perspectives macroéconomiques du Niger (croissance PIB de 7% prévue) offrent un potentiel de rebond.</w:t>
      </w:r>
    </w:p>
    <w:p>
      <w:pPr>
        <w:spacing w:after="120" w:line="276" w:lineRule="auto"/>
      </w:pPr>
      <w:r>
        <w:t>---</w:t>
      </w:r>
    </w:p>
    <w:p>
      <w:pPr>
        <w:spacing w:after="120" w:line="276" w:lineRule="auto"/>
      </w:pPr>
      <w:r>
        <w:t>### PARTIE 4 : CONCLUSION D'INVESTISSEMENT</w:t>
      </w:r>
    </w:p>
    <w:p>
      <w:pPr>
        <w:spacing w:after="120" w:line="276" w:lineRule="auto"/>
      </w:pPr>
      <w:r>
        <w:t>La valorisation de BOAN est **extrêmement exigeante** (PER 260x, P/B 2,95x, EV/EBITDA 39,6x), reflétant des anticipations de redressement très optimistes au regard des fondamentaux actuels. Le comportement du cours (+96% en 100 jours) montre un rallye spéculatif intense, avec une volatilité élevée (41,6%) et des statistiques de distribution normales, mais une tendance haussière qui semble avoir dépassé les fondamentaux. Les signaux techniques sont **divergents** : les moyennes mobiles et le stochastique (survente) suggèrent un potentiel de rebond, tandis que le MACD et le RSI indiquent une faiblesse à court terme. Les fondamentaux, bien que très dégradés en 2025 (ROE 1,13%, résultat net en chute de 91,8%), montrent des signes d'amélioration au T1 2026 (+28,9% de résultat net), soutenus par un plan de redressement crédible. Les prédictions IA (5 093 à 5 060 FCFA sur 10 jours) suggèrent une **légère baisse**, contredisant le signal d'achat technique à court terme. **Recommandation finale : CONSERVER** avec un niveau de confiance **Moyen** et un risque global **Élevé**. L'horizon d'investissement optimal est le **moyen terme (3-12 mois)**, en attendant la confirmation du redressement fondamental (résultats 2026) et une stabilisation du cours. Les investisseurs doivent être conscients que la valorisation actuelle intègre déjà une reprise réussie, et tout écart par rapport aux objectifs budgétaires pourrait entraîner une correction sévère.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9,251 titres</w:t>
            </w:r>
          </w:p>
        </w:tc>
        <w:tc>
          <w:tcPr>
            <w:tcW w:type="dxa" w:w="2268"/>
            <w:shd w:fill="FFF2CC" w:val="clear"/>
          </w:tcPr>
          <w:p>
            <w:r>
              <w:rPr>
                <w:b/>
                <w:color w:val="503200"/>
                <w:sz w:val="16"/>
              </w:rPr>
              <w:t xml:space="preserve">Cours actuel : </w:t>
            </w:r>
            <w:r>
              <w:rPr>
                <w:color w:val="000000"/>
                <w:sz w:val="17"/>
              </w:rPr>
              <w:t>7,700 FCFA</w:t>
            </w:r>
          </w:p>
          <w:p>
            <w:r>
              <w:rPr>
                <w:b/>
                <w:color w:val="503200"/>
                <w:sz w:val="16"/>
              </w:rPr>
              <w:t xml:space="preserve">Var. 100 jours : </w:t>
            </w:r>
            <w:r>
              <w:rPr>
                <w:b/>
                <w:color w:val="007800"/>
                <w:sz w:val="17"/>
              </w:rPr>
              <w:t>+11.59%</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5.37% (Moyenne) — μ=7,291 FCFA, σ=392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β=0.5912 (Défensif) — Cov=0.000018, Var(idx)=0.000031, ρ=0.214,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7,360</w:t>
            </w:r>
          </w:p>
        </w:tc>
        <w:tc>
          <w:tcPr>
            <w:tcW w:type="dxa" w:w="1440"/>
            <w:shd w:fill="FFDCE0" w:val="clear"/>
          </w:tcPr>
          <w:p>
            <w:r>
              <w:rPr>
                <w:b/>
                <w:sz w:val="17"/>
              </w:rPr>
              <w:t>7,530</w:t>
            </w:r>
          </w:p>
        </w:tc>
        <w:tc>
          <w:tcPr>
            <w:tcW w:type="dxa" w:w="1440"/>
            <w:shd w:fill="FFDCE0" w:val="clear"/>
          </w:tcPr>
          <w:p>
            <w:r>
              <w:rPr>
                <w:sz w:val="17"/>
              </w:rPr>
              <w:t>7,699</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7,183</w:t>
            </w:r>
          </w:p>
        </w:tc>
        <w:tc>
          <w:tcPr>
            <w:tcW w:type="dxa" w:w="1440"/>
            <w:shd w:fill="FFDCE0" w:val="clear"/>
          </w:tcPr>
          <w:p>
            <w:r>
              <w:rPr>
                <w:b/>
                <w:sz w:val="17"/>
              </w:rPr>
              <w:t>7,419</w:t>
            </w:r>
          </w:p>
        </w:tc>
        <w:tc>
          <w:tcPr>
            <w:tcW w:type="dxa" w:w="1440"/>
            <w:shd w:fill="FFDCE0" w:val="clear"/>
          </w:tcPr>
          <w:p>
            <w:r>
              <w:rPr>
                <w:sz w:val="17"/>
              </w:rPr>
              <w:t>7,655</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7,026</w:t>
            </w:r>
          </w:p>
        </w:tc>
        <w:tc>
          <w:tcPr>
            <w:tcW w:type="dxa" w:w="1440"/>
            <w:shd w:fill="FFDCE0" w:val="clear"/>
          </w:tcPr>
          <w:p>
            <w:r>
              <w:rPr>
                <w:b/>
                <w:sz w:val="17"/>
              </w:rPr>
              <w:t>7,311</w:t>
            </w:r>
          </w:p>
        </w:tc>
        <w:tc>
          <w:tcPr>
            <w:tcW w:type="dxa" w:w="1440"/>
            <w:shd w:fill="FFDCE0" w:val="clear"/>
          </w:tcPr>
          <w:p>
            <w:r>
              <w:rPr>
                <w:sz w:val="17"/>
              </w:rPr>
              <w:t>7,596</w:t>
            </w:r>
          </w:p>
        </w:tc>
        <w:tc>
          <w:tcPr>
            <w:tcW w:type="dxa" w:w="1440"/>
            <w:shd w:fill="FFDCE0" w:val="clear"/>
          </w:tcPr>
          <w:p>
            <w:r>
              <w:rPr>
                <w:b/>
                <w:color w:val="C00000"/>
                <w:sz w:val="17"/>
              </w:rPr>
              <w:t>-5.1%</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6,887</w:t>
            </w:r>
          </w:p>
        </w:tc>
        <w:tc>
          <w:tcPr>
            <w:tcW w:type="dxa" w:w="1440"/>
            <w:shd w:fill="FFDCE0" w:val="clear"/>
          </w:tcPr>
          <w:p>
            <w:r>
              <w:rPr>
                <w:b/>
                <w:sz w:val="17"/>
              </w:rPr>
              <w:t>7,211</w:t>
            </w:r>
          </w:p>
        </w:tc>
        <w:tc>
          <w:tcPr>
            <w:tcW w:type="dxa" w:w="1440"/>
            <w:shd w:fill="FFDCE0" w:val="clear"/>
          </w:tcPr>
          <w:p>
            <w:r>
              <w:rPr>
                <w:sz w:val="17"/>
              </w:rPr>
              <w:t>7,535</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6,760</w:t>
            </w:r>
          </w:p>
        </w:tc>
        <w:tc>
          <w:tcPr>
            <w:tcW w:type="dxa" w:w="1440"/>
            <w:shd w:fill="FFDCE0" w:val="clear"/>
          </w:tcPr>
          <w:p>
            <w:r>
              <w:rPr>
                <w:b/>
                <w:sz w:val="17"/>
              </w:rPr>
              <w:t>7,117</w:t>
            </w:r>
          </w:p>
        </w:tc>
        <w:tc>
          <w:tcPr>
            <w:tcW w:type="dxa" w:w="1440"/>
            <w:shd w:fill="FFDCE0" w:val="clear"/>
          </w:tcPr>
          <w:p>
            <w:r>
              <w:rPr>
                <w:sz w:val="17"/>
              </w:rPr>
              <w:t>7,475</w:t>
            </w:r>
          </w:p>
        </w:tc>
        <w:tc>
          <w:tcPr>
            <w:tcW w:type="dxa" w:w="1440"/>
            <w:shd w:fill="FFDCE0" w:val="clear"/>
          </w:tcPr>
          <w:p>
            <w:r>
              <w:rPr>
                <w:b/>
                <w:color w:val="C00000"/>
                <w:sz w:val="17"/>
              </w:rPr>
              <w:t>-7.6%</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6,642</w:t>
            </w:r>
          </w:p>
        </w:tc>
        <w:tc>
          <w:tcPr>
            <w:tcW w:type="dxa" w:w="1440"/>
            <w:shd w:fill="FFDCE0" w:val="clear"/>
          </w:tcPr>
          <w:p>
            <w:r>
              <w:rPr>
                <w:b/>
                <w:sz w:val="17"/>
              </w:rPr>
              <w:t>7,029</w:t>
            </w:r>
          </w:p>
        </w:tc>
        <w:tc>
          <w:tcPr>
            <w:tcW w:type="dxa" w:w="1440"/>
            <w:shd w:fill="FFDCE0" w:val="clear"/>
          </w:tcPr>
          <w:p>
            <w:r>
              <w:rPr>
                <w:sz w:val="17"/>
              </w:rPr>
              <w:t>7,416</w:t>
            </w:r>
          </w:p>
        </w:tc>
        <w:tc>
          <w:tcPr>
            <w:tcW w:type="dxa" w:w="1440"/>
            <w:shd w:fill="FFDCE0" w:val="clear"/>
          </w:tcPr>
          <w:p>
            <w:r>
              <w:rPr>
                <w:b/>
                <w:color w:val="C00000"/>
                <w:sz w:val="17"/>
              </w:rPr>
              <w:t>-8.7%</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6,531</w:t>
            </w:r>
          </w:p>
        </w:tc>
        <w:tc>
          <w:tcPr>
            <w:tcW w:type="dxa" w:w="1440"/>
            <w:shd w:fill="FFDCE0" w:val="clear"/>
          </w:tcPr>
          <w:p>
            <w:r>
              <w:rPr>
                <w:b/>
                <w:sz w:val="17"/>
              </w:rPr>
              <w:t>6,944</w:t>
            </w:r>
          </w:p>
        </w:tc>
        <w:tc>
          <w:tcPr>
            <w:tcW w:type="dxa" w:w="1440"/>
            <w:shd w:fill="FFDCE0" w:val="clear"/>
          </w:tcPr>
          <w:p>
            <w:r>
              <w:rPr>
                <w:sz w:val="17"/>
              </w:rPr>
              <w:t>7,358</w:t>
            </w:r>
          </w:p>
        </w:tc>
        <w:tc>
          <w:tcPr>
            <w:tcW w:type="dxa" w:w="1440"/>
            <w:shd w:fill="FFDCE0" w:val="clear"/>
          </w:tcPr>
          <w:p>
            <w:r>
              <w:rPr>
                <w:b/>
                <w:color w:val="C00000"/>
                <w:sz w:val="17"/>
              </w:rPr>
              <w:t>-9.8%</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6,428</w:t>
            </w:r>
          </w:p>
        </w:tc>
        <w:tc>
          <w:tcPr>
            <w:tcW w:type="dxa" w:w="1440"/>
            <w:shd w:fill="FFDCE0" w:val="clear"/>
          </w:tcPr>
          <w:p>
            <w:r>
              <w:rPr>
                <w:b/>
                <w:sz w:val="17"/>
              </w:rPr>
              <w:t>6,864</w:t>
            </w:r>
          </w:p>
        </w:tc>
        <w:tc>
          <w:tcPr>
            <w:tcW w:type="dxa" w:w="1440"/>
            <w:shd w:fill="FFDCE0" w:val="clear"/>
          </w:tcPr>
          <w:p>
            <w:r>
              <w:rPr>
                <w:sz w:val="17"/>
              </w:rPr>
              <w:t>7,301</w:t>
            </w:r>
          </w:p>
        </w:tc>
        <w:tc>
          <w:tcPr>
            <w:tcW w:type="dxa" w:w="1440"/>
            <w:shd w:fill="FFDCE0" w:val="clear"/>
          </w:tcPr>
          <w:p>
            <w:r>
              <w:rPr>
                <w:b/>
                <w:color w:val="C00000"/>
                <w:sz w:val="17"/>
              </w:rPr>
              <w:t>-10.9%</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6,330</w:t>
            </w:r>
          </w:p>
        </w:tc>
        <w:tc>
          <w:tcPr>
            <w:tcW w:type="dxa" w:w="1440"/>
            <w:shd w:fill="FFDCE0" w:val="clear"/>
          </w:tcPr>
          <w:p>
            <w:r>
              <w:rPr>
                <w:b/>
                <w:sz w:val="17"/>
              </w:rPr>
              <w:t>6,788</w:t>
            </w:r>
          </w:p>
        </w:tc>
        <w:tc>
          <w:tcPr>
            <w:tcW w:type="dxa" w:w="1440"/>
            <w:shd w:fill="FFDCE0" w:val="clear"/>
          </w:tcPr>
          <w:p>
            <w:r>
              <w:rPr>
                <w:sz w:val="17"/>
              </w:rPr>
              <w:t>7,246</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6,239</w:t>
            </w:r>
          </w:p>
        </w:tc>
        <w:tc>
          <w:tcPr>
            <w:tcW w:type="dxa" w:w="1440"/>
            <w:shd w:fill="FFDCE0" w:val="clear"/>
          </w:tcPr>
          <w:p>
            <w:r>
              <w:rPr>
                <w:b/>
                <w:sz w:val="17"/>
              </w:rPr>
              <w:t>6,716</w:t>
            </w:r>
          </w:p>
        </w:tc>
        <w:tc>
          <w:tcPr>
            <w:tcW w:type="dxa" w:w="1440"/>
            <w:shd w:fill="FFDCE0" w:val="clear"/>
          </w:tcPr>
          <w:p>
            <w:r>
              <w:rPr>
                <w:sz w:val="17"/>
              </w:rPr>
              <w:t>7,194</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Voici le rapport d'analyse structuré pour l'action BOAS,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277,20 milliards FCFA, ce qui en fait une valeur de première importance sur la BRVM, reflétant la confiance des investisseurs dans ce pilier du secteur bancaire régional. Avec un BPA de 608 FCFA, chaque action génère un bénéfice substantiel. Le PER de 12,7x se situe légèrement au-dessus de la moyenne historique de la BRVM (8-12x), indiquant que le marché est prêt à payer une prime raisonnable pour la qualité des bénéfices de la banque. Le P/B de 2,87x confirme cette prime, le marché valorisant la société à près de trois fois sa valeur comptable, ce qui est caractéristique d'une entreprise avec un fort potentiel de croissance. Enfin, un EV/EBITDA de 8,1x est dans la fourchette raisonnable (5-10x), signe que la valorisation globale de l'entreprise, dette incluse, reste cohérente avec sa capacité opérationnelle à générer des flux.</w:t>
      </w:r>
    </w:p>
    <w:p>
      <w:pPr>
        <w:spacing w:after="120" w:line="276" w:lineRule="auto"/>
      </w:pPr>
      <w:r>
        <w:t>### PARTIE 1 : ANALYSE DU COURS — STATISTIQUES ET ÉVOLUTION (100 derniers jours)</w:t>
      </w:r>
    </w:p>
    <w:p>
      <w:pPr>
        <w:spacing w:after="120" w:line="276" w:lineRule="auto"/>
      </w:pPr>
      <w:r>
        <w:t>Sur les 100 derniers jours, l'action BOAS a affiché une progression solide de +11,59%, avec une dernière séance en légère hausse de +0,13% à 7 700 FCFA. Le titre a évolué dans un range de trading de 1 650 FCFA, entre un plus bas de 6 400 FCFA et un plus haut de 8 050 FCFA, démontrant une dynamique haussière soutenue. La moyenne du cours (7 291 FCFA) est inférieure à la médiane (7 332 FCFA), ce qui, combiné à un skewness légèrement négatif (-0.252), suggère une distribution quasi-symétrique avec une très légère prédominance des fortes baisses sur les fortes hausses. L'écart-type de 394 FCFA (CV=5.4%) indique une dispersion modérée autour de la moyenne. Le kurtosis d'environ -0.77 (mésokurtique) signale un risque de pics de volatilité faible, proche d'une distribution normale. La volatilité annualisée de 24,4% classe le titre dans la catégorie "modérée" (15-30%), ce qui est acceptable pour une valeur bancaire.</w:t>
      </w:r>
    </w:p>
    <w:p>
      <w:pPr>
        <w:spacing w:after="120" w:line="276" w:lineRule="auto"/>
      </w:pPr>
      <w:r>
        <w:t>### PARTIE 2 : ANALYSE TECHNIQUE DÉTAILLÉE</w:t>
      </w:r>
    </w:p>
    <w:p>
      <w:pPr>
        <w:spacing w:after="120" w:line="276" w:lineRule="auto"/>
      </w:pPr>
      <w:r>
        <w:t>- **Moyennes Mobiles**: Le cours actuel (7 700 FCFA) est supérieur à la MM20 (7 709 FCFA) et à la MM50 (7 490,8 FCFA). La MM20 étant au-dessus de la MM50, la configuration est haussière à moyen terme. Le signal global est un **Achat**, confirmant la tendance positive du titre.</w:t>
      </w:r>
    </w:p>
    <w:p>
      <w:pPr>
        <w:spacing w:after="120" w:line="276" w:lineRule="auto"/>
      </w:pPr>
      <w:r>
        <w:t>- **Bandes de Bollinger**: Le prix se situe à 7 700 FCFA, entre la borne inférieure (7 443 FCFA) et la borne supérieure (7 975 FCFA), proche de la moyenne mobile. Cette position neutre indique une volatilité modérée et une absence de surachat ou de survente. La décision est **Neutre**, le marché digérant les récentes variations.</w:t>
      </w:r>
    </w:p>
    <w:p>
      <w:pPr>
        <w:spacing w:after="120" w:line="276" w:lineRule="auto"/>
      </w:pPr>
      <w:r>
        <w:t>- **MACD**: La valeur du MACD (60,09) est inférieure à son signal (75,82), indiquant un momentum baissier à court terme. Cette configuration, après une période de hausse, suggère une consolidation ou un léger repli technique. La décision est **Vente**.</w:t>
      </w:r>
    </w:p>
    <w:p>
      <w:pPr>
        <w:spacing w:after="120" w:line="276" w:lineRule="auto"/>
      </w:pPr>
      <w:r>
        <w:t>- **RSI**: Le RSI est à 42,08, ce qui le place dans la zone neutre (30-70). Il n'y a ni surachat ni survente, indiquant que le marché est équilibré. La décision est **Neutre**, laissant place à une évolution dans les deux sens.</w:t>
      </w:r>
    </w:p>
    <w:p>
      <w:pPr>
        <w:spacing w:after="120" w:line="276" w:lineRule="auto"/>
      </w:pPr>
      <w:r>
        <w:t>- **Stochastique**: Le %K (27,4) est très proche du %D (26,9), tous deux en zone de survente (&lt;30). Ce croisement potentiel pourrait signaler un rebond imminent. La décision est **Neutre**, mais avec un biais légèrement positif.</w:t>
      </w:r>
    </w:p>
    <w:p>
      <w:pPr>
        <w:spacing w:after="120" w:line="276" w:lineRule="auto"/>
      </w:pPr>
      <w:r>
        <w:t>**Conclusion technique**: Les indicateurs sont mitigés. La tendance de fond reste positive grâce aux moyennes mobiles, mais le MACD signale un momentum à court terme négatif. Le RSI et les bandes de Bollinger sont neutres, tandis que le stochastique suggère un possible rebond. Le titre est dans une phase de consolidation, avec un biais haussier à moyen terme.</w:t>
      </w:r>
    </w:p>
    <w:p>
      <w:pPr>
        <w:spacing w:after="120" w:line="276" w:lineRule="auto"/>
      </w:pPr>
      <w:r>
        <w:t>### PARTIE 3 : ANALYSE FONDAMENTALE (SECTION CRITIQUE)</w:t>
      </w:r>
    </w:p>
    <w:p>
      <w:pPr>
        <w:spacing w:after="120" w:line="276" w:lineRule="auto"/>
      </w:pPr>
      <w:r>
        <w:t>En 2025, BOAS affiche des fondamentaux solides. Le Produit Net Bancaire (PNB) s'établit à 51,926 Mds FCFA, générant un résultat net de 21,905 Mds FCFA, soit une marge nette impressionnante de 42,18%. La rentabilité des capitaux propres (ROE) est excellente à 22,69%, et le ROA est sain à 2,62%. Le coefficient d'exploitation de 44,01% témoigne d'une excellente maîtrise des coûts. Cependant, le coût du risque à 23,30% est un point de vigilance, indiquant un risque de crédit significatif. Les dépôts clients (686,9 Mds FCFA) couvrent largement les créances sur la clientèle (386,4 Mds FCFA), assurant une liquidité confortable. Les rapports trimestriels de 2025 confirment cette dynamique positive : le T1 montre un résultat net de 5,23 Mds (+9,25%), le S1 atteint 11,62 Mds (+12,7%), et le T3 cumulé à 16,37 Mds (+10,01%). Sur la base de cette tendance, on estime que le résultat net annuel 2025 pourrait dépasser les 21,9 Mds FCFA, confirmant la solidité et la croissance régulière de la banque.</w:t>
      </w:r>
    </w:p>
    <w:p>
      <w:pPr>
        <w:spacing w:after="120" w:line="276" w:lineRule="auto"/>
      </w:pPr>
      <w:r>
        <w:t>### PARTIE 4 : CONCLUSION D'INVESTISSEMENT</w:t>
      </w:r>
    </w:p>
    <w:p>
      <w:pPr>
        <w:spacing w:after="120" w:line="276" w:lineRule="auto"/>
      </w:pPr>
      <w:r>
        <w:t>La valorisation de BOAS (PER 12,7x, P/B 2,87x) est raisonnable, reflétant une prime de croissance justifiée par des fondamentaux excellents. Le comportement du cours sur 100 jours est positif (+11,59%) avec une volatilité modérée, bien que les statistiques montrent une distribution symétrique sans signe de stress. Les signaux techniques sont mitigés à court terme (MACD vendeur, RSI neutre) mais la tendance de fond via les moyennes mobiles reste haussière. Les fondamentaux sont très solides, avec une croissance du résultat net à deux chiffres et une excellente rentabilité (ROE &gt; 22%). Les prédictions IA pour les 10 prochains jours indiquent une correction baissière vers 7 117 FCFA, ce qui contredit le signal d'achat fondamental et pourrait représenter une opportunité d'achat à bon compte. En synthèse, la convergence entre la solidité financière, la valorisation raisonnable et la tendance de fond positive l'emporte sur les signaux techniques et les prédictions à court terme. **Recommandation : ACHAT**, avec un niveau de confiance **Moyen** et un risque global **Moyen**. L'horizon d'investissement optimal est le **moyen terme (3-12 mois)**, pour capitaliser sur la croissance continue de la banque tout en absorbant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2,366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+7.86%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8.44% (Moyenne) — μ=3,745 FCFA, σ=316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β=0.0149 (Défensif) — Cov=0.000000, Var(idx)=0.000031, ρ=0.002,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σ_j=3.52%/j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2026-08-17</w:t>
            </w:r>
          </w:p>
        </w:tc>
        <w:tc>
          <w:tcPr>
            <w:tcW w:type="dxa" w:w="1440"/>
            <w:shd w:fill="C6EFCE" w:val="clear"/>
          </w:tcPr>
          <w:p>
            <w:r>
              <w:rPr>
                <w:sz w:val="17"/>
              </w:rPr>
              <w:t>3,484</w:t>
            </w:r>
          </w:p>
        </w:tc>
        <w:tc>
          <w:tcPr>
            <w:tcW w:type="dxa" w:w="1440"/>
            <w:shd w:fill="C6EFCE" w:val="clear"/>
          </w:tcPr>
          <w:p>
            <w:r>
              <w:rPr>
                <w:b/>
                <w:sz w:val="17"/>
              </w:rPr>
              <w:t>3,648</w:t>
            </w:r>
          </w:p>
        </w:tc>
        <w:tc>
          <w:tcPr>
            <w:tcW w:type="dxa" w:w="1440"/>
            <w:shd w:fill="C6EFCE" w:val="clear"/>
          </w:tcPr>
          <w:p>
            <w:r>
              <w:rPr>
                <w:sz w:val="17"/>
              </w:rPr>
              <w:t>3,812</w:t>
            </w:r>
          </w:p>
        </w:tc>
        <w:tc>
          <w:tcPr>
            <w:tcW w:type="dxa" w:w="1440"/>
            <w:shd w:fill="C6EFCE" w:val="clear"/>
          </w:tcPr>
          <w:p>
            <w:r>
              <w:rPr>
                <w:b/>
                <w:color w:val="008000"/>
                <w:sz w:val="17"/>
              </w:rPr>
              <w:t>+4.2%</w:t>
            </w:r>
          </w:p>
        </w:tc>
      </w:tr>
      <w:tr>
        <w:tc>
          <w:tcPr>
            <w:tcW w:type="dxa" w:w="1440"/>
            <w:shd w:fill="C6EFCE" w:val="clear"/>
          </w:tcPr>
          <w:p>
            <w:r>
              <w:rPr>
                <w:sz w:val="17"/>
              </w:rPr>
              <w:t>J+2  Moyenne</w:t>
            </w:r>
          </w:p>
        </w:tc>
        <w:tc>
          <w:tcPr>
            <w:tcW w:type="dxa" w:w="1440"/>
            <w:shd w:fill="C6EFCE" w:val="clear"/>
          </w:tcPr>
          <w:p>
            <w:r>
              <w:rPr>
                <w:sz w:val="17"/>
              </w:rPr>
              <w:t>2026-08-18</w:t>
            </w:r>
          </w:p>
        </w:tc>
        <w:tc>
          <w:tcPr>
            <w:tcW w:type="dxa" w:w="1440"/>
            <w:shd w:fill="C6EFCE" w:val="clear"/>
          </w:tcPr>
          <w:p>
            <w:r>
              <w:rPr>
                <w:sz w:val="17"/>
              </w:rPr>
              <w:t>3,554</w:t>
            </w:r>
          </w:p>
        </w:tc>
        <w:tc>
          <w:tcPr>
            <w:tcW w:type="dxa" w:w="1440"/>
            <w:shd w:fill="C6EFCE" w:val="clear"/>
          </w:tcPr>
          <w:p>
            <w:r>
              <w:rPr>
                <w:b/>
                <w:sz w:val="17"/>
              </w:rPr>
              <w:t>3,794</w:t>
            </w:r>
          </w:p>
        </w:tc>
        <w:tc>
          <w:tcPr>
            <w:tcW w:type="dxa" w:w="1440"/>
            <w:shd w:fill="C6EFCE" w:val="clear"/>
          </w:tcPr>
          <w:p>
            <w:r>
              <w:rPr>
                <w:sz w:val="17"/>
              </w:rPr>
              <w:t>4,035</w:t>
            </w:r>
          </w:p>
        </w:tc>
        <w:tc>
          <w:tcPr>
            <w:tcW w:type="dxa" w:w="1440"/>
            <w:shd w:fill="C6EFCE" w:val="clear"/>
          </w:tcPr>
          <w:p>
            <w:r>
              <w:rPr>
                <w:b/>
                <w:color w:val="008000"/>
                <w:sz w:val="17"/>
              </w:rPr>
              <w:t>+8.4%</w:t>
            </w:r>
          </w:p>
        </w:tc>
      </w:tr>
      <w:tr>
        <w:tc>
          <w:tcPr>
            <w:tcW w:type="dxa" w:w="1440"/>
            <w:shd w:fill="C6EFCE" w:val="clear"/>
          </w:tcPr>
          <w:p>
            <w:r>
              <w:rPr>
                <w:sz w:val="17"/>
              </w:rPr>
              <w:t>J+3  Moyenne</w:t>
            </w:r>
          </w:p>
        </w:tc>
        <w:tc>
          <w:tcPr>
            <w:tcW w:type="dxa" w:w="1440"/>
            <w:shd w:fill="C6EFCE" w:val="clear"/>
          </w:tcPr>
          <w:p>
            <w:r>
              <w:rPr>
                <w:sz w:val="17"/>
              </w:rPr>
              <w:t>2026-08-19</w:t>
            </w:r>
          </w:p>
        </w:tc>
        <w:tc>
          <w:tcPr>
            <w:tcW w:type="dxa" w:w="1440"/>
            <w:shd w:fill="C6EFCE" w:val="clear"/>
          </w:tcPr>
          <w:p>
            <w:r>
              <w:rPr>
                <w:sz w:val="17"/>
              </w:rPr>
              <w:t>3,661</w:t>
            </w:r>
          </w:p>
        </w:tc>
        <w:tc>
          <w:tcPr>
            <w:tcW w:type="dxa" w:w="1440"/>
            <w:shd w:fill="C6EFCE" w:val="clear"/>
          </w:tcPr>
          <w:p>
            <w:r>
              <w:rPr>
                <w:b/>
                <w:sz w:val="17"/>
              </w:rPr>
              <w:t>3,970</w:t>
            </w:r>
          </w:p>
        </w:tc>
        <w:tc>
          <w:tcPr>
            <w:tcW w:type="dxa" w:w="1440"/>
            <w:shd w:fill="C6EFCE" w:val="clear"/>
          </w:tcPr>
          <w:p>
            <w:r>
              <w:rPr>
                <w:sz w:val="17"/>
              </w:rPr>
              <w:t>4,279</w:t>
            </w:r>
          </w:p>
        </w:tc>
        <w:tc>
          <w:tcPr>
            <w:tcW w:type="dxa" w:w="1440"/>
            <w:shd w:fill="C6EFCE" w:val="clear"/>
          </w:tcPr>
          <w:p>
            <w:r>
              <w:rPr>
                <w:b/>
                <w:color w:val="008000"/>
                <w:sz w:val="17"/>
              </w:rPr>
              <w:t>+13.4%</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3,794</w:t>
            </w:r>
          </w:p>
        </w:tc>
        <w:tc>
          <w:tcPr>
            <w:tcW w:type="dxa" w:w="1440"/>
            <w:shd w:fill="C6EFCE" w:val="clear"/>
          </w:tcPr>
          <w:p>
            <w:r>
              <w:rPr>
                <w:b/>
                <w:sz w:val="17"/>
              </w:rPr>
              <w:t>4,169</w:t>
            </w:r>
          </w:p>
        </w:tc>
        <w:tc>
          <w:tcPr>
            <w:tcW w:type="dxa" w:w="1440"/>
            <w:shd w:fill="C6EFCE" w:val="clear"/>
          </w:tcPr>
          <w:p>
            <w:r>
              <w:rPr>
                <w:sz w:val="17"/>
              </w:rPr>
              <w:t>4,543</w:t>
            </w:r>
          </w:p>
        </w:tc>
        <w:tc>
          <w:tcPr>
            <w:tcW w:type="dxa" w:w="1440"/>
            <w:shd w:fill="C6EFCE" w:val="clear"/>
          </w:tcPr>
          <w:p>
            <w:r>
              <w:rPr>
                <w:b/>
                <w:color w:val="008000"/>
                <w:sz w:val="17"/>
              </w:rPr>
              <w:t>+19.1%</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3,952</w:t>
            </w:r>
          </w:p>
        </w:tc>
        <w:tc>
          <w:tcPr>
            <w:tcW w:type="dxa" w:w="1440"/>
            <w:shd w:fill="C6EFCE" w:val="clear"/>
          </w:tcPr>
          <w:p>
            <w:r>
              <w:rPr>
                <w:b/>
                <w:sz w:val="17"/>
              </w:rPr>
              <w:t>4,393</w:t>
            </w:r>
          </w:p>
        </w:tc>
        <w:tc>
          <w:tcPr>
            <w:tcW w:type="dxa" w:w="1440"/>
            <w:shd w:fill="C6EFCE" w:val="clear"/>
          </w:tcPr>
          <w:p>
            <w:r>
              <w:rPr>
                <w:sz w:val="17"/>
              </w:rPr>
              <w:t>4,834</w:t>
            </w:r>
          </w:p>
        </w:tc>
        <w:tc>
          <w:tcPr>
            <w:tcW w:type="dxa" w:w="1440"/>
            <w:shd w:fill="C6EFCE" w:val="clear"/>
          </w:tcPr>
          <w:p>
            <w:r>
              <w:rPr>
                <w:b/>
                <w:color w:val="008000"/>
                <w:sz w:val="17"/>
              </w:rPr>
              <w:t>+25.5%</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4,136</w:t>
            </w:r>
          </w:p>
        </w:tc>
        <w:tc>
          <w:tcPr>
            <w:tcW w:type="dxa" w:w="1440"/>
            <w:shd w:fill="C6EFCE" w:val="clear"/>
          </w:tcPr>
          <w:p>
            <w:r>
              <w:rPr>
                <w:b/>
                <w:sz w:val="17"/>
              </w:rPr>
              <w:t>4,647</w:t>
            </w:r>
          </w:p>
        </w:tc>
        <w:tc>
          <w:tcPr>
            <w:tcW w:type="dxa" w:w="1440"/>
            <w:shd w:fill="C6EFCE" w:val="clear"/>
          </w:tcPr>
          <w:p>
            <w:r>
              <w:rPr>
                <w:sz w:val="17"/>
              </w:rPr>
              <w:t>5,158</w:t>
            </w:r>
          </w:p>
        </w:tc>
        <w:tc>
          <w:tcPr>
            <w:tcW w:type="dxa" w:w="1440"/>
            <w:shd w:fill="C6EFCE" w:val="clear"/>
          </w:tcPr>
          <w:p>
            <w:r>
              <w:rPr>
                <w:b/>
                <w:color w:val="008000"/>
                <w:sz w:val="17"/>
              </w:rPr>
              <w:t>+32.8%</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4,353</w:t>
            </w:r>
          </w:p>
        </w:tc>
        <w:tc>
          <w:tcPr>
            <w:tcW w:type="dxa" w:w="1440"/>
            <w:shd w:fill="C6EFCE" w:val="clear"/>
          </w:tcPr>
          <w:p>
            <w:r>
              <w:rPr>
                <w:b/>
                <w:sz w:val="17"/>
              </w:rPr>
              <w:t>4,940</w:t>
            </w:r>
          </w:p>
        </w:tc>
        <w:tc>
          <w:tcPr>
            <w:tcW w:type="dxa" w:w="1440"/>
            <w:shd w:fill="C6EFCE" w:val="clear"/>
          </w:tcPr>
          <w:p>
            <w:r>
              <w:rPr>
                <w:sz w:val="17"/>
              </w:rPr>
              <w:t>5,527</w:t>
            </w:r>
          </w:p>
        </w:tc>
        <w:tc>
          <w:tcPr>
            <w:tcW w:type="dxa" w:w="1440"/>
            <w:shd w:fill="C6EFCE" w:val="clear"/>
          </w:tcPr>
          <w:p>
            <w:r>
              <w:rPr>
                <w:b/>
                <w:color w:val="008000"/>
                <w:sz w:val="17"/>
              </w:rPr>
              <w:t>+41.1%</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4,614</w:t>
            </w:r>
          </w:p>
        </w:tc>
        <w:tc>
          <w:tcPr>
            <w:tcW w:type="dxa" w:w="1440"/>
            <w:shd w:fill="C6EFCE" w:val="clear"/>
          </w:tcPr>
          <w:p>
            <w:r>
              <w:rPr>
                <w:b/>
                <w:sz w:val="17"/>
              </w:rPr>
              <w:t>5,285</w:t>
            </w:r>
          </w:p>
        </w:tc>
        <w:tc>
          <w:tcPr>
            <w:tcW w:type="dxa" w:w="1440"/>
            <w:shd w:fill="C6EFCE" w:val="clear"/>
          </w:tcPr>
          <w:p>
            <w:r>
              <w:rPr>
                <w:sz w:val="17"/>
              </w:rPr>
              <w:t>5,956</w:t>
            </w:r>
          </w:p>
        </w:tc>
        <w:tc>
          <w:tcPr>
            <w:tcW w:type="dxa" w:w="1440"/>
            <w:shd w:fill="C6EFCE" w:val="clear"/>
          </w:tcPr>
          <w:p>
            <w:r>
              <w:rPr>
                <w:b/>
                <w:color w:val="008000"/>
                <w:sz w:val="17"/>
              </w:rPr>
              <w:t>+51.0%</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4,916</w:t>
            </w:r>
          </w:p>
        </w:tc>
        <w:tc>
          <w:tcPr>
            <w:tcW w:type="dxa" w:w="1440"/>
            <w:shd w:fill="C6EFCE" w:val="clear"/>
          </w:tcPr>
          <w:p>
            <w:r>
              <w:rPr>
                <w:b/>
                <w:sz w:val="17"/>
              </w:rPr>
              <w:t>5,681</w:t>
            </w:r>
          </w:p>
        </w:tc>
        <w:tc>
          <w:tcPr>
            <w:tcW w:type="dxa" w:w="1440"/>
            <w:shd w:fill="C6EFCE" w:val="clear"/>
          </w:tcPr>
          <w:p>
            <w:r>
              <w:rPr>
                <w:sz w:val="17"/>
              </w:rPr>
              <w:t>6,446</w:t>
            </w:r>
          </w:p>
        </w:tc>
        <w:tc>
          <w:tcPr>
            <w:tcW w:type="dxa" w:w="1440"/>
            <w:shd w:fill="C6EFCE" w:val="clear"/>
          </w:tcPr>
          <w:p>
            <w:r>
              <w:rPr>
                <w:b/>
                <w:color w:val="008000"/>
                <w:sz w:val="17"/>
              </w:rPr>
              <w:t>+62.3%</w:t>
            </w:r>
          </w:p>
        </w:tc>
      </w:tr>
      <w:tr>
        <w:tc>
          <w:tcPr>
            <w:tcW w:type="dxa" w:w="1440"/>
            <w:shd w:fill="C6EFCE" w:val="clear"/>
          </w:tcPr>
          <w:p>
            <w:r>
              <w:rPr>
                <w:sz w:val="17"/>
              </w:rPr>
              <w:t>J+10  ⭐</w:t>
            </w:r>
          </w:p>
        </w:tc>
        <w:tc>
          <w:tcPr>
            <w:tcW w:type="dxa" w:w="1440"/>
            <w:shd w:fill="C6EFCE" w:val="clear"/>
          </w:tcPr>
          <w:p>
            <w:r>
              <w:rPr>
                <w:sz w:val="17"/>
              </w:rPr>
              <w:t>2026-08-31</w:t>
            </w:r>
          </w:p>
        </w:tc>
        <w:tc>
          <w:tcPr>
            <w:tcW w:type="dxa" w:w="1440"/>
            <w:shd w:fill="C6EFCE" w:val="clear"/>
          </w:tcPr>
          <w:p>
            <w:r>
              <w:rPr>
                <w:sz w:val="17"/>
              </w:rPr>
              <w:t>5,241</w:t>
            </w:r>
          </w:p>
        </w:tc>
        <w:tc>
          <w:tcPr>
            <w:tcW w:type="dxa" w:w="1440"/>
            <w:shd w:fill="C6EFCE" w:val="clear"/>
          </w:tcPr>
          <w:p>
            <w:r>
              <w:rPr>
                <w:b/>
                <w:sz w:val="17"/>
              </w:rPr>
              <w:t>6,108</w:t>
            </w:r>
          </w:p>
        </w:tc>
        <w:tc>
          <w:tcPr>
            <w:tcW w:type="dxa" w:w="1440"/>
            <w:shd w:fill="C6EFCE" w:val="clear"/>
          </w:tcPr>
          <w:p>
            <w:r>
              <w:rPr>
                <w:sz w:val="17"/>
              </w:rPr>
              <w:t>6,974</w:t>
            </w:r>
          </w:p>
        </w:tc>
        <w:tc>
          <w:tcPr>
            <w:tcW w:type="dxa" w:w="1440"/>
            <w:shd w:fill="C6EFCE" w:val="clear"/>
          </w:tcPr>
          <w:p>
            <w:r>
              <w:rPr>
                <w:b/>
                <w:color w:val="008000"/>
                <w:sz w:val="17"/>
              </w:rPr>
              <w:t>+74.5%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14 août 2026**</w:t>
        <w:br/>
        <w:t>**Cours de référence : 3 500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20,72 milliards FCFA, un niveau modeste dans l'écosystème BRVM, reflétant un profil de valeur moyenne. Avec un BPA de 243 FCFA, le titre se négocie à un PER de 14,4x, ce qui représente une prime par rapport à la moyenne historique du marché (8-12x). Cette valorisation suggère que les investisseurs intègrent des perspectives de croissance future, malgré des résultats passés en dents de scie. Le P/B de 2,22x indique que le marché valorise la société à plus du double de ses capitaux propres comptables, signe d'une confiance dans la création de valeur future. Enfin, l'EV/EBITDA de 7,3x, dans la fourchette basse des 5-10x, suggère que la valorisation de l'entreprise par rapport à sa capacité opérationnelle reste raisonnable, tempérant la prime apparente du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affiche une progression de +7,86%, avec une légère hausse de +0,29% lors de la dernière séance, témoignant d'une dynamique positive mais prudente. Le cours a évolué dans un range de trading significatif, oscillant entre un plus bas de 3 165 FCFA et un plus haut de 4 500 FCFA, illustrant une forte amplitude de mouvement. La moyenne du cours sur la période est de 3 745 FCFA, légèrement supérieure à la médiane de 3 700 FCFA, indiquant une distribution quasi symétrique, confirmée par un skewness de 0.442. L'écart-type de 318 FCFA (CV=8.5%) dénote une dispersion modérée des prix autour de la moyenne. Le kurtosis de -0.333 (mésokurtique) suggère une absence de risques extrêmes de pics ou de krachs soudains. La volatilité annualisée de 55,8% est très élevée, classant ce titre comme spéculatif et nécessitant une gestion du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3 500 FCFA est inférieur à la MM20 (3 624,5 FCFA) et nettement sous la MM50 (3 876,8 FCFA). Cette configuration baissière, où les moyennes agissent comme des résistances, justifie la décision de **Vente**. La tendance de fond reste négative tant que le cours ne repasse pas au-dessus de la MM20.</w:t>
      </w:r>
    </w:p>
    <w:p>
      <w:pPr>
        <w:spacing w:after="120" w:line="276" w:lineRule="auto"/>
      </w:pPr>
      <w:r>
        <w:t>**Bandes de Bollinger :** Le prix se situe dans la partie inférieure de l'enveloppe, entre la borne inférieure (3 315,7 FCFA) et la moyenne mobile. Le cours évolue dans une zone neutre, sans contact avec les bornes, indiquant une volatilité modérée. La décision **Neutre** est cohérente avec une phase de consolidation, mais un test de la borne inférieure reste possible.</w:t>
      </w:r>
    </w:p>
    <w:p>
      <w:pPr>
        <w:spacing w:after="120" w:line="276" w:lineRule="auto"/>
      </w:pPr>
      <w:r>
        <w:t>**MACD :** Le MACD (-108,8) est négatif et inférieur à sa ligne de signal (-105,9), confirmant un momentum baissier. La divergence négative entre les deux lignes indique que la pression vendeuse persiste, justifiant la décision de **Vente**. Un croisement haussier serait nécessaire pour inverser la tendance.</w:t>
      </w:r>
    </w:p>
    <w:p>
      <w:pPr>
        <w:spacing w:after="120" w:line="276" w:lineRule="auto"/>
      </w:pPr>
      <w:r>
        <w:t>**RSI :** À 32,7, le RSI est proche de la zone de survente (30) mais reste en territoire neutre. Cela suggère que le titre est faible mais pas encore survendu, laissant une marge de baisse potentielle. La décision **Neutre** est appropriée, mais un passage sous 30 pourrait signaler une opportunité d'achat.</w:t>
      </w:r>
    </w:p>
    <w:p>
      <w:pPr>
        <w:spacing w:after="120" w:line="276" w:lineRule="auto"/>
      </w:pPr>
      <w:r>
        <w:t>**Stochastique :** Avec un %K à 11,1 et un %D à 7,1, l'indicateur est profondément ancré en zone de survente. Le croisement haussier potentiel de ces lignes suggère un rebond technique imminent. La décision **Achat** est donc justifiée à court terme.</w:t>
      </w:r>
    </w:p>
    <w:p>
      <w:pPr>
        <w:spacing w:after="120" w:line="276" w:lineRule="auto"/>
      </w:pPr>
      <w:r>
        <w:t>**Conclusion technique :** Les indicateurs de tendance (MM, MACD) sont baissiers, tandis que les oscillateurs de momentum (RSI, Stochastique) signalent une possible capitulation et un rebond technique. Cette divergence suggère une phase de stabilisation, mais la tendance de fond reste négative tant que le cours n'a pas franchi les résistances des moyennes mobiles.</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annuelles, CABC a réalisé un chiffre d'affaires de 21,26 milliards FCFA, en croissance de +11,2% par rapport à 2024 (19,13 milliards FCFA). Le résultat net s'établit à 1,44 milliard FCFA, contre une perte de 1,22 milliard en 2024 selon le rapport de l'exercice 2024, marquant un retour spectaculaire à la rentabilité. La marge nette ressort à 6,8%, le ROE à 15,4% et le ROA à 6,1%, des niveaux sains. Cependant, le BFR s'élève à 7,19 milliards FCFA, avec des délais clients de 144,7 jours et une durée de stockage de 152,1 jours, indiquant une forte immobilisation de capital et un risque de trésorerie. Les rapports trimestriels de 2025 confirment cette dynamique : le S1 2025 affichait un résultat net de 851,5 millions FCFA (+55,3%), et le cumul sur 9 mois atteignait 1,33 milliard FCFA (+26%). Sur la base de ces performances, on estime que l'exercice 2025 devrait confirmer un bénéfice annuel supérieur à 1,4 milliard FCFA. Néanmoins, le rapport T1 2026 (daté de 2026) révèle une forte dégradation conjoncturelle avec un CA en baisse de 26,5% et une perte nette de 221,7 millions FCFA, attribuée à une maintenance planifiée et à la hausse des cours des métaux. Cette volatilité des résultats est le principal risque fondamental, malgré une structure financière saine (capitaux propres de 9,35 milliards FCFA, dette financière faible de 417,6 millions FCFA).</w:t>
      </w:r>
    </w:p>
    <w:p>
      <w:pPr>
        <w:spacing w:after="120" w:line="276" w:lineRule="auto"/>
      </w:pPr>
      <w:r>
        <w:t>---</w:t>
      </w:r>
    </w:p>
    <w:p>
      <w:pPr>
        <w:spacing w:after="120" w:line="276" w:lineRule="auto"/>
      </w:pPr>
      <w:r>
        <w:t>### PARTIE 4 : CONCLUSION D'INVESTISSEMENT</w:t>
      </w:r>
    </w:p>
    <w:p>
      <w:pPr>
        <w:spacing w:after="120" w:line="276" w:lineRule="auto"/>
      </w:pPr>
      <w:r>
        <w:t>La valorisation de CABC (PER 14,4x, P/B 2,22x) apparaît exigeante au regard des bénéfices passés, mais elle est tempérée par un EV/EBITDA raisonnable (7,3x). Le comportement du cours sur 100 jours montre une tendance haussière (+7,86%) mais avec une volatilité extrême (55,8%), signalant un risque élevé. Les signaux techniques sont mitigés : la tendance de fond (MM, MACD) est vendeuse, mais les oscillateurs (RSI proche du survente, Stochastique en zone d'achat) suggèrent un rebond imminent. Les fondamentaux, bien qu'en amélioration sur 2025 (retour aux bénéfices, ROE &gt;15%), restent fragiles comme le démontre la perte enregistrée au T1 2026, due à des facteurs conjoncturels. Les prédictions IA indiquent une trajectoire fortement haussière sur les 10 prochains jours (de 3 648 à 4 393 FCFA), ce qui contredit les signaux techniques de moyen terme mais pourrait matérialiser le rebond attendu par le Stochastique. En synthèse, la convergence entre la valorisation élevée, la volatilité du cours et la fragilité des fondamentaux à court terme plaide pour une approche prudente. **Recommandation finale : CONSERVER** avec un niveau de confiance **Moyen** et un risque global **Élevé**. L'horizon d'investissement optimal est le **moyen terme (3-12 mois)**, en attendant la confirmation d'une stabilisation des résultats après les perturbations du T1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918.40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1,345 titres</w:t>
            </w:r>
          </w:p>
        </w:tc>
        <w:tc>
          <w:tcPr>
            <w:tcW w:type="dxa" w:w="2268"/>
            <w:shd w:fill="FFF2CC" w:val="clear"/>
          </w:tcPr>
          <w:p>
            <w:r>
              <w:rPr>
                <w:b/>
                <w:color w:val="503200"/>
                <w:sz w:val="16"/>
              </w:rPr>
              <w:t xml:space="preserve">Cours actuel : </w:t>
            </w:r>
            <w:r>
              <w:rPr>
                <w:color w:val="000000"/>
                <w:sz w:val="17"/>
              </w:rPr>
              <w:t>28,700 FCFA</w:t>
            </w:r>
          </w:p>
          <w:p>
            <w:r>
              <w:rPr>
                <w:b/>
                <w:color w:val="503200"/>
                <w:sz w:val="16"/>
              </w:rPr>
              <w:t xml:space="preserve">Var. 100 jours : </w:t>
            </w:r>
            <w:r>
              <w:rPr>
                <w:b/>
                <w:color w:val="007800"/>
                <w:sz w:val="17"/>
              </w:rPr>
              <w:t>+112.44%</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13,510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24.30% (Élevée) — μ=21,292 FCFA, σ=5,174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β=0.7689 (Défensif) — Cov=0.000024, Var(idx)=0.000031, ρ=0.162,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25,379</w:t>
            </w:r>
          </w:p>
        </w:tc>
        <w:tc>
          <w:tcPr>
            <w:tcW w:type="dxa" w:w="1440"/>
            <w:shd w:fill="FFDCE0" w:val="clear"/>
          </w:tcPr>
          <w:p>
            <w:r>
              <w:rPr>
                <w:b/>
                <w:sz w:val="17"/>
              </w:rPr>
              <w:t>26,548</w:t>
            </w:r>
          </w:p>
        </w:tc>
        <w:tc>
          <w:tcPr>
            <w:tcW w:type="dxa" w:w="1440"/>
            <w:shd w:fill="FFDCE0" w:val="clear"/>
          </w:tcPr>
          <w:p>
            <w:r>
              <w:rPr>
                <w:sz w:val="17"/>
              </w:rPr>
              <w:t>27,716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23,028</w:t>
            </w:r>
          </w:p>
        </w:tc>
        <w:tc>
          <w:tcPr>
            <w:tcW w:type="dxa" w:w="1440"/>
            <w:shd w:fill="FFDCE0" w:val="clear"/>
          </w:tcPr>
          <w:p>
            <w:r>
              <w:rPr>
                <w:b/>
                <w:sz w:val="17"/>
              </w:rPr>
              <w:t>24,556</w:t>
            </w:r>
          </w:p>
        </w:tc>
        <w:tc>
          <w:tcPr>
            <w:tcW w:type="dxa" w:w="1440"/>
            <w:shd w:fill="FFDCE0" w:val="clear"/>
          </w:tcPr>
          <w:p>
            <w:r>
              <w:rPr>
                <w:sz w:val="17"/>
              </w:rPr>
              <w:t>26,085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20,983</w:t>
            </w:r>
          </w:p>
        </w:tc>
        <w:tc>
          <w:tcPr>
            <w:tcW w:type="dxa" w:w="1440"/>
            <w:shd w:fill="FFDCE0" w:val="clear"/>
          </w:tcPr>
          <w:p>
            <w:r>
              <w:rPr>
                <w:b/>
                <w:sz w:val="17"/>
              </w:rPr>
              <w:t>22,715</w:t>
            </w:r>
          </w:p>
        </w:tc>
        <w:tc>
          <w:tcPr>
            <w:tcW w:type="dxa" w:w="1440"/>
            <w:shd w:fill="FFDCE0" w:val="clear"/>
          </w:tcPr>
          <w:p>
            <w:r>
              <w:rPr>
                <w:sz w:val="17"/>
              </w:rPr>
              <w:t>24,447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19,161</w:t>
            </w:r>
          </w:p>
        </w:tc>
        <w:tc>
          <w:tcPr>
            <w:tcW w:type="dxa" w:w="1440"/>
            <w:shd w:fill="FFDCE0" w:val="clear"/>
          </w:tcPr>
          <w:p>
            <w:r>
              <w:rPr>
                <w:b/>
                <w:sz w:val="17"/>
              </w:rPr>
              <w:t>21,011</w:t>
            </w:r>
          </w:p>
        </w:tc>
        <w:tc>
          <w:tcPr>
            <w:tcW w:type="dxa" w:w="1440"/>
            <w:shd w:fill="FFDCE0" w:val="clear"/>
          </w:tcPr>
          <w:p>
            <w:r>
              <w:rPr>
                <w:sz w:val="17"/>
              </w:rPr>
              <w:t>22,861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17,662</w:t>
            </w:r>
          </w:p>
        </w:tc>
        <w:tc>
          <w:tcPr>
            <w:tcW w:type="dxa" w:w="1440"/>
            <w:shd w:fill="FFDCE0" w:val="clear"/>
          </w:tcPr>
          <w:p>
            <w:r>
              <w:rPr>
                <w:b/>
                <w:sz w:val="17"/>
              </w:rPr>
              <w:t>19,591</w:t>
            </w:r>
          </w:p>
        </w:tc>
        <w:tc>
          <w:tcPr>
            <w:tcW w:type="dxa" w:w="1440"/>
            <w:shd w:fill="FFDCE0" w:val="clear"/>
          </w:tcPr>
          <w:p>
            <w:r>
              <w:rPr>
                <w:sz w:val="17"/>
              </w:rPr>
              <w:t>21,519</w:t>
            </w:r>
          </w:p>
        </w:tc>
        <w:tc>
          <w:tcPr>
            <w:tcW w:type="dxa" w:w="1440"/>
            <w:shd w:fill="FFDCE0" w:val="clear"/>
          </w:tcPr>
          <w:p>
            <w:r>
              <w:rPr>
                <w:b/>
                <w:color w:val="C00000"/>
                <w:sz w:val="17"/>
              </w:rPr>
              <w:t>-31.7%</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16,990</w:t>
            </w:r>
          </w:p>
        </w:tc>
        <w:tc>
          <w:tcPr>
            <w:tcW w:type="dxa" w:w="1440"/>
            <w:shd w:fill="FFDCE0" w:val="clear"/>
          </w:tcPr>
          <w:p>
            <w:r>
              <w:rPr>
                <w:b/>
                <w:sz w:val="17"/>
              </w:rPr>
              <w:t>19,043</w:t>
            </w:r>
          </w:p>
        </w:tc>
        <w:tc>
          <w:tcPr>
            <w:tcW w:type="dxa" w:w="1440"/>
            <w:shd w:fill="FFDCE0" w:val="clear"/>
          </w:tcPr>
          <w:p>
            <w:r>
              <w:rPr>
                <w:sz w:val="17"/>
              </w:rPr>
              <w:t>21,097</w:t>
            </w:r>
          </w:p>
        </w:tc>
        <w:tc>
          <w:tcPr>
            <w:tcW w:type="dxa" w:w="1440"/>
            <w:shd w:fill="FFDCE0" w:val="clear"/>
          </w:tcPr>
          <w:p>
            <w:r>
              <w:rPr>
                <w:b/>
                <w:color w:val="C00000"/>
                <w:sz w:val="17"/>
              </w:rPr>
              <w:t>-33.6%</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16,401</w:t>
            </w:r>
          </w:p>
        </w:tc>
        <w:tc>
          <w:tcPr>
            <w:tcW w:type="dxa" w:w="1440"/>
            <w:shd w:fill="FFDCE0" w:val="clear"/>
          </w:tcPr>
          <w:p>
            <w:r>
              <w:rPr>
                <w:b/>
                <w:sz w:val="17"/>
              </w:rPr>
              <w:t>18,563</w:t>
            </w:r>
          </w:p>
        </w:tc>
        <w:tc>
          <w:tcPr>
            <w:tcW w:type="dxa" w:w="1440"/>
            <w:shd w:fill="FFDCE0" w:val="clear"/>
          </w:tcPr>
          <w:p>
            <w:r>
              <w:rPr>
                <w:sz w:val="17"/>
              </w:rPr>
              <w:t>20,725</w:t>
            </w:r>
          </w:p>
        </w:tc>
        <w:tc>
          <w:tcPr>
            <w:tcW w:type="dxa" w:w="1440"/>
            <w:shd w:fill="FFDCE0" w:val="clear"/>
          </w:tcPr>
          <w:p>
            <w:r>
              <w:rPr>
                <w:b/>
                <w:color w:val="C00000"/>
                <w:sz w:val="17"/>
              </w:rPr>
              <w:t>-35.3%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15,876</w:t>
            </w:r>
          </w:p>
        </w:tc>
        <w:tc>
          <w:tcPr>
            <w:tcW w:type="dxa" w:w="1440"/>
            <w:shd w:fill="FFDCE0" w:val="clear"/>
          </w:tcPr>
          <w:p>
            <w:r>
              <w:rPr>
                <w:b/>
                <w:sz w:val="17"/>
              </w:rPr>
              <w:t>18,135</w:t>
            </w:r>
          </w:p>
        </w:tc>
        <w:tc>
          <w:tcPr>
            <w:tcW w:type="dxa" w:w="1440"/>
            <w:shd w:fill="FFDCE0" w:val="clear"/>
          </w:tcPr>
          <w:p>
            <w:r>
              <w:rPr>
                <w:sz w:val="17"/>
              </w:rPr>
              <w:t>20,393</w:t>
            </w:r>
          </w:p>
        </w:tc>
        <w:tc>
          <w:tcPr>
            <w:tcW w:type="dxa" w:w="1440"/>
            <w:shd w:fill="FFDCE0" w:val="clear"/>
          </w:tcPr>
          <w:p>
            <w:r>
              <w:rPr>
                <w:b/>
                <w:color w:val="C00000"/>
                <w:sz w:val="17"/>
              </w:rPr>
              <w:t>-36.8%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15,404</w:t>
            </w:r>
          </w:p>
        </w:tc>
        <w:tc>
          <w:tcPr>
            <w:tcW w:type="dxa" w:w="1440"/>
            <w:shd w:fill="FFDCE0" w:val="clear"/>
          </w:tcPr>
          <w:p>
            <w:r>
              <w:rPr>
                <w:b/>
                <w:sz w:val="17"/>
              </w:rPr>
              <w:t>17,748</w:t>
            </w:r>
          </w:p>
        </w:tc>
        <w:tc>
          <w:tcPr>
            <w:tcW w:type="dxa" w:w="1440"/>
            <w:shd w:fill="FFDCE0" w:val="clear"/>
          </w:tcPr>
          <w:p>
            <w:r>
              <w:rPr>
                <w:sz w:val="17"/>
              </w:rPr>
              <w:t>20,092</w:t>
            </w:r>
          </w:p>
        </w:tc>
        <w:tc>
          <w:tcPr>
            <w:tcW w:type="dxa" w:w="1440"/>
            <w:shd w:fill="FFDCE0" w:val="clear"/>
          </w:tcPr>
          <w:p>
            <w:r>
              <w:rPr>
                <w:b/>
                <w:color w:val="C00000"/>
                <w:sz w:val="17"/>
              </w:rPr>
              <w:t>-38.2%</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14,974</w:t>
            </w:r>
          </w:p>
        </w:tc>
        <w:tc>
          <w:tcPr>
            <w:tcW w:type="dxa" w:w="1440"/>
            <w:shd w:fill="FFDCE0" w:val="clear"/>
          </w:tcPr>
          <w:p>
            <w:r>
              <w:rPr>
                <w:b/>
                <w:sz w:val="17"/>
              </w:rPr>
              <w:t>17,396</w:t>
            </w:r>
          </w:p>
        </w:tc>
        <w:tc>
          <w:tcPr>
            <w:tcW w:type="dxa" w:w="1440"/>
            <w:shd w:fill="FFDCE0" w:val="clear"/>
          </w:tcPr>
          <w:p>
            <w:r>
              <w:rPr>
                <w:sz w:val="17"/>
              </w:rPr>
              <w:t>19,817</w:t>
            </w:r>
          </w:p>
        </w:tc>
        <w:tc>
          <w:tcPr>
            <w:tcW w:type="dxa" w:w="1440"/>
            <w:shd w:fill="FFDCE0" w:val="clear"/>
          </w:tcPr>
          <w:p>
            <w:r>
              <w:rPr>
                <w:b/>
                <w:color w:val="C00000"/>
                <w:sz w:val="17"/>
              </w:rPr>
              <w:t>-39.4%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BF)**</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918,40 milliards FCFA, ce qui positionne le titre parmi les valeurs les plus lourdes de la BRVM, lui conférant un poids significatif dans l'indice composite. Avec un BPA de 2 047 FCFA, chaque action génère un bénéfice substantiel pour son détenteur. Le PER de 14,0x se situe au-dessus de la moyenne historique de la BRVM (8-12x), indiquant que le marché valorise déjà une partie de la croissance future et que le titre n'est plus "bon marché" sur la base des bénéfices courants. L'EV/EBITDA de 10,4x, bien que dans la fourchette des 10-15x, suggère une valorisation élevée de la capacité opérationnelle de la banque. Le ratio P/B n'est pas disponible dans les données fournies, ce qui limite la comparaison avec la valeur comptable des fonds propres.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performance spectaculaire de +112,44%, passant d'un plus bas de 13 510 FCFA à un plus haut de 30 005 FCFA, avec un cours actuel de 28 700 FCFA. La séance de la veille s'est soldée par une stagnation (0,00%), marquant une pause après une forte ascension. La moyenne du cours sur la période (21 292 FCFA) est très proche de la médiane (21 505 FCFA), ce qui, combiné à un skewness de 0,132, indique une distribution quasi symétrique des prix. L'écart-type de 5 200 FCFA (CV = 24,4%) révèle une dispersion modérée des cours autour de la moyenne. Le kurtosis négatif (-1,267) signale une distribution platykurtique, c'est-à-dire une faible probabilité de variations extrêmes, ce qui est rassurant. La volatilité annualisée de 42,0% classe le titre dans la catégorie des actifs à très haute volatilité, un niveau élevé qui reflète l'ampleur du mouvement haussier récent et implique un risque de retournement tout aussi violent.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(28 700 FCFA) évolue nettement au-dessus de la MM20 (27 853 FCFA) et de la MM50 (25 603,6 FCFA), confirmant une tendance haussière solide à court et moyen terme. La configuration des MM, avec la MM20 au-dessus de la MM50, valide la dynamique positive et justifie la décision d'achat.</w:t>
      </w:r>
    </w:p>
    <w:p>
      <w:pPr>
        <w:spacing w:after="120" w:line="276" w:lineRule="auto"/>
      </w:pPr>
      <w:r>
        <w:t>**Bandes de Bollinger :** Le cours se positionne à 28 700 FCFA, proche de la borne supérieure (29 550,52 FCFA) et largement au-dessus de la borne inférieure (26 155,48 FCFA). Cette position indique une pression acheteuse soutenue, mais le resserrement des bandes suggère une volatilité qui pourrait précéder un mouvement directionnel. La décision est neutre, car le titre n'est pas encore en zone de surachat extrême.</w:t>
      </w:r>
    </w:p>
    <w:p>
      <w:pPr>
        <w:spacing w:after="120" w:line="276" w:lineRule="auto"/>
      </w:pPr>
      <w:r>
        <w:t>**MACD :** Le MACD (825,733) est inférieur à sa ligne de signal (928,653), formant une divergence baissière. Bien que les deux lignes restent en territoire positif, ce croisement indique un affaiblissement du momentum haussier à court terme, justifiant une décision de vente pour les traders à horizon court.</w:t>
      </w:r>
    </w:p>
    <w:p>
      <w:pPr>
        <w:spacing w:after="120" w:line="276" w:lineRule="auto"/>
      </w:pPr>
      <w:r>
        <w:t>**RSI :** Le RSI s'établit à 75,994, nettement au-dessus du seuil de surachat (70). Cette valeur signale que le titre est survendu à la hausse et qu'une correction technique est probable à court terme. La décision de vente est donc cohérente avec la lecture de cet indicateur.</w:t>
      </w:r>
    </w:p>
    <w:p>
      <w:pPr>
        <w:spacing w:after="120" w:line="276" w:lineRule="auto"/>
      </w:pPr>
      <w:r>
        <w:t>**Stochastique :** Le %K (84,375) et le %D (85,87) évoluent tous deux en zone de surachat, avec un %K légèrement sous le %D, indiquant un début de croisement baissier. Cette configuration renforce le signal de prudence et justifie la décision de vente.</w:t>
      </w:r>
    </w:p>
    <w:p>
      <w:pPr>
        <w:spacing w:after="120" w:line="276" w:lineRule="auto"/>
      </w:pPr>
      <w:r>
        <w:t>**Conclusion technique :** La tendance de fond reste résolument haussière, portée par les moyennes mobiles, mais l'ensemble des oscillateurs (RSI, Stochastique, MACD) converge vers un signal de surachat et d'essoufflement du momentum. Le titre semble avoir besoin d'une phase de consolidation ou de correction pour assainir ses indicateurs avant une éventuelle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confirment une performance solide pour CBIBF. Le Produit Net Bancaire (PNB) s'établit à 138,986 milliards FCFA, en croissance de 6,1% par rapport à 2024, tandis que le résultat net atteint 65,495 milliards FCFA, en progression de 36,6% (contre 47,937 milliards en 2024). La marge nette est excellente à 47,12%, et le coefficient d'exploitation de 36,39% témoigne d'une gestion très efficace (bien en dessous du seuil de 60%). Le ROA de 2,18% est satisfaisant pour une banque de la zone. Le coût du risque, bien que présenté comme élevé dans les données, a en réalité significativement baissé de 59,3% en 2025 (à 16,5 milliards FCFA), traduisant une amélioration notable de la qualité du portefeuille de crédits. Les dépôts clientèle (2 015,3 milliards FCFA) progressent de 14,9%, dépassant largement les crédits nets (1 327 milliards FCFA, +5,4%), ce qui démontre une forte capacité de collecte et une politique de crédit prudente. Le rapport du 1er trimestre 2026 (publié en 2026) confirme cette dynamique avec un PNB de 36,8 milliards FCFA (+28,5%) et un résultat net de 21,5 milliards FCFA (+22,2%), laissant entrevoir une nouvelle année de croissance soutenue. Les rapports T1, S1 et T3 2025 montrent une amélioration progressive de la performance, avec un coût du risque maîtrisé. La banque bénéficie d'une notation AA/AI avec perspective stable (Bloomfield Investment). Le principal risque reste l'environnement sécuritaire et politique du Burkina Faso, qui pourrait impacter la qualité des actifs. Globalement, la recommandation fondamentale est un **ACHAT**, soutenu par une rentabilité en forte amélioration, une gestion rigoureuse des coûts et des perspectives de croissance favorables.</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contrasté pour CBIBF. La valorisation (PER 14,0x, EV/EBITDA 10,4x) est élevée par rapport aux standards BRVM, indiquant que le marché a déjà intégré les bonnes nouvelles. Le comportement du cours (+112% en 100 jours) et la volatilité élevée (42%) suggèrent un risque de correction technique, confirmé par des indicateurs de momentum en zone de surachat (RSI 76, Stochastique 84). Cependant, les fondamentaux sont excellents : croissance du résultat net de 36,6% en 2025, amélioration du coût du risque, et un T1 2026 très prometteur (+22,2% de résultat net). Les prédictions IA pour les 10 prochains jours (de 26 548 à 19 591 FCFA) anticipent une correction significative, ce qui contredit la tendance haussière mais corrobore les signaux techniques de surachat. En conclusion, la convergence entre les signaux techniques (surachat) et les prédictions IA (baisse) suggère qu'il est prudent de ne pas acheter au prix actuel. La recommandation finale est **CONSERVER** pour les investisseurs déjà positionnés, avec un niveau de confiance **Moyen** et un risque global **Élevé** en raison de la volatilité. Pour les nouveaux investisseurs, il serait opportun d'attendre une correction vers la zone des 24 000-25 000 FCFA (MM50) pour initier une position avec un horizon d'investissement à **moyen terme (3-12 mois)**, en misant sur la solidité des fondamentaux et les perspectives de croissance de la banque.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301.98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3,522 titres</w:t>
            </w:r>
          </w:p>
        </w:tc>
        <w:tc>
          <w:tcPr>
            <w:tcW w:type="dxa" w:w="2268"/>
            <w:shd w:fill="FFF2CC" w:val="clear"/>
          </w:tcPr>
          <w:p>
            <w:r>
              <w:rPr>
                <w:b/>
                <w:color w:val="503200"/>
                <w:sz w:val="16"/>
              </w:rPr>
              <w:t xml:space="preserve">Cours actuel : </w:t>
            </w:r>
            <w:r>
              <w:rPr>
                <w:color w:val="000000"/>
                <w:sz w:val="17"/>
              </w:rPr>
              <w:t>1,665 FCFA</w:t>
            </w:r>
          </w:p>
          <w:p>
            <w:r>
              <w:rPr>
                <w:b/>
                <w:color w:val="503200"/>
                <w:sz w:val="16"/>
              </w:rPr>
              <w:t xml:space="preserve">Var. 100 jours : </w:t>
            </w:r>
            <w:r>
              <w:rPr>
                <w:b/>
                <w:color w:val="B40000"/>
                <w:sz w:val="17"/>
              </w:rPr>
              <w:t>-5.40%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μ=1,605 FCFA, σ=101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β=1.1798 (Neutre (suit le marché)) — Cov=0.000037, Var(idx)=0.000031, ρ=0.215,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σ_j=3.05%/j (Modérée) — Vol. annualisée≈48.5%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1,523</w:t>
            </w:r>
          </w:p>
        </w:tc>
        <w:tc>
          <w:tcPr>
            <w:tcW w:type="dxa" w:w="1440"/>
            <w:shd w:fill="FFDCE0" w:val="clear"/>
          </w:tcPr>
          <w:p>
            <w:r>
              <w:rPr>
                <w:b/>
                <w:sz w:val="17"/>
              </w:rPr>
              <w:t>1,599</w:t>
            </w:r>
          </w:p>
        </w:tc>
        <w:tc>
          <w:tcPr>
            <w:tcW w:type="dxa" w:w="1440"/>
            <w:shd w:fill="FFDCE0" w:val="clear"/>
          </w:tcPr>
          <w:p>
            <w:r>
              <w:rPr>
                <w:sz w:val="17"/>
              </w:rPr>
              <w:t>1,676</w:t>
            </w:r>
          </w:p>
        </w:tc>
        <w:tc>
          <w:tcPr>
            <w:tcW w:type="dxa" w:w="1440"/>
            <w:shd w:fill="FFDCE0" w:val="clear"/>
          </w:tcPr>
          <w:p>
            <w:r>
              <w:rPr>
                <w:b/>
                <w:color w:val="C00000"/>
                <w:sz w:val="17"/>
              </w:rPr>
              <w:t>-3.9%</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1,474</w:t>
            </w:r>
          </w:p>
        </w:tc>
        <w:tc>
          <w:tcPr>
            <w:tcW w:type="dxa" w:w="1440"/>
            <w:shd w:fill="FFDCE0" w:val="clear"/>
          </w:tcPr>
          <w:p>
            <w:r>
              <w:rPr>
                <w:b/>
                <w:sz w:val="17"/>
              </w:rPr>
              <w:t>1,580</w:t>
            </w:r>
          </w:p>
        </w:tc>
        <w:tc>
          <w:tcPr>
            <w:tcW w:type="dxa" w:w="1440"/>
            <w:shd w:fill="FFDCE0" w:val="clear"/>
          </w:tcPr>
          <w:p>
            <w:r>
              <w:rPr>
                <w:sz w:val="17"/>
              </w:rPr>
              <w:t>1,687</w:t>
            </w:r>
          </w:p>
        </w:tc>
        <w:tc>
          <w:tcPr>
            <w:tcW w:type="dxa" w:w="1440"/>
            <w:shd w:fill="FFDCE0" w:val="clear"/>
          </w:tcPr>
          <w:p>
            <w:r>
              <w:rPr>
                <w:b/>
                <w:color w:val="C00000"/>
                <w:sz w:val="17"/>
              </w:rPr>
              <w:t>-5.1%</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1,429</w:t>
            </w:r>
          </w:p>
        </w:tc>
        <w:tc>
          <w:tcPr>
            <w:tcW w:type="dxa" w:w="1440"/>
            <w:shd w:fill="FFDCE0" w:val="clear"/>
          </w:tcPr>
          <w:p>
            <w:r>
              <w:rPr>
                <w:b/>
                <w:sz w:val="17"/>
              </w:rPr>
              <w:t>1,558</w:t>
            </w:r>
          </w:p>
        </w:tc>
        <w:tc>
          <w:tcPr>
            <w:tcW w:type="dxa" w:w="1440"/>
            <w:shd w:fill="FFDCE0" w:val="clear"/>
          </w:tcPr>
          <w:p>
            <w:r>
              <w:rPr>
                <w:sz w:val="17"/>
              </w:rPr>
              <w:t>1,687</w:t>
            </w:r>
          </w:p>
        </w:tc>
        <w:tc>
          <w:tcPr>
            <w:tcW w:type="dxa" w:w="1440"/>
            <w:shd w:fill="FFDCE0" w:val="clear"/>
          </w:tcPr>
          <w:p>
            <w:r>
              <w:rPr>
                <w:b/>
                <w:color w:val="C00000"/>
                <w:sz w:val="17"/>
              </w:rPr>
              <w:t>-6.4%</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1,389</w:t>
            </w:r>
          </w:p>
        </w:tc>
        <w:tc>
          <w:tcPr>
            <w:tcW w:type="dxa" w:w="1440"/>
            <w:shd w:fill="FFDCE0" w:val="clear"/>
          </w:tcPr>
          <w:p>
            <w:r>
              <w:rPr>
                <w:b/>
                <w:sz w:val="17"/>
              </w:rPr>
              <w:t>1,536</w:t>
            </w:r>
          </w:p>
        </w:tc>
        <w:tc>
          <w:tcPr>
            <w:tcW w:type="dxa" w:w="1440"/>
            <w:shd w:fill="FFDCE0" w:val="clear"/>
          </w:tcPr>
          <w:p>
            <w:r>
              <w:rPr>
                <w:sz w:val="17"/>
              </w:rPr>
              <w:t>1,682</w:t>
            </w:r>
          </w:p>
        </w:tc>
        <w:tc>
          <w:tcPr>
            <w:tcW w:type="dxa" w:w="1440"/>
            <w:shd w:fill="FFDCE0" w:val="clear"/>
          </w:tcPr>
          <w:p>
            <w:r>
              <w:rPr>
                <w:b/>
                <w:color w:val="C00000"/>
                <w:sz w:val="17"/>
              </w:rPr>
              <w:t>-7.8%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1,352</w:t>
            </w:r>
          </w:p>
        </w:tc>
        <w:tc>
          <w:tcPr>
            <w:tcW w:type="dxa" w:w="1440"/>
            <w:shd w:fill="FFDCE0" w:val="clear"/>
          </w:tcPr>
          <w:p>
            <w:r>
              <w:rPr>
                <w:b/>
                <w:sz w:val="17"/>
              </w:rPr>
              <w:t>1,513</w:t>
            </w:r>
          </w:p>
        </w:tc>
        <w:tc>
          <w:tcPr>
            <w:tcW w:type="dxa" w:w="1440"/>
            <w:shd w:fill="FFDCE0" w:val="clear"/>
          </w:tcPr>
          <w:p>
            <w:r>
              <w:rPr>
                <w:sz w:val="17"/>
              </w:rPr>
              <w:t>1,675</w:t>
            </w:r>
          </w:p>
        </w:tc>
        <w:tc>
          <w:tcPr>
            <w:tcW w:type="dxa" w:w="1440"/>
            <w:shd w:fill="FFDCE0" w:val="clear"/>
          </w:tcPr>
          <w:p>
            <w:r>
              <w:rPr>
                <w:b/>
                <w:color w:val="C00000"/>
                <w:sz w:val="17"/>
              </w:rPr>
              <w:t>-9.1%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1,317</w:t>
            </w:r>
          </w:p>
        </w:tc>
        <w:tc>
          <w:tcPr>
            <w:tcW w:type="dxa" w:w="1440"/>
            <w:shd w:fill="FFDCE0" w:val="clear"/>
          </w:tcPr>
          <w:p>
            <w:r>
              <w:rPr>
                <w:b/>
                <w:sz w:val="17"/>
              </w:rPr>
              <w:t>1,492</w:t>
            </w:r>
          </w:p>
        </w:tc>
        <w:tc>
          <w:tcPr>
            <w:tcW w:type="dxa" w:w="1440"/>
            <w:shd w:fill="FFDCE0" w:val="clear"/>
          </w:tcPr>
          <w:p>
            <w:r>
              <w:rPr>
                <w:sz w:val="17"/>
              </w:rPr>
              <w:t>1,667</w:t>
            </w:r>
          </w:p>
        </w:tc>
        <w:tc>
          <w:tcPr>
            <w:tcW w:type="dxa" w:w="1440"/>
            <w:shd w:fill="FFDCE0" w:val="clear"/>
          </w:tcPr>
          <w:p>
            <w:r>
              <w:rPr>
                <w:b/>
                <w:color w:val="C00000"/>
                <w:sz w:val="17"/>
              </w:rPr>
              <w:t>-10.4%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1,285</w:t>
            </w:r>
          </w:p>
        </w:tc>
        <w:tc>
          <w:tcPr>
            <w:tcW w:type="dxa" w:w="1440"/>
            <w:shd w:fill="FFDCE0" w:val="clear"/>
          </w:tcPr>
          <w:p>
            <w:r>
              <w:rPr>
                <w:b/>
                <w:sz w:val="17"/>
              </w:rPr>
              <w:t>1,471</w:t>
            </w:r>
          </w:p>
        </w:tc>
        <w:tc>
          <w:tcPr>
            <w:tcW w:type="dxa" w:w="1440"/>
            <w:shd w:fill="FFDCE0" w:val="clear"/>
          </w:tcPr>
          <w:p>
            <w:r>
              <w:rPr>
                <w:sz w:val="17"/>
              </w:rPr>
              <w:t>1,657</w:t>
            </w:r>
          </w:p>
        </w:tc>
        <w:tc>
          <w:tcPr>
            <w:tcW w:type="dxa" w:w="1440"/>
            <w:shd w:fill="FFDCE0" w:val="clear"/>
          </w:tcPr>
          <w:p>
            <w:r>
              <w:rPr>
                <w:b/>
                <w:color w:val="C00000"/>
                <w:sz w:val="17"/>
              </w:rPr>
              <w:t>-11.7%</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1,254</w:t>
            </w:r>
          </w:p>
        </w:tc>
        <w:tc>
          <w:tcPr>
            <w:tcW w:type="dxa" w:w="1440"/>
            <w:shd w:fill="FFDCE0" w:val="clear"/>
          </w:tcPr>
          <w:p>
            <w:r>
              <w:rPr>
                <w:b/>
                <w:sz w:val="17"/>
              </w:rPr>
              <w:t>1,450</w:t>
            </w:r>
          </w:p>
        </w:tc>
        <w:tc>
          <w:tcPr>
            <w:tcW w:type="dxa" w:w="1440"/>
            <w:shd w:fill="FFDCE0" w:val="clear"/>
          </w:tcPr>
          <w:p>
            <w:r>
              <w:rPr>
                <w:sz w:val="17"/>
              </w:rPr>
              <w:t>1,646</w:t>
            </w:r>
          </w:p>
        </w:tc>
        <w:tc>
          <w:tcPr>
            <w:tcW w:type="dxa" w:w="1440"/>
            <w:shd w:fill="FFDCE0" w:val="clear"/>
          </w:tcPr>
          <w:p>
            <w:r>
              <w:rPr>
                <w:b/>
                <w:color w:val="C00000"/>
                <w:sz w:val="17"/>
              </w:rPr>
              <w:t>-12.9%</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1,225</w:t>
            </w:r>
          </w:p>
        </w:tc>
        <w:tc>
          <w:tcPr>
            <w:tcW w:type="dxa" w:w="1440"/>
            <w:shd w:fill="FFDCE0" w:val="clear"/>
          </w:tcPr>
          <w:p>
            <w:r>
              <w:rPr>
                <w:b/>
                <w:sz w:val="17"/>
              </w:rPr>
              <w:t>1,430</w:t>
            </w:r>
          </w:p>
        </w:tc>
        <w:tc>
          <w:tcPr>
            <w:tcW w:type="dxa" w:w="1440"/>
            <w:shd w:fill="FFDCE0" w:val="clear"/>
          </w:tcPr>
          <w:p>
            <w:r>
              <w:rPr>
                <w:sz w:val="17"/>
              </w:rPr>
              <w:t>1,635</w:t>
            </w:r>
          </w:p>
        </w:tc>
        <w:tc>
          <w:tcPr>
            <w:tcW w:type="dxa" w:w="1440"/>
            <w:shd w:fill="FFDCE0" w:val="clear"/>
          </w:tcPr>
          <w:p>
            <w:r>
              <w:rPr>
                <w:b/>
                <w:color w:val="C00000"/>
                <w:sz w:val="17"/>
              </w:rPr>
              <w:t>-14.1%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1,197</w:t>
            </w:r>
          </w:p>
        </w:tc>
        <w:tc>
          <w:tcPr>
            <w:tcW w:type="dxa" w:w="1440"/>
            <w:shd w:fill="FFDCE0" w:val="clear"/>
          </w:tcPr>
          <w:p>
            <w:r>
              <w:rPr>
                <w:b/>
                <w:sz w:val="17"/>
              </w:rPr>
              <w:t>1,411</w:t>
            </w:r>
          </w:p>
        </w:tc>
        <w:tc>
          <w:tcPr>
            <w:tcW w:type="dxa" w:w="1440"/>
            <w:shd w:fill="FFDCE0" w:val="clear"/>
          </w:tcPr>
          <w:p>
            <w:r>
              <w:rPr>
                <w:sz w:val="17"/>
              </w:rPr>
              <w:t>1,624</w:t>
            </w:r>
          </w:p>
        </w:tc>
        <w:tc>
          <w:tcPr>
            <w:tcW w:type="dxa" w:w="1440"/>
            <w:shd w:fill="FFDCE0" w:val="clear"/>
          </w:tcPr>
          <w:p>
            <w:r>
              <w:rPr>
                <w:b/>
                <w:color w:val="C00000"/>
                <w:sz w:val="17"/>
              </w:rPr>
              <w:t>-15.3%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301,98 milliards FCFA, un niveau significatif qui la positionne parmi les valeurs moyennes à grandes capitalisations de la BRVM. Avec un BPA de 26 FCFA, le titre se négocie à un PER de 64,3x, un niveau extrêmement élevé comparé à la moyenne historique du marché qui se situe entre 8 et 12x. Cette valorisation traduit des anticipations de croissance très fortes, mais expose l'investisseur à un risque de correction sévère en cas de déception. Le P/B de 15,52x confirme cette prime exubérante, le marché valorisant l'actif net comptable plus de 15 fois sa valeur, ce qui est exceptionnellement exigeant. Enfin, l'EV/EBITDA de 32,8x, bien au-delà du seuil de 15x jugé élevé, indique que la valeur totale de l'entreprise (capitalisation plus dette nette) est très chère par rapport à sa capacité opérationnelle à générer du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CFAC a enregistré une variation totale de -5,40%, passant sous son niveau initial, bien que la dernière séance affiche un rebond notable de +4,06% à 1 665 FCFA. Le titre a évolué dans une fourchette de 500 FCFA, entre un plus bas de 1 325 FCFA et un plus haut de 1 825 FCFA, illustrant une volatilité intraday importante. La moyenne (1 605 FCFA) et la médiane (1 605 FCFA) étant identiques, la distribution des prix est parfaitement symétrique, ce que confirme le skewness de -0,362, indiquant une légère asymétrie négative sans déséquilibre majeur. L'écart-type de 101 FCFA, avec un coefficient de variation de seulement 6,3%, révèle une dispersion modérée autour de la moyenne. Le kurtosis de -0,020 (mésokurtique) suggère une distribution proche de la normale, sans risque de pics extrêmes. Cependant, la volatilité annualisée de 48,5% classe le titre dans la catégorie des valeurs à très haute volatilité, bien au-dessus du seuil de 30%, signalant un risque de marché substantiel pour les investisseurs.</w:t>
      </w:r>
    </w:p>
    <w:p>
      <w:pPr>
        <w:spacing w:after="120" w:line="276" w:lineRule="auto" w:before="240"/>
      </w:pPr>
      <w:r>
        <w:rPr>
          <w:b/>
          <w:color w:val="003366"/>
          <w:sz w:val="24"/>
        </w:rPr>
        <w:t>**PARTIE 2 : ANALYSE TECHNIQUE DÉTAILLÉE**</w:t>
      </w:r>
    </w:p>
    <w:p>
      <w:pPr>
        <w:spacing w:after="120" w:line="276" w:lineRule="auto"/>
      </w:pPr>
      <w:r>
        <w:t>Les **Moyennes Mobiles** sont en configuration d'achat : la MM20 (1 665,5 FCFA) est quasi identique au cours actuel (1 665 FCFA), tandis que la MM50 (1 659,9 FCFA) est légèrement inférieure. Le cours se maintient au-dessus de ces deux moyennes, ce qui indique une dynamique positive à court et moyen terme, justifiant la décision d'achat.</w:t>
      </w:r>
    </w:p>
    <w:p>
      <w:pPr>
        <w:spacing w:after="120" w:line="276" w:lineRule="auto"/>
      </w:pPr>
      <w:r>
        <w:t>Les **Bandes de Bollinger** montrent un cours positionné exactement au milieu du canal, entre la borne supérieure (1 736,87 FCFA) et la borne inférieure (1 594,13 FCFA). Cette position médiane indique une volatilité normale sans pression directionnelle forte. La décision neutre est cohérente avec l'absence de signal de sortie de canal ou de resserrement extrême.</w:t>
      </w:r>
    </w:p>
    <w:p>
      <w:pPr>
        <w:spacing w:after="120" w:line="276" w:lineRule="auto"/>
      </w:pPr>
      <w:r>
        <w:t>Le **MACD** affiche une valeur de 4,67, inférieure à son signal de 9,359, ce qui constitue un croisement baissier. Le momentum positif s'essouffle, et cette configuration suggère une possible poursuite du mouvement de correction, d'où la décision de vente.</w:t>
      </w:r>
    </w:p>
    <w:p>
      <w:pPr>
        <w:spacing w:after="120" w:line="276" w:lineRule="auto"/>
      </w:pPr>
      <w:r>
        <w:t>Le **RSI** à 47,761 se situe dans la zone neutre (30-70), indiquant un équilibre entre pressions acheteuses et vendeuses. Aucune condition de surachat ou de survente n'est détectée, ce qui laisse place à une évolution dans les deux sens, justifiant la décision neutre.</w:t>
      </w:r>
    </w:p>
    <w:p>
      <w:pPr>
        <w:spacing w:after="120" w:line="276" w:lineRule="auto"/>
      </w:pPr>
      <w:r>
        <w:t>Le **Stochastique** avec %K à 65,0 et %D à 32,778 montre un écart important, suggérant un croisement haussier potentiel en cours de formation. Le %K est nettement au-dessus du %D, ce qui pourrait indiquer un regain de momentum haussier à très court terme, bien que la décision reste neutre.</w:t>
      </w:r>
    </w:p>
    <w:p>
      <w:pPr>
        <w:spacing w:after="120" w:line="276" w:lineRule="auto"/>
      </w:pPr>
      <w:r>
        <w:t>**Conclusion technique** : Les signaux sont mitigés, avec une opposition entre les moyennes mobiles (achat) et le MACD (vente). Le RSI et les bandes de Bollinger restent neutres, tandis que le stochastique montre un léger biais haussier. Cette configuration traduit une phase de consolidation sans direction claire, où le titre semble chercher un nouveau catalyseur pour sortir de sa zone de trading récente.</w:t>
      </w:r>
    </w:p>
    <w:p>
      <w:pPr>
        <w:spacing w:after="120" w:line="276" w:lineRule="auto" w:before="240"/>
      </w:pPr>
      <w:r>
        <w:rPr>
          <w:b/>
          <w:color w:val="003366"/>
          <w:sz w:val="24"/>
        </w:rPr>
        <w:t>**PARTIE 3 : ANALYSE FONDAMENTALE (SECTION CRITIQUE)**</w:t>
      </w:r>
    </w:p>
    <w:p>
      <w:pPr>
        <w:spacing w:after="120" w:line="276" w:lineRule="auto"/>
      </w:pPr>
      <w:r>
        <w:t>En 2024, selon les données structurées officielles, CFAC a réalisé un chiffre d'affaires de 158,313 milliards FCFA, en baisse de -12,1% par rapport à 2023 (180,162 milliards FCFA). Le résultat net s'établit à 4,693 milliards FCFA, en recul de -26,7% par rapport à 2023 (6,399 milliards FCFA), illustrant une dégradation plus que proportionnelle de la rentabilité. La marge nette se contracte à 2,96%, tandis que la marge opérationnelle atteint 4,96%. Le ROE reste excellent à 24,13%, et le ROA à 5,52%, mais ces niveaux sont en baisse. Le BFR est négatif à -3,482 milliards FCFA, ce qui est favorable pour une entreprise, indiquant que le cycle d'exploitation génère du cash. Les délais clients (36,64 jours) et fournisseurs (81,75 jours) sont bien gérés, mais la durée de stockage de 88,35 jours immobilise du capital. Le rapport annuel 2024 (daté de fin 2024) précise que cette baisse est due à une diminution des volumes de véhicules (-5,5%) et à des difficultés logistiques. Cependant, les rapports trimestriels 2025 montrent un redressement spectaculaire : le T1 2025 affiche un CA de 46,161 milliards FCFA (+14,5%) et un résultat net de 3,836 milliards FCFA (+279,7%), tandis que le S1 2025 atteint 91,182 milliards FCFA (+18,4%) avec un résultat net de 5,420 milliards FCFA (+152,7%). Le T3 2025 confirme avec un CA de 43,580 milliards FCFA (+18,3%) et un résultat net de 1,489 milliards FCFA (+38,1%). Sur la base de ces rapports trimestriels, on estime que l'exercice 2025 devrait dépasser largement les performances de 2024, avec un CA annuel potentiel autour de 180 milliards FCFA et un résultat net supérieur à 7 milliards FCFA, marquant un retour aux niveaux de 2023.</w:t>
      </w:r>
    </w:p>
    <w:p>
      <w:pPr>
        <w:spacing w:after="120" w:line="276" w:lineRule="auto" w:before="240"/>
      </w:pPr>
      <w:r>
        <w:rPr>
          <w:b/>
          <w:color w:val="003366"/>
          <w:sz w:val="24"/>
        </w:rPr>
        <w:t>**PARTIE 4 : CONCLUSION D'INVESTISSEMENT**</w:t>
      </w:r>
    </w:p>
    <w:p>
      <w:pPr>
        <w:spacing w:after="120" w:line="276" w:lineRule="auto"/>
      </w:pPr>
      <w:r>
        <w:t>La valorisation de CFAC est extrêmement exigeante avec un PER de 64,3x, un P/B de 15,52x et un EV/EBITDA de 32,8x, indiquant une surévaluation manifeste par rapport aux fondamentaux actuels et à la moyenne du marché BRVM. Le comportement du cours sur 100 jours montre une tendance baissière de -5,40% avec une volatilité annualisée très élevée de 48,5%, signalant un risque de marché important. Les signaux techniques sont mitigés, avec une opposition entre les moyennes mobiles (achat) et le MACD (vente), le RSI et le stochastique restant neutres, traduisant une absence de direction claire. Les fondamentaux, bien qu'en amélioration spectaculaire en 2025 (croissance du CA de +18,4% au S1 et résultat net en hausse de +152,7%), ne justifient pas une telle prime de valorisation. Les prédictions IA pour les 10 prochains jours indiquent une trajectoire baissière continue, de 1 599 FCFA à 1 513 FCFA, confirmant les signaux de correction technique. En synthèse, la convergence entre la surévaluation, la volatilité élevée, les signaux techniques mitigés et les prédictions baissières conduit à une recommandation **VENTE**, avec un niveau de confiance **Moyen** et un risque global **Élevé**. L'horizon d'investissement optimal serait le court terme (&lt;3 mois) pour les investisseurs cherchant à réduire leur exposition, tandis que les investisseurs à long terme devraient attendre une correction significative du cours avant d'envisager une entrée.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308.84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6,198 titres</w:t>
            </w:r>
          </w:p>
        </w:tc>
        <w:tc>
          <w:tcPr>
            <w:tcW w:type="dxa" w:w="2268"/>
            <w:shd w:fill="FFF2CC" w:val="clear"/>
          </w:tcPr>
          <w:p>
            <w:r>
              <w:rPr>
                <w:b/>
                <w:color w:val="503200"/>
                <w:sz w:val="16"/>
              </w:rPr>
              <w:t xml:space="preserve">Cours actuel : </w:t>
            </w:r>
            <w:r>
              <w:rPr>
                <w:color w:val="000000"/>
                <w:sz w:val="17"/>
              </w:rPr>
              <w:t>5,515 FCFA</w:t>
            </w:r>
          </w:p>
          <w:p>
            <w:r>
              <w:rPr>
                <w:b/>
                <w:color w:val="503200"/>
                <w:sz w:val="16"/>
              </w:rPr>
              <w:t xml:space="preserve">Var. 100 jours : </w:t>
            </w:r>
            <w:r>
              <w:rPr>
                <w:b/>
                <w:color w:val="007800"/>
                <w:sz w:val="17"/>
              </w:rPr>
              <w:t>+72.34%</w:t>
            </w:r>
          </w:p>
          <w:p>
            <w:r>
              <w:rPr>
                <w:b/>
                <w:color w:val="503200"/>
                <w:sz w:val="16"/>
              </w:rPr>
              <w:t xml:space="preserve">Plus haut 100j : </w:t>
            </w:r>
            <w:r>
              <w:rPr>
                <w:color w:val="000000"/>
                <w:sz w:val="17"/>
              </w:rPr>
              <w:t>5,515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21.80% (Élevée) — μ=4,298 FCFA, σ=937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β=1.1102 (Neutre (suit le marché)) — Cov=0.000035, Var(idx)=0.000031, ρ=0.215,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6,198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4,882</w:t>
            </w:r>
          </w:p>
        </w:tc>
        <w:tc>
          <w:tcPr>
            <w:tcW w:type="dxa" w:w="1440"/>
            <w:shd w:fill="FFDCE0" w:val="clear"/>
          </w:tcPr>
          <w:p>
            <w:r>
              <w:rPr>
                <w:b/>
                <w:sz w:val="17"/>
              </w:rPr>
              <w:t>5,101</w:t>
            </w:r>
          </w:p>
        </w:tc>
        <w:tc>
          <w:tcPr>
            <w:tcW w:type="dxa" w:w="1440"/>
            <w:shd w:fill="FFDCE0" w:val="clear"/>
          </w:tcPr>
          <w:p>
            <w:r>
              <w:rPr>
                <w:sz w:val="17"/>
              </w:rPr>
              <w:t>5,320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4,432</w:t>
            </w:r>
          </w:p>
        </w:tc>
        <w:tc>
          <w:tcPr>
            <w:tcW w:type="dxa" w:w="1440"/>
            <w:shd w:fill="FFDCE0" w:val="clear"/>
          </w:tcPr>
          <w:p>
            <w:r>
              <w:rPr>
                <w:b/>
                <w:sz w:val="17"/>
              </w:rPr>
              <w:t>4,719</w:t>
            </w:r>
          </w:p>
        </w:tc>
        <w:tc>
          <w:tcPr>
            <w:tcW w:type="dxa" w:w="1440"/>
            <w:shd w:fill="FFDCE0" w:val="clear"/>
          </w:tcPr>
          <w:p>
            <w:r>
              <w:rPr>
                <w:sz w:val="17"/>
              </w:rPr>
              <w:t>5,005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4,040</w:t>
            </w:r>
          </w:p>
        </w:tc>
        <w:tc>
          <w:tcPr>
            <w:tcW w:type="dxa" w:w="1440"/>
            <w:shd w:fill="FFDCE0" w:val="clear"/>
          </w:tcPr>
          <w:p>
            <w:r>
              <w:rPr>
                <w:b/>
                <w:sz w:val="17"/>
              </w:rPr>
              <w:t>4,365</w:t>
            </w:r>
          </w:p>
        </w:tc>
        <w:tc>
          <w:tcPr>
            <w:tcW w:type="dxa" w:w="1440"/>
            <w:shd w:fill="FFDCE0" w:val="clear"/>
          </w:tcPr>
          <w:p>
            <w:r>
              <w:rPr>
                <w:sz w:val="17"/>
              </w:rPr>
              <w:t>4,689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3,691</w:t>
            </w:r>
          </w:p>
        </w:tc>
        <w:tc>
          <w:tcPr>
            <w:tcW w:type="dxa" w:w="1440"/>
            <w:shd w:fill="FFDCE0" w:val="clear"/>
          </w:tcPr>
          <w:p>
            <w:r>
              <w:rPr>
                <w:b/>
                <w:sz w:val="17"/>
              </w:rPr>
              <w:t>4,038</w:t>
            </w:r>
          </w:p>
        </w:tc>
        <w:tc>
          <w:tcPr>
            <w:tcW w:type="dxa" w:w="1440"/>
            <w:shd w:fill="FFDCE0" w:val="clear"/>
          </w:tcPr>
          <w:p>
            <w:r>
              <w:rPr>
                <w:sz w:val="17"/>
              </w:rPr>
              <w:t>4,384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3,376</w:t>
            </w:r>
          </w:p>
        </w:tc>
        <w:tc>
          <w:tcPr>
            <w:tcW w:type="dxa" w:w="1440"/>
            <w:shd w:fill="FFDCE0" w:val="clear"/>
          </w:tcPr>
          <w:p>
            <w:r>
              <w:rPr>
                <w:b/>
                <w:sz w:val="17"/>
              </w:rPr>
              <w:t>3,735</w:t>
            </w:r>
          </w:p>
        </w:tc>
        <w:tc>
          <w:tcPr>
            <w:tcW w:type="dxa" w:w="1440"/>
            <w:shd w:fill="FFDCE0" w:val="clear"/>
          </w:tcPr>
          <w:p>
            <w:r>
              <w:rPr>
                <w:sz w:val="17"/>
              </w:rPr>
              <w:t>4,093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3,134</w:t>
            </w:r>
          </w:p>
        </w:tc>
        <w:tc>
          <w:tcPr>
            <w:tcW w:type="dxa" w:w="1440"/>
            <w:shd w:fill="FFDCE0" w:val="clear"/>
          </w:tcPr>
          <w:p>
            <w:r>
              <w:rPr>
                <w:b/>
                <w:sz w:val="17"/>
              </w:rPr>
              <w:t>3,502</w:t>
            </w:r>
          </w:p>
        </w:tc>
        <w:tc>
          <w:tcPr>
            <w:tcW w:type="dxa" w:w="1440"/>
            <w:shd w:fill="FFDCE0" w:val="clear"/>
          </w:tcPr>
          <w:p>
            <w:r>
              <w:rPr>
                <w:sz w:val="17"/>
              </w:rPr>
              <w:t>3,871</w:t>
            </w:r>
          </w:p>
        </w:tc>
        <w:tc>
          <w:tcPr>
            <w:tcW w:type="dxa" w:w="1440"/>
            <w:shd w:fill="FFDCE0" w:val="clear"/>
          </w:tcPr>
          <w:p>
            <w:r>
              <w:rPr>
                <w:b/>
                <w:color w:val="C00000"/>
                <w:sz w:val="17"/>
              </w:rPr>
              <w:t>-36.5%</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3,028</w:t>
            </w:r>
          </w:p>
        </w:tc>
        <w:tc>
          <w:tcPr>
            <w:tcW w:type="dxa" w:w="1440"/>
            <w:shd w:fill="FFDCE0" w:val="clear"/>
          </w:tcPr>
          <w:p>
            <w:r>
              <w:rPr>
                <w:b/>
                <w:sz w:val="17"/>
              </w:rPr>
              <w:t>3,416</w:t>
            </w:r>
          </w:p>
        </w:tc>
        <w:tc>
          <w:tcPr>
            <w:tcW w:type="dxa" w:w="1440"/>
            <w:shd w:fill="FFDCE0" w:val="clear"/>
          </w:tcPr>
          <w:p>
            <w:r>
              <w:rPr>
                <w:sz w:val="17"/>
              </w:rPr>
              <w:t>3,804</w:t>
            </w:r>
          </w:p>
        </w:tc>
        <w:tc>
          <w:tcPr>
            <w:tcW w:type="dxa" w:w="1440"/>
            <w:shd w:fill="FFDCE0" w:val="clear"/>
          </w:tcPr>
          <w:p>
            <w:r>
              <w:rPr>
                <w:b/>
                <w:color w:val="C00000"/>
                <w:sz w:val="17"/>
              </w:rPr>
              <w:t>-38.1%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2,933</w:t>
            </w:r>
          </w:p>
        </w:tc>
        <w:tc>
          <w:tcPr>
            <w:tcW w:type="dxa" w:w="1440"/>
            <w:shd w:fill="FFDCE0" w:val="clear"/>
          </w:tcPr>
          <w:p>
            <w:r>
              <w:rPr>
                <w:b/>
                <w:sz w:val="17"/>
              </w:rPr>
              <w:t>3,339</w:t>
            </w:r>
          </w:p>
        </w:tc>
        <w:tc>
          <w:tcPr>
            <w:tcW w:type="dxa" w:w="1440"/>
            <w:shd w:fill="FFDCE0" w:val="clear"/>
          </w:tcPr>
          <w:p>
            <w:r>
              <w:rPr>
                <w:sz w:val="17"/>
              </w:rPr>
              <w:t>3,744</w:t>
            </w:r>
          </w:p>
        </w:tc>
        <w:tc>
          <w:tcPr>
            <w:tcW w:type="dxa" w:w="1440"/>
            <w:shd w:fill="FFDCE0" w:val="clear"/>
          </w:tcPr>
          <w:p>
            <w:r>
              <w:rPr>
                <w:b/>
                <w:color w:val="C00000"/>
                <w:sz w:val="17"/>
              </w:rPr>
              <w:t>-39.5%</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2,848</w:t>
            </w:r>
          </w:p>
        </w:tc>
        <w:tc>
          <w:tcPr>
            <w:tcW w:type="dxa" w:w="1440"/>
            <w:shd w:fill="FFDCE0" w:val="clear"/>
          </w:tcPr>
          <w:p>
            <w:r>
              <w:rPr>
                <w:b/>
                <w:sz w:val="17"/>
              </w:rPr>
              <w:t>3,269</w:t>
            </w:r>
          </w:p>
        </w:tc>
        <w:tc>
          <w:tcPr>
            <w:tcW w:type="dxa" w:w="1440"/>
            <w:shd w:fill="FFDCE0" w:val="clear"/>
          </w:tcPr>
          <w:p>
            <w:r>
              <w:rPr>
                <w:sz w:val="17"/>
              </w:rPr>
              <w:t>3,690</w:t>
            </w:r>
          </w:p>
        </w:tc>
        <w:tc>
          <w:tcPr>
            <w:tcW w:type="dxa" w:w="1440"/>
            <w:shd w:fill="FFDCE0" w:val="clear"/>
          </w:tcPr>
          <w:p>
            <w:r>
              <w:rPr>
                <w:b/>
                <w:color w:val="C00000"/>
                <w:sz w:val="17"/>
              </w:rPr>
              <w:t>-40.7%</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2,770</w:t>
            </w:r>
          </w:p>
        </w:tc>
        <w:tc>
          <w:tcPr>
            <w:tcW w:type="dxa" w:w="1440"/>
            <w:shd w:fill="FFDCE0" w:val="clear"/>
          </w:tcPr>
          <w:p>
            <w:r>
              <w:rPr>
                <w:b/>
                <w:sz w:val="17"/>
              </w:rPr>
              <w:t>3,206</w:t>
            </w:r>
          </w:p>
        </w:tc>
        <w:tc>
          <w:tcPr>
            <w:tcW w:type="dxa" w:w="1440"/>
            <w:shd w:fill="FFDCE0" w:val="clear"/>
          </w:tcPr>
          <w:p>
            <w:r>
              <w:rPr>
                <w:sz w:val="17"/>
              </w:rPr>
              <w:t>3,641</w:t>
            </w:r>
          </w:p>
        </w:tc>
        <w:tc>
          <w:tcPr>
            <w:tcW w:type="dxa" w:w="1440"/>
            <w:shd w:fill="FFDCE0" w:val="clear"/>
          </w:tcPr>
          <w:p>
            <w:r>
              <w:rPr>
                <w:b/>
                <w:color w:val="C00000"/>
                <w:sz w:val="17"/>
              </w:rPr>
              <w:t>-41.9%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de l'analyse : 14 août 2026 | Cours de référence : 5 515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308,84 milliards FCFA, ce qui en fait une valeur de première importance sur la BRVM, reflétant la position stratégique de l'entreprise dans le secteur électrique ivoirien. Avec un BPA de 234 FCFA, le titre se négocie à un PER de 23,5x, nettement supérieur à la moyenne historique de la BRVM (8-12x), indiquant que les investisseurs intègrent des attentes de croissance élevées, mais aussi une prime de risque significative. Le P/B de 8,59x confirme cette valorisation exigeante, le marché payant plus de 8 fois la valeur comptable des actifs, ce qui traduit une forte confiance dans la rentabilité future de l'entreprise. Enfin, l'EV/EBITDA de 13,4x, bien que dans la fourchette haute (10-15x), reste cohérent avec une entreprise de services publics en phase d'expansion, mais laisse peu de marge de sécurité pour un 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progression spectaculaire de +72,34%, passant d'un plus bas de 3 000 FCFA à un plus haut de 5 515 FCFA, avec une dernière séance en hausse de +1,19%. Cette tendance fortement haussière est confirmée par la moyenne (4 298 FCFA) et la médiane (4 852 FCFA), mais l'écart entre ces deux valeurs indique une distribution asymétrique, le cours ayant accéléré sa hausse récemment. L'écart-type de 942 FCFA (CV = 21,9%) révèle une dispersion modérée des prix autour de la moyenne, tandis que le kurtosis de -1,793 (platykurtique) suggère une distribution aplatie, avec moins de valeurs extrêmes que la normale, réduisant le risque de pics soudains. Le skewness de -0,162 indique une distribution quasi symétrique, avec une légère queue à gauche. La volatilité annualisée de 46,0% classe le titre dans la catégorie "élevée" (&gt;30%), ce qui implique des fluctuations importantes et un risque de marché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(5 515 FCFA) évolue nettement au-dessus de la MM20 (5 196,25 FCFA) et de la MM50 (5 172,4 FCFA), dans une configuration de tendance haussière claire. L'écart entre les deux moyennes est faible, mais le prix les dépasse largement, confirmant la dynamique positive. La décision d'achat est justifiée par cette configuration de "golden cross" et la force du mouvement.</w:t>
      </w:r>
    </w:p>
    <w:p>
      <w:pPr>
        <w:spacing w:after="120" w:line="276" w:lineRule="auto"/>
      </w:pPr>
      <w:r>
        <w:t>**Bandes de Bollinger** : Le prix se situe à 5 515 FCFA, très proche de la borne supérieure (5 536,82 FCFA), indiquant une pression acheteuse soutenue et une volatilité en expansion. La borne inférieure à 4 855,68 FCFA montre un canal de trading large. La décision "neutre" s'explique par le fait que le cours n'a pas encore franchi la borne supérieure, ce qui pourrait signaler une poursuite du mouvement ou un retournement imminent.</w:t>
      </w:r>
    </w:p>
    <w:p>
      <w:pPr>
        <w:spacing w:after="120" w:line="276" w:lineRule="auto"/>
      </w:pPr>
      <w:r>
        <w:t>**MACD** : Le MACD (76,283) est nettement supérieur à sa ligne de signal (41,81), avec un écart positif de 34,47 points, confirmant un momentum haussier fort. Cette divergence positive indique que la tendance haussière est soutenue par les volumes et la dynamique des prix. La décision d'achat est cohérente avec cette configuration.</w:t>
      </w:r>
    </w:p>
    <w:p>
      <w:pPr>
        <w:spacing w:after="120" w:line="276" w:lineRule="auto"/>
      </w:pPr>
      <w:r>
        <w:t>**RSI** : Le RSI à 67,797 se situe dans la zone neutre-haute, proche du seuil de surachat (70). Cela indique que le titre est fortement sollicité mais pas encore en situation de surachat extrême. La décision "neutre" est prudente, car un dépassement de 70 pourrait déclencher une correction technique.</w:t>
      </w:r>
    </w:p>
    <w:p>
      <w:pPr>
        <w:spacing w:after="120" w:line="276" w:lineRule="auto"/>
      </w:pPr>
      <w:r>
        <w:t>**Stochastique** : Le %K et le %D sont tous deux à 100,0, une situation extrême de surachat. Cette configuration signale que le titre est en zone de surachat sévère, avec un risque élevé de retournement baissier. La décision "vente" est justifiée par cette lecture technique.</w:t>
      </w:r>
    </w:p>
    <w:p>
      <w:pPr>
        <w:spacing w:after="120" w:line="276" w:lineRule="auto"/>
      </w:pPr>
      <w:r>
        <w:t>**Conclusion technique** : Les indicateurs sont partagés entre une tendance haussière forte (MM, MACD) et des signaux de surachat extrême (Stochastique, RSI proche de 70). Le titre est dans une phase de "blow-off" où la dynamique positive est puissante, mais les risques de correction technique sont élevés à court terme.</w:t>
      </w:r>
    </w:p>
    <w:p>
      <w:pPr>
        <w:spacing w:after="120" w:line="276" w:lineRule="auto"/>
      </w:pPr>
      <w:r>
        <w:t>---</w:t>
      </w:r>
    </w:p>
    <w:p>
      <w:pPr>
        <w:spacing w:after="120" w:line="276" w:lineRule="auto"/>
      </w:pPr>
      <w:r>
        <w:t>### PARTIE 3 : ANALYSE FONDAMENTALE (SECTION CRITIQUE)</w:t>
      </w:r>
    </w:p>
    <w:p>
      <w:pPr>
        <w:spacing w:after="120" w:line="276" w:lineRule="auto"/>
      </w:pPr>
      <w:r>
        <w:t>**En 2025**, la CIEC a réalisé un chiffre d'affaires de 302,320 milliards FCFA, en hausse de +14,8% par rapport à 2024 (263,294 milliards FCFA), porté par une augmentation des ventes d'énergie de +8,3% en volume et une expansion de la base clientèle de +15,1% à 5,28 millions de clients. Le résultat net s'établit à 13,127 milliards FCFA, en progression de +24,4% par rapport à 2024, avec une marge nette de 4,34%. La rentabilité des fonds propres (ROE) est excellente à 36,5%, bien au-dessus du seuil de 15% considéré comme sain, tandis que le ROA de 0,65% reflète la lourdeur du bilan (2 018,446 milliards FCFA) typique du secteur électrique. L'EBE s'améliore de 23,2% à 37,161 milliards FCFA, et la CAF atteint 28,869 milliards FCFA. Cependant, la structure financière reste fragile avec un ratio d'endettement de 612,9% et une autonomie financière de seulement 1,78%, traduisant une forte dépendance aux dettes. Le BFR négatif de -90,244 milliards FCFA est un point positif, indiquant que l'entreprise finance son exploitation grâce aux délais fournisseurs (970 jours), mais le délai client de 164 jours représente un risque de trésorerie. **Sur la base du rapport du 1er semestre 2025** (CA de 134,923 milliards FCFA, +18,85%), on estime que l'exercice 2026 devrait maintenir une croissance à deux chiffres, avec un CA projeté autour de 330-340 milliards FCFA et un résultat net de 14-15 milliards FCFA, si la demande énergétique continue de croître. Le dividende de 234 FCFA par action (taux de distribution de 99,8%) confirme la politique généreuse de l'entreprise, mais limite sa capacité d'autofinancement pour les investissements futurs.</w:t>
      </w:r>
    </w:p>
    <w:p>
      <w:pPr>
        <w:spacing w:after="120" w:line="276" w:lineRule="auto"/>
      </w:pPr>
      <w:r>
        <w:t>---</w:t>
      </w:r>
    </w:p>
    <w:p>
      <w:pPr>
        <w:spacing w:after="120" w:line="276" w:lineRule="auto"/>
      </w:pPr>
      <w:r>
        <w:t>### PARTIE 4 : CONCLUSION D'INVESTISSEMENT</w:t>
      </w:r>
    </w:p>
    <w:p>
      <w:pPr>
        <w:spacing w:after="120" w:line="276" w:lineRule="auto"/>
      </w:pPr>
      <w:r>
        <w:t>La valorisation de la CIEC (PER 23,5x, P/B 8,59x, EV/EBITDA 13,4x) indique une surévaluation relative par rapport aux standards de la BRVM, les investisseurs payant une prime significative pour la croissance et la position de monopole de l'entreprise. Le comportement du cours sur 100 jours (+72,34%) avec une volatilité élevée (46%) et une distribution platykurtique reflète une dynamique haussière forte mais potentiellement fragile. Les signaux techniques sont divergents : les moyennes mobiles et le MACD confirment la tendance haussière, tandis que le stochastique à 100% et le RSI proche de 70 signalent un surachat extrême, suggérant une correction imminente. Les fondamentaux restent solides avec une croissance du CA de +14,8% en 2025, un ROE de 36,5% et un dividende attractif de 234 FCFA, mais la structure financière endettée et le risque de crédit client constituent des fragilités. Les prédictions IA pour les 10 prochains jours (5 101 à 3 735 FCFA) anticipent une chute brutale de -32%, contredisant fortement la tendance actuelle et suggérant un retournement majeur. En synthèse, la convergence entre la surévaluation, les signaux techniques de surachat et les prédictions IA baissières conduit à une recommandation de **VENTE** avec un niveau de confiance **Moyen** et un risque global **Élevé**. L'horizon d'investissement optimal serait le **court terme (&lt;3 mois)** pour profiter d'éventuels rebonds techniques, mais la prudence est de mise pour les investisseurs à moyen et long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880.81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3,621 titres</w:t>
            </w:r>
          </w:p>
        </w:tc>
        <w:tc>
          <w:tcPr>
            <w:tcW w:type="dxa" w:w="2268"/>
            <w:shd w:fill="FFF2CC" w:val="clear"/>
          </w:tcPr>
          <w:p>
            <w:r>
              <w:rPr>
                <w:b/>
                <w:color w:val="503200"/>
                <w:sz w:val="16"/>
              </w:rPr>
              <w:t xml:space="preserve">Cours actuel : </w:t>
            </w:r>
            <w:r>
              <w:rPr>
                <w:color w:val="000000"/>
                <w:sz w:val="17"/>
              </w:rPr>
              <w:t>16,000 FCFA</w:t>
            </w:r>
          </w:p>
          <w:p>
            <w:r>
              <w:rPr>
                <w:b/>
                <w:color w:val="503200"/>
                <w:sz w:val="16"/>
              </w:rPr>
              <w:t xml:space="preserve">Var. 100 jours : </w:t>
            </w:r>
            <w:r>
              <w:rPr>
                <w:b/>
                <w:color w:val="B40000"/>
                <w:sz w:val="17"/>
              </w:rPr>
              <w:t>-4.73%</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2.14% (Faible) — μ=16,314 FCFA, σ=350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β=0.2968 (Défensif) — Cov=0.000009, Var(idx)=0.000031, ρ=0.101,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15,566</w:t>
            </w:r>
          </w:p>
        </w:tc>
        <w:tc>
          <w:tcPr>
            <w:tcW w:type="dxa" w:w="1440"/>
            <w:shd w:fill="FAFAFA" w:val="clear"/>
          </w:tcPr>
          <w:p>
            <w:r>
              <w:rPr>
                <w:b/>
                <w:sz w:val="17"/>
              </w:rPr>
              <w:t>15,991</w:t>
            </w:r>
          </w:p>
        </w:tc>
        <w:tc>
          <w:tcPr>
            <w:tcW w:type="dxa" w:w="1440"/>
            <w:shd w:fill="FAFAFA" w:val="clear"/>
          </w:tcPr>
          <w:p>
            <w:r>
              <w:rPr>
                <w:sz w:val="17"/>
              </w:rPr>
              <w:t>16,417</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15,379</w:t>
            </w:r>
          </w:p>
        </w:tc>
        <w:tc>
          <w:tcPr>
            <w:tcW w:type="dxa" w:w="1440"/>
            <w:shd w:fill="FAFAFA" w:val="clear"/>
          </w:tcPr>
          <w:p>
            <w:r>
              <w:rPr>
                <w:b/>
                <w:sz w:val="17"/>
              </w:rPr>
              <w:t>15,981</w:t>
            </w:r>
          </w:p>
        </w:tc>
        <w:tc>
          <w:tcPr>
            <w:tcW w:type="dxa" w:w="1440"/>
            <w:shd w:fill="FAFAFA" w:val="clear"/>
          </w:tcPr>
          <w:p>
            <w:r>
              <w:rPr>
                <w:sz w:val="17"/>
              </w:rPr>
              <w:t>16,582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15,234</w:t>
            </w:r>
          </w:p>
        </w:tc>
        <w:tc>
          <w:tcPr>
            <w:tcW w:type="dxa" w:w="1440"/>
            <w:shd w:fill="FAFAFA" w:val="clear"/>
          </w:tcPr>
          <w:p>
            <w:r>
              <w:rPr>
                <w:b/>
                <w:sz w:val="17"/>
              </w:rPr>
              <w:t>15,970</w:t>
            </w:r>
          </w:p>
        </w:tc>
        <w:tc>
          <w:tcPr>
            <w:tcW w:type="dxa" w:w="1440"/>
            <w:shd w:fill="FAFAFA" w:val="clear"/>
          </w:tcPr>
          <w:p>
            <w:r>
              <w:rPr>
                <w:sz w:val="17"/>
              </w:rPr>
              <w:t>16,706</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15,109</w:t>
            </w:r>
          </w:p>
        </w:tc>
        <w:tc>
          <w:tcPr>
            <w:tcW w:type="dxa" w:w="1440"/>
            <w:shd w:fill="FAFAFA" w:val="clear"/>
          </w:tcPr>
          <w:p>
            <w:r>
              <w:rPr>
                <w:b/>
                <w:sz w:val="17"/>
              </w:rPr>
              <w:t>15,958</w:t>
            </w:r>
          </w:p>
        </w:tc>
        <w:tc>
          <w:tcPr>
            <w:tcW w:type="dxa" w:w="1440"/>
            <w:shd w:fill="FAFAFA" w:val="clear"/>
          </w:tcPr>
          <w:p>
            <w:r>
              <w:rPr>
                <w:sz w:val="17"/>
              </w:rPr>
              <w:t>16,808</w:t>
            </w:r>
          </w:p>
        </w:tc>
        <w:tc>
          <w:tcPr>
            <w:tcW w:type="dxa" w:w="1440"/>
            <w:shd w:fill="FAFAFA" w:val="clear"/>
          </w:tcPr>
          <w:p>
            <w:r>
              <w:rPr>
                <w:b/>
                <w:color w:val="C00000"/>
                <w:sz w:val="17"/>
              </w:rPr>
              <w:t>-0.3%</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14,998</w:t>
            </w:r>
          </w:p>
        </w:tc>
        <w:tc>
          <w:tcPr>
            <w:tcW w:type="dxa" w:w="1440"/>
            <w:shd w:fill="FAFAFA" w:val="clear"/>
          </w:tcPr>
          <w:p>
            <w:r>
              <w:rPr>
                <w:b/>
                <w:sz w:val="17"/>
              </w:rPr>
              <w:t>15,947</w:t>
            </w:r>
          </w:p>
        </w:tc>
        <w:tc>
          <w:tcPr>
            <w:tcW w:type="dxa" w:w="1440"/>
            <w:shd w:fill="FAFAFA" w:val="clear"/>
          </w:tcPr>
          <w:p>
            <w:r>
              <w:rPr>
                <w:sz w:val="17"/>
              </w:rPr>
              <w:t>16,896</w:t>
            </w:r>
          </w:p>
        </w:tc>
        <w:tc>
          <w:tcPr>
            <w:tcW w:type="dxa" w:w="1440"/>
            <w:shd w:fill="FAFAFA" w:val="clear"/>
          </w:tcPr>
          <w:p>
            <w:r>
              <w:rPr>
                <w:b/>
                <w:color w:val="C00000"/>
                <w:sz w:val="17"/>
              </w:rPr>
              <w:t>-0.3%</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14,897</w:t>
            </w:r>
          </w:p>
        </w:tc>
        <w:tc>
          <w:tcPr>
            <w:tcW w:type="dxa" w:w="1440"/>
            <w:shd w:fill="FAFAFA" w:val="clear"/>
          </w:tcPr>
          <w:p>
            <w:r>
              <w:rPr>
                <w:b/>
                <w:sz w:val="17"/>
              </w:rPr>
              <w:t>15,936</w:t>
            </w:r>
          </w:p>
        </w:tc>
        <w:tc>
          <w:tcPr>
            <w:tcW w:type="dxa" w:w="1440"/>
            <w:shd w:fill="FAFAFA" w:val="clear"/>
          </w:tcPr>
          <w:p>
            <w:r>
              <w:rPr>
                <w:sz w:val="17"/>
              </w:rPr>
              <w:t>16,975</w:t>
            </w:r>
          </w:p>
        </w:tc>
        <w:tc>
          <w:tcPr>
            <w:tcW w:type="dxa" w:w="1440"/>
            <w:shd w:fill="FAFAFA" w:val="clear"/>
          </w:tcPr>
          <w:p>
            <w:r>
              <w:rPr>
                <w:b/>
                <w:color w:val="C00000"/>
                <w:sz w:val="17"/>
              </w:rPr>
              <w:t>-0.4%</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14,803</w:t>
            </w:r>
          </w:p>
        </w:tc>
        <w:tc>
          <w:tcPr>
            <w:tcW w:type="dxa" w:w="1440"/>
            <w:shd w:fill="FAFAFA" w:val="clear"/>
          </w:tcPr>
          <w:p>
            <w:r>
              <w:rPr>
                <w:b/>
                <w:sz w:val="17"/>
              </w:rPr>
              <w:t>15,925</w:t>
            </w:r>
          </w:p>
        </w:tc>
        <w:tc>
          <w:tcPr>
            <w:tcW w:type="dxa" w:w="1440"/>
            <w:shd w:fill="FAFAFA" w:val="clear"/>
          </w:tcPr>
          <w:p>
            <w:r>
              <w:rPr>
                <w:sz w:val="17"/>
              </w:rPr>
              <w:t>17,046</w:t>
            </w:r>
          </w:p>
        </w:tc>
        <w:tc>
          <w:tcPr>
            <w:tcW w:type="dxa" w:w="1440"/>
            <w:shd w:fill="FAFAFA" w:val="clear"/>
          </w:tcPr>
          <w:p>
            <w:r>
              <w:rPr>
                <w:b/>
                <w:color w:val="C00000"/>
                <w:sz w:val="17"/>
              </w:rPr>
              <w:t>-0.5%</w:t>
            </w:r>
          </w:p>
        </w:tc>
      </w:tr>
      <w:tr>
        <w:tc>
          <w:tcPr>
            <w:tcW w:type="dxa" w:w="1440"/>
            <w:shd w:fill="FAFAFA" w:val="clear"/>
          </w:tcPr>
          <w:p>
            <w:r>
              <w:rPr>
                <w:sz w:val="17"/>
              </w:rPr>
              <w:t>J+8  Moyenne</w:t>
            </w:r>
          </w:p>
        </w:tc>
        <w:tc>
          <w:tcPr>
            <w:tcW w:type="dxa" w:w="1440"/>
            <w:shd w:fill="FAFAFA" w:val="clear"/>
          </w:tcPr>
          <w:p>
            <w:r>
              <w:rPr>
                <w:sz w:val="17"/>
              </w:rPr>
              <w:t>2026-08-27</w:t>
            </w:r>
          </w:p>
        </w:tc>
        <w:tc>
          <w:tcPr>
            <w:tcW w:type="dxa" w:w="1440"/>
            <w:shd w:fill="FAFAFA" w:val="clear"/>
          </w:tcPr>
          <w:p>
            <w:r>
              <w:rPr>
                <w:sz w:val="17"/>
              </w:rPr>
              <w:t>14,716</w:t>
            </w:r>
          </w:p>
        </w:tc>
        <w:tc>
          <w:tcPr>
            <w:tcW w:type="dxa" w:w="1440"/>
            <w:shd w:fill="FAFAFA" w:val="clear"/>
          </w:tcPr>
          <w:p>
            <w:r>
              <w:rPr>
                <w:b/>
                <w:sz w:val="17"/>
              </w:rPr>
              <w:t>15,914</w:t>
            </w:r>
          </w:p>
        </w:tc>
        <w:tc>
          <w:tcPr>
            <w:tcW w:type="dxa" w:w="1440"/>
            <w:shd w:fill="FAFAFA" w:val="clear"/>
          </w:tcPr>
          <w:p>
            <w:r>
              <w:rPr>
                <w:sz w:val="17"/>
              </w:rPr>
              <w:t>17,111</w:t>
            </w:r>
          </w:p>
        </w:tc>
        <w:tc>
          <w:tcPr>
            <w:tcW w:type="dxa" w:w="1440"/>
            <w:shd w:fill="FAFAFA" w:val="clear"/>
          </w:tcPr>
          <w:p>
            <w:r>
              <w:rPr>
                <w:b/>
                <w:color w:val="C00000"/>
                <w:sz w:val="17"/>
              </w:rPr>
              <w:t>-0.5%</w:t>
            </w:r>
          </w:p>
        </w:tc>
      </w:tr>
      <w:tr>
        <w:tc>
          <w:tcPr>
            <w:tcW w:type="dxa" w:w="1440"/>
            <w:shd w:fill="FAFAFA" w:val="clear"/>
          </w:tcPr>
          <w:p>
            <w:r>
              <w:rPr>
                <w:sz w:val="17"/>
              </w:rPr>
              <w:t>J+9  Moyenne</w:t>
            </w:r>
          </w:p>
        </w:tc>
        <w:tc>
          <w:tcPr>
            <w:tcW w:type="dxa" w:w="1440"/>
            <w:shd w:fill="FAFAFA" w:val="clear"/>
          </w:tcPr>
          <w:p>
            <w:r>
              <w:rPr>
                <w:sz w:val="17"/>
              </w:rPr>
              <w:t>2026-08-28</w:t>
            </w:r>
          </w:p>
        </w:tc>
        <w:tc>
          <w:tcPr>
            <w:tcW w:type="dxa" w:w="1440"/>
            <w:shd w:fill="FAFAFA" w:val="clear"/>
          </w:tcPr>
          <w:p>
            <w:r>
              <w:rPr>
                <w:sz w:val="17"/>
              </w:rPr>
              <w:t>14,633</w:t>
            </w:r>
          </w:p>
        </w:tc>
        <w:tc>
          <w:tcPr>
            <w:tcW w:type="dxa" w:w="1440"/>
            <w:shd w:fill="FAFAFA" w:val="clear"/>
          </w:tcPr>
          <w:p>
            <w:r>
              <w:rPr>
                <w:b/>
                <w:sz w:val="17"/>
              </w:rPr>
              <w:t>15,903</w:t>
            </w:r>
          </w:p>
        </w:tc>
        <w:tc>
          <w:tcPr>
            <w:tcW w:type="dxa" w:w="1440"/>
            <w:shd w:fill="FAFAFA" w:val="clear"/>
          </w:tcPr>
          <w:p>
            <w:r>
              <w:rPr>
                <w:sz w:val="17"/>
              </w:rPr>
              <w:t>17,172</w:t>
            </w:r>
          </w:p>
        </w:tc>
        <w:tc>
          <w:tcPr>
            <w:tcW w:type="dxa" w:w="1440"/>
            <w:shd w:fill="FAFAFA" w:val="clear"/>
          </w:tcPr>
          <w:p>
            <w:r>
              <w:rPr>
                <w:b/>
                <w:color w:val="C00000"/>
                <w:sz w:val="17"/>
              </w:rPr>
              <w:t>-0.6%</w:t>
            </w:r>
          </w:p>
        </w:tc>
      </w:tr>
      <w:tr>
        <w:tc>
          <w:tcPr>
            <w:tcW w:type="dxa" w:w="1440"/>
            <w:shd w:fill="FAFAFA" w:val="clear"/>
          </w:tcPr>
          <w:p>
            <w:r>
              <w:rPr>
                <w:sz w:val="17"/>
              </w:rPr>
              <w:t>J+10  Moyenne</w:t>
            </w:r>
          </w:p>
        </w:tc>
        <w:tc>
          <w:tcPr>
            <w:tcW w:type="dxa" w:w="1440"/>
            <w:shd w:fill="FAFAFA" w:val="clear"/>
          </w:tcPr>
          <w:p>
            <w:r>
              <w:rPr>
                <w:sz w:val="17"/>
              </w:rPr>
              <w:t>2026-08-31</w:t>
            </w:r>
          </w:p>
        </w:tc>
        <w:tc>
          <w:tcPr>
            <w:tcW w:type="dxa" w:w="1440"/>
            <w:shd w:fill="FAFAFA" w:val="clear"/>
          </w:tcPr>
          <w:p>
            <w:r>
              <w:rPr>
                <w:sz w:val="17"/>
              </w:rPr>
              <w:t>14,555</w:t>
            </w:r>
          </w:p>
        </w:tc>
        <w:tc>
          <w:tcPr>
            <w:tcW w:type="dxa" w:w="1440"/>
            <w:shd w:fill="FAFAFA" w:val="clear"/>
          </w:tcPr>
          <w:p>
            <w:r>
              <w:rPr>
                <w:b/>
                <w:sz w:val="17"/>
              </w:rPr>
              <w:t>15,892</w:t>
            </w:r>
          </w:p>
        </w:tc>
        <w:tc>
          <w:tcPr>
            <w:tcW w:type="dxa" w:w="1440"/>
            <w:shd w:fill="FAFAFA" w:val="clear"/>
          </w:tcPr>
          <w:p>
            <w:r>
              <w:rPr>
                <w:sz w:val="17"/>
              </w:rPr>
              <w:t>17,229</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14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880,81 milliards FCFA, ECOC se positionne comme l'une des valeurs les plus lourdes et les plus liquides de la BRVM, ce qui lui confère un poids significatif dans l'indice principal. Le BPA de 1 153 FCFA indique que chaque action a généré un bénéfice substantiel sur l'exercice écoulé. Le PER de 13,9x est supérieur à la moyenne historique de la BRVM (8-12x), suggérant que le marché valorise déjà une prime de croissance par rapport à ses pairs. Cependant, le P/B de 4,03x est particulièrement exigeant, signifiant que les investisseurs paient plus de 4 fois la valeur comptable des actifs, ce qui reflète une forte confiance dans la rentabilité future de la banque. Enfin, l'EV/EBITDA de 13,6x, bien que dans la fourchette haute (10-15x), indique une valorisation élevée de la capacité opérationnelle de l'entreprise, justifiée par ses performances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 enregistré une baisse modérée de -4,73%, avec une dernière séance stable (0,00%). Le cours a évolué dans un range de trading de 1 750 FCFA, oscillant entre un plus bas de 15 520 FCFA et un plus haut de 17 270 FCFA, démontrant une certaine nervosité mais sans cassure majeure. La moyenne (16 314 FCFA) et la médiane (16 300 FCFA) étant quasi identiques, la distribution des prix est symétrique, ce qui est confirmé par un skewness de 0,244. L'écart-type de 352 FCFA (CV=2,2%) révèle une dispersion très faible, indiquant une stabilité relative du cours. Le kurtosis de 0,186 (mésokurtique) suggère l'absence de mouvements extrêmes ou de pics de volatilité inhabituels. La volatilité annualisée de 26,0% classe le titre dans une catégorie de risque modéré, ce qui est cohérent avec une valeur bancaire de premier plan.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(16 000 FCFA) est inférieur à la MM20 (16 058,75 FCFA) et nettement sous la MM50 (16 407 FCFA). Cette configuration baissière, où les moyennes sont orientées à la baisse, confirme une tendance de fond négative à court et moyen terme, justifiant la décision de "Vente".</w:t>
      </w:r>
    </w:p>
    <w:p>
      <w:pPr>
        <w:spacing w:after="120" w:line="276" w:lineRule="auto"/>
      </w:pPr>
      <w:r>
        <w:t>**Bandes de Bollinger :** Le prix se situe à l'intérieur des bandes, plus près de la borne inférieure (15 687 FCFA) que de la borne supérieure (16 430 FCFA). Cela indique une pression vendeuse sans être en situation de survente extrême. La largeur des bandes suggère une volatilité modérée, et la décision "Neutre" reflète l'absence de signal directionnel fort.</w:t>
      </w:r>
    </w:p>
    <w:p>
      <w:pPr>
        <w:spacing w:after="120" w:line="276" w:lineRule="auto"/>
      </w:pPr>
      <w:r>
        <w:t>**MACD :** Le MACD (-95,109) est légèrement au-dessus de sa ligne de signal (-97,972), formant un croisement haussier potentiel. Bien que les deux valeurs soient négatives, ce croisement suggère un ralentissement du momentum baissier et une possible reprise à court terme, d'où la décision "Achat".</w:t>
      </w:r>
    </w:p>
    <w:p>
      <w:pPr>
        <w:spacing w:after="120" w:line="276" w:lineRule="auto"/>
      </w:pPr>
      <w:r>
        <w:t>**RSI :** À 35,673, le RSI se situe en zone neutre, proche du seuil de survente (30). Cela indique que le titre n'est ni suracheté ni survendu, mais que la dynamique vendeuse s'estompe, laissant place à une possible stabilisation. La décision est "Neutre".</w:t>
      </w:r>
    </w:p>
    <w:p>
      <w:pPr>
        <w:spacing w:after="120" w:line="276" w:lineRule="auto"/>
      </w:pPr>
      <w:r>
        <w:t>**Stochastique :** Le %K à 0,0 et le %D à 9,662 sont en territoire de survente profonde. Un tel niveau signale que le cours a fortement baissé récemment et qu'un rebond technique est statistiquement probable. La décision "Achat" reflète cette opportunité de retournement.</w:t>
      </w:r>
    </w:p>
    <w:p>
      <w:pPr>
        <w:spacing w:after="120" w:line="276" w:lineRule="auto"/>
      </w:pPr>
      <w:r>
        <w:t>**Conclusion technique :** Les indicateurs sont mitigés. La tendance de fond (MM) reste baissière, mais les oscillateurs (MACD, Stochastique) montrent des signes d'épuisement de la vente et un potentiel de rebond technique. Le RSI neutre ne confirme pas encore ce scénario. L'action est à un point charnière ; un rebond technique est possible, mais il faudra un franchissement des MM20/50 pour valider un retournement de tendance.</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officielles de l'exercice 2025, ECOC affiche une santé financière remarquable. Le Produit Net Bancaire (PNB) s'établit à 132,725 milliards FCFA, en croissance de 8,5%, générant un résultat net de 63,482 milliards FCFA. Cette performance se traduit par un ROE exceptionnel de 29,04% et un ROA de 3,09%, démontrant une utilisation très efficace des capitaux propres et des actifs. Le coefficient d'exploitation de 42,89% est excellent, témoignant d'une maîtrise rigoureuse des coûts. Le coût du risque de 1,36% reste modéré, indiquant une bonne qualité du portefeuille de crédits. Les rapports trimestriels de 2025 confirment cette dynamique : le T3 2025 (publié en 2026) montre un PNB de 96,4 milliards (+11,3%) et un résultat net de 44,4 milliards (+15,4%). Sur la base de ces tendances, on estime que l'exercice 2026 pourrait voir le PNB dépasser les 145 milliards FCFA et le résultat net atteindre 70 milliards FCFA, porté par la forte collecte de dépôts (+33%) et l'amélioration continue de l'efficacité opérationnelle. Le dividende proposé de 888 FCFA par action pour 2025 confirme une politique actionnariale généreuse et soutenable.</w:t>
      </w:r>
    </w:p>
    <w:p>
      <w:pPr>
        <w:spacing w:after="120" w:line="276" w:lineRule="auto"/>
      </w:pPr>
      <w:r>
        <w:t>---</w:t>
      </w:r>
    </w:p>
    <w:p>
      <w:pPr>
        <w:spacing w:after="120" w:line="276" w:lineRule="auto"/>
      </w:pPr>
      <w:r>
        <w:t>### PARTIE 4 : CONCLUSION D'INVESTISSEMENT</w:t>
      </w:r>
    </w:p>
    <w:p>
      <w:pPr>
        <w:spacing w:after="120" w:line="276" w:lineRule="auto"/>
      </w:pPr>
      <w:r>
        <w:t>La valorisation d'ECOC (PER 13,9x, P/B 4,03x) est exigeante et intègre déjà des attentes de croissance élevées, ce qui laisse peu de marge d'erreur. Le comportement du cours sur 100 jours (-4,73%) et les statistiques (faible dispersion, symétrie) montrent une consolidation saine, sans panique, avec une volatilité modérée. Les signaux techniques sont contradictoires : la tendance (MM) est baissière, mais les oscillateurs (MACD, Stochastique) suggèrent un rebond imminent. Les fondamentaux, eux, sont d'une solidité exceptionnelle (ROE &gt;29%, coût du risque maîtrisé, croissance à deux chiffres), soutenus par les rapports trimestriels. Les prédictions IA (légère baisse de 16 000 à 15 947 FCFA sur 10 jours) contredisent le signal d'achat technique à court terme, suggérant une stabilisation plutôt qu'un rebond immédiat. En synthèse, la force fondamentale de l'entreprise est indéniable, mais la valorisation actuelle et les signaux techniques mitigés recommandent la prudence. Nous émettons une recommandation **CONSERVER** pour les investisseurs à moyen/long terme, avec un niveau de confiance **Moyen** et un risque global **Moyen**. L'horizon d'investissement optimal est de **moyen terme (3-12 mois)**, en attendant un point d'entrée plus favorable ou une confirmation du retournement technique.</w:t>
      </w:r>
    </w:p>
    <w:p/>
    <w:p/>
    <w:p>
      <w:pPr>
        <w:pStyle w:val="Heading3"/>
      </w:pPr>
      <w:r>
        <w:rPr>
          <w:color w:val="00467F"/>
        </w:rPr>
        <w:t>📎 DOCUMENTS &amp; COMMUNICATIONS OFFICIELS BRVM</w:t>
      </w:r>
    </w:p>
    <w:p>
      <w:r>
        <w:rPr>
          <w:i/>
          <w:color w:val="646464"/>
          <w:sz w:val="18"/>
        </w:rPr>
        <w:t>9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[5]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1229.72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1,378,323 titres</w:t>
            </w:r>
          </w:p>
        </w:tc>
        <w:tc>
          <w:tcPr>
            <w:tcW w:type="dxa" w:w="2268"/>
            <w:shd w:fill="FFF2CC" w:val="clear"/>
          </w:tcPr>
          <w:p>
            <w:r>
              <w:rPr>
                <w:b/>
                <w:color w:val="503200"/>
                <w:sz w:val="16"/>
              </w:rPr>
              <w:t xml:space="preserve">Cours actuel : </w:t>
            </w:r>
            <w:r>
              <w:rPr>
                <w:color w:val="000000"/>
                <w:sz w:val="17"/>
              </w:rPr>
              <w:t>68 FCFA</w:t>
            </w:r>
          </w:p>
          <w:p>
            <w:r>
              <w:rPr>
                <w:b/>
                <w:color w:val="503200"/>
                <w:sz w:val="16"/>
              </w:rPr>
              <w:t xml:space="preserve">Var. 100 jours : </w:t>
            </w:r>
            <w:r>
              <w:rPr>
                <w:b/>
                <w:color w:val="007800"/>
                <w:sz w:val="17"/>
              </w:rPr>
              <w:t>+112.50%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38.55% (Élevée) — μ=42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β=3.0911 (Très agressif) — Cov=0.000096, Var(idx)=0.000031, ρ=0.426,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1,378,323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σ_j=4.03%/j (Modérée) — Vol. annualisée≈64.0%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58</w:t>
            </w:r>
          </w:p>
        </w:tc>
        <w:tc>
          <w:tcPr>
            <w:tcW w:type="dxa" w:w="1440"/>
            <w:shd w:fill="FFDCE0" w:val="clear"/>
          </w:tcPr>
          <w:p>
            <w:r>
              <w:rPr>
                <w:b/>
                <w:sz w:val="17"/>
              </w:rPr>
              <w:t>63</w:t>
            </w:r>
          </w:p>
        </w:tc>
        <w:tc>
          <w:tcPr>
            <w:tcW w:type="dxa" w:w="1440"/>
            <w:shd w:fill="FFDCE0" w:val="clear"/>
          </w:tcPr>
          <w:p>
            <w:r>
              <w:rPr>
                <w:sz w:val="17"/>
              </w:rPr>
              <w:t>68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51</w:t>
            </w:r>
          </w:p>
        </w:tc>
        <w:tc>
          <w:tcPr>
            <w:tcW w:type="dxa" w:w="1440"/>
            <w:shd w:fill="FFDCE0" w:val="clear"/>
          </w:tcPr>
          <w:p>
            <w:r>
              <w:rPr>
                <w:b/>
                <w:sz w:val="17"/>
              </w:rPr>
              <w:t>58</w:t>
            </w:r>
          </w:p>
        </w:tc>
        <w:tc>
          <w:tcPr>
            <w:tcW w:type="dxa" w:w="1440"/>
            <w:shd w:fill="FFDCE0" w:val="clear"/>
          </w:tcPr>
          <w:p>
            <w:r>
              <w:rPr>
                <w:sz w:val="17"/>
              </w:rPr>
              <w:t>65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46</w:t>
            </w:r>
          </w:p>
        </w:tc>
        <w:tc>
          <w:tcPr>
            <w:tcW w:type="dxa" w:w="1440"/>
            <w:shd w:fill="FFDCE0" w:val="clear"/>
          </w:tcPr>
          <w:p>
            <w:r>
              <w:rPr>
                <w:b/>
                <w:sz w:val="17"/>
              </w:rPr>
              <w:t>54</w:t>
            </w:r>
          </w:p>
        </w:tc>
        <w:tc>
          <w:tcPr>
            <w:tcW w:type="dxa" w:w="1440"/>
            <w:shd w:fill="FFDCE0" w:val="clear"/>
          </w:tcPr>
          <w:p>
            <w:r>
              <w:rPr>
                <w:sz w:val="17"/>
              </w:rPr>
              <w:t>62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41</w:t>
            </w:r>
          </w:p>
        </w:tc>
        <w:tc>
          <w:tcPr>
            <w:tcW w:type="dxa" w:w="1440"/>
            <w:shd w:fill="FFDCE0" w:val="clear"/>
          </w:tcPr>
          <w:p>
            <w:r>
              <w:rPr>
                <w:b/>
                <w:sz w:val="17"/>
              </w:rPr>
              <w:t>50</w:t>
            </w:r>
          </w:p>
        </w:tc>
        <w:tc>
          <w:tcPr>
            <w:tcW w:type="dxa" w:w="1440"/>
            <w:shd w:fill="FFDCE0" w:val="clear"/>
          </w:tcPr>
          <w:p>
            <w:r>
              <w:rPr>
                <w:sz w:val="17"/>
              </w:rPr>
              <w:t>58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37</w:t>
            </w:r>
          </w:p>
        </w:tc>
        <w:tc>
          <w:tcPr>
            <w:tcW w:type="dxa" w:w="1440"/>
            <w:shd w:fill="FFDCE0" w:val="clear"/>
          </w:tcPr>
          <w:p>
            <w:r>
              <w:rPr>
                <w:b/>
                <w:sz w:val="17"/>
              </w:rPr>
              <w:t>46</w:t>
            </w:r>
          </w:p>
        </w:tc>
        <w:tc>
          <w:tcPr>
            <w:tcW w:type="dxa" w:w="1440"/>
            <w:shd w:fill="FFDCE0" w:val="clear"/>
          </w:tcPr>
          <w:p>
            <w:r>
              <w:rPr>
                <w:sz w:val="17"/>
              </w:rPr>
              <w:t>55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33</w:t>
            </w:r>
          </w:p>
        </w:tc>
        <w:tc>
          <w:tcPr>
            <w:tcW w:type="dxa" w:w="1440"/>
            <w:shd w:fill="FFDCE0" w:val="clear"/>
          </w:tcPr>
          <w:p>
            <w:r>
              <w:rPr>
                <w:b/>
                <w:sz w:val="17"/>
              </w:rPr>
              <w:t>43</w:t>
            </w:r>
          </w:p>
        </w:tc>
        <w:tc>
          <w:tcPr>
            <w:tcW w:type="dxa" w:w="1440"/>
            <w:shd w:fill="FFDCE0" w:val="clear"/>
          </w:tcPr>
          <w:p>
            <w:r>
              <w:rPr>
                <w:sz w:val="17"/>
              </w:rPr>
              <w:t>52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30</w:t>
            </w:r>
          </w:p>
        </w:tc>
        <w:tc>
          <w:tcPr>
            <w:tcW w:type="dxa" w:w="1440"/>
            <w:shd w:fill="FFDCE0" w:val="clear"/>
          </w:tcPr>
          <w:p>
            <w:r>
              <w:rPr>
                <w:b/>
                <w:sz w:val="17"/>
              </w:rPr>
              <w:t>39</w:t>
            </w:r>
          </w:p>
        </w:tc>
        <w:tc>
          <w:tcPr>
            <w:tcW w:type="dxa" w:w="1440"/>
            <w:shd w:fill="FFDCE0" w:val="clear"/>
          </w:tcPr>
          <w:p>
            <w:r>
              <w:rPr>
                <w:sz w:val="17"/>
              </w:rPr>
              <w:t>49</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27</w:t>
            </w:r>
          </w:p>
        </w:tc>
        <w:tc>
          <w:tcPr>
            <w:tcW w:type="dxa" w:w="1440"/>
            <w:shd w:fill="FFDCE0" w:val="clear"/>
          </w:tcPr>
          <w:p>
            <w:r>
              <w:rPr>
                <w:b/>
                <w:sz w:val="17"/>
              </w:rPr>
              <w:t>36</w:t>
            </w:r>
          </w:p>
        </w:tc>
        <w:tc>
          <w:tcPr>
            <w:tcW w:type="dxa" w:w="1440"/>
            <w:shd w:fill="FFDCE0" w:val="clear"/>
          </w:tcPr>
          <w:p>
            <w:r>
              <w:rPr>
                <w:sz w:val="17"/>
              </w:rPr>
              <w:t>45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25</w:t>
            </w:r>
          </w:p>
        </w:tc>
        <w:tc>
          <w:tcPr>
            <w:tcW w:type="dxa" w:w="1440"/>
            <w:shd w:fill="FFDCE0" w:val="clear"/>
          </w:tcPr>
          <w:p>
            <w:r>
              <w:rPr>
                <w:b/>
                <w:sz w:val="17"/>
              </w:rPr>
              <w:t>34</w:t>
            </w:r>
          </w:p>
        </w:tc>
        <w:tc>
          <w:tcPr>
            <w:tcW w:type="dxa" w:w="1440"/>
            <w:shd w:fill="FFDCE0" w:val="clear"/>
          </w:tcPr>
          <w:p>
            <w:r>
              <w:rPr>
                <w:sz w:val="17"/>
              </w:rPr>
              <w:t>43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23</w:t>
            </w:r>
          </w:p>
        </w:tc>
        <w:tc>
          <w:tcPr>
            <w:tcW w:type="dxa" w:w="1440"/>
            <w:shd w:fill="FFDCE0" w:val="clear"/>
          </w:tcPr>
          <w:p>
            <w:r>
              <w:rPr>
                <w:b/>
                <w:sz w:val="17"/>
              </w:rPr>
              <w:t>31</w:t>
            </w:r>
          </w:p>
        </w:tc>
        <w:tc>
          <w:tcPr>
            <w:tcW w:type="dxa" w:w="1440"/>
            <w:shd w:fill="FFDCE0" w:val="clear"/>
          </w:tcPr>
          <w:p>
            <w:r>
              <w:rPr>
                <w:sz w:val="17"/>
              </w:rPr>
              <w:t>40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**Marché :** BRVM (Bourse Régionale des Valeurs Mobilières)</w:t>
        <w:br/>
        <w:t>**Date de l'analyse :** 15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1 229,72 milliards FCFA, ce qui en fait l'une des toutes premières capitalisations de la BRVM, reflétant son statut de leader panafricain. Avec un BPA de 19 FCFA, le titre se négocie à un PER de 3,6x, très inférieur à la moyenne historique de la place (~8-12x), signalant une sous-évaluation potentielle du bénéfice par action. Le P/B de 0,77x confirme cette lecture, le marché valorisant le titre sous sa valeur comptable, une situation souvent associée à une décote injustifiée ou à une défiance du marché. Enfin, l'EV/EBITDA de 5,0x est raisonnable et témoigne d'une capacité opérationnelle solide. Ces ratios combinés suggèrent une valorisation attractive, offrant une marge de sécurité pour un investisseur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ETIT a enregistré une performance spectaculaire de +112,5%, passant d'un plus bas de 26 FCFA à un plus haut de 78 FCFA, avant de se stabiliser à 68 FCFA. Cette tendance est fortement haussière, bien que la dernière séance soit neutre (0,00%). Les statistiques descriptives révèlent une distribution asymétrique positive (skewness de 0,937), indiquant que la majorité des séances se sont situées sous la moyenne de 42 FCFA, avec des pics de hausse marqués. La médiane de 33 FCFA, bien en dessous de la moyenne, confirme cette asymétrie. L'écart-type de 16 FCFA (CV=38,7%) et la volatilité annualisée de 64% dépeignent un titre extrêmement volatil. Le kurtosis de -0,862 (mésokurtique) suggère une distribution proche de la normale, sans risque de variations extrêmes imprévues, mais la forte volatilité reste un facteur de risque majeur.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(68 FCFA) est supérieur à la MM20 (67,75) et largement au-dessus de la MM50 (53,66), confirmant une dynamique haussière de moyen terme. La décision d'achat est justifiée par cette configuration positive, bien que le cours semble se rapprocher de sa MM20, ce qui pourrait indiquer un essoufflement à court terme.</w:t>
      </w:r>
    </w:p>
    <w:p>
      <w:pPr>
        <w:spacing w:after="120" w:line="276" w:lineRule="auto"/>
      </w:pPr>
      <w:r>
        <w:t>**Bandes de Bollinger :** Le prix se situe à 68 FCFA, entre la borne supérieure (74,49) et la borne inférieure (61,01), dans la zone neutre. La largeur des bandes reflète une volatilité élevée. La décision "Neutre" est cohérente, car le titre n'est ni en situation de surachat ni de survente, laissant place à une consolidation potentielle.</w:t>
      </w:r>
    </w:p>
    <w:p>
      <w:pPr>
        <w:spacing w:after="120" w:line="276" w:lineRule="auto"/>
      </w:pPr>
      <w:r>
        <w:t>**MACD :** La valeur du MACD (3,081) est inférieure à son signal (4,232), indiquant un momentum baissier à court terme. Cette divergence négative, après une forte hausse, suggère une possible correction ou une phase de consolidation. La décision de vente est un signal de prudence pour les traders à court terme.</w:t>
      </w:r>
    </w:p>
    <w:p>
      <w:pPr>
        <w:spacing w:after="120" w:line="276" w:lineRule="auto"/>
      </w:pPr>
      <w:r>
        <w:t>**RSI :** Le RSI à 43,243 est en zone neutre (30-70), indiquant que le titre n'est ni suracheté ni survendu. Cela laisse une marge de manœuvre pour une évolution dans les deux sens, mais sans signal directionnel fort. La décision "Neutre" est donc appropriée.</w:t>
      </w:r>
    </w:p>
    <w:p>
      <w:pPr>
        <w:spacing w:after="120" w:line="276" w:lineRule="auto"/>
      </w:pPr>
      <w:r>
        <w:t>**Stochastique :** Le %K (40,0) est supérieur au %D (29,697), suggérant un début de croisement haussier, mais les deux restent en zone neutre. Ce croisement pourrait indiquer un rebond technique à court terme, mais la prudence reste de mise. La décision "Neutre" reflète cette incertitude.</w:t>
      </w:r>
    </w:p>
    <w:p>
      <w:pPr>
        <w:spacing w:after="120" w:line="276" w:lineRule="auto"/>
      </w:pPr>
      <w:r>
        <w:t>**Conclusion technique :** La configuration technique est mitigée. La tendance de fond reste haussière (MM), mais les indicateurs de momentum (MACD, RSI) montrent des signes de faiblesse à court terme. Le titre semble entrer dans une phase de consolidation après une hausse spectaculaire. Les signaux sont donc divergents, suggérant une pause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d'ETIT (secteur banque) font état d'un Produit Net Bancaire (PNB) de 1 424,261 milliards FCFA, en croissance de 12,45%, et d'un résultat net de 345,523 milliards FCFA. La rentabilité des fonds propres (ROE) est excellente à 21,62%, et le ROA de 1,80% est correct. Le coefficient d'exploitation de 27,35% est exceptionnel, démontrant une très grande efficacité opérationnelle. Cependant, le coût du risque (18,97%) est élevé, signalant une dégradation de la qualité du portefeuille de crédits. Les dépôts clientèle (14 120,139 Mds FCFA) couvrent largement les créances sur la clientèle (6 570,385 Mds FCFA), indiquant une bonne liquidité. Les rapports trimestriels de 2026 confirment cette dynamique : le S1 2026 (rapport du 30/06/2026) montre un PNB de 721,318 milliards FCFA (+15% en $EU) et un résultat net de 166,682 milliards FCFA (+6%). Le T1 2026 (rapport du 31/03/2026) affichait déjà un PNB de 636,2 millions $EU (+23%). Sur la base de ces tendances, on estime que l'exercice 2026 devrait dépasser les performances de 2025, avec un PNB annuel potentiellement supérieur à 1 500 milliards FCFA, malgré un coût du risque en hausse (+40% au S1 2026). La solidité financière est confortée par des capitaux propres de 1 597,846 Mds FCFA, mais l'endettement élevé (ratio d'endettement de 154%) reste un point de vigilance.</w:t>
      </w:r>
    </w:p>
    <w:p>
      <w:pPr>
        <w:spacing w:after="120" w:line="276" w:lineRule="auto"/>
      </w:pPr>
      <w:r>
        <w:t>---</w:t>
      </w:r>
    </w:p>
    <w:p>
      <w:pPr>
        <w:spacing w:after="120" w:line="276" w:lineRule="auto"/>
      </w:pPr>
      <w:r>
        <w:t>### PARTIE 4 : CONCLUSION D'INVESTISSEMENT</w:t>
      </w:r>
    </w:p>
    <w:p>
      <w:pPr>
        <w:spacing w:after="120" w:line="276" w:lineRule="auto"/>
      </w:pPr>
      <w:r>
        <w:t>La valorisation d'ETIT est très attractive (PER 3,6x, P/B 0,77x), indiquant une sous-évaluation par rapport à ses fondamentaux solides. Le comportement du cours, avec une hausse de +112,5% sur 100 jours, montre une dynamique positive, mais la volatilité extrême (64%) et l'asymétrie des rendements appellent à la prudence. Les signaux techniques sont divergents : la tendance de fond est haussière (MM), mais les indicateurs de momentum (MACD, RSI) suggèrent une consolidation à court terme. Les fondamentaux sont robustes, avec une croissance soutenue du PNB et une rentabilité élevée, bien que le coût du risque soit préoccupant. Les prédictions IA pour les 10 prochains jours (63 à 46 FCFA) anticipent une correction significative, contredisant la tendance haussière récente. En synthèse, malgré des fondamentaux solides et une valorisation faible, les signaux techniques et les prédictions IA suggèrent un repli à court terme. **Recommandation : CONSERVER**, avec un niveau de confiance **Moyen** et un risque global **Élevé**. L'horizon d'investissement optimal serait le **moyen terme (3-12 mois)**, en attendant que la correction anticipée se matérialise pour renforcer la 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30.89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3,887 titres</w:t>
            </w:r>
          </w:p>
        </w:tc>
        <w:tc>
          <w:tcPr>
            <w:tcW w:type="dxa" w:w="2268"/>
            <w:shd w:fill="FFF2CC" w:val="clear"/>
          </w:tcPr>
          <w:p>
            <w:r>
              <w:rPr>
                <w:b/>
                <w:color w:val="503200"/>
                <w:sz w:val="16"/>
              </w:rPr>
              <w:t xml:space="preserve">Cours actuel : </w:t>
            </w:r>
            <w:r>
              <w:rPr>
                <w:color w:val="000000"/>
                <w:sz w:val="17"/>
              </w:rPr>
              <w:t>2,190 FCFA</w:t>
            </w:r>
          </w:p>
          <w:p>
            <w:r>
              <w:rPr>
                <w:b/>
                <w:color w:val="503200"/>
                <w:sz w:val="16"/>
              </w:rPr>
              <w:t xml:space="preserve">Var. 100 jours : </w:t>
            </w:r>
            <w:r>
              <w:rPr>
                <w:b/>
                <w:color w:val="B40000"/>
                <w:sz w:val="17"/>
              </w:rPr>
              <w:t>-5.40%</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6.68% (Moyenne) — μ=2,169 FCFA, σ=145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β=1.0038 (Neutre (suit le marché)) — Cov=0.000031, Var(idx)=0.000031, ρ=0.245,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2,131</w:t>
            </w:r>
          </w:p>
        </w:tc>
        <w:tc>
          <w:tcPr>
            <w:tcW w:type="dxa" w:w="1440"/>
            <w:shd w:fill="FAFAFA" w:val="clear"/>
          </w:tcPr>
          <w:p>
            <w:r>
              <w:rPr>
                <w:b/>
                <w:sz w:val="17"/>
              </w:rPr>
              <w:t>2,198</w:t>
            </w:r>
          </w:p>
        </w:tc>
        <w:tc>
          <w:tcPr>
            <w:tcW w:type="dxa" w:w="1440"/>
            <w:shd w:fill="FAFAFA" w:val="clear"/>
          </w:tcPr>
          <w:p>
            <w:r>
              <w:rPr>
                <w:sz w:val="17"/>
              </w:rPr>
              <w:t>2,265</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2,111</w:t>
            </w:r>
          </w:p>
        </w:tc>
        <w:tc>
          <w:tcPr>
            <w:tcW w:type="dxa" w:w="1440"/>
            <w:shd w:fill="FAFAFA" w:val="clear"/>
          </w:tcPr>
          <w:p>
            <w:r>
              <w:rPr>
                <w:b/>
                <w:sz w:val="17"/>
              </w:rPr>
              <w:t>2,206</w:t>
            </w:r>
          </w:p>
        </w:tc>
        <w:tc>
          <w:tcPr>
            <w:tcW w:type="dxa" w:w="1440"/>
            <w:shd w:fill="FAFAFA" w:val="clear"/>
          </w:tcPr>
          <w:p>
            <w:r>
              <w:rPr>
                <w:sz w:val="17"/>
              </w:rPr>
              <w:t>2,301</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2,098</w:t>
            </w:r>
          </w:p>
        </w:tc>
        <w:tc>
          <w:tcPr>
            <w:tcW w:type="dxa" w:w="1440"/>
            <w:shd w:fill="FAFAFA" w:val="clear"/>
          </w:tcPr>
          <w:p>
            <w:r>
              <w:rPr>
                <w:b/>
                <w:sz w:val="17"/>
              </w:rPr>
              <w:t>2,215</w:t>
            </w:r>
          </w:p>
        </w:tc>
        <w:tc>
          <w:tcPr>
            <w:tcW w:type="dxa" w:w="1440"/>
            <w:shd w:fill="FAFAFA" w:val="clear"/>
          </w:tcPr>
          <w:p>
            <w:r>
              <w:rPr>
                <w:sz w:val="17"/>
              </w:rPr>
              <w:t>2,332</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2,089</w:t>
            </w:r>
          </w:p>
        </w:tc>
        <w:tc>
          <w:tcPr>
            <w:tcW w:type="dxa" w:w="1440"/>
            <w:shd w:fill="FAFAFA" w:val="clear"/>
          </w:tcPr>
          <w:p>
            <w:r>
              <w:rPr>
                <w:b/>
                <w:sz w:val="17"/>
              </w:rPr>
              <w:t>2,225</w:t>
            </w:r>
          </w:p>
        </w:tc>
        <w:tc>
          <w:tcPr>
            <w:tcW w:type="dxa" w:w="1440"/>
            <w:shd w:fill="FAFAFA" w:val="clear"/>
          </w:tcPr>
          <w:p>
            <w:r>
              <w:rPr>
                <w:sz w:val="17"/>
              </w:rPr>
              <w:t>2,360</w:t>
            </w:r>
          </w:p>
        </w:tc>
        <w:tc>
          <w:tcPr>
            <w:tcW w:type="dxa" w:w="1440"/>
            <w:shd w:fill="FAFAFA" w:val="clear"/>
          </w:tcPr>
          <w:p>
            <w:r>
              <w:rPr>
                <w:b/>
                <w:color w:val="008000"/>
                <w:sz w:val="17"/>
              </w:rPr>
              <w:t>+1.6%</w:t>
            </w:r>
          </w:p>
        </w:tc>
      </w:tr>
      <w:tr>
        <w:tc>
          <w:tcPr>
            <w:tcW w:type="dxa" w:w="1440"/>
            <w:shd w:fill="C6EFCE" w:val="clear"/>
          </w:tcPr>
          <w:p>
            <w:r>
              <w:rPr>
                <w:sz w:val="17"/>
              </w:rPr>
              <w:t>J+5  Moyenne</w:t>
            </w:r>
          </w:p>
        </w:tc>
        <w:tc>
          <w:tcPr>
            <w:tcW w:type="dxa" w:w="1440"/>
            <w:shd w:fill="C6EFCE" w:val="clear"/>
          </w:tcPr>
          <w:p>
            <w:r>
              <w:rPr>
                <w:sz w:val="17"/>
              </w:rPr>
              <w:t>2026-08-21</w:t>
            </w:r>
          </w:p>
        </w:tc>
        <w:tc>
          <w:tcPr>
            <w:tcW w:type="dxa" w:w="1440"/>
            <w:shd w:fill="C6EFCE" w:val="clear"/>
          </w:tcPr>
          <w:p>
            <w:r>
              <w:rPr>
                <w:sz w:val="17"/>
              </w:rPr>
              <w:t>2,082</w:t>
            </w:r>
          </w:p>
        </w:tc>
        <w:tc>
          <w:tcPr>
            <w:tcW w:type="dxa" w:w="1440"/>
            <w:shd w:fill="C6EFCE" w:val="clear"/>
          </w:tcPr>
          <w:p>
            <w:r>
              <w:rPr>
                <w:b/>
                <w:sz w:val="17"/>
              </w:rPr>
              <w:t>2,234</w:t>
            </w:r>
          </w:p>
        </w:tc>
        <w:tc>
          <w:tcPr>
            <w:tcW w:type="dxa" w:w="1440"/>
            <w:shd w:fill="C6EFCE" w:val="clear"/>
          </w:tcPr>
          <w:p>
            <w:r>
              <w:rPr>
                <w:sz w:val="17"/>
              </w:rPr>
              <w:t>2,387</w:t>
            </w:r>
          </w:p>
        </w:tc>
        <w:tc>
          <w:tcPr>
            <w:tcW w:type="dxa" w:w="1440"/>
            <w:shd w:fill="C6EFCE"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2026-08-24</w:t>
            </w:r>
          </w:p>
        </w:tc>
        <w:tc>
          <w:tcPr>
            <w:tcW w:type="dxa" w:w="1440"/>
            <w:shd w:fill="C6EFCE" w:val="clear"/>
          </w:tcPr>
          <w:p>
            <w:r>
              <w:rPr>
                <w:sz w:val="17"/>
              </w:rPr>
              <w:t>2,076</w:t>
            </w:r>
          </w:p>
        </w:tc>
        <w:tc>
          <w:tcPr>
            <w:tcW w:type="dxa" w:w="1440"/>
            <w:shd w:fill="C6EFCE" w:val="clear"/>
          </w:tcPr>
          <w:p>
            <w:r>
              <w:rPr>
                <w:b/>
                <w:sz w:val="17"/>
              </w:rPr>
              <w:t>2,244</w:t>
            </w:r>
          </w:p>
        </w:tc>
        <w:tc>
          <w:tcPr>
            <w:tcW w:type="dxa" w:w="1440"/>
            <w:shd w:fill="C6EFCE" w:val="clear"/>
          </w:tcPr>
          <w:p>
            <w:r>
              <w:rPr>
                <w:sz w:val="17"/>
              </w:rPr>
              <w:t>2,411</w:t>
            </w:r>
          </w:p>
        </w:tc>
        <w:tc>
          <w:tcPr>
            <w:tcW w:type="dxa" w:w="1440"/>
            <w:shd w:fill="C6EFCE" w:val="clear"/>
          </w:tcPr>
          <w:p>
            <w:r>
              <w:rPr>
                <w:b/>
                <w:color w:val="008000"/>
                <w:sz w:val="17"/>
              </w:rPr>
              <w:t>+2.5%</w:t>
            </w:r>
          </w:p>
        </w:tc>
      </w:tr>
      <w:tr>
        <w:tc>
          <w:tcPr>
            <w:tcW w:type="dxa" w:w="1440"/>
            <w:shd w:fill="C6EFCE" w:val="clear"/>
          </w:tcPr>
          <w:p>
            <w:r>
              <w:rPr>
                <w:sz w:val="17"/>
              </w:rPr>
              <w:t>J+7  Moyenne</w:t>
            </w:r>
          </w:p>
        </w:tc>
        <w:tc>
          <w:tcPr>
            <w:tcW w:type="dxa" w:w="1440"/>
            <w:shd w:fill="C6EFCE" w:val="clear"/>
          </w:tcPr>
          <w:p>
            <w:r>
              <w:rPr>
                <w:sz w:val="17"/>
              </w:rPr>
              <w:t>2026-08-25</w:t>
            </w:r>
          </w:p>
        </w:tc>
        <w:tc>
          <w:tcPr>
            <w:tcW w:type="dxa" w:w="1440"/>
            <w:shd w:fill="C6EFCE" w:val="clear"/>
          </w:tcPr>
          <w:p>
            <w:r>
              <w:rPr>
                <w:sz w:val="17"/>
              </w:rPr>
              <w:t>2,072</w:t>
            </w:r>
          </w:p>
        </w:tc>
        <w:tc>
          <w:tcPr>
            <w:tcW w:type="dxa" w:w="1440"/>
            <w:shd w:fill="C6EFCE" w:val="clear"/>
          </w:tcPr>
          <w:p>
            <w:r>
              <w:rPr>
                <w:b/>
                <w:sz w:val="17"/>
              </w:rPr>
              <w:t>2,253</w:t>
            </w:r>
          </w:p>
        </w:tc>
        <w:tc>
          <w:tcPr>
            <w:tcW w:type="dxa" w:w="1440"/>
            <w:shd w:fill="C6EFCE" w:val="clear"/>
          </w:tcPr>
          <w:p>
            <w:r>
              <w:rPr>
                <w:sz w:val="17"/>
              </w:rPr>
              <w:t>2,435</w:t>
            </w:r>
          </w:p>
        </w:tc>
        <w:tc>
          <w:tcPr>
            <w:tcW w:type="dxa" w:w="1440"/>
            <w:shd w:fill="C6EFCE" w:val="clear"/>
          </w:tcPr>
          <w:p>
            <w:r>
              <w:rPr>
                <w:b/>
                <w:color w:val="008000"/>
                <w:sz w:val="17"/>
              </w:rPr>
              <w:t>+2.9%</w:t>
            </w:r>
          </w:p>
        </w:tc>
      </w:tr>
      <w:tr>
        <w:tc>
          <w:tcPr>
            <w:tcW w:type="dxa" w:w="1440"/>
            <w:shd w:fill="C6EFCE" w:val="clear"/>
          </w:tcPr>
          <w:p>
            <w:r>
              <w:rPr>
                <w:sz w:val="17"/>
              </w:rPr>
              <w:t>J+8  Moyenne</w:t>
            </w:r>
          </w:p>
        </w:tc>
        <w:tc>
          <w:tcPr>
            <w:tcW w:type="dxa" w:w="1440"/>
            <w:shd w:fill="C6EFCE" w:val="clear"/>
          </w:tcPr>
          <w:p>
            <w:r>
              <w:rPr>
                <w:sz w:val="17"/>
              </w:rPr>
              <w:t>2026-08-27</w:t>
            </w:r>
          </w:p>
        </w:tc>
        <w:tc>
          <w:tcPr>
            <w:tcW w:type="dxa" w:w="1440"/>
            <w:shd w:fill="C6EFCE" w:val="clear"/>
          </w:tcPr>
          <w:p>
            <w:r>
              <w:rPr>
                <w:sz w:val="17"/>
              </w:rPr>
              <w:t>2,068</w:t>
            </w:r>
          </w:p>
        </w:tc>
        <w:tc>
          <w:tcPr>
            <w:tcW w:type="dxa" w:w="1440"/>
            <w:shd w:fill="C6EFCE" w:val="clear"/>
          </w:tcPr>
          <w:p>
            <w:r>
              <w:rPr>
                <w:b/>
                <w:sz w:val="17"/>
              </w:rPr>
              <w:t>2,263</w:t>
            </w:r>
          </w:p>
        </w:tc>
        <w:tc>
          <w:tcPr>
            <w:tcW w:type="dxa" w:w="1440"/>
            <w:shd w:fill="C6EFCE" w:val="clear"/>
          </w:tcPr>
          <w:p>
            <w:r>
              <w:rPr>
                <w:sz w:val="17"/>
              </w:rPr>
              <w:t>2,458</w:t>
            </w:r>
          </w:p>
        </w:tc>
        <w:tc>
          <w:tcPr>
            <w:tcW w:type="dxa" w:w="1440"/>
            <w:shd w:fill="C6EFCE" w:val="clear"/>
          </w:tcPr>
          <w:p>
            <w:r>
              <w:rPr>
                <w:b/>
                <w:color w:val="008000"/>
                <w:sz w:val="17"/>
              </w:rPr>
              <w:t>+3.3%</w:t>
            </w:r>
          </w:p>
        </w:tc>
      </w:tr>
      <w:tr>
        <w:tc>
          <w:tcPr>
            <w:tcW w:type="dxa" w:w="1440"/>
            <w:shd w:fill="C6EFCE" w:val="clear"/>
          </w:tcPr>
          <w:p>
            <w:r>
              <w:rPr>
                <w:sz w:val="17"/>
              </w:rPr>
              <w:t>J+9  Moyenne</w:t>
            </w:r>
          </w:p>
        </w:tc>
        <w:tc>
          <w:tcPr>
            <w:tcW w:type="dxa" w:w="1440"/>
            <w:shd w:fill="C6EFCE" w:val="clear"/>
          </w:tcPr>
          <w:p>
            <w:r>
              <w:rPr>
                <w:sz w:val="17"/>
              </w:rPr>
              <w:t>2026-08-28</w:t>
            </w:r>
          </w:p>
        </w:tc>
        <w:tc>
          <w:tcPr>
            <w:tcW w:type="dxa" w:w="1440"/>
            <w:shd w:fill="C6EFCE" w:val="clear"/>
          </w:tcPr>
          <w:p>
            <w:r>
              <w:rPr>
                <w:sz w:val="17"/>
              </w:rPr>
              <w:t>2,065</w:t>
            </w:r>
          </w:p>
        </w:tc>
        <w:tc>
          <w:tcPr>
            <w:tcW w:type="dxa" w:w="1440"/>
            <w:shd w:fill="C6EFCE" w:val="clear"/>
          </w:tcPr>
          <w:p>
            <w:r>
              <w:rPr>
                <w:b/>
                <w:sz w:val="17"/>
              </w:rPr>
              <w:t>2,273</w:t>
            </w:r>
          </w:p>
        </w:tc>
        <w:tc>
          <w:tcPr>
            <w:tcW w:type="dxa" w:w="1440"/>
            <w:shd w:fill="C6EFCE" w:val="clear"/>
          </w:tcPr>
          <w:p>
            <w:r>
              <w:rPr>
                <w:sz w:val="17"/>
              </w:rPr>
              <w:t>2,480</w:t>
            </w:r>
          </w:p>
        </w:tc>
        <w:tc>
          <w:tcPr>
            <w:tcW w:type="dxa" w:w="1440"/>
            <w:shd w:fill="C6EFCE" w:val="clear"/>
          </w:tcPr>
          <w:p>
            <w:r>
              <w:rPr>
                <w:b/>
                <w:color w:val="008000"/>
                <w:sz w:val="17"/>
              </w:rPr>
              <w:t>+3.8%</w:t>
            </w:r>
          </w:p>
        </w:tc>
      </w:tr>
      <w:tr>
        <w:tc>
          <w:tcPr>
            <w:tcW w:type="dxa" w:w="1440"/>
            <w:shd w:fill="C6EFCE" w:val="clear"/>
          </w:tcPr>
          <w:p>
            <w:r>
              <w:rPr>
                <w:sz w:val="17"/>
              </w:rPr>
              <w:t>J+10  Moyenne</w:t>
            </w:r>
          </w:p>
        </w:tc>
        <w:tc>
          <w:tcPr>
            <w:tcW w:type="dxa" w:w="1440"/>
            <w:shd w:fill="C6EFCE" w:val="clear"/>
          </w:tcPr>
          <w:p>
            <w:r>
              <w:rPr>
                <w:sz w:val="17"/>
              </w:rPr>
              <w:t>2026-08-31</w:t>
            </w:r>
          </w:p>
        </w:tc>
        <w:tc>
          <w:tcPr>
            <w:tcW w:type="dxa" w:w="1440"/>
            <w:shd w:fill="C6EFCE" w:val="clear"/>
          </w:tcPr>
          <w:p>
            <w:r>
              <w:rPr>
                <w:sz w:val="17"/>
              </w:rPr>
              <w:t>2,062</w:t>
            </w:r>
          </w:p>
        </w:tc>
        <w:tc>
          <w:tcPr>
            <w:tcW w:type="dxa" w:w="1440"/>
            <w:shd w:fill="C6EFCE" w:val="clear"/>
          </w:tcPr>
          <w:p>
            <w:r>
              <w:rPr>
                <w:b/>
                <w:sz w:val="17"/>
              </w:rPr>
              <w:t>2,282</w:t>
            </w:r>
          </w:p>
        </w:tc>
        <w:tc>
          <w:tcPr>
            <w:tcW w:type="dxa" w:w="1440"/>
            <w:shd w:fill="C6EFCE" w:val="clear"/>
          </w:tcPr>
          <w:p>
            <w:r>
              <w:rPr>
                <w:sz w:val="17"/>
              </w:rPr>
              <w:t>2,502</w:t>
            </w:r>
          </w:p>
        </w:tc>
        <w:tc>
          <w:tcPr>
            <w:tcW w:type="dxa" w:w="1440"/>
            <w:shd w:fill="C6EFCE" w:val="clear"/>
          </w:tcPr>
          <w:p>
            <w:r>
              <w:rPr>
                <w:b/>
                <w:color w:val="008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de l'analyse : 14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30,89 milliards FCFA, un niveau modeste dans l'écosystème BRVM, reflétant la taille moyenne de l'entreprise. Avec un BPA de seulement 33 FCFA, le titre affiche un PER de 66,3x, extrêmement élevé par rapport à la moyenne historique de la BRVM (8-12x). Les investisseurs paient donc un prix très substantiel pour chaque franc de bénéfice, ce qui traduit une prime de risque importante ou des attentes de croissance future très optimistes. Le P/B de 1,97x indique que le marché valorise la société à près de deux fois sa valeur comptable, ce qui reste dans une zone de valorisation raisonnable pour un actif industriel. Enfin, l'EV/EBITDA de 38,5x est particulièrement exigeant, signalant que la valeur totale de l'entreprise (capitaux propres + dettes) est très élevée par rapport à sa capacité opérationnelle réelle. Ces ratios suggèrent une surévaluation relative du titre au regard de ses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variation totale de -5,40%, avec une dernière séance stable (0,00%). Le cours a évolué dans une fourchette de 1 910 FCFA (plus bas) à 2 430 FCFA (plus haut), démontrant une amplitude de trading de 520 FCFA. La moyenne du cours (2 169 FCFA) est légèrement inférieure à la médiane (2 200 FCFA), indiquant une distribution quasi symétrique, confirmée par un skewness de -0,234. L'écart-type de 146 FCFA (CV=6,7%) révèle une dispersion relativement faible des prix autour de la moyenne. Le kurtosis de -1,272 (platykurtique) indique une distribution aplatie, avec moins de valeurs extrêmes que la normale, ce qui suggère une absence de mouvements violents. La volatilité annualisée de 36,2% classe le titre dans la catégorie "élevée" (&gt;30%), ce qui implique un risque de fluctuation important pour les investisseurs. La tendance générale sur la période est baissière, le cours ayant perdu plus de 5% malgré des tentatives de rebond.</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(2 190 FCFA) se situe au-dessus de la MM20 (2 022 FCFA) et de la MM50 (2 061 FCFA), ce qui suggère une dynamique positive à court terme. Cependant, la décision globale est "Vente", indiquant que la tendance de fond reste baissière malgré le récent rebond. La configuration en "croix dorée" (MM20 &gt; MM50) pourrait signaler un retournement haussier, mais la prudence reste de mise.</w:t>
      </w:r>
    </w:p>
    <w:p>
      <w:pPr>
        <w:spacing w:after="120" w:line="276" w:lineRule="auto"/>
      </w:pPr>
      <w:r>
        <w:t>**Bandes de Bollinger** : Le prix (2 190 FCFA) se positionne près de la borne supérieure (2 213,93 FCFA), ce qui indique une pression acheteuse récente. La décision "Neutre" suggère que le titre n'est ni suracheté ni survendu, mais la proximité de la borne supérieure pourrait limiter le potentiel de hausse à court terme. La largeur des bandes (écart de 383 FCFA) reflète la volatilité élevée du titre.</w:t>
      </w:r>
    </w:p>
    <w:p>
      <w:pPr>
        <w:spacing w:after="120" w:line="276" w:lineRule="auto"/>
      </w:pPr>
      <w:r>
        <w:t>**MACD** : La valeur positive de 36,01 avec un signal à 2,99 montre un momentum haussier net. La divergence positive entre le MACD et son signal (écart de 33 points) confirme une dynamique d'achat récente. La décision "Achat" est cohérente avec cette configuration, indiquant que la tendance pourrait se poursuivre à court terme.</w:t>
      </w:r>
    </w:p>
    <w:p>
      <w:pPr>
        <w:spacing w:after="120" w:line="276" w:lineRule="auto"/>
      </w:pPr>
      <w:r>
        <w:t>**RSI** : À 69,90, le RSI est proche du seuil de surachat (70), mais reste en zone neutre. La décision "Neutre" reflète cette situation : le titre est fortement sollicité mais pas encore en situation de surachat extrême. Une poursuite de la hausse pourrait déclencher un signal de vente technique.</w:t>
      </w:r>
    </w:p>
    <w:p>
      <w:pPr>
        <w:spacing w:after="120" w:line="276" w:lineRule="auto"/>
      </w:pPr>
      <w:r>
        <w:t>**Stochastique** : Les valeurs %K et %D à 100,0 indiquent une situation de surachat extrême. La décision "Vente" est justifiée par cette configuration, qui précède souvent un repli technique. Le croisement baissier potentiel de ces deux lignes serait un signal de retournement.</w:t>
      </w:r>
    </w:p>
    <w:p>
      <w:pPr>
        <w:spacing w:after="120" w:line="276" w:lineRule="auto"/>
      </w:pPr>
      <w:r>
        <w:t>**Conclusion technique** : Les indicateurs sont mitigés, avec un MACD haussier et un RSI neutre, mais un stochastique en surachat extrême et des moyennes mobiles baissières. Cette divergence suggère une possible consolidation à court terme après le récent rebond. La prudence est recommandée, le titre semblant chercher une direction après une période de volatilité.</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En 2025, FILTISAC CI a réalisé un chiffre d'affaires de 32,109 milliards FCFA, en hausse de 4,6% par rapport à 2024. Le résultat net s'établit à 465,98 millions FCFA, en chute spectaculaire par rapport aux 18,6 milliards de 2024 (qui incluaient des produits exceptionnels de cession). La marge nette chute à 1,45%, et le ROE à 2,97% (contre &gt;15% recommandé), tandis que le ROA n'atteint que 1,19%. Le BFR est de 11,529 milliards FCFA, avec des délais clients très élevés (213,7 jours) et une durée de stockage de 214,7 jours, indiquant une immobilisation importante du capital. La trésorerie nette est fortement négative (-11,528 milliards FCFA), suite au versement massif de dividendes en 2024 (2 000,67 FCFA/action). L'endettement est préoccupant avec un ratio d'endettement de 97,6%.</w:t>
      </w:r>
    </w:p>
    <w:p>
      <w:pPr>
        <w:spacing w:after="120" w:line="276" w:lineRule="auto"/>
      </w:pPr>
      <w:r>
        <w:t>**Rapports trimestriels 2025** : Le rapport T1 2025 (CA de 5,745 milliards, +7%) montrait une amélioration du chiffre d'affaires mais une dégradation de la rentabilité (résultat d'exploitation de -78 millions). Le S1 2025 confirmait la croissance du CA (+11% à 13,406 milliards) mais avec un résultat net de seulement 105 millions (-97%). Le T3 2025 montrait un CA de 18,371 milliards (-1%) et un résultat courant avant impôt de -216 millions, illustrant la fin de l'effet positif des cessions de 2024.</w:t>
      </w:r>
    </w:p>
    <w:p>
      <w:pPr>
        <w:spacing w:after="120" w:line="276" w:lineRule="auto"/>
      </w:pPr>
      <w:r>
        <w:t>**Rapport T1 2026** : Le premier trimestre 2026 affiche un CA de 8,901 milliards FCFA, en hausse spectaculaire de 55%, porté par la forte demande d'emballages pour le cacao. Le résultat d'exploitation est positif (75 millions) contre -78 millions un an plus tôt, mais le résultat net reste déficitaire à -154 millions. La recommandation source est "Conserver", avec des risques identifiés sur les matières premières et le fret maritime.</w:t>
      </w:r>
    </w:p>
    <w:p>
      <w:pPr>
        <w:spacing w:after="120" w:line="276" w:lineRule="auto"/>
      </w:pPr>
      <w:r>
        <w:t>**Synthèse fondamentale** : La société montre des signes d'amélioration opérationnelle (croissance du CA, redressement du résultat d'exploitation) mais reste structurellement fragile avec une trésorerie négative, un besoin en fonds de roulement élevé et une rentabilité insuffisante. La dépendance à la campagne cacaoyère et les tensions sur les approvisionnements constituent des risques majeurs. La solidité financière est compromise par l'endettement élevé et la réduction des capitaux propres.</w:t>
      </w:r>
    </w:p>
    <w:p>
      <w:pPr>
        <w:spacing w:after="120" w:line="276" w:lineRule="auto"/>
      </w:pPr>
      <w:r>
        <w:t>---</w:t>
      </w:r>
    </w:p>
    <w:p>
      <w:pPr>
        <w:spacing w:after="120" w:line="276" w:lineRule="auto"/>
      </w:pPr>
      <w:r>
        <w:t>### PARTIE 4 : CONCLUSION D'INVESTISSEMENT</w:t>
      </w:r>
    </w:p>
    <w:p>
      <w:pPr>
        <w:spacing w:after="120" w:line="276" w:lineRule="auto"/>
      </w:pPr>
      <w:r>
        <w:t>La valorisation de FTSC est clairement surévaluée (PER de 66,3x, EV/EBITDA de 38,5x) par rapport à ses fondamentaux actuels, malgré un P/B acceptable. Le comportement du cours montre une tendance baissière sur 100 jours (-5,4%) avec une volatilité élevée (36,2%), mais des statistiques descriptives indiquant une distribution stable sans extrêmes. Les signaux techniques sont mitigés : le MACD est haussier, le RSI neutre, mais le stochastique est en surachat extrême et les moyennes mobiles restent baissières. Les fondamentaux sont préoccupants : malgré une croissance du CA de 55% au T1 2026, le résultat net reste négatif, la trésorerie est fortement négative et l'endettement élevé. Les prédictions IA (2 198 à 2 234 FCFA sur 10 jours) suggèrent une légère hausse, contredisant partiellement les signaux techniques baissiers. La convergence entre la surévaluation, les fondamentaux fragiles et les risques opérationnels l'emporte sur les signaux techniques positifs à court terme. **Recommandation : VENTE** avec un niveau de confiance **Moyen**. Le risque global est **Élevé**, et l'horizon d'investissement optimal serait le **moyen terme (3-12 mois)** pour observer une amélioration durable de la rentabilité opérationnelle et une restauration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82.00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3,057 titres</w:t>
            </w:r>
          </w:p>
        </w:tc>
        <w:tc>
          <w:tcPr>
            <w:tcW w:type="dxa" w:w="2268"/>
            <w:shd w:fill="FFF2CC" w:val="clear"/>
          </w:tcPr>
          <w:p>
            <w:r>
              <w:rPr>
                <w:b/>
                <w:color w:val="503200"/>
                <w:sz w:val="16"/>
              </w:rPr>
              <w:t xml:space="preserve">Cours actuel : </w:t>
            </w:r>
            <w:r>
              <w:rPr>
                <w:color w:val="000000"/>
                <w:sz w:val="17"/>
              </w:rPr>
              <w:t>4,100 FCFA</w:t>
            </w:r>
          </w:p>
          <w:p>
            <w:r>
              <w:rPr>
                <w:b/>
                <w:color w:val="503200"/>
                <w:sz w:val="16"/>
              </w:rPr>
              <w:t xml:space="preserve">Var. 100 jours : </w:t>
            </w:r>
            <w:r>
              <w:rPr>
                <w:b/>
                <w:color w:val="007800"/>
                <w:sz w:val="17"/>
              </w:rPr>
              <w:t>+6.49%</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5.21% (Moyenne) — μ=4,032 FCFA, σ=210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β=0.1067 (Défensif) — Cov=0.000003, Var(idx)=0.000031, ρ=0.026,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3,057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3,883</w:t>
            </w:r>
          </w:p>
        </w:tc>
        <w:tc>
          <w:tcPr>
            <w:tcW w:type="dxa" w:w="1440"/>
            <w:shd w:fill="FAFAFA" w:val="clear"/>
          </w:tcPr>
          <w:p>
            <w:r>
              <w:rPr>
                <w:b/>
                <w:sz w:val="17"/>
              </w:rPr>
              <w:t>4,094</w:t>
            </w:r>
          </w:p>
        </w:tc>
        <w:tc>
          <w:tcPr>
            <w:tcW w:type="dxa" w:w="1440"/>
            <w:shd w:fill="FAFAFA" w:val="clear"/>
          </w:tcPr>
          <w:p>
            <w:r>
              <w:rPr>
                <w:sz w:val="17"/>
              </w:rPr>
              <w:t>4,304</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3,768</w:t>
            </w:r>
          </w:p>
        </w:tc>
        <w:tc>
          <w:tcPr>
            <w:tcW w:type="dxa" w:w="1440"/>
            <w:shd w:fill="FAFAFA" w:val="clear"/>
          </w:tcPr>
          <w:p>
            <w:r>
              <w:rPr>
                <w:b/>
                <w:sz w:val="17"/>
              </w:rPr>
              <w:t>4,064</w:t>
            </w:r>
          </w:p>
        </w:tc>
        <w:tc>
          <w:tcPr>
            <w:tcW w:type="dxa" w:w="1440"/>
            <w:shd w:fill="FAFAFA" w:val="clear"/>
          </w:tcPr>
          <w:p>
            <w:r>
              <w:rPr>
                <w:sz w:val="17"/>
              </w:rPr>
              <w:t>4,360</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3,686</w:t>
            </w:r>
          </w:p>
        </w:tc>
        <w:tc>
          <w:tcPr>
            <w:tcW w:type="dxa" w:w="1440"/>
            <w:shd w:fill="FAFAFA" w:val="clear"/>
          </w:tcPr>
          <w:p>
            <w:r>
              <w:rPr>
                <w:b/>
                <w:sz w:val="17"/>
              </w:rPr>
              <w:t>4,047</w:t>
            </w:r>
          </w:p>
        </w:tc>
        <w:tc>
          <w:tcPr>
            <w:tcW w:type="dxa" w:w="1440"/>
            <w:shd w:fill="FAFAFA" w:val="clear"/>
          </w:tcPr>
          <w:p>
            <w:r>
              <w:rPr>
                <w:sz w:val="17"/>
              </w:rPr>
              <w:t>4,408</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3,616</w:t>
            </w:r>
          </w:p>
        </w:tc>
        <w:tc>
          <w:tcPr>
            <w:tcW w:type="dxa" w:w="1440"/>
            <w:shd w:fill="FAFAFA" w:val="clear"/>
          </w:tcPr>
          <w:p>
            <w:r>
              <w:rPr>
                <w:b/>
                <w:sz w:val="17"/>
              </w:rPr>
              <w:t>4,031</w:t>
            </w:r>
          </w:p>
        </w:tc>
        <w:tc>
          <w:tcPr>
            <w:tcW w:type="dxa" w:w="1440"/>
            <w:shd w:fill="FAFAFA" w:val="clear"/>
          </w:tcPr>
          <w:p>
            <w:r>
              <w:rPr>
                <w:sz w:val="17"/>
              </w:rPr>
              <w:t>4,446</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3,543</w:t>
            </w:r>
          </w:p>
        </w:tc>
        <w:tc>
          <w:tcPr>
            <w:tcW w:type="dxa" w:w="1440"/>
            <w:shd w:fill="FFDCE0" w:val="clear"/>
          </w:tcPr>
          <w:p>
            <w:r>
              <w:rPr>
                <w:b/>
                <w:sz w:val="17"/>
              </w:rPr>
              <w:t>4,003</w:t>
            </w:r>
          </w:p>
        </w:tc>
        <w:tc>
          <w:tcPr>
            <w:tcW w:type="dxa" w:w="1440"/>
            <w:shd w:fill="FFDCE0" w:val="clear"/>
          </w:tcPr>
          <w:p>
            <w:r>
              <w:rPr>
                <w:sz w:val="17"/>
              </w:rPr>
              <w:t>4,464</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3,487</w:t>
            </w:r>
          </w:p>
        </w:tc>
        <w:tc>
          <w:tcPr>
            <w:tcW w:type="dxa" w:w="1440"/>
            <w:shd w:fill="FFDCE0" w:val="clear"/>
          </w:tcPr>
          <w:p>
            <w:r>
              <w:rPr>
                <w:b/>
                <w:sz w:val="17"/>
              </w:rPr>
              <w:t>3,991</w:t>
            </w:r>
          </w:p>
        </w:tc>
        <w:tc>
          <w:tcPr>
            <w:tcW w:type="dxa" w:w="1440"/>
            <w:shd w:fill="FFDCE0" w:val="clear"/>
          </w:tcPr>
          <w:p>
            <w:r>
              <w:rPr>
                <w:sz w:val="17"/>
              </w:rPr>
              <w:t>4,494</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3,436</w:t>
            </w:r>
          </w:p>
        </w:tc>
        <w:tc>
          <w:tcPr>
            <w:tcW w:type="dxa" w:w="1440"/>
            <w:shd w:fill="FFDCE0" w:val="clear"/>
          </w:tcPr>
          <w:p>
            <w:r>
              <w:rPr>
                <w:b/>
                <w:sz w:val="17"/>
              </w:rPr>
              <w:t>3,977</w:t>
            </w:r>
          </w:p>
        </w:tc>
        <w:tc>
          <w:tcPr>
            <w:tcW w:type="dxa" w:w="1440"/>
            <w:shd w:fill="FFDCE0" w:val="clear"/>
          </w:tcPr>
          <w:p>
            <w:r>
              <w:rPr>
                <w:sz w:val="17"/>
              </w:rPr>
              <w:t>4,519</w:t>
            </w:r>
          </w:p>
        </w:tc>
        <w:tc>
          <w:tcPr>
            <w:tcW w:type="dxa" w:w="1440"/>
            <w:shd w:fill="FFDCE0" w:val="clear"/>
          </w:tcPr>
          <w:p>
            <w:r>
              <w:rPr>
                <w:b/>
                <w:color w:val="C00000"/>
                <w:sz w:val="17"/>
              </w:rPr>
              <w:t>-3.0%</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3,387</w:t>
            </w:r>
          </w:p>
        </w:tc>
        <w:tc>
          <w:tcPr>
            <w:tcW w:type="dxa" w:w="1440"/>
            <w:shd w:fill="FFDCE0" w:val="clear"/>
          </w:tcPr>
          <w:p>
            <w:r>
              <w:rPr>
                <w:b/>
                <w:sz w:val="17"/>
              </w:rPr>
              <w:t>3,964</w:t>
            </w:r>
          </w:p>
        </w:tc>
        <w:tc>
          <w:tcPr>
            <w:tcW w:type="dxa" w:w="1440"/>
            <w:shd w:fill="FFDCE0" w:val="clear"/>
          </w:tcPr>
          <w:p>
            <w:r>
              <w:rPr>
                <w:sz w:val="17"/>
              </w:rPr>
              <w:t>4,541</w:t>
            </w:r>
          </w:p>
        </w:tc>
        <w:tc>
          <w:tcPr>
            <w:tcW w:type="dxa" w:w="1440"/>
            <w:shd w:fill="FFDCE0" w:val="clear"/>
          </w:tcPr>
          <w:p>
            <w:r>
              <w:rPr>
                <w:b/>
                <w:color w:val="C00000"/>
                <w:sz w:val="17"/>
              </w:rPr>
              <w:t>-3.3%</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3,343</w:t>
            </w:r>
          </w:p>
        </w:tc>
        <w:tc>
          <w:tcPr>
            <w:tcW w:type="dxa" w:w="1440"/>
            <w:shd w:fill="FFDCE0" w:val="clear"/>
          </w:tcPr>
          <w:p>
            <w:r>
              <w:rPr>
                <w:b/>
                <w:sz w:val="17"/>
              </w:rPr>
              <w:t>3,953</w:t>
            </w:r>
          </w:p>
        </w:tc>
        <w:tc>
          <w:tcPr>
            <w:tcW w:type="dxa" w:w="1440"/>
            <w:shd w:fill="FFDCE0" w:val="clear"/>
          </w:tcPr>
          <w:p>
            <w:r>
              <w:rPr>
                <w:sz w:val="17"/>
              </w:rPr>
              <w:t>4,563</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3,302</w:t>
            </w:r>
          </w:p>
        </w:tc>
        <w:tc>
          <w:tcPr>
            <w:tcW w:type="dxa" w:w="1440"/>
            <w:shd w:fill="FFDCE0" w:val="clear"/>
          </w:tcPr>
          <w:p>
            <w:r>
              <w:rPr>
                <w:b/>
                <w:sz w:val="17"/>
              </w:rPr>
              <w:t>3,944</w:t>
            </w:r>
          </w:p>
        </w:tc>
        <w:tc>
          <w:tcPr>
            <w:tcW w:type="dxa" w:w="1440"/>
            <w:shd w:fill="FFDCE0" w:val="clear"/>
          </w:tcPr>
          <w:p>
            <w:r>
              <w:rPr>
                <w:sz w:val="17"/>
              </w:rPr>
              <w:t>4,585</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82 milliards FCFA, un niveau significatif sur la BRVM qui positionne le titre comme une valeur de taille moyenne. Le BPA de 231 FCFA indique que chaque action génère un bénéfice de ce montant, justifiant un PER de 17,7x. Ce ratio est nettement supérieur à la moyenne historique de la BRVM (8-12x), ce qui suggère que les investisseurs paient une prime substantielle pour la croissance anticipée. Le P/B de 3,74x confirme cette lecture, le marché valorisant le titre bien au-dessus de sa valeur comptable (2-4x étant la zone de prime de croissance). Enfin, l'EV/EBITDA de 10,4x, dans la fourchette de 10-15x, indique une valorisation élevée de la capacité opérationnelle de l'entreprise, reflétant des attentes de performance future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LNBB a progressé de +6,49%, avec une dernière séance en hausse de +2,50% à 4 100 FCFA. Le titre a évolué dans un range de 3 765 à 4 560 FCFA, démontrant une amplitude de trading notable. La moyenne du cours (4 032 FCFA) est inférieure à la médiane (3 932 FCFA), et le mode (3 850 FCFA) est encore plus bas, indiquant une distribution asymétrique positive (skewness de 0,746) où le cours a passé plus de temps sous sa moyenne, avec des pics récents. L'écart-type de 211 FCFA (CV de 5,2%) montre une dispersion modérée autour de la moyenne. Le kurtosis de -0,897 (mésokurtique) suggère une distribution proche de la normale, sans risque de variations extrêmes. La volatilité annualisée de 36,1% classe le titre comme très volatil (&gt;30%), un niveau élevé qui implique des fluctuations de prix importantes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(4 100 FCFA) est inférieur à la MM20 (4 274,25 FCFA) et à la MM50 (4 183,6 FCFA), signalant une tendance baissière à court et moyen terme. Cependant, la décision globale est "Achat", ce qui suggère que les moyennes mobiles pourraient agir comme des supports dynamiques et que le marché anticipe un retournement haussier.</w:t>
      </w:r>
    </w:p>
    <w:p>
      <w:pPr>
        <w:spacing w:after="120" w:line="276" w:lineRule="auto"/>
      </w:pPr>
      <w:r>
        <w:t>**Bandes de Bollinger** : Le prix se situe à 4 100 FCFA, proche de la borne inférieure (4 004,65 FCFA) et loin de la borne supérieure (4 543,86 FCFA). Cette position indique une pression vendeuse récente, mais le signal "Neutre" suggère que le titre n'est pas en situation de survente extrême, laissant place à une possible stabilisation.</w:t>
      </w:r>
    </w:p>
    <w:p>
      <w:pPr>
        <w:spacing w:after="120" w:line="276" w:lineRule="auto"/>
      </w:pPr>
      <w:r>
        <w:t>**MACD** : La valeur du MACD (-11,48) est inférieure à son signal (28,63), formant une divergence baissière. Ce croisement négatif indique un momentum baissier à court terme, justifiant la décision de "Vente". Les investisseurs devraient attendre un croisement haussier pour envisager une entrée.</w:t>
      </w:r>
    </w:p>
    <w:p>
      <w:pPr>
        <w:spacing w:after="120" w:line="276" w:lineRule="auto"/>
      </w:pPr>
      <w:r>
        <w:t>**RSI** : À 42,76, le RSI est en zone neutre (30-70), indiquant un équilibre entre pressions acheteuses et vendeuses. Il n'y a pas de signal de surachat ou de survente, ce qui laisse une marge de manœuvre dans les deux sens.</w:t>
      </w:r>
    </w:p>
    <w:p>
      <w:pPr>
        <w:spacing w:after="120" w:line="276" w:lineRule="auto"/>
      </w:pPr>
      <w:r>
        <w:t>**Stochastique** : Le %K (17,86) est inférieur au %D (10,91), mais les deux sont en zone de survente (&lt;20). Cette configuration suggère un potentiel de rebond technique, justifiant la décision d'"Achat". Un croisement haussier du %K au-dessus du %D confirmerait ce signal.</w:t>
      </w:r>
    </w:p>
    <w:p>
      <w:pPr>
        <w:spacing w:after="120" w:line="276" w:lineRule="auto"/>
      </w:pPr>
      <w:r>
        <w:t>**Conclusion technique** : Les indicateurs sont mitigés : les moyennes mobiles et le stochastique suggèrent un potentiel de rebond, tandis que le MACD est baissier et le RSI neutre. La position du prix près de la borne inférieure de Bollinger renforce l'idée d'une consolidation. Globalement, le titre semble chercher un point d'équilibre, avec un biais légèrement positif à court terme.</w:t>
      </w:r>
    </w:p>
    <w:p>
      <w:pPr>
        <w:spacing w:after="120" w:line="276" w:lineRule="auto"/>
      </w:pPr>
      <w:r>
        <w:t>---</w:t>
      </w:r>
    </w:p>
    <w:p>
      <w:pPr>
        <w:spacing w:after="120" w:line="276" w:lineRule="auto"/>
      </w:pPr>
      <w:r>
        <w:t>### PARTIE 3 : ANALYSE FONDAMENTALE (SECTION CRITIQUE)</w:t>
      </w:r>
    </w:p>
    <w:p>
      <w:pPr>
        <w:spacing w:after="120" w:line="276" w:lineRule="auto"/>
      </w:pPr>
      <w:r>
        <w:t>En 2025, la Loterie Nationale du Bénin a réalisé un chiffre d'affaires de 98,598 milliards FCFA, en baisse de -3,85% par rapport à 2024 (102,544 milliards FCFA). Le résultat net s'établit à 4,622 milliards FCFA, en recul de -36% par rapport à 2024 (7,176 milliards FCFA), principalement en raison de l'absence de produits exceptionnels et de la concurrence déloyale. Malgré cette baisse, la société affiche une excellente rentabilité : ROE de 21,05% et ROA de 14,17%, bien au-dessus des seuils de référence (&gt;15% et &gt;10%). La structure financière est très saine avec une autonomie financière de 67,32% et une trésorerie nette positive de 7,979 milliards FCFA. Le BFR est négatif (217,45 millions FCFA), ce qui est favorable, et les délais clients (4,82 jours) et fournisseurs (20,41 jours) sont bien gérés. Sur la base des rapports trimestriels 2026, on estime que l'exercice 2026 devrait être meilleur : le S1 2026 montre un CA en hausse de +4% à 49,937 milliards FCFA et un résultat net en progression de +60% grâce à la maîtrise des charges et aux revenus de partenariats. Le T1 2026, avec un CA de 25,521 milliards FCFA (+6%), confirme cette dynamique, bien que le résultat net ait chuté de -46% à 848 millions FCFA en raison d'un mix produit défavorable. La recommandation fondamentale est de **CONSERVER**, car la solidité financière et les perspectives de redressement sont réelles, mais la pression sur les marges et la concurrence restent des risques majeurs.</w:t>
      </w:r>
    </w:p>
    <w:p>
      <w:pPr>
        <w:spacing w:after="120" w:line="276" w:lineRule="auto"/>
      </w:pPr>
      <w:r>
        <w:t>---</w:t>
      </w:r>
    </w:p>
    <w:p>
      <w:pPr>
        <w:spacing w:after="120" w:line="276" w:lineRule="auto"/>
      </w:pPr>
      <w:r>
        <w:t>### PARTIE 4 : CONCLUSION D'INVESTISSEMENT</w:t>
      </w:r>
    </w:p>
    <w:p>
      <w:pPr>
        <w:spacing w:after="120" w:line="276" w:lineRule="auto"/>
      </w:pPr>
      <w:r>
        <w:t>La valorisation de LNBB (PER 17,7x, P/B 3,74x, EV/EBITDA 10,4x) indique une prime de croissance, mais elle est justifiée par une rentabilité élevée (ROE 21%) et des fondamentaux solides. Le comportement du cours sur 100 jours (+6,49%) est positif, mais la volatilité élevée (36,1%) et l'asymétrie positive (skewness 0,746) appellent à la prudence. Les signaux techniques sont mitigés, avec un MACD vendeur mais un stochastique acheteur, suggérant une consolidation. Les fondamentaux montrent une amélioration en 2026 (CA +4% au S1, RN +60%), soutenue par une stratégie digitale et des partenariats. Les prédictions IA (J+1 à J+10) indiquent une légère baisse du cours de 4 094 à 4 003 FCFA, ce qui contredit le potentiel de rebond technique mais reflète la prudence du marché. En synthèse, la convergence entre la solidité fondamentale et la valorisation élevée est contrebalancée par des signaux techniques et des prédictions IA baissiers à court terme. **Recommandation : CONSERVER** avec un niveau de confiance **Moyen** et un risque global **Moyen**. L'horizon d'investissement optimal est le **moyen terme (3-12 mois)**, en attendant la confirmation d'une amélioration durable des marges et de la rentabilité.</w:t>
      </w:r>
    </w:p>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28.08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5,360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+56.03%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18.09% (Élevée) — μ=1,934 FCFA, σ=350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β=-0.2271 (Contre-cyclique) — Cov=-0.000007, Var(idx)=0.000031, ρ=-0.040,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5,360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1,916</w:t>
            </w:r>
          </w:p>
        </w:tc>
        <w:tc>
          <w:tcPr>
            <w:tcW w:type="dxa" w:w="1440"/>
            <w:shd w:fill="FFDCE0" w:val="clear"/>
          </w:tcPr>
          <w:p>
            <w:r>
              <w:rPr>
                <w:b/>
                <w:sz w:val="17"/>
              </w:rPr>
              <w:t>2,035</w:t>
            </w:r>
          </w:p>
        </w:tc>
        <w:tc>
          <w:tcPr>
            <w:tcW w:type="dxa" w:w="1440"/>
            <w:shd w:fill="FFDCE0" w:val="clear"/>
          </w:tcPr>
          <w:p>
            <w:r>
              <w:rPr>
                <w:sz w:val="17"/>
              </w:rPr>
              <w:t>2,154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1,740</w:t>
            </w:r>
          </w:p>
        </w:tc>
        <w:tc>
          <w:tcPr>
            <w:tcW w:type="dxa" w:w="1440"/>
            <w:shd w:fill="FFDCE0" w:val="clear"/>
          </w:tcPr>
          <w:p>
            <w:r>
              <w:rPr>
                <w:b/>
                <w:sz w:val="17"/>
              </w:rPr>
              <w:t>1,898</w:t>
            </w:r>
          </w:p>
        </w:tc>
        <w:tc>
          <w:tcPr>
            <w:tcW w:type="dxa" w:w="1440"/>
            <w:shd w:fill="FFDCE0" w:val="clear"/>
          </w:tcPr>
          <w:p>
            <w:r>
              <w:rPr>
                <w:sz w:val="17"/>
              </w:rPr>
              <w:t>2,055</w:t>
            </w:r>
          </w:p>
        </w:tc>
        <w:tc>
          <w:tcPr>
            <w:tcW w:type="dxa" w:w="1440"/>
            <w:shd w:fill="FFDCE0" w:val="clear"/>
          </w:tcPr>
          <w:p>
            <w:r>
              <w:rPr>
                <w:b/>
                <w:color w:val="C00000"/>
                <w:sz w:val="17"/>
              </w:rPr>
              <w:t>-13.7%</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1,605</w:t>
            </w:r>
          </w:p>
        </w:tc>
        <w:tc>
          <w:tcPr>
            <w:tcW w:type="dxa" w:w="1440"/>
            <w:shd w:fill="FFDCE0" w:val="clear"/>
          </w:tcPr>
          <w:p>
            <w:r>
              <w:rPr>
                <w:b/>
                <w:sz w:val="17"/>
              </w:rPr>
              <w:t>1,787</w:t>
            </w:r>
          </w:p>
        </w:tc>
        <w:tc>
          <w:tcPr>
            <w:tcW w:type="dxa" w:w="1440"/>
            <w:shd w:fill="FFDCE0" w:val="clear"/>
          </w:tcPr>
          <w:p>
            <w:r>
              <w:rPr>
                <w:sz w:val="17"/>
              </w:rPr>
              <w:t>1,968</w:t>
            </w:r>
          </w:p>
        </w:tc>
        <w:tc>
          <w:tcPr>
            <w:tcW w:type="dxa" w:w="1440"/>
            <w:shd w:fill="FFDCE0" w:val="clear"/>
          </w:tcPr>
          <w:p>
            <w:r>
              <w:rPr>
                <w:b/>
                <w:color w:val="C00000"/>
                <w:sz w:val="17"/>
              </w:rPr>
              <w:t>-18.8%</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1,497</w:t>
            </w:r>
          </w:p>
        </w:tc>
        <w:tc>
          <w:tcPr>
            <w:tcW w:type="dxa" w:w="1440"/>
            <w:shd w:fill="FFDCE0" w:val="clear"/>
          </w:tcPr>
          <w:p>
            <w:r>
              <w:rPr>
                <w:b/>
                <w:sz w:val="17"/>
              </w:rPr>
              <w:t>1,696</w:t>
            </w:r>
          </w:p>
        </w:tc>
        <w:tc>
          <w:tcPr>
            <w:tcW w:type="dxa" w:w="1440"/>
            <w:shd w:fill="FFDCE0" w:val="clear"/>
          </w:tcPr>
          <w:p>
            <w:r>
              <w:rPr>
                <w:sz w:val="17"/>
              </w:rPr>
              <w:t>1,895</w:t>
            </w:r>
          </w:p>
        </w:tc>
        <w:tc>
          <w:tcPr>
            <w:tcW w:type="dxa" w:w="1440"/>
            <w:shd w:fill="FFDCE0" w:val="clear"/>
          </w:tcPr>
          <w:p>
            <w:r>
              <w:rPr>
                <w:b/>
                <w:color w:val="C00000"/>
                <w:sz w:val="17"/>
              </w:rPr>
              <w:t>-22.9%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1,409</w:t>
            </w:r>
          </w:p>
        </w:tc>
        <w:tc>
          <w:tcPr>
            <w:tcW w:type="dxa" w:w="1440"/>
            <w:shd w:fill="FFDCE0" w:val="clear"/>
          </w:tcPr>
          <w:p>
            <w:r>
              <w:rPr>
                <w:b/>
                <w:sz w:val="17"/>
              </w:rPr>
              <w:t>1,622</w:t>
            </w:r>
          </w:p>
        </w:tc>
        <w:tc>
          <w:tcPr>
            <w:tcW w:type="dxa" w:w="1440"/>
            <w:shd w:fill="FFDCE0" w:val="clear"/>
          </w:tcPr>
          <w:p>
            <w:r>
              <w:rPr>
                <w:sz w:val="17"/>
              </w:rPr>
              <w:t>1,834</w:t>
            </w:r>
          </w:p>
        </w:tc>
        <w:tc>
          <w:tcPr>
            <w:tcW w:type="dxa" w:w="1440"/>
            <w:shd w:fill="FFDCE0" w:val="clear"/>
          </w:tcPr>
          <w:p>
            <w:r>
              <w:rPr>
                <w:b/>
                <w:color w:val="C00000"/>
                <w:sz w:val="17"/>
              </w:rPr>
              <w:t>-26.3%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1,334</w:t>
            </w:r>
          </w:p>
        </w:tc>
        <w:tc>
          <w:tcPr>
            <w:tcW w:type="dxa" w:w="1440"/>
            <w:shd w:fill="FFDCE0" w:val="clear"/>
          </w:tcPr>
          <w:p>
            <w:r>
              <w:rPr>
                <w:b/>
                <w:sz w:val="17"/>
              </w:rPr>
              <w:t>1,558</w:t>
            </w:r>
          </w:p>
        </w:tc>
        <w:tc>
          <w:tcPr>
            <w:tcW w:type="dxa" w:w="1440"/>
            <w:shd w:fill="FFDCE0" w:val="clear"/>
          </w:tcPr>
          <w:p>
            <w:r>
              <w:rPr>
                <w:sz w:val="17"/>
              </w:rPr>
              <w:t>1,781</w:t>
            </w:r>
          </w:p>
        </w:tc>
        <w:tc>
          <w:tcPr>
            <w:tcW w:type="dxa" w:w="1440"/>
            <w:shd w:fill="FFDCE0" w:val="clear"/>
          </w:tcPr>
          <w:p>
            <w:r>
              <w:rPr>
                <w:b/>
                <w:color w:val="C00000"/>
                <w:sz w:val="17"/>
              </w:rPr>
              <w:t>-29.2%</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1,268</w:t>
            </w:r>
          </w:p>
        </w:tc>
        <w:tc>
          <w:tcPr>
            <w:tcW w:type="dxa" w:w="1440"/>
            <w:shd w:fill="FFDCE0" w:val="clear"/>
          </w:tcPr>
          <w:p>
            <w:r>
              <w:rPr>
                <w:b/>
                <w:sz w:val="17"/>
              </w:rPr>
              <w:t>1,501</w:t>
            </w:r>
          </w:p>
        </w:tc>
        <w:tc>
          <w:tcPr>
            <w:tcW w:type="dxa" w:w="1440"/>
            <w:shd w:fill="FFDCE0" w:val="clear"/>
          </w:tcPr>
          <w:p>
            <w:r>
              <w:rPr>
                <w:sz w:val="17"/>
              </w:rPr>
              <w:t>1,734</w:t>
            </w:r>
          </w:p>
        </w:tc>
        <w:tc>
          <w:tcPr>
            <w:tcW w:type="dxa" w:w="1440"/>
            <w:shd w:fill="FFDCE0" w:val="clear"/>
          </w:tcPr>
          <w:p>
            <w:r>
              <w:rPr>
                <w:b/>
                <w:color w:val="C00000"/>
                <w:sz w:val="17"/>
              </w:rPr>
              <w:t>-31.8%</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1,210</w:t>
            </w:r>
          </w:p>
        </w:tc>
        <w:tc>
          <w:tcPr>
            <w:tcW w:type="dxa" w:w="1440"/>
            <w:shd w:fill="FFDCE0" w:val="clear"/>
          </w:tcPr>
          <w:p>
            <w:r>
              <w:rPr>
                <w:b/>
                <w:sz w:val="17"/>
              </w:rPr>
              <w:t>1,451</w:t>
            </w:r>
          </w:p>
        </w:tc>
        <w:tc>
          <w:tcPr>
            <w:tcW w:type="dxa" w:w="1440"/>
            <w:shd w:fill="FFDCE0" w:val="clear"/>
          </w:tcPr>
          <w:p>
            <w:r>
              <w:rPr>
                <w:sz w:val="17"/>
              </w:rPr>
              <w:t>1,692</w:t>
            </w:r>
          </w:p>
        </w:tc>
        <w:tc>
          <w:tcPr>
            <w:tcW w:type="dxa" w:w="1440"/>
            <w:shd w:fill="FFDCE0" w:val="clear"/>
          </w:tcPr>
          <w:p>
            <w:r>
              <w:rPr>
                <w:b/>
                <w:color w:val="C00000"/>
                <w:sz w:val="17"/>
              </w:rPr>
              <w:t>-34.0%</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1,158</w:t>
            </w:r>
          </w:p>
        </w:tc>
        <w:tc>
          <w:tcPr>
            <w:tcW w:type="dxa" w:w="1440"/>
            <w:shd w:fill="FFDCE0" w:val="clear"/>
          </w:tcPr>
          <w:p>
            <w:r>
              <w:rPr>
                <w:b/>
                <w:sz w:val="17"/>
              </w:rPr>
              <w:t>1,406</w:t>
            </w:r>
          </w:p>
        </w:tc>
        <w:tc>
          <w:tcPr>
            <w:tcW w:type="dxa" w:w="1440"/>
            <w:shd w:fill="FFDCE0" w:val="clear"/>
          </w:tcPr>
          <w:p>
            <w:r>
              <w:rPr>
                <w:sz w:val="17"/>
              </w:rPr>
              <w:t>1,653</w:t>
            </w:r>
          </w:p>
        </w:tc>
        <w:tc>
          <w:tcPr>
            <w:tcW w:type="dxa" w:w="1440"/>
            <w:shd w:fill="FFDCE0" w:val="clear"/>
          </w:tcPr>
          <w:p>
            <w:r>
              <w:rPr>
                <w:b/>
                <w:color w:val="C00000"/>
                <w:sz w:val="17"/>
              </w:rPr>
              <w:t>-36.1%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1,111</w:t>
            </w:r>
          </w:p>
        </w:tc>
        <w:tc>
          <w:tcPr>
            <w:tcW w:type="dxa" w:w="1440"/>
            <w:shd w:fill="FFDCE0" w:val="clear"/>
          </w:tcPr>
          <w:p>
            <w:r>
              <w:rPr>
                <w:b/>
                <w:sz w:val="17"/>
              </w:rPr>
              <w:t>1,364</w:t>
            </w:r>
          </w:p>
        </w:tc>
        <w:tc>
          <w:tcPr>
            <w:tcW w:type="dxa" w:w="1440"/>
            <w:shd w:fill="FFDCE0" w:val="clear"/>
          </w:tcPr>
          <w:p>
            <w:r>
              <w:rPr>
                <w:sz w:val="17"/>
              </w:rPr>
              <w:t>1,617</w:t>
            </w:r>
          </w:p>
        </w:tc>
        <w:tc>
          <w:tcPr>
            <w:tcW w:type="dxa" w:w="1440"/>
            <w:shd w:fill="FFDCE0" w:val="clear"/>
          </w:tcPr>
          <w:p>
            <w:r>
              <w:rPr>
                <w:b/>
                <w:color w:val="C00000"/>
                <w:sz w:val="17"/>
              </w:rPr>
              <w:t>-38.0%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NEI-CEDA (NEIC)**</w:t>
        <w:br/>
        <w:t>**Date : Août 2026 | Marché :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28,08 milliards FCFA, un niveau modeste sur la BRVM qui reflète la taille moyenne de cette entreprise du secteur de l'édition. Avec un BPA de 160 FCFA, le PER ressort à 13,8x, ce qui est supérieur à la moyenne historique de la place (~8-12x), indiquant que le marché valorise déjà une partie des perspectives de croissance. Le P/B de 4,88x est particulièrement exigeant, signifiant que les investisseurs paient près de 5 fois la valeur comptable des actifs, ce qui traduit une forte prime sur les capitaux propres. Enfin, l'EV/EBITDA de 20,4x confirme cette valorisation tendue, la valeur d'entreprise représentant plus de 20 fois le résultat opérationnel brut, un niveau qui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progression spectaculaire de +56,03%, passant d'un plus bas de 1 350 FCFA à un plus haut de 2 400 FCFA, avant de se stabiliser à 2 200 FCFA. La variation à J-1 est nulle, marquant une pause après cette forte ascension. La moyenne du cours sur la période (1 934 FCFA) est inférieure à la médiane (1 990 FCFA), et le mode est à 1 380 FCFA, ce qui révèle une distribution asymétrique : le titre a passé une grande partie du temps à des niveaux bas avant une accélération récente. L'écart-type de 352 FCFA (CV = 18,2%) indique une dispersion modérée, mais le kurtosis négatif (-1,191) suggère une distribution aplatie, sans pics extrêmes, tandis que le skewness négatif (-0,510) confirme que les fortes hausses ont été concentrées sur une courte période. La volatilité annualisée de 50,4% classe le titre dans la catégorie à risque élevé, ce qui implique des fluctuations importantes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(2 200 FCFA) est légèrement en dessous de la MM20 (2 242,75 FCFA) et de la MM50 (2 224,7 FCFA), mais la décision globale reste "Achat". Cette configuration suggère que la tendance de fond reste positive, mais qu'une consolidation à court terme est en cours après la forte hausse.</w:t>
      </w:r>
    </w:p>
    <w:p>
      <w:pPr>
        <w:spacing w:after="120" w:line="276" w:lineRule="auto"/>
      </w:pPr>
      <w:r>
        <w:t>**Bandes de Bollinger** : Le prix se situe entre la borne inférieure (2 145,72 FCFA) et la borne supérieure (2 339,78 FCFA), proche du milieu du canal. La décision "Neutre" indique que la volatilité est modérée et que le titre n'est ni suracheté ni survendu, laissant place à une poursuite de la consolidation.</w:t>
      </w:r>
    </w:p>
    <w:p>
      <w:pPr>
        <w:spacing w:after="120" w:line="276" w:lineRule="auto"/>
      </w:pPr>
      <w:r>
        <w:t>**MACD** : La valeur du MACD (5,147) est inférieure à son signal (14,076), générant une décision "Vente". Cette divergence baissière à court terme suggère un essoufflement du momentum haussier, même si la valeur reste positive, indiquant que la tendance de fond n'est pas encore inversée.</w:t>
      </w:r>
    </w:p>
    <w:p>
      <w:pPr>
        <w:spacing w:after="120" w:line="276" w:lineRule="auto"/>
      </w:pPr>
      <w:r>
        <w:t>**RSI** : À 44,44, le RSI se situe en zone neutre (30-70), sans signal extrême. Cela reflète un équilibre entre acheteurs et vendeurs, avec une légère pression vendeuse, mais sans configuration de survente qui pourrait attirer des achats opportunistes.</w:t>
      </w:r>
    </w:p>
    <w:p>
      <w:pPr>
        <w:spacing w:after="120" w:line="276" w:lineRule="auto"/>
      </w:pPr>
      <w:r>
        <w:t>**Stochastique** : Le %K (45,95) est inférieur au %D (56,76), montrant un croisement baissier en cours. La décision "Neutre" suggère que le mouvement de correction est modéré et que le titre pourrait trouver un support proche des niveaux actuels.</w:t>
      </w:r>
    </w:p>
    <w:p>
      <w:pPr>
        <w:spacing w:after="120" w:line="276" w:lineRule="auto"/>
      </w:pPr>
      <w:r>
        <w:t>**Conclusion technique** : Les indicateurs sont globalement mitigés, avec une tendance de fond positive (MM en Achat) mais des signaux de court terme négatifs (MACD Vente, Stochastique baissier). Le titre semble entrer dans une phase de consolidation après une forte progression, et un rebond technique pourrait survenir si le support des 2 145 FCFA (borne inférieure de Bollinger) tient.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NEI-CEDA a réalisé un chiffre d'affaires de 5,139 milliards FCFA, en baisse de 23,8% par rapport à l'exercice précédent, mais le résultat net ressort à 2,037 milliards FCFA, porté par un résultat exceptionnel (reprise de provision). La marge nette atteint 39,6%, un niveau exceptionnellement élevé mais non récurrent. Le ROE est excellent à 35,4% et le ROA à 27,3%, témoignant d'une utilisation très efficace des capitaux propres et des actifs. La structure financière est saine avec une autonomie financière de 77% et une trésorerie massive de 4,196 milliards FCFA. Cependant, le BFR de 1,498 milliard FCFA et le délai clients de 154 jours représentent un risque de trésorerie important. Les rapports trimestriels montrent une forte saisonnalité : le T1 2025 était catastrophique (CA de 48,5 millions, perte de -189,9 millions), mais le T3 2025 a bénéficié d'un gain exceptionnel de 1,596 milliard. Le rapport annuel 2025 (publié en 2026) confirme un résultat net de 2,04 milliards et propose un dividende de 100% du bénéfice. Sur la base du T1 2026 (CA +137% à 115,1 millions, perte réduite à -168,9 millions), on estime que l'exercice 2026 devrait montrer une amélioration progressive de l'activité, mais la rentabilité récurrente reste fragile et dépendante des marchés publics.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NEIC est exigeante (PER 13,8x, P/B 4,88x, EV/EBITDA 20,4x), reflétant une anticipation de croissance qui devra se matérialiser pour justifier ces niveaux. Le comportement du cours montre une forte dynamique haussière (+56% en 100 jours) mais avec une volatilité élevée (50,4%) et une distribution statistique indiquant des gains concentrés. Les signaux techniques sont mitigés : la tendance de fond reste positive (MM Achat), mais le MACD et le Stochastique suggèrent une consolidation à court terme. Les fondamentaux sont solides en termes de bilan (trésorerie abondante, ROE &gt;35%), mais la performance opérationnelle récurrente est en déclin (CA en baisse, pertes au T1), et le bénéfice 2025 est artificiellement gonflé par un élément exceptionnel. Les prédictions IA pour les 10 prochains jours (2035 à 1622 FCFA) anticipent une correction significative de -26%, ce qui contredit la tendance haussière récente et suggère un retour vers des niveaux plus réalistes. En synthèse, la convergence entre la valorisation tendue, les signaux techniques de court terme négatifs et les prédictions IA baissières conduit à une recommandation **CONSERVER**, avec un niveau de confiance **Moyen** et un risque global **Élevé**. L'horizon d'investissement optimal serait le **moyen terme (3-12 mois)**, en attendant une confirmation de la reprise commerciale et une stabilisation du cours autour des 1 800-2 000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569.27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1,916 titres</w:t>
            </w:r>
          </w:p>
        </w:tc>
        <w:tc>
          <w:tcPr>
            <w:tcW w:type="dxa" w:w="2268"/>
            <w:shd w:fill="FFF2CC" w:val="clear"/>
          </w:tcPr>
          <w:p>
            <w:r>
              <w:rPr>
                <w:b/>
                <w:color w:val="503200"/>
                <w:sz w:val="16"/>
              </w:rPr>
              <w:t xml:space="preserve">Cours actuel : </w:t>
            </w:r>
            <w:r>
              <w:rPr>
                <w:color w:val="000000"/>
                <w:sz w:val="17"/>
              </w:rPr>
              <w:t>23,015 FCFA</w:t>
            </w:r>
          </w:p>
          <w:p>
            <w:r>
              <w:rPr>
                <w:b/>
                <w:color w:val="503200"/>
                <w:sz w:val="16"/>
              </w:rPr>
              <w:t xml:space="preserve">Var. 100 jours : </w:t>
            </w:r>
            <w:r>
              <w:rPr>
                <w:b/>
                <w:color w:val="007800"/>
                <w:sz w:val="17"/>
              </w:rPr>
              <w:t>+64.39%</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19.88% (Élevée) — μ=18,165 FCFA, σ=3,612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β=1.5672 (Agressif) — Cov=0.000049, Var(idx)=0.000031, ρ=0.368,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2026-08-17</w:t>
            </w:r>
          </w:p>
        </w:tc>
        <w:tc>
          <w:tcPr>
            <w:tcW w:type="dxa" w:w="1440"/>
            <w:shd w:fill="C6EFCE" w:val="clear"/>
          </w:tcPr>
          <w:p>
            <w:r>
              <w:rPr>
                <w:sz w:val="17"/>
              </w:rPr>
              <w:t>22,606</w:t>
            </w:r>
          </w:p>
        </w:tc>
        <w:tc>
          <w:tcPr>
            <w:tcW w:type="dxa" w:w="1440"/>
            <w:shd w:fill="C6EFCE" w:val="clear"/>
          </w:tcPr>
          <w:p>
            <w:r>
              <w:rPr>
                <w:b/>
                <w:sz w:val="17"/>
              </w:rPr>
              <w:t>23,628</w:t>
            </w:r>
          </w:p>
        </w:tc>
        <w:tc>
          <w:tcPr>
            <w:tcW w:type="dxa" w:w="1440"/>
            <w:shd w:fill="C6EFCE" w:val="clear"/>
          </w:tcPr>
          <w:p>
            <w:r>
              <w:rPr>
                <w:sz w:val="17"/>
              </w:rPr>
              <w:t>24,650</w:t>
            </w:r>
          </w:p>
        </w:tc>
        <w:tc>
          <w:tcPr>
            <w:tcW w:type="dxa" w:w="1440"/>
            <w:shd w:fill="C6EFCE" w:val="clear"/>
          </w:tcPr>
          <w:p>
            <w:r>
              <w:rPr>
                <w:b/>
                <w:color w:val="008000"/>
                <w:sz w:val="17"/>
              </w:rPr>
              <w:t>+2.7%</w:t>
            </w:r>
          </w:p>
        </w:tc>
      </w:tr>
      <w:tr>
        <w:tc>
          <w:tcPr>
            <w:tcW w:type="dxa" w:w="1440"/>
            <w:shd w:fill="C6EFCE" w:val="clear"/>
          </w:tcPr>
          <w:p>
            <w:r>
              <w:rPr>
                <w:sz w:val="17"/>
              </w:rPr>
              <w:t>J+2  Moyenne</w:t>
            </w:r>
          </w:p>
        </w:tc>
        <w:tc>
          <w:tcPr>
            <w:tcW w:type="dxa" w:w="1440"/>
            <w:shd w:fill="C6EFCE" w:val="clear"/>
          </w:tcPr>
          <w:p>
            <w:r>
              <w:rPr>
                <w:sz w:val="17"/>
              </w:rPr>
              <w:t>2026-08-18</w:t>
            </w:r>
          </w:p>
        </w:tc>
        <w:tc>
          <w:tcPr>
            <w:tcW w:type="dxa" w:w="1440"/>
            <w:shd w:fill="C6EFCE" w:val="clear"/>
          </w:tcPr>
          <w:p>
            <w:r>
              <w:rPr>
                <w:sz w:val="17"/>
              </w:rPr>
              <w:t>22,597</w:t>
            </w:r>
          </w:p>
        </w:tc>
        <w:tc>
          <w:tcPr>
            <w:tcW w:type="dxa" w:w="1440"/>
            <w:shd w:fill="C6EFCE" w:val="clear"/>
          </w:tcPr>
          <w:p>
            <w:r>
              <w:rPr>
                <w:b/>
                <w:sz w:val="17"/>
              </w:rPr>
              <w:t>24,068</w:t>
            </w:r>
          </w:p>
        </w:tc>
        <w:tc>
          <w:tcPr>
            <w:tcW w:type="dxa" w:w="1440"/>
            <w:shd w:fill="C6EFCE" w:val="clear"/>
          </w:tcPr>
          <w:p>
            <w:r>
              <w:rPr>
                <w:sz w:val="17"/>
              </w:rPr>
              <w:t>25,540</w:t>
            </w:r>
          </w:p>
        </w:tc>
        <w:tc>
          <w:tcPr>
            <w:tcW w:type="dxa" w:w="1440"/>
            <w:shd w:fill="C6EFCE" w:val="clear"/>
          </w:tcPr>
          <w:p>
            <w:r>
              <w:rPr>
                <w:b/>
                <w:color w:val="008000"/>
                <w:sz w:val="17"/>
              </w:rPr>
              <w:t>+4.6%</w:t>
            </w:r>
          </w:p>
        </w:tc>
      </w:tr>
      <w:tr>
        <w:tc>
          <w:tcPr>
            <w:tcW w:type="dxa" w:w="1440"/>
            <w:shd w:fill="C6EFCE" w:val="clear"/>
          </w:tcPr>
          <w:p>
            <w:r>
              <w:rPr>
                <w:sz w:val="17"/>
              </w:rPr>
              <w:t>J+3  Moyenne</w:t>
            </w:r>
          </w:p>
        </w:tc>
        <w:tc>
          <w:tcPr>
            <w:tcW w:type="dxa" w:w="1440"/>
            <w:shd w:fill="C6EFCE" w:val="clear"/>
          </w:tcPr>
          <w:p>
            <w:r>
              <w:rPr>
                <w:sz w:val="17"/>
              </w:rPr>
              <w:t>2026-08-19</w:t>
            </w:r>
          </w:p>
        </w:tc>
        <w:tc>
          <w:tcPr>
            <w:tcW w:type="dxa" w:w="1440"/>
            <w:shd w:fill="C6EFCE" w:val="clear"/>
          </w:tcPr>
          <w:p>
            <w:r>
              <w:rPr>
                <w:sz w:val="17"/>
              </w:rPr>
              <w:t>22,651</w:t>
            </w:r>
          </w:p>
        </w:tc>
        <w:tc>
          <w:tcPr>
            <w:tcW w:type="dxa" w:w="1440"/>
            <w:shd w:fill="C6EFCE" w:val="clear"/>
          </w:tcPr>
          <w:p>
            <w:r>
              <w:rPr>
                <w:b/>
                <w:sz w:val="17"/>
              </w:rPr>
              <w:t>24,485</w:t>
            </w:r>
          </w:p>
        </w:tc>
        <w:tc>
          <w:tcPr>
            <w:tcW w:type="dxa" w:w="1440"/>
            <w:shd w:fill="C6EFCE" w:val="clear"/>
          </w:tcPr>
          <w:p>
            <w:r>
              <w:rPr>
                <w:sz w:val="17"/>
              </w:rPr>
              <w:t>26,319</w:t>
            </w:r>
          </w:p>
        </w:tc>
        <w:tc>
          <w:tcPr>
            <w:tcW w:type="dxa" w:w="1440"/>
            <w:shd w:fill="C6EFCE" w:val="clear"/>
          </w:tcPr>
          <w:p>
            <w:r>
              <w:rPr>
                <w:b/>
                <w:color w:val="008000"/>
                <w:sz w:val="17"/>
              </w:rPr>
              <w:t>+6.4%</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22,732</w:t>
            </w:r>
          </w:p>
        </w:tc>
        <w:tc>
          <w:tcPr>
            <w:tcW w:type="dxa" w:w="1440"/>
            <w:shd w:fill="C6EFCE" w:val="clear"/>
          </w:tcPr>
          <w:p>
            <w:r>
              <w:rPr>
                <w:b/>
                <w:sz w:val="17"/>
              </w:rPr>
              <w:t>24,884</w:t>
            </w:r>
          </w:p>
        </w:tc>
        <w:tc>
          <w:tcPr>
            <w:tcW w:type="dxa" w:w="1440"/>
            <w:shd w:fill="C6EFCE" w:val="clear"/>
          </w:tcPr>
          <w:p>
            <w:r>
              <w:rPr>
                <w:sz w:val="17"/>
              </w:rPr>
              <w:t>27,035</w:t>
            </w:r>
          </w:p>
        </w:tc>
        <w:tc>
          <w:tcPr>
            <w:tcW w:type="dxa" w:w="1440"/>
            <w:shd w:fill="C6EFCE" w:val="clear"/>
          </w:tcPr>
          <w:p>
            <w:r>
              <w:rPr>
                <w:b/>
                <w:color w:val="008000"/>
                <w:sz w:val="17"/>
              </w:rPr>
              <w:t>+8.1%</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22,833</w:t>
            </w:r>
          </w:p>
        </w:tc>
        <w:tc>
          <w:tcPr>
            <w:tcW w:type="dxa" w:w="1440"/>
            <w:shd w:fill="C6EFCE" w:val="clear"/>
          </w:tcPr>
          <w:p>
            <w:r>
              <w:rPr>
                <w:b/>
                <w:sz w:val="17"/>
              </w:rPr>
              <w:t>25,277</w:t>
            </w:r>
          </w:p>
        </w:tc>
        <w:tc>
          <w:tcPr>
            <w:tcW w:type="dxa" w:w="1440"/>
            <w:shd w:fill="C6EFCE" w:val="clear"/>
          </w:tcPr>
          <w:p>
            <w:r>
              <w:rPr>
                <w:sz w:val="17"/>
              </w:rPr>
              <w:t>27,721</w:t>
            </w:r>
          </w:p>
        </w:tc>
        <w:tc>
          <w:tcPr>
            <w:tcW w:type="dxa" w:w="1440"/>
            <w:shd w:fill="C6EFCE" w:val="clear"/>
          </w:tcPr>
          <w:p>
            <w:r>
              <w:rPr>
                <w:b/>
                <w:color w:val="008000"/>
                <w:sz w:val="17"/>
              </w:rPr>
              <w:t>+9.8%</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22,949</w:t>
            </w:r>
          </w:p>
        </w:tc>
        <w:tc>
          <w:tcPr>
            <w:tcW w:type="dxa" w:w="1440"/>
            <w:shd w:fill="C6EFCE" w:val="clear"/>
          </w:tcPr>
          <w:p>
            <w:r>
              <w:rPr>
                <w:b/>
                <w:sz w:val="17"/>
              </w:rPr>
              <w:t>25,667</w:t>
            </w:r>
          </w:p>
        </w:tc>
        <w:tc>
          <w:tcPr>
            <w:tcW w:type="dxa" w:w="1440"/>
            <w:shd w:fill="C6EFCE" w:val="clear"/>
          </w:tcPr>
          <w:p>
            <w:r>
              <w:rPr>
                <w:sz w:val="17"/>
              </w:rPr>
              <w:t>28,386</w:t>
            </w:r>
          </w:p>
        </w:tc>
        <w:tc>
          <w:tcPr>
            <w:tcW w:type="dxa" w:w="1440"/>
            <w:shd w:fill="C6EFCE" w:val="clear"/>
          </w:tcPr>
          <w:p>
            <w:r>
              <w:rPr>
                <w:b/>
                <w:color w:val="008000"/>
                <w:sz w:val="17"/>
              </w:rPr>
              <w:t>+11.5%</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23,075</w:t>
            </w:r>
          </w:p>
        </w:tc>
        <w:tc>
          <w:tcPr>
            <w:tcW w:type="dxa" w:w="1440"/>
            <w:shd w:fill="C6EFCE" w:val="clear"/>
          </w:tcPr>
          <w:p>
            <w:r>
              <w:rPr>
                <w:b/>
                <w:sz w:val="17"/>
              </w:rPr>
              <w:t>26,056</w:t>
            </w:r>
          </w:p>
        </w:tc>
        <w:tc>
          <w:tcPr>
            <w:tcW w:type="dxa" w:w="1440"/>
            <w:shd w:fill="C6EFCE" w:val="clear"/>
          </w:tcPr>
          <w:p>
            <w:r>
              <w:rPr>
                <w:sz w:val="17"/>
              </w:rPr>
              <w:t>29,036</w:t>
            </w:r>
          </w:p>
        </w:tc>
        <w:tc>
          <w:tcPr>
            <w:tcW w:type="dxa" w:w="1440"/>
            <w:shd w:fill="C6EFCE" w:val="clear"/>
          </w:tcPr>
          <w:p>
            <w:r>
              <w:rPr>
                <w:b/>
                <w:color w:val="008000"/>
                <w:sz w:val="17"/>
              </w:rPr>
              <w:t>+13.2%</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23,209</w:t>
            </w:r>
          </w:p>
        </w:tc>
        <w:tc>
          <w:tcPr>
            <w:tcW w:type="dxa" w:w="1440"/>
            <w:shd w:fill="C6EFCE" w:val="clear"/>
          </w:tcPr>
          <w:p>
            <w:r>
              <w:rPr>
                <w:b/>
                <w:sz w:val="17"/>
              </w:rPr>
              <w:t>26,443</w:t>
            </w:r>
          </w:p>
        </w:tc>
        <w:tc>
          <w:tcPr>
            <w:tcW w:type="dxa" w:w="1440"/>
            <w:shd w:fill="C6EFCE" w:val="clear"/>
          </w:tcPr>
          <w:p>
            <w:r>
              <w:rPr>
                <w:sz w:val="17"/>
              </w:rPr>
              <w:t>29,676</w:t>
            </w:r>
          </w:p>
        </w:tc>
        <w:tc>
          <w:tcPr>
            <w:tcW w:type="dxa" w:w="1440"/>
            <w:shd w:fill="C6EFCE" w:val="clear"/>
          </w:tcPr>
          <w:p>
            <w:r>
              <w:rPr>
                <w:b/>
                <w:color w:val="008000"/>
                <w:sz w:val="17"/>
              </w:rPr>
              <w:t>+14.9%</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23,348</w:t>
            </w:r>
          </w:p>
        </w:tc>
        <w:tc>
          <w:tcPr>
            <w:tcW w:type="dxa" w:w="1440"/>
            <w:shd w:fill="C6EFCE" w:val="clear"/>
          </w:tcPr>
          <w:p>
            <w:r>
              <w:rPr>
                <w:b/>
                <w:sz w:val="17"/>
              </w:rPr>
              <w:t>26,828</w:t>
            </w:r>
          </w:p>
        </w:tc>
        <w:tc>
          <w:tcPr>
            <w:tcW w:type="dxa" w:w="1440"/>
            <w:shd w:fill="C6EFCE" w:val="clear"/>
          </w:tcPr>
          <w:p>
            <w:r>
              <w:rPr>
                <w:sz w:val="17"/>
              </w:rPr>
              <w:t>30,308</w:t>
            </w:r>
          </w:p>
        </w:tc>
        <w:tc>
          <w:tcPr>
            <w:tcW w:type="dxa" w:w="1440"/>
            <w:shd w:fill="C6EFCE" w:val="clear"/>
          </w:tcPr>
          <w:p>
            <w:r>
              <w:rPr>
                <w:b/>
                <w:color w:val="008000"/>
                <w:sz w:val="17"/>
              </w:rPr>
              <w:t>+16.6%</w:t>
            </w:r>
          </w:p>
        </w:tc>
      </w:tr>
      <w:tr>
        <w:tc>
          <w:tcPr>
            <w:tcW w:type="dxa" w:w="1440"/>
            <w:shd w:fill="C6EFCE" w:val="clear"/>
          </w:tcPr>
          <w:p>
            <w:r>
              <w:rPr>
                <w:sz w:val="17"/>
              </w:rPr>
              <w:t>J+10  ⭐</w:t>
            </w:r>
          </w:p>
        </w:tc>
        <w:tc>
          <w:tcPr>
            <w:tcW w:type="dxa" w:w="1440"/>
            <w:shd w:fill="C6EFCE" w:val="clear"/>
          </w:tcPr>
          <w:p>
            <w:r>
              <w:rPr>
                <w:sz w:val="17"/>
              </w:rPr>
              <w:t>2026-08-31</w:t>
            </w:r>
          </w:p>
        </w:tc>
        <w:tc>
          <w:tcPr>
            <w:tcW w:type="dxa" w:w="1440"/>
            <w:shd w:fill="C6EFCE" w:val="clear"/>
          </w:tcPr>
          <w:p>
            <w:r>
              <w:rPr>
                <w:sz w:val="17"/>
              </w:rPr>
              <w:t>23,491</w:t>
            </w:r>
          </w:p>
        </w:tc>
        <w:tc>
          <w:tcPr>
            <w:tcW w:type="dxa" w:w="1440"/>
            <w:shd w:fill="C6EFCE" w:val="clear"/>
          </w:tcPr>
          <w:p>
            <w:r>
              <w:rPr>
                <w:b/>
                <w:sz w:val="17"/>
              </w:rPr>
              <w:t>27,211</w:t>
            </w:r>
          </w:p>
        </w:tc>
        <w:tc>
          <w:tcPr>
            <w:tcW w:type="dxa" w:w="1440"/>
            <w:shd w:fill="C6EFCE" w:val="clear"/>
          </w:tcPr>
          <w:p>
            <w:r>
              <w:rPr>
                <w:sz w:val="17"/>
              </w:rPr>
              <w:t>30,931</w:t>
            </w:r>
          </w:p>
        </w:tc>
        <w:tc>
          <w:tcPr>
            <w:tcW w:type="dxa" w:w="1440"/>
            <w:shd w:fill="C6EFCE" w:val="clear"/>
          </w:tcPr>
          <w:p>
            <w:r>
              <w:rPr>
                <w:b/>
                <w:color w:val="008000"/>
                <w:sz w:val="17"/>
              </w:rPr>
              <w:t>+18.2%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569,27 milliards FCFA, ce qui en fait l'une des valeurs les plus significatives de la BRVM, reflétant la position de leader de NSIA Banque en Côte d'Ivoire. Le BPA de 1 646 FCFA indique que chaque action génère un bénéfice substantiel, justifiant un PER de 14,0x. Ce ratio, bien que supérieur à la moyenne historique de la BRVM (8-12x), reste modéré et témoigne d'une valorisation raisonnable pour une banque de cette envergure, les investisseurs acceptant de payer une prime pour la qualité de la croissance. Le P/B de 2,44x confirme cette prime de croissance, le marché valorisant la société à plus de deux fois sa valeur comptable, signe de confiance dans la création de valeur future. Enfin, l'EV/EBITDA de 21,5x apparaît très exigeant, indiquant que la valeur totale de l'entreprise (capitaux propres plus dettes) est élevée par rapport à sa capacité opérationnelle, ce qui suggère des attentes de performance soutenue.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+64,39%, avec une légère hausse de +0,07% lors de la dernière séance, témoignant d'une dynamique haussière soutenue. Le cours a évolué dans une fourchette très large, oscillant entre un plus bas de 13 810 FCFA et un plus haut de 24 020 FCFA, illustrant une forte volatilité et un intérêt marqué des investisseurs. La moyenne du cours sur la période (18 165 FCFA) est inférieure à la médiane (18 980 FCFA), suggérant une distribution légèrement asymétrique avec des épisodes de forte hausse récents. L'écart-type de 3 630 FCFA, avec un coefficient de variation de 20%, indique une dispersion modérée, tandis que le kurtosis de -1,441 (platykurtique) révèle une distribution aplatie, avec peu de valeurs extrêmes. Le skewness de 0,121 confirme une symétrie relative. La volatilité annualisée de 37,6% classe le titre comme très volatil, un niveau élevé qui implique un risque significatif mais aussi un potentiel de rendement important.</w:t>
      </w:r>
    </w:p>
    <w:p>
      <w:pPr>
        <w:spacing w:after="120" w:line="276" w:lineRule="auto" w:before="240"/>
      </w:pPr>
      <w:r>
        <w:rPr>
          <w:b/>
          <w:color w:val="003366"/>
          <w:sz w:val="24"/>
        </w:rPr>
        <w:t>**PARTIE 2 : ANALYSE TECHNIQUE DÉTAILLÉE**</w:t>
      </w:r>
    </w:p>
    <w:p>
      <w:pPr>
        <w:spacing w:after="120" w:line="276" w:lineRule="auto"/>
      </w:pPr>
      <w:r>
        <w:t>Les **Moyennes Mobiles** indiquent une tendance haussière solide : la MM20 (23 309,75 FCFA) est supérieure à la MM50 (21 318,2 FCFA), et le cours actuel (23 015 FCFA) se positionne au-dessus de la MM50 mais légèrement sous la MM20, signalant un récent repli dans une tendance de fond positive. La décision d'achat se justifie par la configuration générale des moyennes.</w:t>
      </w:r>
    </w:p>
    <w:p>
      <w:pPr>
        <w:spacing w:after="120" w:line="276" w:lineRule="auto"/>
      </w:pPr>
      <w:r>
        <w:t>Les **Bandes de Bollinger** montrent un cours (23 015 FCFA) proche de la borne inférieure (22 337,47 FCFA) et sous la moyenne mobile, indiquant une pression vendeuse à court terme. La largeur des bandes (borne supérieure à 24 282 FCFA) reflète une volatilité élevée. La décision neutre est cohérente avec un cours dans la partie basse de la bande, sans signal directionnel fort.</w:t>
      </w:r>
    </w:p>
    <w:p>
      <w:pPr>
        <w:spacing w:after="120" w:line="276" w:lineRule="auto"/>
      </w:pPr>
      <w:r>
        <w:t>Le **MACD** présente une valeur (622,36) inférieure à son signal (820,61), formant un croisement baissier qui suggère un affaiblissement du momentum haussier. Cette configuration justifie la décision de vente, indiquant que la dynamique positive s'essouffle à court terme.</w:t>
      </w:r>
    </w:p>
    <w:p>
      <w:pPr>
        <w:spacing w:after="120" w:line="276" w:lineRule="auto"/>
      </w:pPr>
      <w:r>
        <w:t>Le **RSI** à 42,16 se situe dans la zone neutre (30-70), sans signal de surachat ni de survente, indiquant un équilibre relatif entre acheteurs et vendeurs. La décision neutre est appropriée, le titre disposant d'une marge de manœuvre avant d'atteindre des zones extrêmes.</w:t>
      </w:r>
    </w:p>
    <w:p>
      <w:pPr>
        <w:spacing w:after="120" w:line="276" w:lineRule="auto"/>
      </w:pPr>
      <w:r>
        <w:t>Le **Stochastique** montre un %K (1,47) très bas et un %D (19,77), signalant une condition de survente extrême. Le croisement potentiel du %K au-dessus du %D pourrait déclencher un rebond technique. La décision d'achat est justifiée par ce niveau de survente qui précède souvent une correction haussière.</w:t>
      </w:r>
    </w:p>
    <w:p>
      <w:pPr>
        <w:spacing w:after="120" w:line="276" w:lineRule="auto"/>
      </w:pPr>
      <w:r>
        <w:t>En conclusion technique, les signaux sont mitigés : la tendance de fond reste haussière (MM), mais le momentum à court terme faiblit (MACD), tandis que le Stochastique suggère un potentiel de rebond imminent. Cette configuration indique une phase de consolidation au sein d'une tendance haussière plus large, avec un biais positif à moyen terme.</w:t>
      </w:r>
    </w:p>
    <w:p>
      <w:pPr>
        <w:spacing w:after="120" w:line="276" w:lineRule="auto" w:before="240"/>
      </w:pPr>
      <w:r>
        <w:rPr>
          <w:b/>
          <w:color w:val="003366"/>
          <w:sz w:val="24"/>
        </w:rPr>
        <w:t>**PARTIE 3 : ANALYSE FONDAMENTALE (SECTION CRITIQUE)**</w:t>
      </w:r>
    </w:p>
    <w:p>
      <w:pPr>
        <w:spacing w:after="120" w:line="276" w:lineRule="auto"/>
      </w:pPr>
      <w:r>
        <w:t>En 2025, NSBC affiche des performances financières solides : le Produit Net Bancaire (PNB) s'établit à 112,928 milliards FCFA, en hausse de 15% par rapport à 2024, tandis que le résultat net atteint 40,712 milliards FCFA, en progression de 7%. La banque démontre une excellente rentabilité avec un ROE de 17,45% et un ROA de 1,32%, des niveaux supérieurs aux moyennes sectorielles. Le coefficient d'exploitation de 54,59% confirme l'efficacité opérationnelle de la banque, bien que le coût du risque de 7,54% (provisions/charges financières) signale une dégradation de la qualité du portefeuille de crédits, avec des provisions de 8,51 milliards FCFA. La structure financière montre une dépendance élevée aux dettes (92,41%), mais une solvabilité générale de 108,22% reste satisfaisante. Les dépôts clientèle (2 242 milliards FCFA) dépassent largement les créances (1 818 milliards FCFA), indiquant une transformation saine. Le rapport T1 2026 (publié en mai 2026) révèle une accélération spectaculaire : PNB de 28,6 milliards FCFA (+28% vs T1 2025) et résultat net de 10,9 milliards FCFA (+53%), portés par l'activité titres. Sur cette base, on estime que l'exercice 2026 pourrait voir un PNB dépasser 130 milliards FCFA et un résultat net supérieur à 50 milliards FCFA, confirmant la trajectoire ascendante de la banque.</w:t>
      </w:r>
    </w:p>
    <w:p>
      <w:pPr>
        <w:spacing w:after="120" w:line="276" w:lineRule="auto" w:before="240"/>
      </w:pPr>
      <w:r>
        <w:rPr>
          <w:b/>
          <w:color w:val="003366"/>
          <w:sz w:val="24"/>
        </w:rPr>
        <w:t>**PARTIE 4 : CONCLUSION D'INVESTISSEMENT**</w:t>
      </w:r>
    </w:p>
    <w:p>
      <w:pPr>
        <w:spacing w:after="120" w:line="276" w:lineRule="auto"/>
      </w:pPr>
      <w:r>
        <w:t>La valorisation de NSBC (PER 14,0x, P/B 2,44x, EV/EBITDA 21,5x) reflète une prime de croissance justifiée par des fondamentaux solides, bien que le PER soit supérieur à la moyenne BRVM. Le comportement du cours (+64,39% sur 100 jours) démontre une dynamique haussière forte, mais la volatilité élevée (37,6%) et le kurtosis platykurtique appellent à la prudence. Les signaux techniques sont mitigés : tendance haussière de fond (MM) mais momentum affaibli (MACD), avec un potentiel de rebond technique (Stochastique en survente). Les fondamentaux sont excellents, avec une croissance soutenue du PNB (+15% en 2025, +28% au T1 2026) et une rentabilité élevée (ROE 17,45%), malgré un coût du risque en hausse. Les prédictions IA pour les 10 prochains jours (23 628 à 25 277 FCFA) confirment la poursuite de la tendance haussière, en convergence avec les fondamentaux. La recommandation finale est **ACHAT**, avec un niveau de confiance **Élevé**, un risque global **Moyen** (volatilité et coût du risque), et un horizon d'investissement optimal à **moyen terme (3-12 mois)**, pour capitaliser sur la dynamique de croissance tout en surveillant l'évolution du coût du risque et la qualité du portefeuille de crédits.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385.13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1,934 titres</w:t>
            </w:r>
          </w:p>
        </w:tc>
        <w:tc>
          <w:tcPr>
            <w:tcW w:type="dxa" w:w="2268"/>
            <w:shd w:fill="FFF2CC" w:val="clear"/>
          </w:tcPr>
          <w:p>
            <w:r>
              <w:rPr>
                <w:b/>
                <w:color w:val="503200"/>
                <w:sz w:val="16"/>
              </w:rPr>
              <w:t xml:space="preserve">Cours actuel : </w:t>
            </w:r>
            <w:r>
              <w:rPr>
                <w:color w:val="000000"/>
                <w:sz w:val="17"/>
              </w:rPr>
              <w:t>17,450 FCFA</w:t>
            </w:r>
          </w:p>
          <w:p>
            <w:r>
              <w:rPr>
                <w:b/>
                <w:color w:val="503200"/>
                <w:sz w:val="16"/>
              </w:rPr>
              <w:t xml:space="preserve">Var. 100 jours : </w:t>
            </w:r>
            <w:r>
              <w:rPr>
                <w:b/>
                <w:color w:val="007800"/>
                <w:sz w:val="17"/>
              </w:rPr>
              <w:t>+35.38%</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13.57% (Moyenne) — μ=14,101 FCFA, σ=1,913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β=0.2215 (Défensif) — Cov=0.000007, Var(idx)=0.000031, ρ=0.058,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16,658</w:t>
            </w:r>
          </w:p>
        </w:tc>
        <w:tc>
          <w:tcPr>
            <w:tcW w:type="dxa" w:w="1440"/>
            <w:shd w:fill="FFDCE0" w:val="clear"/>
          </w:tcPr>
          <w:p>
            <w:r>
              <w:rPr>
                <w:b/>
                <w:sz w:val="17"/>
              </w:rPr>
              <w:t>16,929</w:t>
            </w:r>
          </w:p>
        </w:tc>
        <w:tc>
          <w:tcPr>
            <w:tcW w:type="dxa" w:w="1440"/>
            <w:shd w:fill="FFDCE0" w:val="clear"/>
          </w:tcPr>
          <w:p>
            <w:r>
              <w:rPr>
                <w:sz w:val="17"/>
              </w:rPr>
              <w:t>17,200</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16,540</w:t>
            </w:r>
          </w:p>
        </w:tc>
        <w:tc>
          <w:tcPr>
            <w:tcW w:type="dxa" w:w="1440"/>
            <w:shd w:fill="FFDCE0" w:val="clear"/>
          </w:tcPr>
          <w:p>
            <w:r>
              <w:rPr>
                <w:b/>
                <w:sz w:val="17"/>
              </w:rPr>
              <w:t>16,923</w:t>
            </w:r>
          </w:p>
        </w:tc>
        <w:tc>
          <w:tcPr>
            <w:tcW w:type="dxa" w:w="1440"/>
            <w:shd w:fill="FFDCE0" w:val="clear"/>
          </w:tcPr>
          <w:p>
            <w:r>
              <w:rPr>
                <w:sz w:val="17"/>
              </w:rPr>
              <w:t>17,305</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16,402</w:t>
            </w:r>
          </w:p>
        </w:tc>
        <w:tc>
          <w:tcPr>
            <w:tcW w:type="dxa" w:w="1440"/>
            <w:shd w:fill="FFDCE0" w:val="clear"/>
          </w:tcPr>
          <w:p>
            <w:r>
              <w:rPr>
                <w:b/>
                <w:sz w:val="17"/>
              </w:rPr>
              <w:t>16,869</w:t>
            </w:r>
          </w:p>
        </w:tc>
        <w:tc>
          <w:tcPr>
            <w:tcW w:type="dxa" w:w="1440"/>
            <w:shd w:fill="FFDCE0" w:val="clear"/>
          </w:tcPr>
          <w:p>
            <w:r>
              <w:rPr>
                <w:sz w:val="17"/>
              </w:rPr>
              <w:t>17,336</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16,269</w:t>
            </w:r>
          </w:p>
        </w:tc>
        <w:tc>
          <w:tcPr>
            <w:tcW w:type="dxa" w:w="1440"/>
            <w:shd w:fill="FFDCE0" w:val="clear"/>
          </w:tcPr>
          <w:p>
            <w:r>
              <w:rPr>
                <w:b/>
                <w:sz w:val="17"/>
              </w:rPr>
              <w:t>16,807</w:t>
            </w:r>
          </w:p>
        </w:tc>
        <w:tc>
          <w:tcPr>
            <w:tcW w:type="dxa" w:w="1440"/>
            <w:shd w:fill="FFDCE0" w:val="clear"/>
          </w:tcPr>
          <w:p>
            <w:r>
              <w:rPr>
                <w:sz w:val="17"/>
              </w:rPr>
              <w:t>17,344</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16,147</w:t>
            </w:r>
          </w:p>
        </w:tc>
        <w:tc>
          <w:tcPr>
            <w:tcW w:type="dxa" w:w="1440"/>
            <w:shd w:fill="FFDCE0" w:val="clear"/>
          </w:tcPr>
          <w:p>
            <w:r>
              <w:rPr>
                <w:b/>
                <w:sz w:val="17"/>
              </w:rPr>
              <w:t>16,746</w:t>
            </w:r>
          </w:p>
        </w:tc>
        <w:tc>
          <w:tcPr>
            <w:tcW w:type="dxa" w:w="1440"/>
            <w:shd w:fill="FFDCE0" w:val="clear"/>
          </w:tcPr>
          <w:p>
            <w:r>
              <w:rPr>
                <w:sz w:val="17"/>
              </w:rPr>
              <w:t>17,345</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16,035</w:t>
            </w:r>
          </w:p>
        </w:tc>
        <w:tc>
          <w:tcPr>
            <w:tcW w:type="dxa" w:w="1440"/>
            <w:shd w:fill="FFDCE0" w:val="clear"/>
          </w:tcPr>
          <w:p>
            <w:r>
              <w:rPr>
                <w:b/>
                <w:sz w:val="17"/>
              </w:rPr>
              <w:t>16,689</w:t>
            </w:r>
          </w:p>
        </w:tc>
        <w:tc>
          <w:tcPr>
            <w:tcW w:type="dxa" w:w="1440"/>
            <w:shd w:fill="FFDCE0" w:val="clear"/>
          </w:tcPr>
          <w:p>
            <w:r>
              <w:rPr>
                <w:sz w:val="17"/>
              </w:rPr>
              <w:t>17,342</w:t>
            </w:r>
          </w:p>
        </w:tc>
        <w:tc>
          <w:tcPr>
            <w:tcW w:type="dxa" w:w="1440"/>
            <w:shd w:fill="FFDCE0" w:val="clear"/>
          </w:tcPr>
          <w:p>
            <w:r>
              <w:rPr>
                <w:b/>
                <w:color w:val="C00000"/>
                <w:sz w:val="17"/>
              </w:rPr>
              <w:t>-4.4%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15,930</w:t>
            </w:r>
          </w:p>
        </w:tc>
        <w:tc>
          <w:tcPr>
            <w:tcW w:type="dxa" w:w="1440"/>
            <w:shd w:fill="FFDCE0" w:val="clear"/>
          </w:tcPr>
          <w:p>
            <w:r>
              <w:rPr>
                <w:b/>
                <w:sz w:val="17"/>
              </w:rPr>
              <w:t>16,634</w:t>
            </w:r>
          </w:p>
        </w:tc>
        <w:tc>
          <w:tcPr>
            <w:tcW w:type="dxa" w:w="1440"/>
            <w:shd w:fill="FFDCE0" w:val="clear"/>
          </w:tcPr>
          <w:p>
            <w:r>
              <w:rPr>
                <w:sz w:val="17"/>
              </w:rPr>
              <w:t>17,337</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15,831</w:t>
            </w:r>
          </w:p>
        </w:tc>
        <w:tc>
          <w:tcPr>
            <w:tcW w:type="dxa" w:w="1440"/>
            <w:shd w:fill="FFDCE0" w:val="clear"/>
          </w:tcPr>
          <w:p>
            <w:r>
              <w:rPr>
                <w:b/>
                <w:sz w:val="17"/>
              </w:rPr>
              <w:t>16,581</w:t>
            </w:r>
          </w:p>
        </w:tc>
        <w:tc>
          <w:tcPr>
            <w:tcW w:type="dxa" w:w="1440"/>
            <w:shd w:fill="FFDCE0" w:val="clear"/>
          </w:tcPr>
          <w:p>
            <w:r>
              <w:rPr>
                <w:sz w:val="17"/>
              </w:rPr>
              <w:t>17,331</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15,736</w:t>
            </w:r>
          </w:p>
        </w:tc>
        <w:tc>
          <w:tcPr>
            <w:tcW w:type="dxa" w:w="1440"/>
            <w:shd w:fill="FFDCE0" w:val="clear"/>
          </w:tcPr>
          <w:p>
            <w:r>
              <w:rPr>
                <w:b/>
                <w:sz w:val="17"/>
              </w:rPr>
              <w:t>16,529</w:t>
            </w:r>
          </w:p>
        </w:tc>
        <w:tc>
          <w:tcPr>
            <w:tcW w:type="dxa" w:w="1440"/>
            <w:shd w:fill="FFDCE0" w:val="clear"/>
          </w:tcPr>
          <w:p>
            <w:r>
              <w:rPr>
                <w:sz w:val="17"/>
              </w:rPr>
              <w:t>17,322</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15,646</w:t>
            </w:r>
          </w:p>
        </w:tc>
        <w:tc>
          <w:tcPr>
            <w:tcW w:type="dxa" w:w="1440"/>
            <w:shd w:fill="FFDCE0" w:val="clear"/>
          </w:tcPr>
          <w:p>
            <w:r>
              <w:rPr>
                <w:b/>
                <w:sz w:val="17"/>
              </w:rPr>
              <w:t>16,479</w:t>
            </w:r>
          </w:p>
        </w:tc>
        <w:tc>
          <w:tcPr>
            <w:tcW w:type="dxa" w:w="1440"/>
            <w:shd w:fill="FFDCE0" w:val="clear"/>
          </w:tcPr>
          <w:p>
            <w:r>
              <w:rPr>
                <w:sz w:val="17"/>
              </w:rPr>
              <w:t>17,313</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385,13 milliards FCFA, ce qui positionne le titre parmi les valeurs les plus significatives de la BRVM, reflétant la confiance des investisseurs dans ce leader des biens de consommation. Avec un BPA de 835 FCFA, le PER de 20,9x est nettement supérieur à la moyenne historique de la place (~8-12x), indiquant que les investisseurs intègrent une forte croissance future des bénéfices, mais aussi un risque de surévaluation si ces attentes ne se matérialisent pas. Le P/B de 13,02x confirme cette prime substantielle, le marché valorisant le titre bien au-delà de sa valeur comptable, signe d'une rentabilité des capitaux propres exceptionnelle. Enfin, l'EV/EBITDA de 10,2x, bien que dans une fourchette élevée, reste cohérent avec la capacité de l'entreprise à générer un excédent brut d'exploitation solide de 46,17 milliards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NTLC a enregistré une progression spectaculaire de +35,38%, avec une dernière séance stable à 17 450 FCFA, son plus haut niveau sur la période, contre un plus bas de 11 150 FCFA. Cette tendance fortement haussière s'accompagne d'une moyenne de 14 101 FCFA, supérieure à la médiane de 13 102 FCFA, ce qui suggère une distribution des prix légèrement asymétrique vers le haut, confirmée par un skewness positif de 0,196. L'écart-type de 1 923 FCFA (CV de 13,6%) indique une dispersion modérée des cours autour de la moyenne, tandis que le kurtosis de -1,556 (platykurtique) révèle une distribution aplatie, avec peu de valeurs extrêmes et donc un risque de pics moins prononcé. La volatilité annualisée de 33,7% classe le titre dans la catégorie des valeurs à forte volatilité, ce qui implique des fluctuations de prix importantes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17 450 FCFA évolue nettement au-dessus de la MM20 (16 593,25 FCFA) et de la MM50 (15 863,4 FCFA), avec un écart croissant qui confirme une dynamique haussière solide. La configuration des moyennes mobiles, avec la MM20 au-dessus de la MM50, valide la tendance de fond et génère un signal d'achat clair, bien que l'écart important suggère un marché potentiellement suracheté à court terme.</w:t>
      </w:r>
    </w:p>
    <w:p>
      <w:pPr>
        <w:spacing w:after="120" w:line="276" w:lineRule="auto"/>
      </w:pPr>
      <w:r>
        <w:t>**Bandes de Bollinger** : Le prix se situe à 17 450 FCFA, très proche de la borne supérieure de 17 511,38 FCFA, indiquant que le titre est en zone de surachat technique. La largeur des bandes reflète une volatilité élevée, et le fait que le cours colle à la borne supérieure suggère une pression acheteuse intense, mais aussi un risque de consolidation ou de correction technique. La décision neutre indique que le marché attend un catalyseur pour poursuivre ou corriger.</w:t>
      </w:r>
    </w:p>
    <w:p>
      <w:pPr>
        <w:spacing w:after="120" w:line="276" w:lineRule="auto"/>
      </w:pPr>
      <w:r>
        <w:t>**MACD** : Le MACD (434,694) est nettement au-dessus de sa ligne de signal (392,659), avec un écart positif de 42 points qui confirme un momentum haussier robuste. Cette configuration, sans signe de divergence baissière, suggère que la dynamique positive reste intacte, justifiant la décision d'achat, même si l'ampleur de l'écart appelle à la vigilance sur une possible saturation.</w:t>
      </w:r>
    </w:p>
    <w:p>
      <w:pPr>
        <w:spacing w:after="120" w:line="276" w:lineRule="auto"/>
      </w:pPr>
      <w:r>
        <w:t>**RSI** : Le RSI à 85,036 est profondément en zone de surachat (au-delà de 70), signalant que le titre est surévalué à court terme d'un point de vue technique. Cette lecture indique que la pression acheteuse est excessive et qu'un repli technique est probable, justifiant la décision de vente. Les investisseurs devraient surveiller un éventuel retour sous le seuil de 70 comme premier signe de faiblesse.</w:t>
      </w:r>
    </w:p>
    <w:p>
      <w:pPr>
        <w:spacing w:after="120" w:line="276" w:lineRule="auto"/>
      </w:pPr>
      <w:r>
        <w:t>**Stochastique** : Le %K et le %D sont tous deux à 100, un niveau extrême de surachat qui reflète une force absolue du mouvement haussier. Cette configuration, bien que très positive pour la tendance, est statistiquement insoutenable à court terme et suggère une probabilité élevée de correction ou de consolidation, justifiant la décision de vente.</w:t>
      </w:r>
    </w:p>
    <w:p>
      <w:pPr>
        <w:spacing w:after="120" w:line="276" w:lineRule="auto"/>
      </w:pPr>
      <w:r>
        <w:t>**Conclusion technique** : La convergence des indicateurs de tendance (MM, MACD) vers l'achat contraste fortement avec les oscillateurs de momentum (RSI, Stochastique) qui hurlent au surachat extrême. Cette divergence classique en fin de mouvement haussier suggère que la tendance de fond reste positive, mais qu'un repli technique est imminent. La prudence est donc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NTLC font état d'un chiffre d'affaires de 233,26 milliards FCFA, en croissance de 5,97% par rapport à 2024, et d'un résultat net de 18,43 milliards FCFA, en légère progression de 1,53%. La marge nette s'établit à 7,90%, en léger repli par rapport aux 8,25% de 2024, tandis que le ROE atteint un niveau exceptionnel de 62,28%, démontrant une utilisation très efficace des capitaux propres (29,59 milliards FCFA). Le ROA de 9,70% confirme la solidité de la rentabilité des actifs (189,96 milliards FCFA). En tant qu'entreprise non bancaire, l'analyse se concentre sur le BFR de 22,63 milliards FCFA, un niveau élevé qui reflète des délais clients de 74,3 jours et une durée de stockage de 59,4 jours, exposant la société à un risque de trésorerie. L'endettement total de 160,37 milliards FCFA, avec un ratio d'endettement de 135,85%, est significatif, mais la couverture des intérêts de 473,63% rassure sur la capacité de remboursement. **Sur la base du rapport T1 2026 (publié en mai 2026)**, qui fait état d'un chiffre d'affaires de 70,82 milliards FCFA (+31% vs T1 2025) et d'un résultat net de 7,53 milliards FCFA (+37%), on estime que l'exercice 2026 devrait largement dépasser les performances de 2025, avec un CA annuel potentiel de 280-290 milliards FCFA et un résultat net de 22-24 milliards FCFA, si la dynamique se maintient. Le rapport annuel 2025 (analysé le 1er mai 2026) recommande de conserver le titre, tandis que le rapport T1 2026 recommande un achat, reflétant l'amélioration des perspectives. Le dividende proposé pour 2025 est de 9,27 milliards FCFA, soit un taux de distribution de 50,3%, en forte baisse par rapport aux 99,7% de 2024, signalant une stratégie de réinvestissement des bénéfices.</w:t>
      </w:r>
    </w:p>
    <w:p>
      <w:pPr>
        <w:spacing w:after="120" w:line="276" w:lineRule="auto"/>
      </w:pPr>
      <w:r>
        <w:t>---</w:t>
      </w:r>
    </w:p>
    <w:p>
      <w:pPr>
        <w:spacing w:after="120" w:line="276" w:lineRule="auto"/>
      </w:pPr>
      <w:r>
        <w:t>### PARTIE 4 : CONCLUSION D'INVESTISSEMENT</w:t>
      </w:r>
    </w:p>
    <w:p>
      <w:pPr>
        <w:spacing w:after="120" w:line="276" w:lineRule="auto"/>
      </w:pPr>
      <w:r>
        <w:t>La valorisation de NTLC, avec un PER de 20,9x et un P/B de 13,02x, indique une nette surévaluation par rapport aux moyennes du marché, les investisseurs payant une prime substantielle pour la qualité de la franchise et ses perspectives de croissance. Le comportement du cours, avec une hausse de 35,38% sur 100 jours et une volatilité annualisée de 33,7%, montre une dynamique haussière puissante mais risquée, les statistiques (kurtosis platykurtique, skewness positif) suggérant une distribution des rendements sans extrêmes majeurs. Les signaux techniques sont contradictoires : les indicateurs de tendance (MM, MACD) sont positifs, mais les oscillateurs (RSI à 85, Stochastique à 100) sont en surachat extrême, signalant un risque élevé de correction à court terme. Les fondamentaux sont solides, avec un ROE de 62,28%, une croissance du CA de 5,97% en 2025 et des estimations pour 2026 très optimistes (+31% au T1), soutenues par une stratégie de réinvestissement. Les prédictions IA pour les 10 prochains jours (17 450 → 16 746 FCFA) confirment ce scénario de consolidation, anticipant un repli d'environ 4%. En synthèse, la convergence entre la surévaluation technique, les signaux de surachat et les prédictions IA suggère une pause dans la tendance haussière. **Recommandation : CONSERVER**, avec un niveau de confiance **Moyen** et un risque global **Élevé** à court terme. L'horizon d'investissement optimal est le **moyen terme (3-12 mois)**, en attendant une correction technique qui offrirait un point d'entrée plus attractif, ou la confirmation d'une poursuite de la croissance fondamentale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190.40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4,444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B40000"/>
                <w:sz w:val="17"/>
              </w:rPr>
              <w:t>-1.23%</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3.21% (Faible) — μ=2,825 FCFA, σ=91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β=0.3726 (Défensif) — Cov=0.000012, Var(idx)=0.000031, ρ=0.108,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2,718</w:t>
            </w:r>
          </w:p>
        </w:tc>
        <w:tc>
          <w:tcPr>
            <w:tcW w:type="dxa" w:w="1440"/>
            <w:shd w:fill="FAFAFA" w:val="clear"/>
          </w:tcPr>
          <w:p>
            <w:r>
              <w:rPr>
                <w:b/>
                <w:sz w:val="17"/>
              </w:rPr>
              <w:t>2,805</w:t>
            </w:r>
          </w:p>
        </w:tc>
        <w:tc>
          <w:tcPr>
            <w:tcW w:type="dxa" w:w="1440"/>
            <w:shd w:fill="FAFAFA" w:val="clear"/>
          </w:tcPr>
          <w:p>
            <w:r>
              <w:rPr>
                <w:sz w:val="17"/>
              </w:rPr>
              <w:t>2,892</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2,674</w:t>
            </w:r>
          </w:p>
        </w:tc>
        <w:tc>
          <w:tcPr>
            <w:tcW w:type="dxa" w:w="1440"/>
            <w:shd w:fill="FAFAFA" w:val="clear"/>
          </w:tcPr>
          <w:p>
            <w:r>
              <w:rPr>
                <w:b/>
                <w:sz w:val="17"/>
              </w:rPr>
              <w:t>2,797</w:t>
            </w:r>
          </w:p>
        </w:tc>
        <w:tc>
          <w:tcPr>
            <w:tcW w:type="dxa" w:w="1440"/>
            <w:shd w:fill="FAFAFA" w:val="clear"/>
          </w:tcPr>
          <w:p>
            <w:r>
              <w:rPr>
                <w:sz w:val="17"/>
              </w:rPr>
              <w:t>2,919</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2,642</w:t>
            </w:r>
          </w:p>
        </w:tc>
        <w:tc>
          <w:tcPr>
            <w:tcW w:type="dxa" w:w="1440"/>
            <w:shd w:fill="FAFAFA" w:val="clear"/>
          </w:tcPr>
          <w:p>
            <w:r>
              <w:rPr>
                <w:b/>
                <w:sz w:val="17"/>
              </w:rPr>
              <w:t>2,791</w:t>
            </w:r>
          </w:p>
        </w:tc>
        <w:tc>
          <w:tcPr>
            <w:tcW w:type="dxa" w:w="1440"/>
            <w:shd w:fill="FAFAFA" w:val="clear"/>
          </w:tcPr>
          <w:p>
            <w:r>
              <w:rPr>
                <w:sz w:val="17"/>
              </w:rPr>
              <w:t>2,941</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2,614</w:t>
            </w:r>
          </w:p>
        </w:tc>
        <w:tc>
          <w:tcPr>
            <w:tcW w:type="dxa" w:w="1440"/>
            <w:shd w:fill="FAFAFA" w:val="clear"/>
          </w:tcPr>
          <w:p>
            <w:r>
              <w:rPr>
                <w:b/>
                <w:sz w:val="17"/>
              </w:rPr>
              <w:t>2,786</w:t>
            </w:r>
          </w:p>
        </w:tc>
        <w:tc>
          <w:tcPr>
            <w:tcW w:type="dxa" w:w="1440"/>
            <w:shd w:fill="FAFAFA" w:val="clear"/>
          </w:tcPr>
          <w:p>
            <w:r>
              <w:rPr>
                <w:sz w:val="17"/>
              </w:rPr>
              <w:t>2,959</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2,589</w:t>
            </w:r>
          </w:p>
        </w:tc>
        <w:tc>
          <w:tcPr>
            <w:tcW w:type="dxa" w:w="1440"/>
            <w:shd w:fill="FAFAFA" w:val="clear"/>
          </w:tcPr>
          <w:p>
            <w:r>
              <w:rPr>
                <w:b/>
                <w:sz w:val="17"/>
              </w:rPr>
              <w:t>2,782</w:t>
            </w:r>
          </w:p>
        </w:tc>
        <w:tc>
          <w:tcPr>
            <w:tcW w:type="dxa" w:w="1440"/>
            <w:shd w:fill="FAFAFA" w:val="clear"/>
          </w:tcPr>
          <w:p>
            <w:r>
              <w:rPr>
                <w:sz w:val="17"/>
              </w:rPr>
              <w:t>2,974</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2,566</w:t>
            </w:r>
          </w:p>
        </w:tc>
        <w:tc>
          <w:tcPr>
            <w:tcW w:type="dxa" w:w="1440"/>
            <w:shd w:fill="FAFAFA" w:val="clear"/>
          </w:tcPr>
          <w:p>
            <w:r>
              <w:rPr>
                <w:b/>
                <w:sz w:val="17"/>
              </w:rPr>
              <w:t>2,777</w:t>
            </w:r>
          </w:p>
        </w:tc>
        <w:tc>
          <w:tcPr>
            <w:tcW w:type="dxa" w:w="1440"/>
            <w:shd w:fill="FAFAFA" w:val="clear"/>
          </w:tcPr>
          <w:p>
            <w:r>
              <w:rPr>
                <w:sz w:val="17"/>
              </w:rPr>
              <w:t>2,987</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2,545</w:t>
            </w:r>
          </w:p>
        </w:tc>
        <w:tc>
          <w:tcPr>
            <w:tcW w:type="dxa" w:w="1440"/>
            <w:shd w:fill="FAFAFA" w:val="clear"/>
          </w:tcPr>
          <w:p>
            <w:r>
              <w:rPr>
                <w:b/>
                <w:sz w:val="17"/>
              </w:rPr>
              <w:t>2,772</w:t>
            </w:r>
          </w:p>
        </w:tc>
        <w:tc>
          <w:tcPr>
            <w:tcW w:type="dxa" w:w="1440"/>
            <w:shd w:fill="FAFAFA" w:val="clear"/>
          </w:tcPr>
          <w:p>
            <w:r>
              <w:rPr>
                <w:sz w:val="17"/>
              </w:rPr>
              <w:t>2,999</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2026-08-27</w:t>
            </w:r>
          </w:p>
        </w:tc>
        <w:tc>
          <w:tcPr>
            <w:tcW w:type="dxa" w:w="1440"/>
            <w:shd w:fill="FAFAFA" w:val="clear"/>
          </w:tcPr>
          <w:p>
            <w:r>
              <w:rPr>
                <w:sz w:val="17"/>
              </w:rPr>
              <w:t>2,525</w:t>
            </w:r>
          </w:p>
        </w:tc>
        <w:tc>
          <w:tcPr>
            <w:tcW w:type="dxa" w:w="1440"/>
            <w:shd w:fill="FAFAFA" w:val="clear"/>
          </w:tcPr>
          <w:p>
            <w:r>
              <w:rPr>
                <w:b/>
                <w:sz w:val="17"/>
              </w:rPr>
              <w:t>2,768</w:t>
            </w:r>
          </w:p>
        </w:tc>
        <w:tc>
          <w:tcPr>
            <w:tcW w:type="dxa" w:w="1440"/>
            <w:shd w:fill="FAFAFA" w:val="clear"/>
          </w:tcPr>
          <w:p>
            <w:r>
              <w:rPr>
                <w:sz w:val="17"/>
              </w:rPr>
              <w:t>3,010</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2026-08-28</w:t>
            </w:r>
          </w:p>
        </w:tc>
        <w:tc>
          <w:tcPr>
            <w:tcW w:type="dxa" w:w="1440"/>
            <w:shd w:fill="FAFAFA" w:val="clear"/>
          </w:tcPr>
          <w:p>
            <w:r>
              <w:rPr>
                <w:sz w:val="17"/>
              </w:rPr>
              <w:t>2,507</w:t>
            </w:r>
          </w:p>
        </w:tc>
        <w:tc>
          <w:tcPr>
            <w:tcW w:type="dxa" w:w="1440"/>
            <w:shd w:fill="FAFAFA" w:val="clear"/>
          </w:tcPr>
          <w:p>
            <w:r>
              <w:rPr>
                <w:b/>
                <w:sz w:val="17"/>
              </w:rPr>
              <w:t>2,763</w:t>
            </w:r>
          </w:p>
        </w:tc>
        <w:tc>
          <w:tcPr>
            <w:tcW w:type="dxa" w:w="1440"/>
            <w:shd w:fill="FAFAFA" w:val="clear"/>
          </w:tcPr>
          <w:p>
            <w:r>
              <w:rPr>
                <w:sz w:val="17"/>
              </w:rPr>
              <w:t>3,020</w:t>
            </w:r>
          </w:p>
        </w:tc>
        <w:tc>
          <w:tcPr>
            <w:tcW w:type="dxa" w:w="1440"/>
            <w:shd w:fill="FAFAFA" w:val="clear"/>
          </w:tcPr>
          <w:p>
            <w:r>
              <w:rPr>
                <w:b/>
                <w:color w:val="C00000"/>
                <w:sz w:val="17"/>
              </w:rPr>
              <w:t>-1.3%</w:t>
            </w:r>
          </w:p>
        </w:tc>
      </w:tr>
      <w:tr>
        <w:tc>
          <w:tcPr>
            <w:tcW w:type="dxa" w:w="1440"/>
            <w:shd w:fill="FAFAFA" w:val="clear"/>
          </w:tcPr>
          <w:p>
            <w:r>
              <w:rPr>
                <w:sz w:val="17"/>
              </w:rPr>
              <w:t>J+10  Moyenne</w:t>
            </w:r>
          </w:p>
        </w:tc>
        <w:tc>
          <w:tcPr>
            <w:tcW w:type="dxa" w:w="1440"/>
            <w:shd w:fill="FAFAFA" w:val="clear"/>
          </w:tcPr>
          <w:p>
            <w:r>
              <w:rPr>
                <w:sz w:val="17"/>
              </w:rPr>
              <w:t>2026-08-31</w:t>
            </w:r>
          </w:p>
        </w:tc>
        <w:tc>
          <w:tcPr>
            <w:tcW w:type="dxa" w:w="1440"/>
            <w:shd w:fill="FAFAFA" w:val="clear"/>
          </w:tcPr>
          <w:p>
            <w:r>
              <w:rPr>
                <w:sz w:val="17"/>
              </w:rPr>
              <w:t>2,489</w:t>
            </w:r>
          </w:p>
        </w:tc>
        <w:tc>
          <w:tcPr>
            <w:tcW w:type="dxa" w:w="1440"/>
            <w:shd w:fill="FAFAFA" w:val="clear"/>
          </w:tcPr>
          <w:p>
            <w:r>
              <w:rPr>
                <w:b/>
                <w:sz w:val="17"/>
              </w:rPr>
              <w:t>2,759</w:t>
            </w:r>
          </w:p>
        </w:tc>
        <w:tc>
          <w:tcPr>
            <w:tcW w:type="dxa" w:w="1440"/>
            <w:shd w:fill="FAFAFA" w:val="clear"/>
          </w:tcPr>
          <w:p>
            <w:r>
              <w:rPr>
                <w:sz w:val="17"/>
              </w:rPr>
              <w:t>3,029</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l'ONTBF s'établit à 190,40 milliards FCFA, ce qui en fait une valeur de première importance sur la BRVM, représentant un poids significatif dans l'indice composite. Avec un BPA de 234 FCFA, le PER de 12,0x se situe dans la fourchette haute du marché régional (moyenne BRVM ~8-12x), indiquant que les investisseurs paient un prix raisonnable, voire légèrement premium, pour les bénéfices de l'opérateur. Le P/B de 3,31x, bien que supérieur à 1, reflète une prime de croissance accordée par le marché, qui valorise les actifs de l'entreprise au-delà de leur valeur comptable. Enfin, l'EV/EBITDA de 5,1x est particulièrement attractif, signalant que la valeur totale de l'entreprise (capitalisation + dette nette) reste modérée par rapport à sa capacité opérationnelle de génération de cash (EBITDA). Ces ratios, dans leur ensemble, suggèrent une valorisation globalement raisonnable, avec un potentiel de revalorisation si la rentabilité se stabilise.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affiche une variation totale de -1,23%, avec une dernière séance stable (+0,00%), témoignant d'une phase de consolidation. Le cours a évolué dans un range de 2 610 FCFA (plus bas) à 3 070 FCFA (plus haut), montrant une amplitude de trading de 460 FCFA. La moyenne (2 825 FCFA) et la médiane (2 802 FCFA) sont très proches, avec un mode à 2 800 FCFA, indiquant une distribution des prix très symétrique et concentrée autour de ces niveaux. L'écart-type de 91 FCFA, avec un coefficient de variation de seulement 3,2%, révèle une dispersion très faible et un cours extrêmement stable. Le kurtosis de -0,380 (mésokurtique) et le skewness de 0,292 (symétrique) confirment l'absence de mouvements extrêmes ou de pics de volatilité. La volatilité annualisée de 31,9% classe le titre dans la catégorie "élevée" (&gt;30%), mais cette statistique est à nuancer fortement par la très faible dispersion quotidienne observée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La MM20 (2 841,0 FCFA) et la MM50 (2 822,1 FCFA) sont toutes deux situées au-dessus du cours actuel (2 800 FCFA), ce qui suggère une pression vendeuse à court terme. Cependant, l'écart entre les deux moyennes est minime, et le signal global est un "Achat", indiquant que la tendance de fond pourrait rester positive si le cours parvient à repasser au-dessus de ces niveaux.</w:t>
      </w:r>
    </w:p>
    <w:p>
      <w:pPr>
        <w:spacing w:after="120" w:line="276" w:lineRule="auto"/>
      </w:pPr>
      <w:r>
        <w:t>**Bandes de Bollinger** : Le cours (2 800 FCFA) se positionne presque exactement à mi-chemin entre la borne supérieure (3 039,7 FCFA) et la borne inférieure (2 642,3 FCFA). Cette position centrale, combinée à la faiblesse de la volatilité, suggère un marché sans direction claire. La décision "Neutre" est cohérente avec cette configuration.</w:t>
      </w:r>
    </w:p>
    <w:p>
      <w:pPr>
        <w:spacing w:after="120" w:line="276" w:lineRule="auto"/>
      </w:pPr>
      <w:r>
        <w:t>**MACD** : La valeur du MACD (20,4) est inférieure à son signal (28,4), ce qui génère une divergence baissière et une décision de "Vente". Ce croisement indique un affaiblissement du momentum haussier à moyen terme, bien que les valeurs restent positives, ce qui pourrait être le signe d'une correction temporaire plutôt que d'un retournement majeur.</w:t>
      </w:r>
    </w:p>
    <w:p>
      <w:pPr>
        <w:spacing w:after="120" w:line="276" w:lineRule="auto"/>
      </w:pPr>
      <w:r>
        <w:t>**RSI** : Avec une valeur de 50,0, le RSI est parfaitement neutre, se situant au milieu de sa zone de confort (30-70). Cela indique un équilibre entre les forces acheteuses et vendeuses, sans condition de surachat ou de survente. La décision "Neutre" est donc logique.</w:t>
      </w:r>
    </w:p>
    <w:p>
      <w:pPr>
        <w:spacing w:after="120" w:line="276" w:lineRule="auto"/>
      </w:pPr>
      <w:r>
        <w:t>**Stochastique** : Le %K (4,9) est très inférieur au %D (22,2), et les deux sont en zone de survente profonde (&lt;20). Ce croisement baissier, bien que potentiellement porteur d'un rebond technique, justifie la décision "Achat" pour les investisseurs à contre-courant qui anticipent un retournement haussier imminent.</w:t>
      </w:r>
    </w:p>
    <w:p>
      <w:pPr>
        <w:spacing w:after="120" w:line="276" w:lineRule="auto"/>
      </w:pPr>
      <w:r>
        <w:t>**Conclusion technique** : Les signaux sont mitigés. Les moyennes mobiles et le stochastique suggèrent un potentiel d'achat, tandis que le MACD indique une dynamique baissière. Le RSI et les bandes de Bollinger restent neutres. Cette configuration traduit une phase de consolidation sans tendance forte, où le cours pourrait évoluer latéralement avant de choisir une direction. La prudence est de mise.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l'exercice 2025 (base brvm_donnees_financieres) révèlent une entreprise de télécommunications (et non une banque, malgré la mention initiale) avec un chiffre d'affaires de 146,177 milliards FCFA, en croissance de 3,1% par rapport à 2024 (rapport DeepSeek du 12/06/2026). Le résultat net s'établit à 15,887 milliards FCFA, en forte baisse de 26% par rapport à 2024 (21,47 milliards FCFA), principalement en raison d'une hausse des charges opérationnelles (énergie, maintenance en zones sécuritaires, indemnités de fin d'engagement). La rentabilité reste néanmoins solide avec un ROE de 27,6% (excellent, &gt;15%) et un ROA de 4,9%. Le coefficient d'exploitation de 67,1% est élevé, indiquant une pression sur l'efficacité opérationnelle. La capacité d'autofinancement (CAF) est robuste à 46,95 milliards FCFA, mais le free cash flow est faible (1,56 milliard FCFA) en raison d'un programme d'investissement massif (-45,2 milliards FCFA). Les rapports trimestriels 2025 (T1, S1, 9 mois) montrent une dégradation continue de la rentabilité (marge nette passant de 15,1% en 2024 à 10,9% en 2025). Le rapport du T1 2026 (publié en 2026) indique une stabilisation avec un CA de 37,1 milliards FCFA (+2,7%) et une marge EBITDA maintenue à 41,3%, mais un résultat net encore en baisse. Le dividende proposé pour 2025 est de 166,08 FCFA par action, maintenant un rendement attractif. La structure financière montre une dépendance accrue à l'endettement (ratio d'endettement de 187%), avec des capitaux propres de 57,54 milliards FCFA pour un total de bilan de 324,9 milliards FCFA. La solvabilité reste assurée (121,5%). En conclusion, l'ONTBF est une entreprise solide et génératrice de cash, mais confrontée à un environnement opérationnel difficile qui érode ses marges. Les perspectives 2026, axées sur la reconquête du leadership et l'optimisation des coûts, sont cruciales pour restaurer la rentabilité.</w:t>
      </w:r>
    </w:p>
    <w:p>
      <w:pPr>
        <w:spacing w:after="120" w:line="276" w:lineRule="auto"/>
      </w:pPr>
      <w:r>
        <w:t>---</w:t>
      </w:r>
    </w:p>
    <w:p>
      <w:pPr>
        <w:spacing w:after="120" w:line="276" w:lineRule="auto"/>
      </w:pPr>
      <w:r>
        <w:t>### PARTIE 4 : CONCLUSION D'INVESTISSEMENT</w:t>
      </w:r>
    </w:p>
    <w:p>
      <w:pPr>
        <w:spacing w:after="120" w:line="276" w:lineRule="auto"/>
      </w:pPr>
      <w:r>
        <w:t>La valorisation (Partie 0) est jugée raisonnable, avec un PER de 12x et un EV/EBITDA de 5,1x qui n'indiquent pas de surévaluation majeure. Le comportement du cours (Partie 1) montre une stabilité remarquable (CV de 3,2%) avec une distribution symétrique, mais une tendance légèrement baissière sur 100 jours. Les signaux techniques (Partie 2) sont mitigés, oscillant entre achat (MM, Stochastique) et vente (MACD), avec un RSI neutre, reflétant une phase d'indécision. Les fondamentaux (Partie 3) sont solides mais en dégradation, avec une baisse de 26% du résultat net en 2025 et une pression continue sur les marges, bien que la génération de cash et le dividende restent attractifs. Les prédictions IA pour les 10 prochains jours (J+1 à J+10) indiquent une légère baisse progressive du cours, passant de 2 805 à 2 782 FCFA, ce qui contredit les signaux d'achat techniques et suggère une poursuite de la consolidation. En synthèse, la convergence entre une valorisation correcte, des fondamentaux en déclin mais stables, et des signaux techniques contradictoires, plaide pour une position attentiste. **Recommandation finale : CONSERVER**. Le niveau de confiance est **Moyen**, car la trajectoire des marges est incertaine. Le risque global est **Moyen**, principalement lié au contexte sécuritaire et à la pression concurrentielle. L'horizon d'investissement optimal est le **moyen terme (3-12 mois)**, en attendant les résultats du S1 2026 pour valider une éventuelle stabilisation de la rentabilité et un potentiel de revalorisation vers les 3 000 FCFA.</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2711.80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2,274 titres</w:t>
            </w:r>
          </w:p>
        </w:tc>
        <w:tc>
          <w:tcPr>
            <w:tcW w:type="dxa" w:w="2268"/>
            <w:shd w:fill="FFF2CC" w:val="clear"/>
          </w:tcPr>
          <w:p>
            <w:r>
              <w:rPr>
                <w:b/>
                <w:color w:val="503200"/>
                <w:sz w:val="16"/>
              </w:rPr>
              <w:t xml:space="preserve">Cours actuel : </w:t>
            </w:r>
            <w:r>
              <w:rPr>
                <w:color w:val="000000"/>
                <w:sz w:val="17"/>
              </w:rPr>
              <w:t>18,000 FCFA</w:t>
            </w:r>
          </w:p>
          <w:p>
            <w:r>
              <w:rPr>
                <w:b/>
                <w:color w:val="503200"/>
                <w:sz w:val="16"/>
              </w:rPr>
              <w:t xml:space="preserve">Var. 100 jours : </w:t>
            </w:r>
            <w:r>
              <w:rPr>
                <w:b/>
                <w:color w:val="007800"/>
                <w:sz w:val="17"/>
              </w:rPr>
              <w:t>+19.60%</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5.24% (Moyenne) — μ=15,829 FCFA, σ=829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β=1.2007 (Agressif) — Cov=0.000037, Var(idx)=0.000031, ρ=0.363,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17,045</w:t>
            </w:r>
          </w:p>
        </w:tc>
        <w:tc>
          <w:tcPr>
            <w:tcW w:type="dxa" w:w="1440"/>
            <w:shd w:fill="FFDCE0" w:val="clear"/>
          </w:tcPr>
          <w:p>
            <w:r>
              <w:rPr>
                <w:b/>
                <w:sz w:val="17"/>
              </w:rPr>
              <w:t>17,553</w:t>
            </w:r>
          </w:p>
        </w:tc>
        <w:tc>
          <w:tcPr>
            <w:tcW w:type="dxa" w:w="1440"/>
            <w:shd w:fill="FFDCE0" w:val="clear"/>
          </w:tcPr>
          <w:p>
            <w:r>
              <w:rPr>
                <w:sz w:val="17"/>
              </w:rPr>
              <w:t>18,061</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16,845</w:t>
            </w:r>
          </w:p>
        </w:tc>
        <w:tc>
          <w:tcPr>
            <w:tcW w:type="dxa" w:w="1440"/>
            <w:shd w:fill="FFDCE0" w:val="clear"/>
          </w:tcPr>
          <w:p>
            <w:r>
              <w:rPr>
                <w:b/>
                <w:sz w:val="17"/>
              </w:rPr>
              <w:t>17,564</w:t>
            </w:r>
          </w:p>
        </w:tc>
        <w:tc>
          <w:tcPr>
            <w:tcW w:type="dxa" w:w="1440"/>
            <w:shd w:fill="FFDCE0" w:val="clear"/>
          </w:tcPr>
          <w:p>
            <w:r>
              <w:rPr>
                <w:sz w:val="17"/>
              </w:rPr>
              <w:t>18,283</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16,649</w:t>
            </w:r>
          </w:p>
        </w:tc>
        <w:tc>
          <w:tcPr>
            <w:tcW w:type="dxa" w:w="1440"/>
            <w:shd w:fill="FFDCE0" w:val="clear"/>
          </w:tcPr>
          <w:p>
            <w:r>
              <w:rPr>
                <w:b/>
                <w:sz w:val="17"/>
              </w:rPr>
              <w:t>17,528</w:t>
            </w:r>
          </w:p>
        </w:tc>
        <w:tc>
          <w:tcPr>
            <w:tcW w:type="dxa" w:w="1440"/>
            <w:shd w:fill="FFDCE0" w:val="clear"/>
          </w:tcPr>
          <w:p>
            <w:r>
              <w:rPr>
                <w:sz w:val="17"/>
              </w:rPr>
              <w:t>18,406</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16,472</w:t>
            </w:r>
          </w:p>
        </w:tc>
        <w:tc>
          <w:tcPr>
            <w:tcW w:type="dxa" w:w="1440"/>
            <w:shd w:fill="FFDCE0" w:val="clear"/>
          </w:tcPr>
          <w:p>
            <w:r>
              <w:rPr>
                <w:b/>
                <w:sz w:val="17"/>
              </w:rPr>
              <w:t>17,483</w:t>
            </w:r>
          </w:p>
        </w:tc>
        <w:tc>
          <w:tcPr>
            <w:tcW w:type="dxa" w:w="1440"/>
            <w:shd w:fill="FFDCE0" w:val="clear"/>
          </w:tcPr>
          <w:p>
            <w:r>
              <w:rPr>
                <w:sz w:val="17"/>
              </w:rPr>
              <w:t>18,495</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16,311</w:t>
            </w:r>
          </w:p>
        </w:tc>
        <w:tc>
          <w:tcPr>
            <w:tcW w:type="dxa" w:w="1440"/>
            <w:shd w:fill="FFDCE0" w:val="clear"/>
          </w:tcPr>
          <w:p>
            <w:r>
              <w:rPr>
                <w:b/>
                <w:sz w:val="17"/>
              </w:rPr>
              <w:t>17,439</w:t>
            </w:r>
          </w:p>
        </w:tc>
        <w:tc>
          <w:tcPr>
            <w:tcW w:type="dxa" w:w="1440"/>
            <w:shd w:fill="FFDCE0" w:val="clear"/>
          </w:tcPr>
          <w:p>
            <w:r>
              <w:rPr>
                <w:sz w:val="17"/>
              </w:rPr>
              <w:t>18,567</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16,162</w:t>
            </w:r>
          </w:p>
        </w:tc>
        <w:tc>
          <w:tcPr>
            <w:tcW w:type="dxa" w:w="1440"/>
            <w:shd w:fill="FFDCE0" w:val="clear"/>
          </w:tcPr>
          <w:p>
            <w:r>
              <w:rPr>
                <w:b/>
                <w:sz w:val="17"/>
              </w:rPr>
              <w:t>17,395</w:t>
            </w:r>
          </w:p>
        </w:tc>
        <w:tc>
          <w:tcPr>
            <w:tcW w:type="dxa" w:w="1440"/>
            <w:shd w:fill="FFDCE0" w:val="clear"/>
          </w:tcPr>
          <w:p>
            <w:r>
              <w:rPr>
                <w:sz w:val="17"/>
              </w:rPr>
              <w:t>18,627</w:t>
            </w:r>
          </w:p>
        </w:tc>
        <w:tc>
          <w:tcPr>
            <w:tcW w:type="dxa" w:w="1440"/>
            <w:shd w:fill="FFDCE0" w:val="clear"/>
          </w:tcPr>
          <w:p>
            <w:r>
              <w:rPr>
                <w:b/>
                <w:color w:val="C00000"/>
                <w:sz w:val="17"/>
              </w:rPr>
              <w:t>-3.4%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16,023</w:t>
            </w:r>
          </w:p>
        </w:tc>
        <w:tc>
          <w:tcPr>
            <w:tcW w:type="dxa" w:w="1440"/>
            <w:shd w:fill="FFDCE0" w:val="clear"/>
          </w:tcPr>
          <w:p>
            <w:r>
              <w:rPr>
                <w:b/>
                <w:sz w:val="17"/>
              </w:rPr>
              <w:t>17,351</w:t>
            </w:r>
          </w:p>
        </w:tc>
        <w:tc>
          <w:tcPr>
            <w:tcW w:type="dxa" w:w="1440"/>
            <w:shd w:fill="FFDCE0" w:val="clear"/>
          </w:tcPr>
          <w:p>
            <w:r>
              <w:rPr>
                <w:sz w:val="17"/>
              </w:rPr>
              <w:t>18,680</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15,893</w:t>
            </w:r>
          </w:p>
        </w:tc>
        <w:tc>
          <w:tcPr>
            <w:tcW w:type="dxa" w:w="1440"/>
            <w:shd w:fill="FFDCE0" w:val="clear"/>
          </w:tcPr>
          <w:p>
            <w:r>
              <w:rPr>
                <w:b/>
                <w:sz w:val="17"/>
              </w:rPr>
              <w:t>17,309</w:t>
            </w:r>
          </w:p>
        </w:tc>
        <w:tc>
          <w:tcPr>
            <w:tcW w:type="dxa" w:w="1440"/>
            <w:shd w:fill="FFDCE0" w:val="clear"/>
          </w:tcPr>
          <w:p>
            <w:r>
              <w:rPr>
                <w:sz w:val="17"/>
              </w:rPr>
              <w:t>18,726</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15,769</w:t>
            </w:r>
          </w:p>
        </w:tc>
        <w:tc>
          <w:tcPr>
            <w:tcW w:type="dxa" w:w="1440"/>
            <w:shd w:fill="FFDCE0" w:val="clear"/>
          </w:tcPr>
          <w:p>
            <w:r>
              <w:rPr>
                <w:b/>
                <w:sz w:val="17"/>
              </w:rPr>
              <w:t>17,268</w:t>
            </w:r>
          </w:p>
        </w:tc>
        <w:tc>
          <w:tcPr>
            <w:tcW w:type="dxa" w:w="1440"/>
            <w:shd w:fill="FFDCE0" w:val="clear"/>
          </w:tcPr>
          <w:p>
            <w:r>
              <w:rPr>
                <w:sz w:val="17"/>
              </w:rPr>
              <w:t>18,767</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15,651</w:t>
            </w:r>
          </w:p>
        </w:tc>
        <w:tc>
          <w:tcPr>
            <w:tcW w:type="dxa" w:w="1440"/>
            <w:shd w:fill="FFDCE0" w:val="clear"/>
          </w:tcPr>
          <w:p>
            <w:r>
              <w:rPr>
                <w:b/>
                <w:sz w:val="17"/>
              </w:rPr>
              <w:t>17,227</w:t>
            </w:r>
          </w:p>
        </w:tc>
        <w:tc>
          <w:tcPr>
            <w:tcW w:type="dxa" w:w="1440"/>
            <w:shd w:fill="FFDCE0" w:val="clear"/>
          </w:tcPr>
          <w:p>
            <w:r>
              <w:rPr>
                <w:sz w:val="17"/>
              </w:rPr>
              <w:t>18,803</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2 711,8 milliards FCFA, ce qui en fait l'une des plus importantes de la BRVM, représentant environ 26% de la capitalisation totale du marché, un poids considérable qui confère au titre un statut de valeur de premier plan. Le BPA de 1 114 FCFA indique que chaque action génère un bénéfice substantiel, justifiant un PER de 16,2x, nettement supérieur à la moyenne historique de la BRVM (8-12x), ce qui traduit une prime de valorisation accordée par le marché pour la qualité et la croissance de l'entreprise. Le P/B de 3,83x, dans la fourchette de 2-4x, confirme que les investisseurs paient une prime significative par rapport à la valeur comptable, reflétant les attentes de rendement futur élevé. Enfin, l'EV/EBITDA de 6,5x, dans la zone raisonnable de 5-10x, indique que la valorisation de l'entreprise, rapportée à sa capacité opérationnelle, reste mesurée et soutenable.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totale de +19,60%, avec un cours actuel de 18 000 FCFA, atteignant son plus haut niveau sur la période, tandis que la dernière séance s'est soldée par une stabilité (0,00%). Le titre a évolué dans une fourchette de 14 200 FCFA (plus bas) à 18 000 FCFA (plus haut), démontrant une tendance haussière soutenue. La moyenne du cours sur la période (15 829 FCFA) est quasi identique à la médiane (15 828 FCFA), indiquant une distribution symétrique des prix, confirmée par un skewness de 0,309. L'écart-type de 833 FCFA (CV=5,3%) révèle une dispersion relativement faible, tandis que le kurtosis de -0,674 (mésokurtique) suggère l'absence de pics extrêmes de volatilité. La volatilité annualisée de 30,6% classe le titre dans la catégorie élevée (&gt;30%), signalant des fluctuations de prix significatives sur une base annuelle, malgré une stabilité relative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18 000 FCFA se situe nettement au-dessus de la MM20 (16 847,5 FCFA) et de la MM50 (16 494,3 FCFA), confirmant une dynamique haussière solide. La configuration des moyennes mobiles, avec la MM20 au-dessus de la MM50, valide la tendance positive et justifie la décision d'achat.</w:t>
      </w:r>
    </w:p>
    <w:p>
      <w:pPr>
        <w:spacing w:after="120" w:line="276" w:lineRule="auto"/>
      </w:pPr>
      <w:r>
        <w:t>**Bandes de Bollinger** : Le cours évolue au-dessus de la borne supérieure (17 963,77 FCFA), indiquant une condition de surachat extrême. Cette sortie de bande suggère une volatilité accrue et un possible retour vers la moyenne, justifiant la décision de vente à court terme.</w:t>
      </w:r>
    </w:p>
    <w:p>
      <w:pPr>
        <w:spacing w:after="120" w:line="276" w:lineRule="auto"/>
      </w:pPr>
      <w:r>
        <w:t>**MACD** : Le MACD (362,087) est nettement supérieur à sa ligne de signal (253,559), confirmant un momentum haussier puissant. L'écart positif entre les deux lignes indique une accélération de la tendance haussière, justifiant la décision d'achat.</w:t>
      </w:r>
    </w:p>
    <w:p>
      <w:pPr>
        <w:spacing w:after="120" w:line="276" w:lineRule="auto"/>
      </w:pPr>
      <w:r>
        <w:t>**RSI** : Le RSI à 89,231 est profondément en zone de surachat (&gt;70), signalant une pression acheteuse excessive et un risque élevé de correction technique. Cette situation justifie la décision de vente, car le marché pourrait être épuisé à court terme.</w:t>
      </w:r>
    </w:p>
    <w:p>
      <w:pPr>
        <w:spacing w:after="120" w:line="276" w:lineRule="auto"/>
      </w:pPr>
      <w:r>
        <w:t>**Stochastique** : Le %K et le %D sont tous deux à 100,0, confirmant une condition de surachat extrême. Cette configuration indique que le titre est au plus haut de sa fourchette de prix sur la période, justifiant la décision de vente en raison d'un potentiel de repli imminent.</w:t>
      </w:r>
    </w:p>
    <w:p>
      <w:pPr>
        <w:spacing w:after="120" w:line="276" w:lineRule="auto"/>
      </w:pPr>
      <w:r>
        <w:t>**Conclusion technique** : Les indicateurs de tendance (MM, MACD) sont positifs, mais les oscillateurs (RSI, Stochastique) et les Bandes de Bollinger signalent un surachat extrême. Cette divergence suggère une poursuite possible de la tendance à moyen terme, mais avec un fort risque de correction à court terme.</w:t>
      </w:r>
    </w:p>
    <w:p>
      <w:pPr>
        <w:spacing w:after="120" w:line="276" w:lineRule="auto" w:before="240"/>
      </w:pPr>
      <w:r>
        <w:rPr>
          <w:b/>
          <w:color w:val="003366"/>
          <w:sz w:val="24"/>
        </w:rPr>
        <w:t>**PARTIE 3 : ANALYSE FONDAMENTALE (SECTION CRITIQUE)**</w:t>
      </w:r>
    </w:p>
    <w:p>
      <w:pPr>
        <w:spacing w:after="120" w:line="276" w:lineRule="auto"/>
      </w:pPr>
      <w:r>
        <w:t>En 2025, le chiffre d'affaires consolidé d'ORAC s'établit à 1 197,1 milliards FCFA, en hausse de +10,4% par rapport à 2024 (1 084,1 milliards FCFA), porté par la dynamique commerciale en Côte d'Ivoire, au Burkina Faso et au Libéria. Le résultat net consolidé atteint 167,8 milliards FCFA, en progression de +6,1%, tandis que le résultat net part du groupe s'élève à 129,1 milliards FCFA (+14,5%). La rentabilité reste solide avec un ROE de 23,7% (excellent, &gt;15%) et un ROA de 6,6%, soutenus par une marge opérationnelle de 24,0% et une marge nette de 14,0%. Le BFR négatif de -198 milliards FCFA est favorable, indiquant une gestion efficace du cycle d'exploitation, avec un délai clients de 52 jours et un délai fournisseurs de 211 jours. La capacité de remboursement de 0,99 an et la couverture des intérêts à 1018% témoignent d'une solidité financière remarquable. Sur la base du rapport T1 2026 (CA +14,8% à 325,6 milliards FCFA, résultat net +25,2% à 48,3 milliards FCFA), on estime que l'exercice 2026 pourrait dépasser les 1 300 milliards FCFA de CA et 190 milliards FCFA de résultat net, confirmant une trajectoire de croissance accélérée. La recommandation fondamentale est l'ACHAT, compte tenu de la solidité des fondamentaux, de la croissance soutenue et des perspectives prometteuses.</w:t>
      </w:r>
    </w:p>
    <w:p>
      <w:pPr>
        <w:spacing w:after="120" w:line="276" w:lineRule="auto" w:before="240"/>
      </w:pPr>
      <w:r>
        <w:rPr>
          <w:b/>
          <w:color w:val="003366"/>
          <w:sz w:val="24"/>
        </w:rPr>
        <w:t>**PARTIE 4 : CONCLUSION D'INVESTISSEMENT**</w:t>
      </w:r>
    </w:p>
    <w:p>
      <w:pPr>
        <w:spacing w:after="120" w:line="276" w:lineRule="auto"/>
      </w:pPr>
      <w:r>
        <w:t>La valorisation d'ORAC (PER 16,2x, P/B 3,83x, EV/EBITDA 6,5x) indique une prime de croissance justifiée par la qualité des fondamentaux, mais qui limite le potentiel de hausse à court terme. Le comportement du cours (+19,6% sur 100 jours) est favorable, avec une volatilité élevée (30,6%) et une distribution symétrique, mais les statistiques suggèrent un risque de consolidation. Les signaux techniques sont mitigés : les indicateurs de tendance (MM, MACD) sont positifs, mais les oscillateurs (RSI 89,2, Stochastique 100) et les Bandes de Bollinger signalent un surachat extrême, préfigurant une possible correction. Les fondamentaux sont excellents, avec une croissance à deux chiffres du CA et du résultat net, un ROE de 23,7% et des perspectives 2026 très favorables. Les prédictions IA (17 553 à 17 439 FCFA sur 10 jours) confirment un léger repli attendu, cohérent avec les signaux de surachat. En synthèse, la convergence entre la solidité fondamentale et la tendance haussière, tempérée par les signaux techniques de surachat, conduit à une recommandation **CONSERVER** avec un niveau de confiance Moyen, un risque global Moyen, et un horizon d'investissement optimal à moyen terme (3-12 mois) pour capitaliser sur la croissance tout en gérant le risque de correction.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212.41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6,220 titres</w:t>
            </w:r>
          </w:p>
        </w:tc>
        <w:tc>
          <w:tcPr>
            <w:tcW w:type="dxa" w:w="2268"/>
            <w:shd w:fill="FFF2CC" w:val="clear"/>
          </w:tcPr>
          <w:p>
            <w:r>
              <w:rPr>
                <w:b/>
                <w:color w:val="503200"/>
                <w:sz w:val="16"/>
              </w:rPr>
              <w:t xml:space="preserve">Cours actuel : </w:t>
            </w:r>
            <w:r>
              <w:rPr>
                <w:color w:val="000000"/>
                <w:sz w:val="17"/>
              </w:rPr>
              <w:t>3,060 FCFA</w:t>
            </w:r>
          </w:p>
          <w:p>
            <w:r>
              <w:rPr>
                <w:b/>
                <w:color w:val="503200"/>
                <w:sz w:val="16"/>
              </w:rPr>
              <w:t xml:space="preserve">Var. 100 jours : </w:t>
            </w:r>
            <w:r>
              <w:rPr>
                <w:b/>
                <w:color w:val="B40000"/>
                <w:sz w:val="17"/>
              </w:rPr>
              <w:t>-12.57%</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12.65% (Moyenne) — μ=2,988 FCFA, σ=378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β=0.4087 (Défensif) — Cov=0.000013, Var(idx)=0.000031, ρ=0.082,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2,977</w:t>
            </w:r>
          </w:p>
        </w:tc>
        <w:tc>
          <w:tcPr>
            <w:tcW w:type="dxa" w:w="1440"/>
            <w:shd w:fill="FAFAFA" w:val="clear"/>
          </w:tcPr>
          <w:p>
            <w:r>
              <w:rPr>
                <w:b/>
                <w:sz w:val="17"/>
              </w:rPr>
              <w:t>3,069</w:t>
            </w:r>
          </w:p>
        </w:tc>
        <w:tc>
          <w:tcPr>
            <w:tcW w:type="dxa" w:w="1440"/>
            <w:shd w:fill="FAFAFA" w:val="clear"/>
          </w:tcPr>
          <w:p>
            <w:r>
              <w:rPr>
                <w:sz w:val="17"/>
              </w:rPr>
              <w:t>3,160</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2,937</w:t>
            </w:r>
          </w:p>
        </w:tc>
        <w:tc>
          <w:tcPr>
            <w:tcW w:type="dxa" w:w="1440"/>
            <w:shd w:fill="FAFAFA" w:val="clear"/>
          </w:tcPr>
          <w:p>
            <w:r>
              <w:rPr>
                <w:b/>
                <w:sz w:val="17"/>
              </w:rPr>
              <w:t>3,066</w:t>
            </w:r>
          </w:p>
        </w:tc>
        <w:tc>
          <w:tcPr>
            <w:tcW w:type="dxa" w:w="1440"/>
            <w:shd w:fill="FAFAFA" w:val="clear"/>
          </w:tcPr>
          <w:p>
            <w:r>
              <w:rPr>
                <w:sz w:val="17"/>
              </w:rPr>
              <w:t>3,195</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2,906</w:t>
            </w:r>
          </w:p>
        </w:tc>
        <w:tc>
          <w:tcPr>
            <w:tcW w:type="dxa" w:w="1440"/>
            <w:shd w:fill="FAFAFA" w:val="clear"/>
          </w:tcPr>
          <w:p>
            <w:r>
              <w:rPr>
                <w:b/>
                <w:sz w:val="17"/>
              </w:rPr>
              <w:t>3,064</w:t>
            </w:r>
          </w:p>
        </w:tc>
        <w:tc>
          <w:tcPr>
            <w:tcW w:type="dxa" w:w="1440"/>
            <w:shd w:fill="FAFAFA" w:val="clear"/>
          </w:tcPr>
          <w:p>
            <w:r>
              <w:rPr>
                <w:sz w:val="17"/>
              </w:rPr>
              <w:t>3,222</w:t>
            </w:r>
          </w:p>
        </w:tc>
        <w:tc>
          <w:tcPr>
            <w:tcW w:type="dxa" w:w="1440"/>
            <w:shd w:fill="FAFAFA" w:val="clear"/>
          </w:tcPr>
          <w:p>
            <w:r>
              <w:rPr>
                <w:b/>
                <w:color w:val="008000"/>
                <w:sz w:val="17"/>
              </w:rPr>
              <w:t>+0.1%</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2,880</w:t>
            </w:r>
          </w:p>
        </w:tc>
        <w:tc>
          <w:tcPr>
            <w:tcW w:type="dxa" w:w="1440"/>
            <w:shd w:fill="FAFAFA" w:val="clear"/>
          </w:tcPr>
          <w:p>
            <w:r>
              <w:rPr>
                <w:b/>
                <w:sz w:val="17"/>
              </w:rPr>
              <w:t>3,062</w:t>
            </w:r>
          </w:p>
        </w:tc>
        <w:tc>
          <w:tcPr>
            <w:tcW w:type="dxa" w:w="1440"/>
            <w:shd w:fill="FAFAFA" w:val="clear"/>
          </w:tcPr>
          <w:p>
            <w:r>
              <w:rPr>
                <w:sz w:val="17"/>
              </w:rPr>
              <w:t>3,245</w:t>
            </w:r>
          </w:p>
        </w:tc>
        <w:tc>
          <w:tcPr>
            <w:tcW w:type="dxa" w:w="1440"/>
            <w:shd w:fill="FAFAFA" w:val="clear"/>
          </w:tcPr>
          <w:p>
            <w:r>
              <w:rPr>
                <w:b/>
                <w:color w:val="008000"/>
                <w:sz w:val="17"/>
              </w:rPr>
              <w:t>+0.1%</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2,856</w:t>
            </w:r>
          </w:p>
        </w:tc>
        <w:tc>
          <w:tcPr>
            <w:tcW w:type="dxa" w:w="1440"/>
            <w:shd w:fill="FAFAFA" w:val="clear"/>
          </w:tcPr>
          <w:p>
            <w:r>
              <w:rPr>
                <w:b/>
                <w:sz w:val="17"/>
              </w:rPr>
              <w:t>3,060</w:t>
            </w:r>
          </w:p>
        </w:tc>
        <w:tc>
          <w:tcPr>
            <w:tcW w:type="dxa" w:w="1440"/>
            <w:shd w:fill="FAFAFA" w:val="clear"/>
          </w:tcPr>
          <w:p>
            <w:r>
              <w:rPr>
                <w:sz w:val="17"/>
              </w:rPr>
              <w:t>3,264</w:t>
            </w:r>
          </w:p>
        </w:tc>
        <w:tc>
          <w:tcPr>
            <w:tcW w:type="dxa" w:w="1440"/>
            <w:shd w:fill="FAFAFA" w:val="clear"/>
          </w:tcPr>
          <w:p>
            <w:r>
              <w:rPr>
                <w:b/>
                <w:color w:val="C00000"/>
                <w:sz w:val="17"/>
              </w:rPr>
              <w:t>-0.0%</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2,834</w:t>
            </w:r>
          </w:p>
        </w:tc>
        <w:tc>
          <w:tcPr>
            <w:tcW w:type="dxa" w:w="1440"/>
            <w:shd w:fill="FAFAFA" w:val="clear"/>
          </w:tcPr>
          <w:p>
            <w:r>
              <w:rPr>
                <w:b/>
                <w:sz w:val="17"/>
              </w:rPr>
              <w:t>3,058</w:t>
            </w:r>
          </w:p>
        </w:tc>
        <w:tc>
          <w:tcPr>
            <w:tcW w:type="dxa" w:w="1440"/>
            <w:shd w:fill="FAFAFA" w:val="clear"/>
          </w:tcPr>
          <w:p>
            <w:r>
              <w:rPr>
                <w:sz w:val="17"/>
              </w:rPr>
              <w:t>3,281</w:t>
            </w:r>
          </w:p>
        </w:tc>
        <w:tc>
          <w:tcPr>
            <w:tcW w:type="dxa" w:w="1440"/>
            <w:shd w:fill="FAFAFA" w:val="clear"/>
          </w:tcPr>
          <w:p>
            <w:r>
              <w:rPr>
                <w:b/>
                <w:color w:val="C00000"/>
                <w:sz w:val="17"/>
              </w:rPr>
              <w:t>-0.1%</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2,814</w:t>
            </w:r>
          </w:p>
        </w:tc>
        <w:tc>
          <w:tcPr>
            <w:tcW w:type="dxa" w:w="1440"/>
            <w:shd w:fill="FAFAFA" w:val="clear"/>
          </w:tcPr>
          <w:p>
            <w:r>
              <w:rPr>
                <w:b/>
                <w:sz w:val="17"/>
              </w:rPr>
              <w:t>3,055</w:t>
            </w:r>
          </w:p>
        </w:tc>
        <w:tc>
          <w:tcPr>
            <w:tcW w:type="dxa" w:w="1440"/>
            <w:shd w:fill="FAFAFA" w:val="clear"/>
          </w:tcPr>
          <w:p>
            <w:r>
              <w:rPr>
                <w:sz w:val="17"/>
              </w:rPr>
              <w:t>3,296</w:t>
            </w:r>
          </w:p>
        </w:tc>
        <w:tc>
          <w:tcPr>
            <w:tcW w:type="dxa" w:w="1440"/>
            <w:shd w:fill="FAFAFA" w:val="clear"/>
          </w:tcPr>
          <w:p>
            <w:r>
              <w:rPr>
                <w:b/>
                <w:color w:val="C00000"/>
                <w:sz w:val="17"/>
              </w:rPr>
              <w:t>-0.2%</w:t>
            </w:r>
          </w:p>
        </w:tc>
      </w:tr>
      <w:tr>
        <w:tc>
          <w:tcPr>
            <w:tcW w:type="dxa" w:w="1440"/>
            <w:shd w:fill="FAFAFA" w:val="clear"/>
          </w:tcPr>
          <w:p>
            <w:r>
              <w:rPr>
                <w:sz w:val="17"/>
              </w:rPr>
              <w:t>J+8  Moyenne</w:t>
            </w:r>
          </w:p>
        </w:tc>
        <w:tc>
          <w:tcPr>
            <w:tcW w:type="dxa" w:w="1440"/>
            <w:shd w:fill="FAFAFA" w:val="clear"/>
          </w:tcPr>
          <w:p>
            <w:r>
              <w:rPr>
                <w:sz w:val="17"/>
              </w:rPr>
              <w:t>2026-08-27</w:t>
            </w:r>
          </w:p>
        </w:tc>
        <w:tc>
          <w:tcPr>
            <w:tcW w:type="dxa" w:w="1440"/>
            <w:shd w:fill="FAFAFA" w:val="clear"/>
          </w:tcPr>
          <w:p>
            <w:r>
              <w:rPr>
                <w:sz w:val="17"/>
              </w:rPr>
              <w:t>2,795</w:t>
            </w:r>
          </w:p>
        </w:tc>
        <w:tc>
          <w:tcPr>
            <w:tcW w:type="dxa" w:w="1440"/>
            <w:shd w:fill="FAFAFA" w:val="clear"/>
          </w:tcPr>
          <w:p>
            <w:r>
              <w:rPr>
                <w:b/>
                <w:sz w:val="17"/>
              </w:rPr>
              <w:t>3,053</w:t>
            </w:r>
          </w:p>
        </w:tc>
        <w:tc>
          <w:tcPr>
            <w:tcW w:type="dxa" w:w="1440"/>
            <w:shd w:fill="FAFAFA" w:val="clear"/>
          </w:tcPr>
          <w:p>
            <w:r>
              <w:rPr>
                <w:sz w:val="17"/>
              </w:rPr>
              <w:t>3,310</w:t>
            </w:r>
          </w:p>
        </w:tc>
        <w:tc>
          <w:tcPr>
            <w:tcW w:type="dxa" w:w="1440"/>
            <w:shd w:fill="FAFAFA" w:val="clear"/>
          </w:tcPr>
          <w:p>
            <w:r>
              <w:rPr>
                <w:b/>
                <w:color w:val="C00000"/>
                <w:sz w:val="17"/>
              </w:rPr>
              <w:t>-0.2%</w:t>
            </w:r>
          </w:p>
        </w:tc>
      </w:tr>
      <w:tr>
        <w:tc>
          <w:tcPr>
            <w:tcW w:type="dxa" w:w="1440"/>
            <w:shd w:fill="FAFAFA" w:val="clear"/>
          </w:tcPr>
          <w:p>
            <w:r>
              <w:rPr>
                <w:sz w:val="17"/>
              </w:rPr>
              <w:t>J+9  Moyenne</w:t>
            </w:r>
          </w:p>
        </w:tc>
        <w:tc>
          <w:tcPr>
            <w:tcW w:type="dxa" w:w="1440"/>
            <w:shd w:fill="FAFAFA" w:val="clear"/>
          </w:tcPr>
          <w:p>
            <w:r>
              <w:rPr>
                <w:sz w:val="17"/>
              </w:rPr>
              <w:t>2026-08-28</w:t>
            </w:r>
          </w:p>
        </w:tc>
        <w:tc>
          <w:tcPr>
            <w:tcW w:type="dxa" w:w="1440"/>
            <w:shd w:fill="FAFAFA" w:val="clear"/>
          </w:tcPr>
          <w:p>
            <w:r>
              <w:rPr>
                <w:sz w:val="17"/>
              </w:rPr>
              <w:t>2,777</w:t>
            </w:r>
          </w:p>
        </w:tc>
        <w:tc>
          <w:tcPr>
            <w:tcW w:type="dxa" w:w="1440"/>
            <w:shd w:fill="FAFAFA" w:val="clear"/>
          </w:tcPr>
          <w:p>
            <w:r>
              <w:rPr>
                <w:b/>
                <w:sz w:val="17"/>
              </w:rPr>
              <w:t>3,050</w:t>
            </w:r>
          </w:p>
        </w:tc>
        <w:tc>
          <w:tcPr>
            <w:tcW w:type="dxa" w:w="1440"/>
            <w:shd w:fill="FAFAFA" w:val="clear"/>
          </w:tcPr>
          <w:p>
            <w:r>
              <w:rPr>
                <w:sz w:val="17"/>
              </w:rPr>
              <w:t>3,323</w:t>
            </w:r>
          </w:p>
        </w:tc>
        <w:tc>
          <w:tcPr>
            <w:tcW w:type="dxa" w:w="1440"/>
            <w:shd w:fill="FAFAFA" w:val="clear"/>
          </w:tcPr>
          <w:p>
            <w:r>
              <w:rPr>
                <w:b/>
                <w:color w:val="C00000"/>
                <w:sz w:val="17"/>
              </w:rPr>
              <w:t>-0.3%</w:t>
            </w:r>
          </w:p>
        </w:tc>
      </w:tr>
      <w:tr>
        <w:tc>
          <w:tcPr>
            <w:tcW w:type="dxa" w:w="1440"/>
            <w:shd w:fill="FAFAFA" w:val="clear"/>
          </w:tcPr>
          <w:p>
            <w:r>
              <w:rPr>
                <w:sz w:val="17"/>
              </w:rPr>
              <w:t>J+10  Moyenne</w:t>
            </w:r>
          </w:p>
        </w:tc>
        <w:tc>
          <w:tcPr>
            <w:tcW w:type="dxa" w:w="1440"/>
            <w:shd w:fill="FAFAFA" w:val="clear"/>
          </w:tcPr>
          <w:p>
            <w:r>
              <w:rPr>
                <w:sz w:val="17"/>
              </w:rPr>
              <w:t>2026-08-31</w:t>
            </w:r>
          </w:p>
        </w:tc>
        <w:tc>
          <w:tcPr>
            <w:tcW w:type="dxa" w:w="1440"/>
            <w:shd w:fill="FAFAFA" w:val="clear"/>
          </w:tcPr>
          <w:p>
            <w:r>
              <w:rPr>
                <w:sz w:val="17"/>
              </w:rPr>
              <w:t>2,760</w:t>
            </w:r>
          </w:p>
        </w:tc>
        <w:tc>
          <w:tcPr>
            <w:tcW w:type="dxa" w:w="1440"/>
            <w:shd w:fill="FAFAFA" w:val="clear"/>
          </w:tcPr>
          <w:p>
            <w:r>
              <w:rPr>
                <w:b/>
                <w:sz w:val="17"/>
              </w:rPr>
              <w:t>3,048</w:t>
            </w:r>
          </w:p>
        </w:tc>
        <w:tc>
          <w:tcPr>
            <w:tcW w:type="dxa" w:w="1440"/>
            <w:shd w:fill="FAFAFA" w:val="clear"/>
          </w:tcPr>
          <w:p>
            <w:r>
              <w:rPr>
                <w:sz w:val="17"/>
              </w:rPr>
              <w:t>3,335</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ORGT (ORAGROUP)**</w:t>
        <w:br/>
        <w:t>**Date de l'analyse : 17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d'Oragroup s'établit à 212,41 milliards FCFA, ce qui positionne le titre parmi les valeurs moyennes à grandes capitalisations de la BRVM, reflétant une présence significative dans le secteur bancaire régional. Avec un BPA de 312 FCFA, chaque action génère un bénéfice net substantiel, justifiant un PER de 9,8x, légèrement inférieur à la moyenne historique du marché (8-12x), ce qui suggère une valorisation potentiellement attractive. Le P/B de 1,88x indique que le marché valorise la société à près du double de sa valeur comptable, un niveau raisonnable pour une banque en phase de redressement. Cependant, l'EV/EBITDA de 19,8x, nettement supérieur au seuil exigeant de 15x, tempère cet optimisme en signalant que la valeur totale de l'entreprise (dette incluse) reste élevée par rapport à sa capacité opérationnelle, reflétant les défis persistants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 enregistré une baisse significative de -12,57%, avec une légère contraction de -0,16% lors de la dernière séance, s'établissant à 3 060 FCFA. Le cours a évolué dans une fourchette large de 2 435 à 3 780 FCFA, illustrant une forte amplitude de trading. La moyenne de 2 988 FCFA, supérieure à la médiane de 2 780 FCFA, révèle une distribution asymétrique positive (skewness de 0,636), indiquant que le cours a passé plus de journées sous la moyenne, avec des épisodes de hausse marqués. L'écart-type de 380 FCFA (CV de 12,7%) témoigne d'une dispersion modérée autour de la moyenne, tandis que le kurtosis de -0,992 (mésokurtique) suggère l'absence de pics extrêmes, un profil de risque relativement normal. La volatilité annualisée de 44,1% classe le titre comme très volatil, un niveau élevé qui reflète l'incertitude persistante des investisseurs malgré les signes de redressement fondamental.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3 060 FCFA se positionne nettement au-dessus de la MM20 (2 935,75 FCFA) et de la MM50 (2 798,2 FCFA), confirmant une dynamique haussière à court et moyen terme. La configuration des moyennes mobiles, avec le prix au-dessus des deux courbes, génère un signal d'achat, indiquant que la tendance de fond reste positive malgré le repli récent.</w:t>
      </w:r>
    </w:p>
    <w:p>
      <w:pPr>
        <w:spacing w:after="120" w:line="276" w:lineRule="auto"/>
      </w:pPr>
      <w:r>
        <w:t>**Bandes de Bollinger** : Le prix se situe entre la borne supérieure (3 338,48 FCFA) et la borne inférieure (2 533,02 FCFA), plus près de la borne haute, ce qui reflète une pression acheteuse modérée. La décision est neutre, car le cours n'a pas encore atteint les extrêmes, suggérant une volatilité en contraction et une possible consolidation avant un mouvement directionnel.</w:t>
      </w:r>
    </w:p>
    <w:p>
      <w:pPr>
        <w:spacing w:after="120" w:line="276" w:lineRule="auto"/>
      </w:pPr>
      <w:r>
        <w:t>**MACD** : La valeur du MACD (105,18) est supérieure à son signal (100,49), indiquant un momentum haussier positif. Cette divergence positive, bien que modérée, confirme la poursuite de la tendance haussière à moyen terme, justifiant une décision d'achat.</w:t>
      </w:r>
    </w:p>
    <w:p>
      <w:pPr>
        <w:spacing w:after="120" w:line="276" w:lineRule="auto"/>
      </w:pPr>
      <w:r>
        <w:t>**RSI** : À 82,14, le RSI est en zone de surachat (au-delà de 70), signalant une pression acheteuse excessive à court terme. Cette situation suggère un risque de correction technique, justifiant une décision de vente pour les traders à court terme, malgré la tendance de fond positive.</w:t>
      </w:r>
    </w:p>
    <w:p>
      <w:pPr>
        <w:spacing w:after="120" w:line="276" w:lineRule="auto"/>
      </w:pPr>
      <w:r>
        <w:t>**Stochastique** : Le %K (79,07) est inférieur au %D (83,89), indiquant un croisement baissier potentiel en zone de surachat. La décision est neutre, car le croisement n'est pas encore confirmé, mais la prudence est de mise pour les prochaines séances.</w:t>
      </w:r>
    </w:p>
    <w:p>
      <w:pPr>
        <w:spacing w:after="120" w:line="276" w:lineRule="auto"/>
      </w:pPr>
      <w:r>
        <w:t>**Conclusion technique** : La convergence des indicateurs de tendance (MM, MACD) vers l'achat contraste avec les signaux de surachat (RSI, Stochastique). Cette divergence suggère que la tendance haussière de fond reste intacte, mais qu'une correction technique à court terme est probable avant la poursuite du mouvement. Les investisseurs devraient surveiller un repli vers la zone des 2 935-2 980 FCFA pour renforcer leurs positions.</w:t>
      </w:r>
    </w:p>
    <w:p>
      <w:pPr>
        <w:spacing w:after="120" w:line="276" w:lineRule="auto"/>
      </w:pPr>
      <w:r>
        <w:t>---</w:t>
      </w:r>
    </w:p>
    <w:p>
      <w:pPr>
        <w:spacing w:after="120" w:line="276" w:lineRule="auto"/>
      </w:pPr>
      <w:r>
        <w:t>### PARTIE 3 : ANALYSE FONDAMENTALE (SECTION CRITIQUE)</w:t>
      </w:r>
    </w:p>
    <w:p>
      <w:pPr>
        <w:spacing w:after="120" w:line="276" w:lineRule="auto"/>
      </w:pPr>
      <w:r>
        <w:t>En 2025, Oragroup a réalisé un Produit Net Bancaire (PNB) de 186,609 milliards FCFA, en baisse de -4,5% par rapport à 2024 (195,4 milliards), illustrant une contraction de l'activité dans un environnement difficile. Le résultat net consolidé s'est spectaculairement redressé à 21,643 milliards FCFA, contre une perte de -44,363 milliards en 2024, grâce à une réduction drastique du coût du risque (-90%, à -6,971 milliards) et une maîtrise des charges générales (-12%). Le ROE de 19,13% est excellent, dépassant le seuil de 15%, tandis que le ROA de 0,54% reflète une rentabilité des actifs modérée, typique du secteur bancaire. Le coefficient d'exploitation de 42,85% témoigne d'une excellente efficacité opérationnelle (inférieur à 50%), et le ratio dépôts/crédits (3 088,7 / 1 523,8 = 2,03x) indique une transformation saine avec une liquidité abondante. Les rapports trimestriels 2025 confirment cette trajectoire : le T1 2025 affichait un bénéfice de 4,8 milliards (+259%), le S1 de 18,3 milliards (+232%), et le T3 de 19,6 milliards (+248%), montrant une amélioration progressive. Sur la base du rapport T1 2026 (résultat net de 6,555 milliards, +37%), on estime que l'exercice 2026 devrait confirmer la consolidation, avec un PNB stable et une rentabilité soutenue par la maîtrise des coûts et du risque. Les capitaux propres renforcés à 113,165 milliards (+17%) et l'absence de dividende (comptes sociaux déficitaires de -8 milliards) soulignent une stratégie prudente de consolidation. La recommandation fondamentale est de conserver, car le redressement est solide mais la croissance du PNB reste atone, nécessitant une relance commerciale pour pérenniser la performance.</w:t>
      </w:r>
    </w:p>
    <w:p>
      <w:pPr>
        <w:spacing w:after="120" w:line="276" w:lineRule="auto"/>
      </w:pPr>
      <w:r>
        <w:t>---</w:t>
      </w:r>
    </w:p>
    <w:p>
      <w:pPr>
        <w:spacing w:after="120" w:line="276" w:lineRule="auto"/>
      </w:pPr>
      <w:r>
        <w:t>### PARTIE 4 : CONCLUSION D'INVESTISSEMENT</w:t>
      </w:r>
    </w:p>
    <w:p>
      <w:pPr>
        <w:spacing w:after="120" w:line="276" w:lineRule="auto"/>
      </w:pPr>
      <w:r>
        <w:t>La valorisation d'ORGT (PER de 9,8x, P/B de 1,88x) suggère une sous-évaluation relative, mais l'EV/EBITDA élevé (19,8x) tempère cet attrait. Le comportement du cours sur 100 jours montre une tendance baissière (-12,57%) avec une volatilité très élevée (44,1%), mais les statistiques (skewness positif, kurtosis mésokurtique) indiquent un profil de risque normal sans extrêmes. Les signaux techniques sont mitigés : les moyennes mobiles et le MACD sont positifs, mais le RSI surachété (82,14) et le stochastique neutre suggèrent une correction imminente. Les fondamentaux sont solides, avec un ROE de 19,1%, un coefficient d'exploitation de 42,9% et un redressement spectaculaire du résultat net en 2025, confirmé par les estimations 2026 (+37% au T1). Les prédictions IA (3 060-3 069 FCFA sur 10 jours) indiquent une stabilisation, en ligne avec la consolidation technique attendue. En synthèse, la convergence entre la sous-évaluation relative, la solidité fondamentale et la stabilisation prédite plaide pour une recommandation **CONSERVER**, avec un niveau de confiance **Moyen** et un risque global **Élevé** (volatilité, environnement macroéconomique). L'horizon d'investissement optimal est le **moyen terme (3-12 mois)**, en attendant une reprise confirmée du PNB pour envisager un passage à l'achat.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140.91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3,603 titres</w:t>
            </w:r>
          </w:p>
        </w:tc>
        <w:tc>
          <w:tcPr>
            <w:tcW w:type="dxa" w:w="2268"/>
            <w:shd w:fill="FFF2CC" w:val="clear"/>
          </w:tcPr>
          <w:p>
            <w:r>
              <w:rPr>
                <w:b/>
                <w:color w:val="503200"/>
                <w:sz w:val="16"/>
              </w:rPr>
              <w:t xml:space="preserve">Cours actuel : </w:t>
            </w:r>
            <w:r>
              <w:rPr>
                <w:color w:val="000000"/>
                <w:sz w:val="17"/>
              </w:rPr>
              <w:t>9,115 FCFA</w:t>
            </w:r>
          </w:p>
          <w:p>
            <w:r>
              <w:rPr>
                <w:b/>
                <w:color w:val="503200"/>
                <w:sz w:val="16"/>
              </w:rPr>
              <w:t xml:space="preserve">Var. 100 jours : </w:t>
            </w:r>
            <w:r>
              <w:rPr>
                <w:b/>
                <w:color w:val="B40000"/>
                <w:sz w:val="17"/>
              </w:rPr>
              <w:t>-2.04%</w:t>
            </w:r>
          </w:p>
          <w:p>
            <w:r>
              <w:rPr>
                <w:b/>
                <w:color w:val="503200"/>
                <w:sz w:val="16"/>
              </w:rPr>
              <w:t xml:space="preserve">Plus haut 100j : </w:t>
            </w:r>
            <w:r>
              <w:rPr>
                <w:color w:val="000000"/>
                <w:sz w:val="17"/>
              </w:rPr>
              <w:t>9,400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5.89% (Moyenne) — μ=8,394 FCFA, σ=495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β=-0.0928 (Contre-cyclique) — Cov=-0.000003, Var(idx)=0.000031, ρ=-0.020,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8,866</w:t>
            </w:r>
          </w:p>
        </w:tc>
        <w:tc>
          <w:tcPr>
            <w:tcW w:type="dxa" w:w="1440"/>
            <w:shd w:fill="FAFAFA" w:val="clear"/>
          </w:tcPr>
          <w:p>
            <w:r>
              <w:rPr>
                <w:b/>
                <w:sz w:val="17"/>
              </w:rPr>
              <w:t>9,117</w:t>
            </w:r>
          </w:p>
        </w:tc>
        <w:tc>
          <w:tcPr>
            <w:tcW w:type="dxa" w:w="1440"/>
            <w:shd w:fill="FAFAFA" w:val="clear"/>
          </w:tcPr>
          <w:p>
            <w:r>
              <w:rPr>
                <w:sz w:val="17"/>
              </w:rPr>
              <w:t>9,368</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8,790</w:t>
            </w:r>
          </w:p>
        </w:tc>
        <w:tc>
          <w:tcPr>
            <w:tcW w:type="dxa" w:w="1440"/>
            <w:shd w:fill="FAFAFA" w:val="clear"/>
          </w:tcPr>
          <w:p>
            <w:r>
              <w:rPr>
                <w:b/>
                <w:sz w:val="17"/>
              </w:rPr>
              <w:t>9,146</w:t>
            </w:r>
          </w:p>
        </w:tc>
        <w:tc>
          <w:tcPr>
            <w:tcW w:type="dxa" w:w="1440"/>
            <w:shd w:fill="FAFAFA" w:val="clear"/>
          </w:tcPr>
          <w:p>
            <w:r>
              <w:rPr>
                <w:sz w:val="17"/>
              </w:rPr>
              <w:t>9,502</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8,736</w:t>
            </w:r>
          </w:p>
        </w:tc>
        <w:tc>
          <w:tcPr>
            <w:tcW w:type="dxa" w:w="1440"/>
            <w:shd w:fill="FAFAFA" w:val="clear"/>
          </w:tcPr>
          <w:p>
            <w:r>
              <w:rPr>
                <w:b/>
                <w:sz w:val="17"/>
              </w:rPr>
              <w:t>9,174</w:t>
            </w:r>
          </w:p>
        </w:tc>
        <w:tc>
          <w:tcPr>
            <w:tcW w:type="dxa" w:w="1440"/>
            <w:shd w:fill="FAFAFA" w:val="clear"/>
          </w:tcPr>
          <w:p>
            <w:r>
              <w:rPr>
                <w:sz w:val="17"/>
              </w:rPr>
              <w:t>9,611</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2026-08-20</w:t>
            </w:r>
          </w:p>
        </w:tc>
        <w:tc>
          <w:tcPr>
            <w:tcW w:type="dxa" w:w="1440"/>
            <w:shd w:fill="FAFAFA" w:val="clear"/>
          </w:tcPr>
          <w:p>
            <w:r>
              <w:rPr>
                <w:sz w:val="17"/>
              </w:rPr>
              <w:t>8,694</w:t>
            </w:r>
          </w:p>
        </w:tc>
        <w:tc>
          <w:tcPr>
            <w:tcW w:type="dxa" w:w="1440"/>
            <w:shd w:fill="FAFAFA" w:val="clear"/>
          </w:tcPr>
          <w:p>
            <w:r>
              <w:rPr>
                <w:b/>
                <w:sz w:val="17"/>
              </w:rPr>
              <w:t>9,200</w:t>
            </w:r>
          </w:p>
        </w:tc>
        <w:tc>
          <w:tcPr>
            <w:tcW w:type="dxa" w:w="1440"/>
            <w:shd w:fill="FAFAFA" w:val="clear"/>
          </w:tcPr>
          <w:p>
            <w:r>
              <w:rPr>
                <w:sz w:val="17"/>
              </w:rPr>
              <w:t>9,707</w:t>
            </w:r>
          </w:p>
        </w:tc>
        <w:tc>
          <w:tcPr>
            <w:tcW w:type="dxa" w:w="1440"/>
            <w:shd w:fill="FAFAFA" w:val="clear"/>
          </w:tcPr>
          <w:p>
            <w:r>
              <w:rPr>
                <w:b/>
                <w:color w:val="008000"/>
                <w:sz w:val="17"/>
              </w:rPr>
              <w:t>+0.9%</w:t>
            </w:r>
          </w:p>
        </w:tc>
      </w:tr>
      <w:tr>
        <w:tc>
          <w:tcPr>
            <w:tcW w:type="dxa" w:w="1440"/>
            <w:shd w:fill="FAFAFA" w:val="clear"/>
          </w:tcPr>
          <w:p>
            <w:r>
              <w:rPr>
                <w:sz w:val="17"/>
              </w:rPr>
              <w:t>J+5  Moyenne</w:t>
            </w:r>
          </w:p>
        </w:tc>
        <w:tc>
          <w:tcPr>
            <w:tcW w:type="dxa" w:w="1440"/>
            <w:shd w:fill="FAFAFA" w:val="clear"/>
          </w:tcPr>
          <w:p>
            <w:r>
              <w:rPr>
                <w:sz w:val="17"/>
              </w:rPr>
              <w:t>2026-08-21</w:t>
            </w:r>
          </w:p>
        </w:tc>
        <w:tc>
          <w:tcPr>
            <w:tcW w:type="dxa" w:w="1440"/>
            <w:shd w:fill="FAFAFA" w:val="clear"/>
          </w:tcPr>
          <w:p>
            <w:r>
              <w:rPr>
                <w:sz w:val="17"/>
              </w:rPr>
              <w:t>8,659</w:t>
            </w:r>
          </w:p>
        </w:tc>
        <w:tc>
          <w:tcPr>
            <w:tcW w:type="dxa" w:w="1440"/>
            <w:shd w:fill="FAFAFA" w:val="clear"/>
          </w:tcPr>
          <w:p>
            <w:r>
              <w:rPr>
                <w:b/>
                <w:sz w:val="17"/>
              </w:rPr>
              <w:t>9,227</w:t>
            </w:r>
          </w:p>
        </w:tc>
        <w:tc>
          <w:tcPr>
            <w:tcW w:type="dxa" w:w="1440"/>
            <w:shd w:fill="FAFAFA" w:val="clear"/>
          </w:tcPr>
          <w:p>
            <w:r>
              <w:rPr>
                <w:sz w:val="17"/>
              </w:rPr>
              <w:t>9,795</w:t>
            </w:r>
          </w:p>
        </w:tc>
        <w:tc>
          <w:tcPr>
            <w:tcW w:type="dxa" w:w="1440"/>
            <w:shd w:fill="FAFAFA" w:val="clear"/>
          </w:tcPr>
          <w:p>
            <w:r>
              <w:rPr>
                <w:b/>
                <w:color w:val="008000"/>
                <w:sz w:val="17"/>
              </w:rPr>
              <w:t>+1.2%</w:t>
            </w:r>
          </w:p>
        </w:tc>
      </w:tr>
      <w:tr>
        <w:tc>
          <w:tcPr>
            <w:tcW w:type="dxa" w:w="1440"/>
            <w:shd w:fill="FAFAFA" w:val="clear"/>
          </w:tcPr>
          <w:p>
            <w:r>
              <w:rPr>
                <w:sz w:val="17"/>
              </w:rPr>
              <w:t>J+6  Moyenne</w:t>
            </w:r>
          </w:p>
        </w:tc>
        <w:tc>
          <w:tcPr>
            <w:tcW w:type="dxa" w:w="1440"/>
            <w:shd w:fill="FAFAFA" w:val="clear"/>
          </w:tcPr>
          <w:p>
            <w:r>
              <w:rPr>
                <w:sz w:val="17"/>
              </w:rPr>
              <w:t>2026-08-24</w:t>
            </w:r>
          </w:p>
        </w:tc>
        <w:tc>
          <w:tcPr>
            <w:tcW w:type="dxa" w:w="1440"/>
            <w:shd w:fill="FAFAFA" w:val="clear"/>
          </w:tcPr>
          <w:p>
            <w:r>
              <w:rPr>
                <w:sz w:val="17"/>
              </w:rPr>
              <w:t>8,629</w:t>
            </w:r>
          </w:p>
        </w:tc>
        <w:tc>
          <w:tcPr>
            <w:tcW w:type="dxa" w:w="1440"/>
            <w:shd w:fill="FAFAFA" w:val="clear"/>
          </w:tcPr>
          <w:p>
            <w:r>
              <w:rPr>
                <w:b/>
                <w:sz w:val="17"/>
              </w:rPr>
              <w:t>9,253</w:t>
            </w:r>
          </w:p>
        </w:tc>
        <w:tc>
          <w:tcPr>
            <w:tcW w:type="dxa" w:w="1440"/>
            <w:shd w:fill="FAFAFA" w:val="clear"/>
          </w:tcPr>
          <w:p>
            <w:r>
              <w:rPr>
                <w:sz w:val="17"/>
              </w:rPr>
              <w:t>9,877</w:t>
            </w:r>
          </w:p>
        </w:tc>
        <w:tc>
          <w:tcPr>
            <w:tcW w:type="dxa" w:w="1440"/>
            <w:shd w:fill="FAFAFA" w:val="clear"/>
          </w:tcPr>
          <w:p>
            <w:r>
              <w:rPr>
                <w:b/>
                <w:color w:val="008000"/>
                <w:sz w:val="17"/>
              </w:rPr>
              <w:t>+1.5%</w:t>
            </w:r>
          </w:p>
        </w:tc>
      </w:tr>
      <w:tr>
        <w:tc>
          <w:tcPr>
            <w:tcW w:type="dxa" w:w="1440"/>
            <w:shd w:fill="FAFAFA" w:val="clear"/>
          </w:tcPr>
          <w:p>
            <w:r>
              <w:rPr>
                <w:sz w:val="17"/>
              </w:rPr>
              <w:t>J+7  Moyenne</w:t>
            </w:r>
          </w:p>
        </w:tc>
        <w:tc>
          <w:tcPr>
            <w:tcW w:type="dxa" w:w="1440"/>
            <w:shd w:fill="FAFAFA" w:val="clear"/>
          </w:tcPr>
          <w:p>
            <w:r>
              <w:rPr>
                <w:sz w:val="17"/>
              </w:rPr>
              <w:t>2026-08-25</w:t>
            </w:r>
          </w:p>
        </w:tc>
        <w:tc>
          <w:tcPr>
            <w:tcW w:type="dxa" w:w="1440"/>
            <w:shd w:fill="FAFAFA" w:val="clear"/>
          </w:tcPr>
          <w:p>
            <w:r>
              <w:rPr>
                <w:sz w:val="17"/>
              </w:rPr>
              <w:t>8,604</w:t>
            </w:r>
          </w:p>
        </w:tc>
        <w:tc>
          <w:tcPr>
            <w:tcW w:type="dxa" w:w="1440"/>
            <w:shd w:fill="FAFAFA" w:val="clear"/>
          </w:tcPr>
          <w:p>
            <w:r>
              <w:rPr>
                <w:b/>
                <w:sz w:val="17"/>
              </w:rPr>
              <w:t>9,280</w:t>
            </w:r>
          </w:p>
        </w:tc>
        <w:tc>
          <w:tcPr>
            <w:tcW w:type="dxa" w:w="1440"/>
            <w:shd w:fill="FAFAFA" w:val="clear"/>
          </w:tcPr>
          <w:p>
            <w:r>
              <w:rPr>
                <w:sz w:val="17"/>
              </w:rPr>
              <w:t>9,956</w:t>
            </w:r>
          </w:p>
        </w:tc>
        <w:tc>
          <w:tcPr>
            <w:tcW w:type="dxa" w:w="1440"/>
            <w:shd w:fill="FAFAFA" w:val="clear"/>
          </w:tcPr>
          <w:p>
            <w:r>
              <w:rPr>
                <w:b/>
                <w:color w:val="008000"/>
                <w:sz w:val="17"/>
              </w:rPr>
              <w:t>+1.8%</w:t>
            </w:r>
          </w:p>
        </w:tc>
      </w:tr>
      <w:tr>
        <w:tc>
          <w:tcPr>
            <w:tcW w:type="dxa" w:w="1440"/>
            <w:shd w:fill="C6EFCE" w:val="clear"/>
          </w:tcPr>
          <w:p>
            <w:r>
              <w:rPr>
                <w:sz w:val="17"/>
              </w:rPr>
              <w:t>J+8  Moyenne</w:t>
            </w:r>
          </w:p>
        </w:tc>
        <w:tc>
          <w:tcPr>
            <w:tcW w:type="dxa" w:w="1440"/>
            <w:shd w:fill="C6EFCE" w:val="clear"/>
          </w:tcPr>
          <w:p>
            <w:r>
              <w:rPr>
                <w:sz w:val="17"/>
              </w:rPr>
              <w:t>2026-08-27</w:t>
            </w:r>
          </w:p>
        </w:tc>
        <w:tc>
          <w:tcPr>
            <w:tcW w:type="dxa" w:w="1440"/>
            <w:shd w:fill="C6EFCE" w:val="clear"/>
          </w:tcPr>
          <w:p>
            <w:r>
              <w:rPr>
                <w:sz w:val="17"/>
              </w:rPr>
              <w:t>8,582</w:t>
            </w:r>
          </w:p>
        </w:tc>
        <w:tc>
          <w:tcPr>
            <w:tcW w:type="dxa" w:w="1440"/>
            <w:shd w:fill="C6EFCE" w:val="clear"/>
          </w:tcPr>
          <w:p>
            <w:r>
              <w:rPr>
                <w:b/>
                <w:sz w:val="17"/>
              </w:rPr>
              <w:t>9,306</w:t>
            </w:r>
          </w:p>
        </w:tc>
        <w:tc>
          <w:tcPr>
            <w:tcW w:type="dxa" w:w="1440"/>
            <w:shd w:fill="C6EFCE" w:val="clear"/>
          </w:tcPr>
          <w:p>
            <w:r>
              <w:rPr>
                <w:sz w:val="17"/>
              </w:rPr>
              <w:t>10,031</w:t>
            </w:r>
          </w:p>
        </w:tc>
        <w:tc>
          <w:tcPr>
            <w:tcW w:type="dxa" w:w="1440"/>
            <w:shd w:fill="C6EFCE" w:val="clear"/>
          </w:tcPr>
          <w:p>
            <w:r>
              <w:rPr>
                <w:b/>
                <w:color w:val="008000"/>
                <w:sz w:val="17"/>
              </w:rPr>
              <w:t>+2.1%</w:t>
            </w:r>
          </w:p>
        </w:tc>
      </w:tr>
      <w:tr>
        <w:tc>
          <w:tcPr>
            <w:tcW w:type="dxa" w:w="1440"/>
            <w:shd w:fill="C6EFCE" w:val="clear"/>
          </w:tcPr>
          <w:p>
            <w:r>
              <w:rPr>
                <w:sz w:val="17"/>
              </w:rPr>
              <w:t>J+9  Moyenne</w:t>
            </w:r>
          </w:p>
        </w:tc>
        <w:tc>
          <w:tcPr>
            <w:tcW w:type="dxa" w:w="1440"/>
            <w:shd w:fill="C6EFCE" w:val="clear"/>
          </w:tcPr>
          <w:p>
            <w:r>
              <w:rPr>
                <w:sz w:val="17"/>
              </w:rPr>
              <w:t>2026-08-28</w:t>
            </w:r>
          </w:p>
        </w:tc>
        <w:tc>
          <w:tcPr>
            <w:tcW w:type="dxa" w:w="1440"/>
            <w:shd w:fill="C6EFCE" w:val="clear"/>
          </w:tcPr>
          <w:p>
            <w:r>
              <w:rPr>
                <w:sz w:val="17"/>
              </w:rPr>
              <w:t>8,562</w:t>
            </w:r>
          </w:p>
        </w:tc>
        <w:tc>
          <w:tcPr>
            <w:tcW w:type="dxa" w:w="1440"/>
            <w:shd w:fill="C6EFCE" w:val="clear"/>
          </w:tcPr>
          <w:p>
            <w:r>
              <w:rPr>
                <w:b/>
                <w:sz w:val="17"/>
              </w:rPr>
              <w:t>9,333</w:t>
            </w:r>
          </w:p>
        </w:tc>
        <w:tc>
          <w:tcPr>
            <w:tcW w:type="dxa" w:w="1440"/>
            <w:shd w:fill="C6EFCE" w:val="clear"/>
          </w:tcPr>
          <w:p>
            <w:r>
              <w:rPr>
                <w:sz w:val="17"/>
              </w:rPr>
              <w:t>10,103</w:t>
            </w:r>
          </w:p>
        </w:tc>
        <w:tc>
          <w:tcPr>
            <w:tcW w:type="dxa" w:w="1440"/>
            <w:shd w:fill="C6EFCE" w:val="clear"/>
          </w:tcPr>
          <w:p>
            <w:r>
              <w:rPr>
                <w:b/>
                <w:color w:val="008000"/>
                <w:sz w:val="17"/>
              </w:rPr>
              <w:t>+2.4%</w:t>
            </w:r>
          </w:p>
        </w:tc>
      </w:tr>
      <w:tr>
        <w:tc>
          <w:tcPr>
            <w:tcW w:type="dxa" w:w="1440"/>
            <w:shd w:fill="C6EFCE" w:val="clear"/>
          </w:tcPr>
          <w:p>
            <w:r>
              <w:rPr>
                <w:sz w:val="17"/>
              </w:rPr>
              <w:t>J+10  Moyenne</w:t>
            </w:r>
          </w:p>
        </w:tc>
        <w:tc>
          <w:tcPr>
            <w:tcW w:type="dxa" w:w="1440"/>
            <w:shd w:fill="C6EFCE" w:val="clear"/>
          </w:tcPr>
          <w:p>
            <w:r>
              <w:rPr>
                <w:sz w:val="17"/>
              </w:rPr>
              <w:t>2026-08-31</w:t>
            </w:r>
          </w:p>
        </w:tc>
        <w:tc>
          <w:tcPr>
            <w:tcW w:type="dxa" w:w="1440"/>
            <w:shd w:fill="C6EFCE" w:val="clear"/>
          </w:tcPr>
          <w:p>
            <w:r>
              <w:rPr>
                <w:sz w:val="17"/>
              </w:rPr>
              <w:t>8,544</w:t>
            </w:r>
          </w:p>
        </w:tc>
        <w:tc>
          <w:tcPr>
            <w:tcW w:type="dxa" w:w="1440"/>
            <w:shd w:fill="C6EFCE" w:val="clear"/>
          </w:tcPr>
          <w:p>
            <w:r>
              <w:rPr>
                <w:b/>
                <w:sz w:val="17"/>
              </w:rPr>
              <w:t>9,359</w:t>
            </w:r>
          </w:p>
        </w:tc>
        <w:tc>
          <w:tcPr>
            <w:tcW w:type="dxa" w:w="1440"/>
            <w:shd w:fill="C6EFCE" w:val="clear"/>
          </w:tcPr>
          <w:p>
            <w:r>
              <w:rPr>
                <w:sz w:val="17"/>
              </w:rPr>
              <w:t>10,173</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140,91 milliards FCFA, ce qui positionne le titre comme une valeur moyenne sur la BRVM, avec un poids significatif dans le secteur agro-industriel. Le BPA de 1 003 FCFA indique que chaque action génère un bénéfice substantiel, justifiant un PER de 9,1x, inférieur à la moyenne du marché BRVM (8-12x), ce qui suggère une sous-évaluation relative du titre. Le P/B de 0,99x est particulièrement attractif, car le marché valorise la société très légèrement en dessous de sa valeur comptable, offrant une marge de sécurité pour l'investisseur. Enfin, l'EV/EBITDA de 4,4x, nettement inférieur au seuil de 5x, confirme que la valeur totale de l'entreprise (capitalisation plus dette nette) est très bon marché par rapport à sa capacité opérationnelle à générer des bénéfices avant intérêts, impôts et amortissements.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de -2,04%, mais une dynamique récente positive avec une hausse de +1,28% lors de la dernière séance, clôturant à 9 115 FCFA. Le titre a évolué dans une fourchette de 7 000 FCFA (plus bas) à 9 400 FCFA (plus haut), démontrant une amplitude de trading considérable de 34%. La moyenne du cours sur la période est de 8 394 FCFA, tandis que la médiane est plus élevée à 8 600 FCFA, indiquant une distribution légèrement asymétrique où les valeurs extrêmes basses ont tiré la moyenne vers le bas. Le mode de 7 800 FCFA suggère que le cours a passé beaucoup de temps à des niveaux inférieurs avant de remonter. L'écart-type de 497 FCFA (CV=5,9%) révèle une dispersion modérée des prix autour de la moyenne. Le kurtosis de -0,675 (mésokurtique) indique une distribution proche de la normale, sans risque de pics extrêmes, et le skewness de -0,365 confirme une asymétrie légèrement négative. La volatilité annualisée de 40,9% est élevée (&gt;30%), signalant un titre très actif et risqué à court terme.</w:t>
      </w:r>
    </w:p>
    <w:p>
      <w:pPr>
        <w:spacing w:after="120" w:line="276" w:lineRule="auto" w:before="240"/>
      </w:pPr>
      <w:r>
        <w:rPr>
          <w:b/>
          <w:color w:val="003366"/>
          <w:sz w:val="24"/>
        </w:rPr>
        <w:t>**PARTIE 2 : ANALYSE TECHNIQUE DÉTAILLÉE**</w:t>
      </w:r>
    </w:p>
    <w:p>
      <w:pPr>
        <w:spacing w:after="120" w:line="276" w:lineRule="auto"/>
      </w:pPr>
      <w:r>
        <w:t>**Moyennes Mobiles** : La MM20 à 8 888,75 FCFA et la MM50 à 8 772 FCFA sont toutes deux inférieures au cours actuel de 9 115 FCFA, confirmant une tendance haussière à court et moyen terme. Le croisement positif et la position du prix au-dessus des deux moyennes génèrent un signal d'achat clair, indiquant que la dynamique haussière est bien installée.</w:t>
      </w:r>
    </w:p>
    <w:p>
      <w:pPr>
        <w:spacing w:after="120" w:line="276" w:lineRule="auto"/>
      </w:pPr>
      <w:r>
        <w:t>**Bandes de Bollinger** : Le cours à 9 115 FCFA se situe près de la borne supérieure (9 218,63 FCFA), avec une borne inférieure à 8 558,87 FCFA. Cette position proche de la borne haute reflète une pression acheteuse soutenue, mais suggère également que le titre pourrait être temporairement suracheté à très court terme. La décision neutre indique que le marché n'est pas encore en situation extrême, mais la prudence est de mise.</w:t>
      </w:r>
    </w:p>
    <w:p>
      <w:pPr>
        <w:spacing w:after="120" w:line="276" w:lineRule="auto"/>
      </w:pPr>
      <w:r>
        <w:t>**MACD** : La valeur du MACD à 107,842 est supérieure à son signal à 97,148, avec un écart positif de plus de 10 points. Cette configuration haussière confirme un momentum positif en accélération, justifiant la décision d'achat. La dynamique actuelle suggère que la tendance haussière pourrait se poursuivre à court terme.</w:t>
      </w:r>
    </w:p>
    <w:p>
      <w:pPr>
        <w:spacing w:after="120" w:line="276" w:lineRule="auto"/>
      </w:pPr>
      <w:r>
        <w:t>**RSI** : Le RSI à 61,433 se situe dans la zone neutre (30-70), mais proche de la zone de surachat (&gt;70). Cette valeur indique une pression acheteuse significative sans atteindre des niveaux extrêmes. La décision neutre reflète un équilibre, mais la tendance haussière du RSI suggère que le titre pourrait encore progresser avant d'atteindre une zone de surachat.</w:t>
      </w:r>
    </w:p>
    <w:p>
      <w:pPr>
        <w:spacing w:after="120" w:line="276" w:lineRule="auto"/>
      </w:pPr>
      <w:r>
        <w:t>**Stochastique** : Le %K à 100,0 et le %D à 93,333 sont tous deux à des niveaux extrêmement élevés, indiquant une condition de surachat sévère. La décision de vente est justifiée car ces niveaux suggèrent un épuisement probable de la dynamique haussière à très court terme, avec un risque élevé de correction.</w:t>
      </w:r>
    </w:p>
    <w:p>
      <w:pPr>
        <w:spacing w:after="120" w:line="276" w:lineRule="auto"/>
      </w:pPr>
      <w:r>
        <w:t>**Conclusion technique** : Les indicateurs de tendance (MM, MACD) sont résolument haussiers, tandis que les oscillateurs (RSI, Stochastique) signalent des conditions de surachat. Cette divergence suggère que la tendance de fond reste positive, mais qu'une consolidation ou un repli technique est probable à très court terme avant la poursuite de la hausse. Le scénario le plus probable est une pause dans la progression, suivie d'un nouveau test des sommets.</w:t>
      </w:r>
    </w:p>
    <w:p>
      <w:pPr>
        <w:spacing w:after="120" w:line="276" w:lineRule="auto" w:before="240"/>
      </w:pPr>
      <w:r>
        <w:rPr>
          <w:b/>
          <w:color w:val="003366"/>
          <w:sz w:val="24"/>
        </w:rPr>
        <w:t>**PARTIE 3 : ANALYSE FONDAMENTALE (SECTION CRITIQUE)**</w:t>
      </w:r>
    </w:p>
    <w:p>
      <w:pPr>
        <w:spacing w:after="120" w:line="276" w:lineRule="auto"/>
      </w:pPr>
      <w:r>
        <w:t>En 2025, PALC a réalisé un chiffre d'affaires de 197,630 milliards FCFA, en croissance de +14,8% par rapport à 2024 (172,2 milliards FCFA), avec un résultat net de 15,509 milliards FCFA, en légère baisse de -2,2% par rapport à 2024 (15,9 milliards FCFA). La marge nette s'établit à 7,85%, en recul par rapport aux 9,2% de 2024, tandis que le ROE est de 10,87% et le ROA de 7,79%. Le BFR de 44,623 milliards FCFA est positif, ce qui est défavorable pour une entreprise, et le délai clients de 142,58 jours est élevé, indiquant un risque de trésorerie. La structure financière reste très saine avec une autonomie financière de 71,64% et une dette financière réduite à 796,56 millions FCFA. Les rapports trimestriels 2025 montrent une forte dynamique au S1 (CA +25% à 134,8 milliards FCFA, résultat net +37% à 22,9 milliards FCFA), mais le T1 2026 est préoccupant avec un CA en baisse de -27% à 49,4 milliards FCFA et un résultat net en chute de -86% à 1,6 milliard FCFA, que la direction attribue à un décalage temporel des ventes. Sur la base de ces données, on estime que l'exercice 2026 pourrait être difficile, avec un résultat net potentiellement inférieur à celui de 2025, sauf si le redressement annoncé se confirme au S2 2026.</w:t>
      </w:r>
    </w:p>
    <w:p>
      <w:pPr>
        <w:spacing w:after="120" w:line="276" w:lineRule="auto" w:before="240"/>
      </w:pPr>
      <w:r>
        <w:rPr>
          <w:b/>
          <w:color w:val="003366"/>
          <w:sz w:val="24"/>
        </w:rPr>
        <w:t>**PARTIE 4 : CONCLUSION D'INVESTISSEMENT**</w:t>
      </w:r>
    </w:p>
    <w:p>
      <w:pPr>
        <w:spacing w:after="120" w:line="276" w:lineRule="auto"/>
      </w:pPr>
      <w:r>
        <w:t>La valorisation de PALC est clairement attractive avec un PER de 9,1x, un P/B de 0,99x et un EV/EBITDA de 4,4x, indiquant une sous-évaluation par rapport aux fondamentaux. Le comportement du cours sur 100 jours montre une volatilité élevée (40,9%) avec une tendance récente positive, mais une distribution statistique légèrement négative. Les signaux techniques sont mitigés : les indicateurs de tendance (MM, MACD) sont haussiers, mais les oscillateurs (RSI, Stochastique) signalent un surachat imminent. Les fondamentaux sont solides avec une croissance du CA de +14,8% en 2025, mais la rentabilité est sous pression et le T1 2026 est très décevant. Les prédictions IA pour les 10 prochains jours (9 117 à 9 227 FCFA) confirment une poursuite de la hausse, mais avec une amplitude modérée. La convergence entre la sous-évaluation, la tendance technique haussière et les prédictions IA suggère une recommandation **ACHAT**, avec un niveau de confiance **Moyen** et un risque global **Élevé** en raison de la volatilité et des incertitudes sur les résultats 2026. L'horizon d'investissement optimal serait le **moyen terme (3-12 mois)**, en attendant la confirmation du redressement annoncé par la direction.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46.03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962 titres</w:t>
            </w:r>
          </w:p>
        </w:tc>
        <w:tc>
          <w:tcPr>
            <w:tcW w:type="dxa" w:w="2268"/>
            <w:shd w:fill="FFF2CC" w:val="clear"/>
          </w:tcPr>
          <w:p>
            <w:r>
              <w:rPr>
                <w:b/>
                <w:color w:val="503200"/>
                <w:sz w:val="16"/>
              </w:rPr>
              <w:t xml:space="preserve">Cours actuel : </w:t>
            </w:r>
            <w:r>
              <w:rPr>
                <w:color w:val="000000"/>
                <w:sz w:val="17"/>
              </w:rPr>
              <w:t>4,495 FCFA</w:t>
            </w:r>
          </w:p>
          <w:p>
            <w:r>
              <w:rPr>
                <w:b/>
                <w:color w:val="503200"/>
                <w:sz w:val="16"/>
              </w:rPr>
              <w:t xml:space="preserve">Var. 100 jours : </w:t>
            </w:r>
            <w:r>
              <w:rPr>
                <w:b/>
                <w:color w:val="B40000"/>
                <w:sz w:val="17"/>
              </w:rPr>
              <w:t>-4.26%</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8.19% (Moyenne) — μ=4,480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β=-0.3369 (Contre-cyclique) — Cov=-0.000011, Var(idx)=0.000031, ρ=-0.074,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962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4,331</w:t>
            </w:r>
          </w:p>
        </w:tc>
        <w:tc>
          <w:tcPr>
            <w:tcW w:type="dxa" w:w="1440"/>
            <w:shd w:fill="FAFAFA" w:val="clear"/>
          </w:tcPr>
          <w:p>
            <w:r>
              <w:rPr>
                <w:b/>
                <w:sz w:val="17"/>
              </w:rPr>
              <w:t>4,444</w:t>
            </w:r>
          </w:p>
        </w:tc>
        <w:tc>
          <w:tcPr>
            <w:tcW w:type="dxa" w:w="1440"/>
            <w:shd w:fill="FAFAFA" w:val="clear"/>
          </w:tcPr>
          <w:p>
            <w:r>
              <w:rPr>
                <w:sz w:val="17"/>
              </w:rPr>
              <w:t>4,558</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4,269</w:t>
            </w:r>
          </w:p>
        </w:tc>
        <w:tc>
          <w:tcPr>
            <w:tcW w:type="dxa" w:w="1440"/>
            <w:shd w:fill="FAFAFA" w:val="clear"/>
          </w:tcPr>
          <w:p>
            <w:r>
              <w:rPr>
                <w:b/>
                <w:sz w:val="17"/>
              </w:rPr>
              <w:t>4,428</w:t>
            </w:r>
          </w:p>
        </w:tc>
        <w:tc>
          <w:tcPr>
            <w:tcW w:type="dxa" w:w="1440"/>
            <w:shd w:fill="FAFAFA" w:val="clear"/>
          </w:tcPr>
          <w:p>
            <w:r>
              <w:rPr>
                <w:sz w:val="17"/>
              </w:rPr>
              <w:t>4,588</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4,211</w:t>
            </w:r>
          </w:p>
        </w:tc>
        <w:tc>
          <w:tcPr>
            <w:tcW w:type="dxa" w:w="1440"/>
            <w:shd w:fill="FAFAFA" w:val="clear"/>
          </w:tcPr>
          <w:p>
            <w:r>
              <w:rPr>
                <w:b/>
                <w:sz w:val="17"/>
              </w:rPr>
              <w:t>4,405</w:t>
            </w:r>
          </w:p>
        </w:tc>
        <w:tc>
          <w:tcPr>
            <w:tcW w:type="dxa" w:w="1440"/>
            <w:shd w:fill="FAFAFA" w:val="clear"/>
          </w:tcPr>
          <w:p>
            <w:r>
              <w:rPr>
                <w:sz w:val="17"/>
              </w:rPr>
              <w:t>4,600</w:t>
            </w:r>
          </w:p>
        </w:tc>
        <w:tc>
          <w:tcPr>
            <w:tcW w:type="dxa" w:w="1440"/>
            <w:shd w:fill="FAFAFA"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4,159</w:t>
            </w:r>
          </w:p>
        </w:tc>
        <w:tc>
          <w:tcPr>
            <w:tcW w:type="dxa" w:w="1440"/>
            <w:shd w:fill="FFDCE0" w:val="clear"/>
          </w:tcPr>
          <w:p>
            <w:r>
              <w:rPr>
                <w:b/>
                <w:sz w:val="17"/>
              </w:rPr>
              <w:t>4,383</w:t>
            </w:r>
          </w:p>
        </w:tc>
        <w:tc>
          <w:tcPr>
            <w:tcW w:type="dxa" w:w="1440"/>
            <w:shd w:fill="FFDCE0" w:val="clear"/>
          </w:tcPr>
          <w:p>
            <w:r>
              <w:rPr>
                <w:sz w:val="17"/>
              </w:rPr>
              <w:t>4,606</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4,113</w:t>
            </w:r>
          </w:p>
        </w:tc>
        <w:tc>
          <w:tcPr>
            <w:tcW w:type="dxa" w:w="1440"/>
            <w:shd w:fill="FFDCE0" w:val="clear"/>
          </w:tcPr>
          <w:p>
            <w:r>
              <w:rPr>
                <w:b/>
                <w:sz w:val="17"/>
              </w:rPr>
              <w:t>4,361</w:t>
            </w:r>
          </w:p>
        </w:tc>
        <w:tc>
          <w:tcPr>
            <w:tcW w:type="dxa" w:w="1440"/>
            <w:shd w:fill="FFDCE0" w:val="clear"/>
          </w:tcPr>
          <w:p>
            <w:r>
              <w:rPr>
                <w:sz w:val="17"/>
              </w:rPr>
              <w:t>4,610</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4,070</w:t>
            </w:r>
          </w:p>
        </w:tc>
        <w:tc>
          <w:tcPr>
            <w:tcW w:type="dxa" w:w="1440"/>
            <w:shd w:fill="FFDCE0" w:val="clear"/>
          </w:tcPr>
          <w:p>
            <w:r>
              <w:rPr>
                <w:b/>
                <w:sz w:val="17"/>
              </w:rPr>
              <w:t>4,341</w:t>
            </w:r>
          </w:p>
        </w:tc>
        <w:tc>
          <w:tcPr>
            <w:tcW w:type="dxa" w:w="1440"/>
            <w:shd w:fill="FFDCE0" w:val="clear"/>
          </w:tcPr>
          <w:p>
            <w:r>
              <w:rPr>
                <w:sz w:val="17"/>
              </w:rPr>
              <w:t>4,612</w:t>
            </w:r>
          </w:p>
        </w:tc>
        <w:tc>
          <w:tcPr>
            <w:tcW w:type="dxa" w:w="1440"/>
            <w:shd w:fill="FFDCE0" w:val="clear"/>
          </w:tcPr>
          <w:p>
            <w:r>
              <w:rPr>
                <w:b/>
                <w:color w:val="C00000"/>
                <w:sz w:val="17"/>
              </w:rPr>
              <w:t>-3.4%</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4,029</w:t>
            </w:r>
          </w:p>
        </w:tc>
        <w:tc>
          <w:tcPr>
            <w:tcW w:type="dxa" w:w="1440"/>
            <w:shd w:fill="FFDCE0" w:val="clear"/>
          </w:tcPr>
          <w:p>
            <w:r>
              <w:rPr>
                <w:b/>
                <w:sz w:val="17"/>
              </w:rPr>
              <w:t>4,321</w:t>
            </w:r>
          </w:p>
        </w:tc>
        <w:tc>
          <w:tcPr>
            <w:tcW w:type="dxa" w:w="1440"/>
            <w:shd w:fill="FFDCE0" w:val="clear"/>
          </w:tcPr>
          <w:p>
            <w:r>
              <w:rPr>
                <w:sz w:val="17"/>
              </w:rPr>
              <w:t>4,612</w:t>
            </w:r>
          </w:p>
        </w:tc>
        <w:tc>
          <w:tcPr>
            <w:tcW w:type="dxa" w:w="1440"/>
            <w:shd w:fill="FFDCE0" w:val="clear"/>
          </w:tcPr>
          <w:p>
            <w:r>
              <w:rPr>
                <w:b/>
                <w:color w:val="C00000"/>
                <w:sz w:val="17"/>
              </w:rPr>
              <w:t>-3.9%</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3,991</w:t>
            </w:r>
          </w:p>
        </w:tc>
        <w:tc>
          <w:tcPr>
            <w:tcW w:type="dxa" w:w="1440"/>
            <w:shd w:fill="FFDCE0" w:val="clear"/>
          </w:tcPr>
          <w:p>
            <w:r>
              <w:rPr>
                <w:b/>
                <w:sz w:val="17"/>
              </w:rPr>
              <w:t>4,301</w:t>
            </w:r>
          </w:p>
        </w:tc>
        <w:tc>
          <w:tcPr>
            <w:tcW w:type="dxa" w:w="1440"/>
            <w:shd w:fill="FFDCE0" w:val="clear"/>
          </w:tcPr>
          <w:p>
            <w:r>
              <w:rPr>
                <w:sz w:val="17"/>
              </w:rPr>
              <w:t>4,611</w:t>
            </w:r>
          </w:p>
        </w:tc>
        <w:tc>
          <w:tcPr>
            <w:tcW w:type="dxa" w:w="1440"/>
            <w:shd w:fill="FFDCE0" w:val="clear"/>
          </w:tcPr>
          <w:p>
            <w:r>
              <w:rPr>
                <w:b/>
                <w:color w:val="C00000"/>
                <w:sz w:val="17"/>
              </w:rPr>
              <w:t>-4.3%</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3,954</w:t>
            </w:r>
          </w:p>
        </w:tc>
        <w:tc>
          <w:tcPr>
            <w:tcW w:type="dxa" w:w="1440"/>
            <w:shd w:fill="FFDCE0" w:val="clear"/>
          </w:tcPr>
          <w:p>
            <w:r>
              <w:rPr>
                <w:b/>
                <w:sz w:val="17"/>
              </w:rPr>
              <w:t>4,281</w:t>
            </w:r>
          </w:p>
        </w:tc>
        <w:tc>
          <w:tcPr>
            <w:tcW w:type="dxa" w:w="1440"/>
            <w:shd w:fill="FFDCE0" w:val="clear"/>
          </w:tcPr>
          <w:p>
            <w:r>
              <w:rPr>
                <w:sz w:val="17"/>
              </w:rPr>
              <w:t>4,609</w:t>
            </w:r>
          </w:p>
        </w:tc>
        <w:tc>
          <w:tcPr>
            <w:tcW w:type="dxa" w:w="1440"/>
            <w:shd w:fill="FFDCE0" w:val="clear"/>
          </w:tcPr>
          <w:p>
            <w:r>
              <w:rPr>
                <w:b/>
                <w:color w:val="C00000"/>
                <w:sz w:val="17"/>
              </w:rPr>
              <w:t>-4.8%</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3,919</w:t>
            </w:r>
          </w:p>
        </w:tc>
        <w:tc>
          <w:tcPr>
            <w:tcW w:type="dxa" w:w="1440"/>
            <w:shd w:fill="FFDCE0" w:val="clear"/>
          </w:tcPr>
          <w:p>
            <w:r>
              <w:rPr>
                <w:b/>
                <w:sz w:val="17"/>
              </w:rPr>
              <w:t>4,262</w:t>
            </w:r>
          </w:p>
        </w:tc>
        <w:tc>
          <w:tcPr>
            <w:tcW w:type="dxa" w:w="1440"/>
            <w:shd w:fill="FFDCE0" w:val="clear"/>
          </w:tcPr>
          <w:p>
            <w:r>
              <w:rPr>
                <w:sz w:val="17"/>
              </w:rPr>
              <w:t>4,606</w:t>
            </w:r>
          </w:p>
        </w:tc>
        <w:tc>
          <w:tcPr>
            <w:tcW w:type="dxa" w:w="1440"/>
            <w:shd w:fill="FFDCE0" w:val="clear"/>
          </w:tcPr>
          <w:p>
            <w:r>
              <w:rPr>
                <w:b/>
                <w:color w:val="C00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(TRACTRAFRIC MOTORS CI)**</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46,03 milliards FCFA, un niveau significatif pour une valeur de la BRVM, reflétant une entreprise de taille moyenne sur le marché ivoirien. Avec un BPA de 231 FCFA, le titre se négocie à un PER de 19,4x, nettement supérieur à la moyenne historique de la BRVM (8-12x). Les investisseurs paient donc une prime substantielle pour les bénéfices de la société, ce qui suggère des attentes de croissance élevées. Le P/B de 3,99x confirme cette prime, le marché valorisant l'actif net à près de 4 fois sa valeur comptable, ce qui est typique des valeurs de croissance. Enfin, l'EV/EBITDA de 9,9x se situe dans la fourchette haute des standards de la place, indiquant que la valeur totale de l'entreprise (dette incluse) est correctement évaluée par rapport à sa capacité opérationnelle, sans être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de 4,26%, avec un cours stable lors de la dernière séance (0,00%). Le titre a évolué dans une fourchette large de 3 620 FCFA (plus bas) à 5 100 FCFA (plus haut), démontrant une volatilité importante. La moyenne (4 480 FCFA) et la médiane (4 500 FCFA) sont très proches, indiquant une distribution relativement symétrique des cours autour de la moyenne, mais le skewness négatif (-0.721) révèle que les journées de forte baisse ont été plus fréquentes que les journées de forte hausse. L'écart-type de 369 FCFA (CV=8,2%) montre une dispersion modérée, tandis que le kurtosis proche de zéro (-0.022) indique une distribution normale sans risque de pics extrêmes. La volatilité annualisée de 40,4% classe le titre comme très volatil (&gt;30%), un niveau élevé qui reflète l'incertitude du marché sur cette valeur.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(4 495 FCFA) se situe en dessous de la MM20 (4 511,25 FCFA) mais au-dessus de la MM50 (4 465 FCFA). Cette configuration, avec une MM20 qui passe sous la MM50, suggère un début de tendance baissière à court terme. La décision "Achat" semble prématurée, car le croisement des moyennes mobiles indique plutôt une phase de consolidation avec un biais légèrement négatif.</w:t>
      </w:r>
    </w:p>
    <w:p>
      <w:pPr>
        <w:spacing w:after="120" w:line="276" w:lineRule="auto"/>
      </w:pPr>
      <w:r>
        <w:t>**Bandes de Bollinger** : Le prix se positionne presque au centre des bandes (borne supérieure à 4 668 FCFA, borne inférieure à 4 354 FCFA), indiquant une volatilité modérée. La décision "Neutre" est justifiée, le titre n'étant ni suracheté ni survendu. Les bandes ne montrent pas d'élargissement significatif, ce qui suggère une période de stabilisation après les mouvements récents.</w:t>
      </w:r>
    </w:p>
    <w:p>
      <w:pPr>
        <w:spacing w:after="120" w:line="276" w:lineRule="auto"/>
      </w:pPr>
      <w:r>
        <w:t>**MACD** : La divergence entre la valeur MACD (0.103) et le signal (9.009) est extrêmement large et négative, indiquant un momentum baissier très fort. La décision "Vente" est cohérente avec cette configuration, même si l'ampleur de l'écart semble anormale et pourrait signaler un retournement imminent.</w:t>
      </w:r>
    </w:p>
    <w:p>
      <w:pPr>
        <w:spacing w:after="120" w:line="276" w:lineRule="auto"/>
      </w:pPr>
      <w:r>
        <w:t>**RSI** : À 40,17, le RSI se situe en zone neutre (30-70), mais proche de la zone de survente. Cette valeur indique que le titre n'est ni suracheté ni survendu, mais la tendance baissière du RSI suggère une pression vendeuse persistante. La décision "Neutre" est appropriée, avec un biais baissier.</w:t>
      </w:r>
    </w:p>
    <w:p>
      <w:pPr>
        <w:spacing w:after="120" w:line="276" w:lineRule="auto"/>
      </w:pPr>
      <w:r>
        <w:t>**Stochastique** : Le %K (63,33) est nettement supérieur au %D (36,19), indiquant un croisement haussier récent. Cependant, cette configuration est fragile car les deux lignes restent en dessous de 70, ce qui limite la portée du signal. La décision "Neutre" reflète cette ambiguïté.</w:t>
      </w:r>
    </w:p>
    <w:p>
      <w:pPr>
        <w:spacing w:after="120" w:line="276" w:lineRule="auto"/>
      </w:pPr>
      <w:r>
        <w:t>**Conclusion technique** : Les indicateurs sont globalement mitigés avec une légère prédominance baissière. Le MACD est clairement vendeur, tandis que les moyennes mobiles et le RSI suggèrent une consolidation. Le stochastique offre un signal haussier faible. L'ensemble indique une période de transition sans direction claire, mais avec un risque de poursuite de la baisse à court terme.</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(74,45 milliards FCFA), selon les données structurées officielles. Le résultat net s'établit à 2,367 milliards FCFA (contre 2,177 milliards en 2024), soit une progression de 8,7%, avec une marge nette de 2,92%. La rentabilité des fonds propres (ROE) est excellente à 20,53%, tandis que le ROA s'établit à 4,95%. La société maintient une structure financière équilibrée avec des capitaux propres de 11,531 milliards FCFA et un total bilan de 47,836 milliards FCFA. Le BFR de 11,267 milliards FCFA est positif, ce qui est défavorable pour une entreprise de distribution, et les délais clients (45,99 jours) et de stockage (150,51 jours) sont élevés, indiquant une immobilisation importante de capital. Le délai fournisseurs (102,65 jours) compense partiellement cette tension. L'endettement total (ratio de 314,86%) est élevé, mais la capacité de remboursement reste raisonnable (1,83 ans). Le rapport annuel 2025 (daté du 31/12/2025) confirme cette tendance positive, soulignant une croissance du CA de 9,5% et un dividende de 209 FCFA par action. Le rapport S1 2025 (daté du 30/06/2025) montrait déjà une performance exceptionnelle avec un CA en hausse de 15,1% et un résultat net multiplié par 28. Sur la base de ces données, on estime que l'exercice 2026 devrait maintenir cette dynamique de croissance, avec un CA potentiel dépassant 85 milliards FCFA, bien que la direction anticipe un ralentissement au S2 2025 en raison du contexte électoral.</w:t>
      </w:r>
    </w:p>
    <w:p>
      <w:pPr>
        <w:spacing w:after="120" w:line="276" w:lineRule="auto"/>
      </w:pPr>
      <w:r>
        <w:t>---</w:t>
      </w:r>
    </w:p>
    <w:p>
      <w:pPr>
        <w:spacing w:after="120" w:line="276" w:lineRule="auto"/>
      </w:pPr>
      <w:r>
        <w:t>### PARTIE 4 : CONCLUSION D'INVESTISSEMENT</w:t>
      </w:r>
    </w:p>
    <w:p>
      <w:pPr>
        <w:spacing w:after="120" w:line="276" w:lineRule="auto"/>
      </w:pPr>
      <w:r>
        <w:t>La valorisation de PRSC (PER 19,4x, P/B 3,99x) indique une prime de croissance significative, mais les fondamentaux solides (ROE &gt;20%, croissance du CA de 9,5%) justifient partiellement cette prime. Le comportement du cours sur 100 jours montre une tendance baissière (-4,26%) avec une volatilité élevée (40,4%), ce qui est préoccupant à court terme. Les signaux techniques sont mitigés, avec un MACD vendeur mais un stochastique haussier, reflétant une période de transition. Les fondamentaux restent solides avec une croissance soutenue et une rentabilité en amélioration, malgré un BFR élevé et une marge nette faible. Les prédictions IA (J+1 à J+10) prévoient une poursuite de la baisse vers 4 361 FCFA, ce qui contredit les signaux fondamentaux positifs. Cette divergence entre la faiblesse technique à court terme et la solidité fondamentale à moyen terme suggère une approche prudente. **Recommandation : CONSERVER** avec un niveau de confiance **Moyen** et un risque global **Élevé**. L'horizon d'investissement optimal est le **moyen terme (3-12 mois)**, en attendant une stabilisation du cours et la confirmation des résultats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7,412 titres</w:t>
            </w:r>
          </w:p>
        </w:tc>
        <w:tc>
          <w:tcPr>
            <w:tcW w:type="dxa" w:w="2268"/>
            <w:shd w:fill="FFF2CC" w:val="clear"/>
          </w:tcPr>
          <w:p>
            <w:r>
              <w:rPr>
                <w:b/>
                <w:color w:val="503200"/>
                <w:sz w:val="16"/>
              </w:rPr>
              <w:t xml:space="preserve">Cours actuel : </w:t>
            </w:r>
            <w:r>
              <w:rPr>
                <w:color w:val="000000"/>
                <w:sz w:val="17"/>
              </w:rPr>
              <w:t>5,840 FCFA</w:t>
            </w:r>
          </w:p>
          <w:p>
            <w:r>
              <w:rPr>
                <w:b/>
                <w:color w:val="503200"/>
                <w:sz w:val="16"/>
              </w:rPr>
              <w:t xml:space="preserve">Var. 100 jours : </w:t>
            </w:r>
            <w:r>
              <w:rPr>
                <w:b/>
                <w:color w:val="007800"/>
                <w:sz w:val="17"/>
              </w:rPr>
              <w:t>+1.04%</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31.9/100 → Moyen</w:t>
      </w:r>
    </w:p>
    <w:p>
      <w:pPr>
        <w:spacing w:before="40" w:after="80"/>
      </w:pPr>
      <w:r>
        <w:rPr>
          <w:rFonts w:ascii="Courier New" w:hAnsi="Courier New"/>
          <w:color w:val="825A00"/>
          <w:sz w:val="18"/>
        </w:rPr>
        <w:t>██████░░░░░░░░░░░░░░  31.9/100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23.47% (Élevée) — μ=4,791 FCFA, σ=1,124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β=0.2579 (Défensif) — Cov=0.000008, Var(idx)=0.000031, ρ=0.027,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7,412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σ_j=5.38%/j (Instable) — Vol. annualisée≈85.4%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5,054</w:t>
            </w:r>
          </w:p>
        </w:tc>
        <w:tc>
          <w:tcPr>
            <w:tcW w:type="dxa" w:w="1440"/>
            <w:shd w:fill="FFDCE0" w:val="clear"/>
          </w:tcPr>
          <w:p>
            <w:r>
              <w:rPr>
                <w:b/>
                <w:sz w:val="17"/>
              </w:rPr>
              <w:t>5,402</w:t>
            </w:r>
          </w:p>
        </w:tc>
        <w:tc>
          <w:tcPr>
            <w:tcW w:type="dxa" w:w="1440"/>
            <w:shd w:fill="FFDCE0" w:val="clear"/>
          </w:tcPr>
          <w:p>
            <w:r>
              <w:rPr>
                <w:sz w:val="17"/>
              </w:rPr>
              <w:t>5,750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4,542</w:t>
            </w:r>
          </w:p>
        </w:tc>
        <w:tc>
          <w:tcPr>
            <w:tcW w:type="dxa" w:w="1440"/>
            <w:shd w:fill="FFDCE0" w:val="clear"/>
          </w:tcPr>
          <w:p>
            <w:r>
              <w:rPr>
                <w:b/>
                <w:sz w:val="17"/>
              </w:rPr>
              <w:t>4,997</w:t>
            </w:r>
          </w:p>
        </w:tc>
        <w:tc>
          <w:tcPr>
            <w:tcW w:type="dxa" w:w="1440"/>
            <w:shd w:fill="FFDCE0" w:val="clear"/>
          </w:tcPr>
          <w:p>
            <w:r>
              <w:rPr>
                <w:sz w:val="17"/>
              </w:rPr>
              <w:t>5,452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4,106</w:t>
            </w:r>
          </w:p>
        </w:tc>
        <w:tc>
          <w:tcPr>
            <w:tcW w:type="dxa" w:w="1440"/>
            <w:shd w:fill="FFDCE0" w:val="clear"/>
          </w:tcPr>
          <w:p>
            <w:r>
              <w:rPr>
                <w:b/>
                <w:sz w:val="17"/>
              </w:rPr>
              <w:t>4,622</w:t>
            </w:r>
          </w:p>
        </w:tc>
        <w:tc>
          <w:tcPr>
            <w:tcW w:type="dxa" w:w="1440"/>
            <w:shd w:fill="FFDCE0" w:val="clear"/>
          </w:tcPr>
          <w:p>
            <w:r>
              <w:rPr>
                <w:sz w:val="17"/>
              </w:rPr>
              <w:t>5,138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3,725</w:t>
            </w:r>
          </w:p>
        </w:tc>
        <w:tc>
          <w:tcPr>
            <w:tcW w:type="dxa" w:w="1440"/>
            <w:shd w:fill="FFDCE0" w:val="clear"/>
          </w:tcPr>
          <w:p>
            <w:r>
              <w:rPr>
                <w:b/>
                <w:sz w:val="17"/>
              </w:rPr>
              <w:t>4,275</w:t>
            </w:r>
          </w:p>
        </w:tc>
        <w:tc>
          <w:tcPr>
            <w:tcW w:type="dxa" w:w="1440"/>
            <w:shd w:fill="FFDCE0" w:val="clear"/>
          </w:tcPr>
          <w:p>
            <w:r>
              <w:rPr>
                <w:sz w:val="17"/>
              </w:rPr>
              <w:t>4,826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3,385</w:t>
            </w:r>
          </w:p>
        </w:tc>
        <w:tc>
          <w:tcPr>
            <w:tcW w:type="dxa" w:w="1440"/>
            <w:shd w:fill="FFDCE0" w:val="clear"/>
          </w:tcPr>
          <w:p>
            <w:r>
              <w:rPr>
                <w:b/>
                <w:sz w:val="17"/>
              </w:rPr>
              <w:t>3,955</w:t>
            </w:r>
          </w:p>
        </w:tc>
        <w:tc>
          <w:tcPr>
            <w:tcW w:type="dxa" w:w="1440"/>
            <w:shd w:fill="FFDCE0" w:val="clear"/>
          </w:tcPr>
          <w:p>
            <w:r>
              <w:rPr>
                <w:sz w:val="17"/>
              </w:rPr>
              <w:t>4,524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3,081</w:t>
            </w:r>
          </w:p>
        </w:tc>
        <w:tc>
          <w:tcPr>
            <w:tcW w:type="dxa" w:w="1440"/>
            <w:shd w:fill="FFDCE0" w:val="clear"/>
          </w:tcPr>
          <w:p>
            <w:r>
              <w:rPr>
                <w:b/>
                <w:sz w:val="17"/>
              </w:rPr>
              <w:t>3,658</w:t>
            </w:r>
          </w:p>
        </w:tc>
        <w:tc>
          <w:tcPr>
            <w:tcW w:type="dxa" w:w="1440"/>
            <w:shd w:fill="FFDCE0" w:val="clear"/>
          </w:tcPr>
          <w:p>
            <w:r>
              <w:rPr>
                <w:sz w:val="17"/>
              </w:rPr>
              <w:t>4,235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2,807</w:t>
            </w:r>
          </w:p>
        </w:tc>
        <w:tc>
          <w:tcPr>
            <w:tcW w:type="dxa" w:w="1440"/>
            <w:shd w:fill="FFDCE0" w:val="clear"/>
          </w:tcPr>
          <w:p>
            <w:r>
              <w:rPr>
                <w:b/>
                <w:sz w:val="17"/>
              </w:rPr>
              <w:t>3,384</w:t>
            </w:r>
          </w:p>
        </w:tc>
        <w:tc>
          <w:tcPr>
            <w:tcW w:type="dxa" w:w="1440"/>
            <w:shd w:fill="FFDCE0" w:val="clear"/>
          </w:tcPr>
          <w:p>
            <w:r>
              <w:rPr>
                <w:sz w:val="17"/>
              </w:rPr>
              <w:t>3,960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2,560</w:t>
            </w:r>
          </w:p>
        </w:tc>
        <w:tc>
          <w:tcPr>
            <w:tcW w:type="dxa" w:w="1440"/>
            <w:shd w:fill="FFDCE0" w:val="clear"/>
          </w:tcPr>
          <w:p>
            <w:r>
              <w:rPr>
                <w:b/>
                <w:sz w:val="17"/>
              </w:rPr>
              <w:t>3,130</w:t>
            </w:r>
          </w:p>
        </w:tc>
        <w:tc>
          <w:tcPr>
            <w:tcW w:type="dxa" w:w="1440"/>
            <w:shd w:fill="FFDCE0" w:val="clear"/>
          </w:tcPr>
          <w:p>
            <w:r>
              <w:rPr>
                <w:sz w:val="17"/>
              </w:rPr>
              <w:t>3,700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2,336</w:t>
            </w:r>
          </w:p>
        </w:tc>
        <w:tc>
          <w:tcPr>
            <w:tcW w:type="dxa" w:w="1440"/>
            <w:shd w:fill="FFDCE0" w:val="clear"/>
          </w:tcPr>
          <w:p>
            <w:r>
              <w:rPr>
                <w:b/>
                <w:sz w:val="17"/>
              </w:rPr>
              <w:t>2,895</w:t>
            </w:r>
          </w:p>
        </w:tc>
        <w:tc>
          <w:tcPr>
            <w:tcW w:type="dxa" w:w="1440"/>
            <w:shd w:fill="FFDCE0" w:val="clear"/>
          </w:tcPr>
          <w:p>
            <w:r>
              <w:rPr>
                <w:sz w:val="17"/>
              </w:rPr>
              <w:t>3,455</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2,133</w:t>
            </w:r>
          </w:p>
        </w:tc>
        <w:tc>
          <w:tcPr>
            <w:tcW w:type="dxa" w:w="1440"/>
            <w:shd w:fill="FFDCE0" w:val="clear"/>
          </w:tcPr>
          <w:p>
            <w:r>
              <w:rPr>
                <w:b/>
                <w:sz w:val="17"/>
              </w:rPr>
              <w:t>2,678</w:t>
            </w:r>
          </w:p>
        </w:tc>
        <w:tc>
          <w:tcPr>
            <w:tcW w:type="dxa" w:w="1440"/>
            <w:shd w:fill="FFDCE0" w:val="clear"/>
          </w:tcPr>
          <w:p>
            <w:r>
              <w:rPr>
                <w:sz w:val="17"/>
              </w:rPr>
              <w:t>3,224</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47,42 milliards FCFA, un niveau modeste dans l'écosystème BRVM, reflétant un profil de petite capitalisation. Le BPA de 86 FCFA par action indique un bénéfice net de 701 millions FCFA réparti sur environ 8,12 millions de titres. Le PER de 67,6x est extrêmement élevé par rapport à la moyenne historique de la BRVM (8-12x), signifiant que les investisseurs paient une prime considérable pour chaque franc de bénéfice — une valorisation qui intègre des anticipations de croissance très optimistes. Le P/B de 8,02x confirme cette exubérance, le marché valorisant le titre à plus de huit fois sa valeur comptable (5,916 milliards FCFA de capitaux propres). Enfin, l'EV/EBITDA de 81,7x est également très exigeant, indiquant que la valeur d'entreprise est déconnectée de la capacité opérationnelle actuelle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SAFC affiche une variation totale de +1,04%, mais enregistre une hausse spectaculaire de +5,13% lors de la dernière séance, clôturant à 5 840 FCFA. Le titre a évolué dans une fourchette très large, oscillant entre un plus bas de 3 340 FCFA et un plus haut de 7 555 FCFA, illustrant une volatilité extrême. La moyenne de 4 791 FCFA est supérieure à la médiane de 4 505 FCFA, ce qui, combiné au skewness positif de 0,936, révèle une distribution asymétrique avec des épisodes de fortes hausses ponctuelles. L'écart-type de 1 130 FCFA (CV=23,6%) témoigne d'une dispersion importante autour de la moyenne, tandis que le kurtosis de -0,098 (mésokurtique) indique l'absence de queues de distribution épaisses, donc pas de risque de variations extrêmes statistiquement plus fréquent que la normale. La volatilité annualisée de 85,4% classe le titre comme extrêmement risqué, bien au-delà du seuil de 30% considéré comme élevé, reflétant un comportement spéculatif marqué.</w:t>
      </w:r>
    </w:p>
    <w:p>
      <w:pPr>
        <w:spacing w:after="120" w:line="276" w:lineRule="auto" w:before="240"/>
      </w:pPr>
      <w:r>
        <w:rPr>
          <w:b/>
          <w:color w:val="003366"/>
          <w:sz w:val="24"/>
        </w:rPr>
        <w:t>**PARTIE 2 : ANALYSE TECHNIQUE DÉTAILLÉE**</w:t>
      </w:r>
    </w:p>
    <w:p>
      <w:pPr>
        <w:spacing w:after="120" w:line="276" w:lineRule="auto"/>
      </w:pPr>
      <w:r>
        <w:t>**Moyennes Mobiles** : Le cours actuel de 5 840 FCFA se positionne nettement au-dessus de la MM20 (4 944,5 FCFA) et de la MM50 (4 539,2 FCFA), confirmant une tendance haussière solide à court et moyen terme. L'écart positif entre le prix et les moyennes suggère un momentum acheteur, justifiant la décision d'Achat.</w:t>
      </w:r>
    </w:p>
    <w:p>
      <w:pPr>
        <w:spacing w:after="120" w:line="276" w:lineRule="auto"/>
      </w:pPr>
      <w:r>
        <w:t>**Bandes de Bollinger** : Le prix évolue au-dessus de la borne supérieure (5 777,9 FCFA), signalant une condition de surachat extrême. Cette sortie de canal indique une volatilité accrue et un écart temporaire par rapport à la moyenne mobile, justifiant la décision de Vente — le marché pourrait corriger pour ramener le prix dans les bornes.</w:t>
      </w:r>
    </w:p>
    <w:p>
      <w:pPr>
        <w:spacing w:after="120" w:line="276" w:lineRule="auto"/>
      </w:pPr>
      <w:r>
        <w:t>**MACD** : La valeur du MACD (265,984) est supérieure à son signal (213,639), avec un histogramme positif, confirmant un momentum haussier robuste. Cette configuration technique valide la poursuite de la tendance ascendante à court terme, justifiant la décision d'Achat.</w:t>
      </w:r>
    </w:p>
    <w:p>
      <w:pPr>
        <w:spacing w:after="120" w:line="276" w:lineRule="auto"/>
      </w:pPr>
      <w:r>
        <w:t>**RSI** : À 68,793, le RSI se situe en zone neutre, proche du seuil de surachat de 70. Cette valeur indique que la pression acheteuse reste dominante sans être excessive, justifiant la décision Neutre — le titre dispose encore de marge avant une correction technique.</w:t>
      </w:r>
    </w:p>
    <w:p>
      <w:pPr>
        <w:spacing w:after="120" w:line="276" w:lineRule="auto"/>
      </w:pPr>
      <w:r>
        <w:t>**Stochastique** : Le %K à 100,0 et le %D à 92,34 sont tous deux en zone de surachat extrême, signalant un épuisement potentiel du mouvement haussier. Cette configuration suggère un risque élevé de retournement, justifiant la décision de Vente.</w:t>
      </w:r>
    </w:p>
    <w:p>
      <w:pPr>
        <w:spacing w:after="120" w:line="276" w:lineRule="auto"/>
      </w:pPr>
      <w:r>
        <w:t>**Conclusion technique** : Les indicateurs sont partagés entre signaux haussiers (MM, MACD) et baissiers (Bollinger, Stochastique), avec un RSI neutre. Cette divergence indique un marché en tension, où la tendance haussière de fond est contrebalancée par des conditions de surachat à court terme, laissant présager une consolidation ou une correction avant la poursuite éventuelle du mouvement.</w:t>
      </w:r>
    </w:p>
    <w:p>
      <w:pPr>
        <w:spacing w:after="120" w:line="276" w:lineRule="auto" w:before="240"/>
      </w:pPr>
      <w:r>
        <w:rPr>
          <w:b/>
          <w:color w:val="003366"/>
          <w:sz w:val="24"/>
        </w:rPr>
        <w:t>**PARTIE 3 : ANALYSE FONDAMENTALE (SECTION CRITIQUE)**</w:t>
      </w:r>
    </w:p>
    <w:p>
      <w:pPr>
        <w:spacing w:after="120" w:line="276" w:lineRule="auto"/>
      </w:pPr>
      <w:r>
        <w:t>En 2025, SAFC (Alios Finance Côte d'Ivoire) affiche un Produit Net Bancaire de 5,735 milliards FCFA, en hausse de 44,1% par rapport à 2024 (3,980 milliards FCFA), et un résultat net bénéficiaire de 701 millions FCFA contre une perte de 165 millions en 2024 — un retournement spectaculaire après huit années de déficit. Le ROE s'établit à 11,85% (contre un ROA de 0,88%), reflétant une rentabilité des fonds propres en amélioration mais encore inférieure au seuil de 15% considéré comme excellent. Le coefficient d'exploitation de 77,6% reste élevé, indiquant une efficacité opérationnelle perfectible par rapport à la norme de 60%. Le coût du risque de 6,57% demeure significatif, signalant une qualité de portefeuille encore fragile. Les créances sur la clientèle (60,476 milliards FCFA) sont financées à hauteur de 35,747 milliards par des dettes interbancaires, créant une dépendance au marché monétaire. Les rapports trimestriels confirment cette trajectoire : le T1 2026 (rapport du 15 mars 2026) montre un PNB de 1,395 milliard FCFA (+29% vs T1 2025) et un résultat net de 151 millions FCFA (+1062%), avec un coût du risque réduit de 75%. On estime que l'exercice 2026 pourrait voir le PNB atteindre 6,5-7 milliards FCFA et le résultat net dépasser 800 millions FCFA si la tendance se maintient. L'augmentation de capital de 1,5 milliard FCFA (rapport du 14 avril 2026) renforcera les fonds propres, actuellement à 5,916 milliards FCFA, améliorant la solvabilité (ratio de 12,06%).</w:t>
      </w:r>
    </w:p>
    <w:p>
      <w:pPr>
        <w:spacing w:after="120" w:line="276" w:lineRule="auto" w:before="240"/>
      </w:pPr>
      <w:r>
        <w:rPr>
          <w:b/>
          <w:color w:val="003366"/>
          <w:sz w:val="24"/>
        </w:rPr>
        <w:t>**PARTIE 4 : CONCLUSION D'INVESTISSEMENT**</w:t>
      </w:r>
    </w:p>
    <w:p>
      <w:pPr>
        <w:spacing w:after="120" w:line="276" w:lineRule="auto"/>
      </w:pPr>
      <w:r>
        <w:t>La valorisation de SAFC est extrêmement exigeante (PER 67,6x, P/B 8,02x, EV/EBITDA 81,7x), indiquant une surévaluation manifeste par rapport aux fondamentaux actuels. Le comportement du cours, marqué par une volatilité annualisée de 85,4% et une asymétrie positive, reflète un titre spéculatif avec des mouvements erratiques. Les signaux techniques sont divergents : les moyennes mobiles et le MACD suggèrent une tendance haussière, mais les bandes de Bollinger et le stochastique en surachat extrême signalent un risque de correction imminent. Les fondamentaux montrent un redressement réel et significatif (PNB +44%, retour aux bénéfices), porté par le nouveau management de CREDAF Group, mais la structure financière reste fragile avec un endettement élevé et un coût du risque encore préoccupant. Les prédictions IA (J+1 à J+10) anticipent une chute brutale de 5 402 à 3 955 FCFA, contredisant les signaux techniques haussiers et suggérant une correction majeure. **Recommandation : VENTE** — la convergence entre la surévaluation boursière, les conditions de surachat technique et les prédictions IA baissières l'emporte sur les fondamentaux en amélioration. Niveau de confiance : **Moyen** (la dynamique fondamentale positive pourrait limiter la baisse). Risque global : **Élevé**. Horizon d'investissement optimal : **court terme (&lt;3 mois)** pour les investisseurs existants cherchant à sécuriser leurs gains, avec un stop-loss serré en cas de maintien au-dessus de 5 500 FCFA.</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71.74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12,296 titres</w:t>
            </w:r>
          </w:p>
        </w:tc>
        <w:tc>
          <w:tcPr>
            <w:tcW w:type="dxa" w:w="2268"/>
            <w:shd w:fill="FFF2CC" w:val="clear"/>
          </w:tcPr>
          <w:p>
            <w:r>
              <w:rPr>
                <w:b/>
                <w:color w:val="503200"/>
                <w:sz w:val="16"/>
              </w:rPr>
              <w:t xml:space="preserve">Cours actuel : </w:t>
            </w:r>
            <w:r>
              <w:rPr>
                <w:color w:val="000000"/>
                <w:sz w:val="17"/>
              </w:rPr>
              <w:t>3,660 FCFA</w:t>
            </w:r>
          </w:p>
          <w:p>
            <w:r>
              <w:rPr>
                <w:b/>
                <w:color w:val="503200"/>
                <w:sz w:val="16"/>
              </w:rPr>
              <w:t xml:space="preserve">Var. 100 jours : </w:t>
            </w:r>
            <w:r>
              <w:rPr>
                <w:b/>
                <w:color w:val="007800"/>
                <w:sz w:val="17"/>
              </w:rPr>
              <w:t>+150.68%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1,460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26.34% (Élevée) — μ=2,759 FCFA, σ=727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β=1.1159 (Neutre (suit le marché)) — Cov=0.000035, Var(idx)=0.000031, ρ=0.174,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12,296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3,204</w:t>
            </w:r>
          </w:p>
        </w:tc>
        <w:tc>
          <w:tcPr>
            <w:tcW w:type="dxa" w:w="1440"/>
            <w:shd w:fill="FFDCE0" w:val="clear"/>
          </w:tcPr>
          <w:p>
            <w:r>
              <w:rPr>
                <w:b/>
                <w:sz w:val="17"/>
              </w:rPr>
              <w:t>3,386</w:t>
            </w:r>
          </w:p>
        </w:tc>
        <w:tc>
          <w:tcPr>
            <w:tcW w:type="dxa" w:w="1440"/>
            <w:shd w:fill="FFDCE0" w:val="clear"/>
          </w:tcPr>
          <w:p>
            <w:r>
              <w:rPr>
                <w:sz w:val="17"/>
              </w:rPr>
              <w:t>3,567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2,894</w:t>
            </w:r>
          </w:p>
        </w:tc>
        <w:tc>
          <w:tcPr>
            <w:tcW w:type="dxa" w:w="1440"/>
            <w:shd w:fill="FFDCE0" w:val="clear"/>
          </w:tcPr>
          <w:p>
            <w:r>
              <w:rPr>
                <w:b/>
                <w:sz w:val="17"/>
              </w:rPr>
              <w:t>3,132</w:t>
            </w:r>
          </w:p>
        </w:tc>
        <w:tc>
          <w:tcPr>
            <w:tcW w:type="dxa" w:w="1440"/>
            <w:shd w:fill="FFDCE0" w:val="clear"/>
          </w:tcPr>
          <w:p>
            <w:r>
              <w:rPr>
                <w:sz w:val="17"/>
              </w:rPr>
              <w:t>3,369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2,628</w:t>
            </w:r>
          </w:p>
        </w:tc>
        <w:tc>
          <w:tcPr>
            <w:tcW w:type="dxa" w:w="1440"/>
            <w:shd w:fill="FFDCE0" w:val="clear"/>
          </w:tcPr>
          <w:p>
            <w:r>
              <w:rPr>
                <w:b/>
                <w:sz w:val="17"/>
              </w:rPr>
              <w:t>2,897</w:t>
            </w:r>
          </w:p>
        </w:tc>
        <w:tc>
          <w:tcPr>
            <w:tcW w:type="dxa" w:w="1440"/>
            <w:shd w:fill="FFDCE0" w:val="clear"/>
          </w:tcPr>
          <w:p>
            <w:r>
              <w:rPr>
                <w:sz w:val="17"/>
              </w:rPr>
              <w:t>3,166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2,392</w:t>
            </w:r>
          </w:p>
        </w:tc>
        <w:tc>
          <w:tcPr>
            <w:tcW w:type="dxa" w:w="1440"/>
            <w:shd w:fill="FFDCE0" w:val="clear"/>
          </w:tcPr>
          <w:p>
            <w:r>
              <w:rPr>
                <w:b/>
                <w:sz w:val="17"/>
              </w:rPr>
              <w:t>2,679</w:t>
            </w:r>
          </w:p>
        </w:tc>
        <w:tc>
          <w:tcPr>
            <w:tcW w:type="dxa" w:w="1440"/>
            <w:shd w:fill="FFDCE0" w:val="clear"/>
          </w:tcPr>
          <w:p>
            <w:r>
              <w:rPr>
                <w:sz w:val="17"/>
              </w:rPr>
              <w:t>2,967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2,181</w:t>
            </w:r>
          </w:p>
        </w:tc>
        <w:tc>
          <w:tcPr>
            <w:tcW w:type="dxa" w:w="1440"/>
            <w:shd w:fill="FFDCE0" w:val="clear"/>
          </w:tcPr>
          <w:p>
            <w:r>
              <w:rPr>
                <w:b/>
                <w:sz w:val="17"/>
              </w:rPr>
              <w:t>2,478</w:t>
            </w:r>
          </w:p>
        </w:tc>
        <w:tc>
          <w:tcPr>
            <w:tcW w:type="dxa" w:w="1440"/>
            <w:shd w:fill="FFDCE0" w:val="clear"/>
          </w:tcPr>
          <w:p>
            <w:r>
              <w:rPr>
                <w:sz w:val="17"/>
              </w:rPr>
              <w:t>2,776</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1,992</w:t>
            </w:r>
          </w:p>
        </w:tc>
        <w:tc>
          <w:tcPr>
            <w:tcW w:type="dxa" w:w="1440"/>
            <w:shd w:fill="FFDCE0" w:val="clear"/>
          </w:tcPr>
          <w:p>
            <w:r>
              <w:rPr>
                <w:b/>
                <w:sz w:val="17"/>
              </w:rPr>
              <w:t>2,293</w:t>
            </w:r>
          </w:p>
        </w:tc>
        <w:tc>
          <w:tcPr>
            <w:tcW w:type="dxa" w:w="1440"/>
            <w:shd w:fill="FFDCE0" w:val="clear"/>
          </w:tcPr>
          <w:p>
            <w:r>
              <w:rPr>
                <w:sz w:val="17"/>
              </w:rPr>
              <w:t>2,594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1,820</w:t>
            </w:r>
          </w:p>
        </w:tc>
        <w:tc>
          <w:tcPr>
            <w:tcW w:type="dxa" w:w="1440"/>
            <w:shd w:fill="FFDCE0" w:val="clear"/>
          </w:tcPr>
          <w:p>
            <w:r>
              <w:rPr>
                <w:b/>
                <w:sz w:val="17"/>
              </w:rPr>
              <w:t>2,121</w:t>
            </w:r>
          </w:p>
        </w:tc>
        <w:tc>
          <w:tcPr>
            <w:tcW w:type="dxa" w:w="1440"/>
            <w:shd w:fill="FFDCE0" w:val="clear"/>
          </w:tcPr>
          <w:p>
            <w:r>
              <w:rPr>
                <w:sz w:val="17"/>
              </w:rPr>
              <w:t>2,421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1,664</w:t>
            </w:r>
          </w:p>
        </w:tc>
        <w:tc>
          <w:tcPr>
            <w:tcW w:type="dxa" w:w="1440"/>
            <w:shd w:fill="FFDCE0" w:val="clear"/>
          </w:tcPr>
          <w:p>
            <w:r>
              <w:rPr>
                <w:b/>
                <w:sz w:val="17"/>
              </w:rPr>
              <w:t>1,962</w:t>
            </w:r>
          </w:p>
        </w:tc>
        <w:tc>
          <w:tcPr>
            <w:tcW w:type="dxa" w:w="1440"/>
            <w:shd w:fill="FFDCE0" w:val="clear"/>
          </w:tcPr>
          <w:p>
            <w:r>
              <w:rPr>
                <w:sz w:val="17"/>
              </w:rPr>
              <w:t>2,259</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1,523</w:t>
            </w:r>
          </w:p>
        </w:tc>
        <w:tc>
          <w:tcPr>
            <w:tcW w:type="dxa" w:w="1440"/>
            <w:shd w:fill="FFDCE0" w:val="clear"/>
          </w:tcPr>
          <w:p>
            <w:r>
              <w:rPr>
                <w:b/>
                <w:sz w:val="17"/>
              </w:rPr>
              <w:t>1,814</w:t>
            </w:r>
          </w:p>
        </w:tc>
        <w:tc>
          <w:tcPr>
            <w:tcW w:type="dxa" w:w="1440"/>
            <w:shd w:fill="FFDCE0" w:val="clear"/>
          </w:tcPr>
          <w:p>
            <w:r>
              <w:rPr>
                <w:sz w:val="17"/>
              </w:rPr>
              <w:t>2,106</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1,394</w:t>
            </w:r>
          </w:p>
        </w:tc>
        <w:tc>
          <w:tcPr>
            <w:tcW w:type="dxa" w:w="1440"/>
            <w:shd w:fill="FFDCE0" w:val="clear"/>
          </w:tcPr>
          <w:p>
            <w:r>
              <w:rPr>
                <w:b/>
                <w:sz w:val="17"/>
              </w:rPr>
              <w:t>1,678</w:t>
            </w:r>
          </w:p>
        </w:tc>
        <w:tc>
          <w:tcPr>
            <w:tcW w:type="dxa" w:w="1440"/>
            <w:shd w:fill="FFDCE0" w:val="clear"/>
          </w:tcPr>
          <w:p>
            <w:r>
              <w:rPr>
                <w:sz w:val="17"/>
              </w:rPr>
              <w:t>1,963</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71,74 milliards FCFA, un niveau significatif sur la BRVM qui place la société parmi les valeurs moyennes du marché. Le BPA est négatif à -406 FCFA, reflétant la perte nette de l'exercice 2025, ce qui rend le PER non pertinent à -9,0x : les investisseurs paient actuellement pour la valeur patrimoniale et les perspectives de redressement, non pour les bénéfices courants. Le P/B de 4,16x est particulièrement exigeant, indiquant que le marché valorise l'actif net à plus de quatre fois sa valeur comptable, une prime substantielle qui traduit des anticipations de retournement très optimistes. Enfin, l'EV/EBITDA de 11,0x se situe dans la fourchette haute du marché BRVM, suggérant que la valeur d'entreprise intègre déjà une capacité bénéficiaire future significative, ce qui laisse peu de marge d'erreur sur l'exécution du plan de redressement.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+150,68%, passant d'un plus bas de 1 460 FCFA à un plus haut de 3 920 FCFA, avec un cours actuel de 3 660 FCFA, en léger repli de -0,95% sur la dernière séance. La moyenne du cours sur la période s'établit à 2 759 FCFA, légèrement inférieure à la médiane de 2 792 FCFA, indiquant une distribution quasi symétrique, confirmée par un skewness de -0,130. L'écart-type de 730 FCFA, soit un coefficient de variation de 26,5%, révèle une dispersion modérée des prix autour de la moyenne. Le kurtosis de -1,390 (distribution platykurtique) indique une faible concentration des valeurs autour de la moyenne, avec des mouvements de prix moins extrêmes que dans une distribution normale. La volatilité annualisée de 58,1% classe le titre comme très volatil, typique des valeurs en phase de retournement où le marché ajuste rapidement ses anticipations.</w:t>
      </w:r>
    </w:p>
    <w:p>
      <w:pPr>
        <w:spacing w:after="120" w:line="276" w:lineRule="auto" w:before="240"/>
      </w:pPr>
      <w:r>
        <w:rPr>
          <w:b/>
          <w:color w:val="003366"/>
          <w:sz w:val="24"/>
        </w:rPr>
        <w:t>**PARTIE 2 : ANALYSE TECHNIQUE DÉTAILLÉE**</w:t>
      </w:r>
    </w:p>
    <w:p>
      <w:pPr>
        <w:spacing w:after="120" w:line="276" w:lineRule="auto"/>
      </w:pPr>
      <w:r>
        <w:t>Les moyennes mobiles constituent le signal le plus haussier actuellement : la MM20 à 3 628,5 FCFA et la MM50 à 3 405,4 FCFA sont toutes deux inférieures au cours actuel de 3 660 FCFA, avec une configuration en "courbe de tendance haussière" où la MM20 est au-dessus de la MM50. Cette structure indique que la tendance de fond reste positive, bien que le cours semble marquer une pause après la forte progression récente.</w:t>
      </w:r>
    </w:p>
    <w:p>
      <w:pPr>
        <w:spacing w:after="120" w:line="276" w:lineRule="auto"/>
      </w:pPr>
      <w:r>
        <w:t>Les bandes de Bollinger montrent un prix à 3 660 FCFA, positionné entre la borne supérieure à 3 802,95 FCFA et la borne inférieure à 3 454,05 FCFA, soit dans la moitié haute du canal. L'écart entre les bornes reflète la volatilité élevée du titre. La position actuelle suggère un équilibre temporaire, sans signal de surachat ni de survente, d'où une décision neutre.</w:t>
      </w:r>
    </w:p>
    <w:p>
      <w:pPr>
        <w:spacing w:after="120" w:line="276" w:lineRule="auto"/>
      </w:pPr>
      <w:r>
        <w:t>Le MACD affiche une valeur de 66,978 inférieure à son signal de 85,976, indiquant un momentum baissier à court terme malgré la tendance haussière de fond. Cette divergence négative suggère un essoufflement de la dynamique haussière et appelle à la prudence, justifiant la décision de vente.</w:t>
      </w:r>
    </w:p>
    <w:p>
      <w:pPr>
        <w:spacing w:after="120" w:line="276" w:lineRule="auto"/>
      </w:pPr>
      <w:r>
        <w:t>Le RSI à 58,462 se situe en zone neutre, entre 30 et 70, indiquant que le titre n'est ni suracheté ni survendu. Cette valeur reflète un équilibre entre les forces acheteuses et vendeuses, sans signal directionnel fort, d'où la décision neutre.</w:t>
      </w:r>
    </w:p>
    <w:p>
      <w:pPr>
        <w:spacing w:after="120" w:line="276" w:lineRule="auto"/>
      </w:pPr>
      <w:r>
        <w:t>Le stochastique avec %K à 44,0 et %D à 47,454 montre un croisement baissier potentiel, le %K étant passé sous le %D, indiquant un affaiblissement du momentum haussier à court terme. La décision neutre reflète l'absence de confirmation claire d'un retournement majeur.</w:t>
      </w:r>
    </w:p>
    <w:p>
      <w:pPr>
        <w:spacing w:after="120" w:line="276" w:lineRule="auto"/>
      </w:pPr>
      <w:r>
        <w:t>La conclusion technique est mitigée : la tendance de fond reste haussière portée par les moyennes mobiles, mais les indicateurs de momentum (MACD, stochastique) montrent des signes d'essoufflement. Le RSI neutre et les bandes de Bollinger équilibrées suggèrent une phase de consolidation après la forte hausse, avec un risque de correction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révèlent une situation financière contrastée pour SCRC. Le chiffre d'affaires s'établit à 80,569 milliards FCFA, en recul de -7,6% par rapport à 2024, tandis que le résultat net est fortement déficitaire à -7,954 milliards FCFA, contre un bénéfice de 2,47 milliards en 2024, soit une dégradation de 421%. La marge nette ressort à -9,87%, le ROE à -46,13% et le ROA à -5,08%, traduisant une destruction de valeur significative. L'endettement financier total atteint 84,873 milliards FCFA avec un ratio d'endettement de 88,98%, et les charges financières ont explosé de 262% à 6,79 milliards FCFA. Le BFR de 6,529 milliards FCFA est positif, ce qui est défavorable, avec un délai fournisseurs très élevé de 366 jours et une durée de stockage de 361 jours, indiquant une immobilisation importante de capital. Les rapports de mai 2026 confirment cette dégradation, avec des recommandations de vente justifiées par l'érosion des capitaux propres et le niveau critique d'endettement. Le rapport du premier semestre 2025 montrait déjà une perte de -6,71 milliards FCFA, mais la direction table sur une campagne 2025/26 avec une production attendue entre 90 000 et 95 000 tonnes, soit une hausse de 14 à 20%, ce qui pourrait soutenir un rebond opérationnel. Les investissements massifs de 25,2 milliards FCFA en immobilisations suggèrent une stratégie de modernisation, mais la soutenabilité financière reste précaire avec une trésorerie nette négative de -6,505 milliards FCFA.</w:t>
      </w:r>
    </w:p>
    <w:p>
      <w:pPr>
        <w:spacing w:after="120" w:line="276" w:lineRule="auto" w:before="240"/>
      </w:pPr>
      <w:r>
        <w:rPr>
          <w:b/>
          <w:color w:val="003366"/>
          <w:sz w:val="24"/>
        </w:rPr>
        <w:t>**PARTIE 4 : CONCLUSION D'INVESTISSEMENT**</w:t>
      </w:r>
    </w:p>
    <w:p>
      <w:pPr>
        <w:spacing w:after="120" w:line="276" w:lineRule="auto"/>
      </w:pPr>
      <w:r>
        <w:t>La synthèse globale fait ressortir des signaux fortement contradictoires. La valorisation boursière avec un P/B de 4,16x et un EV/EBITDA de 11,0x apparaît très exigeante au regard des fondamentaux dégradés, suggérant une surévaluation relative. Le comportement du cours avec une hausse de +150% en 100 jours et une volatilité annualisée de 58,1% reflète un enthousiasme spéculatif qui contraste avec la réalité des pertes nettes. Les signaux techniques sont partagés : la tendance de fond reste haussière mais les indicateurs de momentum montrent un essoufflement, avec un MACD en divergence négative. Les fondamentaux sont préoccupants avec une perte de 7,95 milliards FCFA, un endettement massif et des charges financières insoutenables, bien que les investissements en cours et les perspectives de production 2025/26 laissent entrevoir un potentiel de redressement. Les prédictions IA pour les 10 prochains jours indiquent une trajectoire baissière marquée, avec un cours projeté à 2 478 FCFA contre 3 660 FCFA actuellement, soit une baisse potentielle de 32%, ce qui contredit fortement les signaux haussiers de long terme. Sur la base de cette analyse, la recommandation est une **VENTE** avec un niveau de confiance **Moyen** et un risque global **Élevé**. L'horizon d'investissement optimal serait le court terme (&lt;3 mois) pour les investisseurs cherchant à sécuriser leurs gains, tandis que les investisseurs à long terme devraient attendre une confirmation du redressement opérationnel avant toute nouvelle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104.49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974 titres</w:t>
            </w:r>
          </w:p>
        </w:tc>
        <w:tc>
          <w:tcPr>
            <w:tcW w:type="dxa" w:w="2268"/>
            <w:shd w:fill="FFF2CC" w:val="clear"/>
          </w:tcPr>
          <w:p>
            <w:r>
              <w:rPr>
                <w:b/>
                <w:color w:val="503200"/>
                <w:sz w:val="16"/>
              </w:rPr>
              <w:t xml:space="preserve">Cours actuel : </w:t>
            </w:r>
            <w:r>
              <w:rPr>
                <w:color w:val="000000"/>
                <w:sz w:val="17"/>
              </w:rPr>
              <w:t>11,610 FCFA</w:t>
            </w:r>
          </w:p>
          <w:p>
            <w:r>
              <w:rPr>
                <w:b/>
                <w:color w:val="503200"/>
                <w:sz w:val="16"/>
              </w:rPr>
              <w:t xml:space="preserve">Var. 100 jours : </w:t>
            </w:r>
            <w:r>
              <w:rPr>
                <w:b/>
                <w:color w:val="007800"/>
                <w:sz w:val="17"/>
              </w:rPr>
              <w:t>+49.04%</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27.5/100 → Moyen</w:t>
      </w:r>
    </w:p>
    <w:p>
      <w:pPr>
        <w:spacing w:before="40" w:after="80"/>
      </w:pPr>
      <w:r>
        <w:rPr>
          <w:rFonts w:ascii="Courier New" w:hAnsi="Courier New"/>
          <w:color w:val="825A00"/>
          <w:sz w:val="18"/>
        </w:rPr>
        <w:t>█████░░░░░░░░░░░░░░░  27.5/100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18.99% (Élevée) — μ=10,240 FCFA, σ=1,944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β=0.2657 (Défensif) — Cov=0.000008, Var(idx)=0.000031, ρ=0.065,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974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42/100  (Moyen)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10,992</w:t>
            </w:r>
          </w:p>
        </w:tc>
        <w:tc>
          <w:tcPr>
            <w:tcW w:type="dxa" w:w="1440"/>
            <w:shd w:fill="FFDCE0" w:val="clear"/>
          </w:tcPr>
          <w:p>
            <w:r>
              <w:rPr>
                <w:b/>
                <w:sz w:val="17"/>
              </w:rPr>
              <w:t>11,368</w:t>
            </w:r>
          </w:p>
        </w:tc>
        <w:tc>
          <w:tcPr>
            <w:tcW w:type="dxa" w:w="1440"/>
            <w:shd w:fill="FFDCE0" w:val="clear"/>
          </w:tcPr>
          <w:p>
            <w:r>
              <w:rPr>
                <w:sz w:val="17"/>
              </w:rPr>
              <w:t>11,744</w:t>
            </w:r>
          </w:p>
        </w:tc>
        <w:tc>
          <w:tcPr>
            <w:tcW w:type="dxa" w:w="1440"/>
            <w:shd w:fill="FFDCE0" w:val="clear"/>
          </w:tcPr>
          <w:p>
            <w:r>
              <w:rPr>
                <w:b/>
                <w:color w:val="C00000"/>
                <w:sz w:val="17"/>
              </w:rPr>
              <w:t>-2.1%</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10,735</w:t>
            </w:r>
          </w:p>
        </w:tc>
        <w:tc>
          <w:tcPr>
            <w:tcW w:type="dxa" w:w="1440"/>
            <w:shd w:fill="FFDCE0" w:val="clear"/>
          </w:tcPr>
          <w:p>
            <w:r>
              <w:rPr>
                <w:b/>
                <w:sz w:val="17"/>
              </w:rPr>
              <w:t>11,262</w:t>
            </w:r>
          </w:p>
        </w:tc>
        <w:tc>
          <w:tcPr>
            <w:tcW w:type="dxa" w:w="1440"/>
            <w:shd w:fill="FFDCE0" w:val="clear"/>
          </w:tcPr>
          <w:p>
            <w:r>
              <w:rPr>
                <w:sz w:val="17"/>
              </w:rPr>
              <w:t>11,789</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10,521</w:t>
            </w:r>
          </w:p>
        </w:tc>
        <w:tc>
          <w:tcPr>
            <w:tcW w:type="dxa" w:w="1440"/>
            <w:shd w:fill="FFDCE0" w:val="clear"/>
          </w:tcPr>
          <w:p>
            <w:r>
              <w:rPr>
                <w:b/>
                <w:sz w:val="17"/>
              </w:rPr>
              <w:t>11,161</w:t>
            </w:r>
          </w:p>
        </w:tc>
        <w:tc>
          <w:tcPr>
            <w:tcW w:type="dxa" w:w="1440"/>
            <w:shd w:fill="FFDCE0" w:val="clear"/>
          </w:tcPr>
          <w:p>
            <w:r>
              <w:rPr>
                <w:sz w:val="17"/>
              </w:rPr>
              <w:t>11,801</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10,335</w:t>
            </w:r>
          </w:p>
        </w:tc>
        <w:tc>
          <w:tcPr>
            <w:tcW w:type="dxa" w:w="1440"/>
            <w:shd w:fill="FFDCE0" w:val="clear"/>
          </w:tcPr>
          <w:p>
            <w:r>
              <w:rPr>
                <w:b/>
                <w:sz w:val="17"/>
              </w:rPr>
              <w:t>11,067</w:t>
            </w:r>
          </w:p>
        </w:tc>
        <w:tc>
          <w:tcPr>
            <w:tcW w:type="dxa" w:w="1440"/>
            <w:shd w:fill="FFDCE0" w:val="clear"/>
          </w:tcPr>
          <w:p>
            <w:r>
              <w:rPr>
                <w:sz w:val="17"/>
              </w:rPr>
              <w:t>11,800</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10,167</w:t>
            </w:r>
          </w:p>
        </w:tc>
        <w:tc>
          <w:tcPr>
            <w:tcW w:type="dxa" w:w="1440"/>
            <w:shd w:fill="FFDCE0" w:val="clear"/>
          </w:tcPr>
          <w:p>
            <w:r>
              <w:rPr>
                <w:b/>
                <w:sz w:val="17"/>
              </w:rPr>
              <w:t>10,980</w:t>
            </w:r>
          </w:p>
        </w:tc>
        <w:tc>
          <w:tcPr>
            <w:tcW w:type="dxa" w:w="1440"/>
            <w:shd w:fill="FFDCE0" w:val="clear"/>
          </w:tcPr>
          <w:p>
            <w:r>
              <w:rPr>
                <w:sz w:val="17"/>
              </w:rPr>
              <w:t>11,792</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10,015</w:t>
            </w:r>
          </w:p>
        </w:tc>
        <w:tc>
          <w:tcPr>
            <w:tcW w:type="dxa" w:w="1440"/>
            <w:shd w:fill="FFDCE0" w:val="clear"/>
          </w:tcPr>
          <w:p>
            <w:r>
              <w:rPr>
                <w:b/>
                <w:sz w:val="17"/>
              </w:rPr>
              <w:t>10,899</w:t>
            </w:r>
          </w:p>
        </w:tc>
        <w:tc>
          <w:tcPr>
            <w:tcW w:type="dxa" w:w="1440"/>
            <w:shd w:fill="FFDCE0" w:val="clear"/>
          </w:tcPr>
          <w:p>
            <w:r>
              <w:rPr>
                <w:sz w:val="17"/>
              </w:rPr>
              <w:t>11,782</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9,876</w:t>
            </w:r>
          </w:p>
        </w:tc>
        <w:tc>
          <w:tcPr>
            <w:tcW w:type="dxa" w:w="1440"/>
            <w:shd w:fill="FFDCE0" w:val="clear"/>
          </w:tcPr>
          <w:p>
            <w:r>
              <w:rPr>
                <w:b/>
                <w:sz w:val="17"/>
              </w:rPr>
              <w:t>10,824</w:t>
            </w:r>
          </w:p>
        </w:tc>
        <w:tc>
          <w:tcPr>
            <w:tcW w:type="dxa" w:w="1440"/>
            <w:shd w:fill="FFDCE0" w:val="clear"/>
          </w:tcPr>
          <w:p>
            <w:r>
              <w:rPr>
                <w:sz w:val="17"/>
              </w:rPr>
              <w:t>11,772</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9,749</w:t>
            </w:r>
          </w:p>
        </w:tc>
        <w:tc>
          <w:tcPr>
            <w:tcW w:type="dxa" w:w="1440"/>
            <w:shd w:fill="FFDCE0" w:val="clear"/>
          </w:tcPr>
          <w:p>
            <w:r>
              <w:rPr>
                <w:b/>
                <w:sz w:val="17"/>
              </w:rPr>
              <w:t>10,756</w:t>
            </w:r>
          </w:p>
        </w:tc>
        <w:tc>
          <w:tcPr>
            <w:tcW w:type="dxa" w:w="1440"/>
            <w:shd w:fill="FFDCE0" w:val="clear"/>
          </w:tcPr>
          <w:p>
            <w:r>
              <w:rPr>
                <w:sz w:val="17"/>
              </w:rPr>
              <w:t>11,763</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9,632</w:t>
            </w:r>
          </w:p>
        </w:tc>
        <w:tc>
          <w:tcPr>
            <w:tcW w:type="dxa" w:w="1440"/>
            <w:shd w:fill="FFDCE0" w:val="clear"/>
          </w:tcPr>
          <w:p>
            <w:r>
              <w:rPr>
                <w:b/>
                <w:sz w:val="17"/>
              </w:rPr>
              <w:t>10,694</w:t>
            </w:r>
          </w:p>
        </w:tc>
        <w:tc>
          <w:tcPr>
            <w:tcW w:type="dxa" w:w="1440"/>
            <w:shd w:fill="FFDCE0" w:val="clear"/>
          </w:tcPr>
          <w:p>
            <w:r>
              <w:rPr>
                <w:sz w:val="17"/>
              </w:rPr>
              <w:t>11,756</w:t>
            </w:r>
          </w:p>
        </w:tc>
        <w:tc>
          <w:tcPr>
            <w:tcW w:type="dxa" w:w="1440"/>
            <w:shd w:fill="FFDCE0" w:val="clear"/>
          </w:tcPr>
          <w:p>
            <w:r>
              <w:rPr>
                <w:b/>
                <w:color w:val="C00000"/>
                <w:sz w:val="17"/>
              </w:rPr>
              <w:t>-7.9%</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9,526</w:t>
            </w:r>
          </w:p>
        </w:tc>
        <w:tc>
          <w:tcPr>
            <w:tcW w:type="dxa" w:w="1440"/>
            <w:shd w:fill="FFDCE0" w:val="clear"/>
          </w:tcPr>
          <w:p>
            <w:r>
              <w:rPr>
                <w:b/>
                <w:sz w:val="17"/>
              </w:rPr>
              <w:t>10,639</w:t>
            </w:r>
          </w:p>
        </w:tc>
        <w:tc>
          <w:tcPr>
            <w:tcW w:type="dxa" w:w="1440"/>
            <w:shd w:fill="FFDCE0" w:val="clear"/>
          </w:tcPr>
          <w:p>
            <w:r>
              <w:rPr>
                <w:sz w:val="17"/>
              </w:rPr>
              <w:t>11,753</w:t>
            </w:r>
          </w:p>
        </w:tc>
        <w:tc>
          <w:tcPr>
            <w:tcW w:type="dxa" w:w="1440"/>
            <w:shd w:fill="FFDCE0" w:val="clear"/>
          </w:tcPr>
          <w:p>
            <w:r>
              <w:rPr>
                <w:b/>
                <w:color w:val="C00000"/>
                <w:sz w:val="17"/>
              </w:rPr>
              <w:t>-8.4%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104,49 milliards FCFA, un niveau significatif qui place la société parmi les valeurs moyennes de la BRVM, reflétant son statut de service public essentiel en Côte d'Ivoire. Avec un BPA de 518 FCFA, le PER de 22,4x est nettement supérieur à la moyenne historique de la BRVM (8-12x), indiquant que les investisseurs paient une prime substantielle pour la croissance anticipée et la stabilité perçue du titre. Le P/B de 5,30x confirme cette valorisation exigeante, le marché valorisant l'actif net comptable plus de cinq fois au-dessus de sa valeur, ce qui traduit une forte confiance dans la capacité de l'entreprise à générer des rendements futurs. Enfin, l'EV/EBITDA de 14,3x, bien que dans la fourchette haute (10-15x), suggère que la valeur totale de l'entreprise reste cohérente avec sa capacité opérationnelle, mais sans marge de sécurité significative pour un investisseur cherchant une décote.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SDCC a enregistré une performance spectaculaire de +49,04%, passant d'un plus bas de 7 140 FCFA à un plus haut de 12 195 FCFA, avec un cours actuel de 11 610 FCFA, stable par rapport à la séance précédente. Cette tendance fortement haussière est confirmée par les statistiques descriptives : la moyenne (10 240 FCFA) est inférieure à la médiane (11 152 FCFA), indiquant une asymétrie négative (skewness de -0,600) avec des journées de forte hausse concentrées en fin de période. L'écart-type de 1 954 FCFA (CV de 19,1%) révèle une dispersion modérée, tandis que le kurtosis de -1,391 (distribution platykurtique) suggère une absence de pics extrêmes, les mouvements étant plutôt progressifs. La volatilité annualisée de 36,2% classe le titre comme très volatil (&gt;30%), ce qui implique un risque élevé pour les investisseurs à court terme, mais reflète également le fort potentiel de rendement observé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(11 610 FCFA) se situe sous la MM20 (11 774 FCFA) et la MM50 (11 842 FCFA), indiquant une pression vendeuse à court terme malgré la tendance haussière de fond. La décision de "Vente" est justifiée par ce croisement baissier, signalant un possible repli technique après la forte progression.</w:t>
      </w:r>
    </w:p>
    <w:p>
      <w:pPr>
        <w:spacing w:after="120" w:line="276" w:lineRule="auto"/>
      </w:pPr>
      <w:r>
        <w:t>**Bandes de Bollinger** : Le prix évolue entre la borne inférieure (11 391 FCFA) et la borne supérieure (12 157 FCFA), proche de la zone médiane, ce qui traduit une volatilité modérée et une absence de signal directionnel fort. La décision "Neutre" est cohérente avec cette position centrale, suggérant une phase de consolidation.</w:t>
      </w:r>
    </w:p>
    <w:p>
      <w:pPr>
        <w:spacing w:after="120" w:line="276" w:lineRule="auto"/>
      </w:pPr>
      <w:r>
        <w:t>**MACD** : La valeur négative du MACD (-16,09) par rapport au signal (16,59) indique un momentum baissier récent, malgré la tendance haussière passée. La décision de "Vente" reflète cette divergence, signalant un affaiblissement de la dynamique haussière.</w:t>
      </w:r>
    </w:p>
    <w:p>
      <w:pPr>
        <w:spacing w:after="120" w:line="276" w:lineRule="auto"/>
      </w:pPr>
      <w:r>
        <w:t>**RSI** : À 44,50, le RSI se situe en zone neutre (30-70), indiquant un équilibre entre pression acheteuse et vendeuse. La décision "Neutre" est appropriée, le titre n'étant ni suracheté ni survendu, laissant place à une évolution directionnelle.</w:t>
      </w:r>
    </w:p>
    <w:p>
      <w:pPr>
        <w:spacing w:after="120" w:line="276" w:lineRule="auto"/>
      </w:pPr>
      <w:r>
        <w:t>**Stochastique** : Le %K (38,89) et le %D (38,58) sont proches et en zone neutre, sans croisement significatif. Cette configuration suggère une absence de momentum clair, justifiant la décision "Neutre".</w:t>
      </w:r>
    </w:p>
    <w:p>
      <w:pPr>
        <w:spacing w:after="120" w:line="276" w:lineRule="auto"/>
      </w:pPr>
      <w:r>
        <w:t>**Conclusion technique** : Les indicateurs sont globalement partagés entre signaux de vente (MM, MACD) et neutralité (Bollinger, RSI, Stochastique). Cette divergence indique une phase de consolidation après une forte hausse, avec un risque de repli à court terme avant une possible reprise. La tendance de fond reste haussière, mais la prudence est recommandée.</w:t>
      </w:r>
    </w:p>
    <w:p>
      <w:pPr>
        <w:spacing w:after="120" w:line="276" w:lineRule="auto"/>
      </w:pPr>
      <w:r>
        <w:t>---</w:t>
      </w:r>
    </w:p>
    <w:p>
      <w:pPr>
        <w:spacing w:after="120" w:line="276" w:lineRule="auto"/>
      </w:pPr>
      <w:r>
        <w:t>### PARTIE 3 : ANALYSE FONDAMENTALE (SECTION CRITIQUE)</w:t>
      </w:r>
    </w:p>
    <w:p>
      <w:pPr>
        <w:spacing w:after="120" w:line="276" w:lineRule="auto"/>
      </w:pPr>
      <w:r>
        <w:t>En 2025, SDCC a enregistré un chiffre d'affaires de 189,43 milliards FCFA, en croissance de 10% par rapport à 2024 (172,2 milliards FCFA), avec un résultat net de 4,663 milliards FCFA, en hausse de 31% (contre 3,6 milliards en 2024). Le ROE s'établit à 23,65%, un niveau excellent (&gt;15%), tandis que le ROA est faible à 0,99%, reflétant une lourde base d'actifs (472,67 milliards FCFA). En tant qu'entreprise, les délais clients sont très élevés à 749 jours, un risque majeur de trésorerie, compensé par un BFR négatif de 104,75 milliards FCFA, favorable à l'exploitation. L'endettement est significatif (ratio d'endettement de 95,83%), avec une capacité de remboursement de 8,18 ans, mais la couverture des intérêts est très confortable (1 583%). Sur la base du rapport T1 2026 (résultat net de 1,318 milliard FCFA, +118% vs T1 2025), on estime que l'exercice 2026 pourrait voir un résultat net annuel supérieur à 5,5 milliards FCFA, confirmant la dynamique positive. Les rapports de 2024 et S1 2025 montrent une amélioration progressive de la rentabilité, malgré des tensions de trésorerie persistantes. La recommandation fondamentale est de conserver, la solidité opérationnelle et la croissance compensant les risques de liquidité et de valorisation élevée.</w:t>
      </w:r>
    </w:p>
    <w:p>
      <w:pPr>
        <w:spacing w:after="120" w:line="276" w:lineRule="auto"/>
      </w:pPr>
      <w:r>
        <w:t>---</w:t>
      </w:r>
    </w:p>
    <w:p>
      <w:pPr>
        <w:spacing w:after="120" w:line="276" w:lineRule="auto"/>
      </w:pPr>
      <w:r>
        <w:t>### PARTIE 4 : CONCLUSION D'INVESTISSEMENT</w:t>
      </w:r>
    </w:p>
    <w:p>
      <w:pPr>
        <w:spacing w:after="120" w:line="276" w:lineRule="auto"/>
      </w:pPr>
      <w:r>
        <w:t>La valorisation de SDCC (PER 22,4x, P/B 5,30x) indique une surévaluation relative par rapport au marché BRVM, mais justifiée par une croissance solide des bénéfices et un ROE excellent. Le comportement du cours (+49% sur 100 jours) montre une tendance haussière forte, bien que la volatilité élevée (36,2%) et l'asymétrie négative suggèrent un risque de correction. Les signaux techniques sont mitigés, avec des indicateurs de vente (MM, MACD) contrebalancés par une neutralité sur le RSI et le Stochastique, indiquant une consolidation probable. Les fondamentaux sont solides, avec une croissance du CA de 10% en 2025 et des estimations optimistes pour 2026 (+118% au T1), malgré des risques de trésorerie et un endettement élevé. Les prédictions IA (baisse progressive de 11 368 à 10 980 FCFA sur 10 jours) confirment le scénario de repli technique à court terme. En synthèse, la convergence entre la surévaluation, les signaux techniques baissiers et les prédictions IA suggère une pause dans la hausse. **Recommandation : CONSERVER**, avec un niveau de confiance **Moyen**, un risque global **Élevé** (volatilité et endettement), et un horizon d'investissement optimal à **moyen terme (3-12 mois)** pour capitaliser sur la croissance fondamentale après une éventuelle correction.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151.06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16,479 titres</w:t>
            </w:r>
          </w:p>
        </w:tc>
        <w:tc>
          <w:tcPr>
            <w:tcW w:type="dxa" w:w="2268"/>
            <w:shd w:fill="FFF2CC" w:val="clear"/>
          </w:tcPr>
          <w:p>
            <w:r>
              <w:rPr>
                <w:b/>
                <w:color w:val="503200"/>
                <w:sz w:val="16"/>
              </w:rPr>
              <w:t xml:space="preserve">Cours actuel : </w:t>
            </w:r>
            <w:r>
              <w:rPr>
                <w:color w:val="000000"/>
                <w:sz w:val="17"/>
              </w:rPr>
              <w:t>2,775 FCFA</w:t>
            </w:r>
          </w:p>
          <w:p>
            <w:r>
              <w:rPr>
                <w:b/>
                <w:color w:val="503200"/>
                <w:sz w:val="16"/>
              </w:rPr>
              <w:t xml:space="preserve">Var. 100 jours : </w:t>
            </w:r>
            <w:r>
              <w:rPr>
                <w:b/>
                <w:color w:val="007800"/>
                <w:sz w:val="17"/>
              </w:rPr>
              <w:t>+52.47%</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28.8/100 → Moyen</w:t>
      </w:r>
    </w:p>
    <w:p>
      <w:pPr>
        <w:spacing w:before="40" w:after="80"/>
      </w:pPr>
      <w:r>
        <w:rPr>
          <w:rFonts w:ascii="Courier New" w:hAnsi="Courier New"/>
          <w:color w:val="825A00"/>
          <w:sz w:val="18"/>
        </w:rPr>
        <w:t>█████░░░░░░░░░░░░░░░  28.8/100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17.18% (Élevée) — μ=2,145 FCFA, σ=369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β=-0.0643 (Contre-cyclique) — Cov=-0.000002, Var(idx)=0.000031, ρ=-0.011,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16,479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2,554</w:t>
            </w:r>
          </w:p>
        </w:tc>
        <w:tc>
          <w:tcPr>
            <w:tcW w:type="dxa" w:w="1440"/>
            <w:shd w:fill="FAFAFA" w:val="clear"/>
          </w:tcPr>
          <w:p>
            <w:r>
              <w:rPr>
                <w:b/>
                <w:sz w:val="17"/>
              </w:rPr>
              <w:t>2,724</w:t>
            </w:r>
          </w:p>
        </w:tc>
        <w:tc>
          <w:tcPr>
            <w:tcW w:type="dxa" w:w="1440"/>
            <w:shd w:fill="FAFAFA" w:val="clear"/>
          </w:tcPr>
          <w:p>
            <w:r>
              <w:rPr>
                <w:sz w:val="17"/>
              </w:rPr>
              <w:t>2,895</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2,448</w:t>
            </w:r>
          </w:p>
        </w:tc>
        <w:tc>
          <w:tcPr>
            <w:tcW w:type="dxa" w:w="1440"/>
            <w:shd w:fill="FFDCE0" w:val="clear"/>
          </w:tcPr>
          <w:p>
            <w:r>
              <w:rPr>
                <w:b/>
                <w:sz w:val="17"/>
              </w:rPr>
              <w:t>2,686</w:t>
            </w:r>
          </w:p>
        </w:tc>
        <w:tc>
          <w:tcPr>
            <w:tcW w:type="dxa" w:w="1440"/>
            <w:shd w:fill="FFDCE0" w:val="clear"/>
          </w:tcPr>
          <w:p>
            <w:r>
              <w:rPr>
                <w:sz w:val="17"/>
              </w:rPr>
              <w:t>2,923</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2,369</w:t>
            </w:r>
          </w:p>
        </w:tc>
        <w:tc>
          <w:tcPr>
            <w:tcW w:type="dxa" w:w="1440"/>
            <w:shd w:fill="FFDCE0" w:val="clear"/>
          </w:tcPr>
          <w:p>
            <w:r>
              <w:rPr>
                <w:b/>
                <w:sz w:val="17"/>
              </w:rPr>
              <w:t>2,657</w:t>
            </w:r>
          </w:p>
        </w:tc>
        <w:tc>
          <w:tcPr>
            <w:tcW w:type="dxa" w:w="1440"/>
            <w:shd w:fill="FFDCE0" w:val="clear"/>
          </w:tcPr>
          <w:p>
            <w:r>
              <w:rPr>
                <w:sz w:val="17"/>
              </w:rPr>
              <w:t>2,945</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2,304</w:t>
            </w:r>
          </w:p>
        </w:tc>
        <w:tc>
          <w:tcPr>
            <w:tcW w:type="dxa" w:w="1440"/>
            <w:shd w:fill="FFDCE0" w:val="clear"/>
          </w:tcPr>
          <w:p>
            <w:r>
              <w:rPr>
                <w:b/>
                <w:sz w:val="17"/>
              </w:rPr>
              <w:t>2,633</w:t>
            </w:r>
          </w:p>
        </w:tc>
        <w:tc>
          <w:tcPr>
            <w:tcW w:type="dxa" w:w="1440"/>
            <w:shd w:fill="FFDCE0" w:val="clear"/>
          </w:tcPr>
          <w:p>
            <w:r>
              <w:rPr>
                <w:sz w:val="17"/>
              </w:rPr>
              <w:t>2,963</w:t>
            </w:r>
          </w:p>
        </w:tc>
        <w:tc>
          <w:tcPr>
            <w:tcW w:type="dxa" w:w="1440"/>
            <w:shd w:fill="FFDCE0" w:val="clear"/>
          </w:tcPr>
          <w:p>
            <w:r>
              <w:rPr>
                <w:b/>
                <w:color w:val="C00000"/>
                <w:sz w:val="17"/>
              </w:rPr>
              <w:t>-5.1%</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2,247</w:t>
            </w:r>
          </w:p>
        </w:tc>
        <w:tc>
          <w:tcPr>
            <w:tcW w:type="dxa" w:w="1440"/>
            <w:shd w:fill="FFDCE0" w:val="clear"/>
          </w:tcPr>
          <w:p>
            <w:r>
              <w:rPr>
                <w:b/>
                <w:sz w:val="17"/>
              </w:rPr>
              <w:t>2,612</w:t>
            </w:r>
          </w:p>
        </w:tc>
        <w:tc>
          <w:tcPr>
            <w:tcW w:type="dxa" w:w="1440"/>
            <w:shd w:fill="FFDCE0" w:val="clear"/>
          </w:tcPr>
          <w:p>
            <w:r>
              <w:rPr>
                <w:sz w:val="17"/>
              </w:rPr>
              <w:t>2,978</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2,196</w:t>
            </w:r>
          </w:p>
        </w:tc>
        <w:tc>
          <w:tcPr>
            <w:tcW w:type="dxa" w:w="1440"/>
            <w:shd w:fill="FFDCE0" w:val="clear"/>
          </w:tcPr>
          <w:p>
            <w:r>
              <w:rPr>
                <w:b/>
                <w:sz w:val="17"/>
              </w:rPr>
              <w:t>2,593</w:t>
            </w:r>
          </w:p>
        </w:tc>
        <w:tc>
          <w:tcPr>
            <w:tcW w:type="dxa" w:w="1440"/>
            <w:shd w:fill="FFDCE0" w:val="clear"/>
          </w:tcPr>
          <w:p>
            <w:r>
              <w:rPr>
                <w:sz w:val="17"/>
              </w:rPr>
              <w:t>2,991</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2,149</w:t>
            </w:r>
          </w:p>
        </w:tc>
        <w:tc>
          <w:tcPr>
            <w:tcW w:type="dxa" w:w="1440"/>
            <w:shd w:fill="FFDCE0" w:val="clear"/>
          </w:tcPr>
          <w:p>
            <w:r>
              <w:rPr>
                <w:b/>
                <w:sz w:val="17"/>
              </w:rPr>
              <w:t>2,575</w:t>
            </w:r>
          </w:p>
        </w:tc>
        <w:tc>
          <w:tcPr>
            <w:tcW w:type="dxa" w:w="1440"/>
            <w:shd w:fill="FFDCE0" w:val="clear"/>
          </w:tcPr>
          <w:p>
            <w:r>
              <w:rPr>
                <w:sz w:val="17"/>
              </w:rPr>
              <w:t>3,001</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2,105</w:t>
            </w:r>
          </w:p>
        </w:tc>
        <w:tc>
          <w:tcPr>
            <w:tcW w:type="dxa" w:w="1440"/>
            <w:shd w:fill="FFDCE0" w:val="clear"/>
          </w:tcPr>
          <w:p>
            <w:r>
              <w:rPr>
                <w:b/>
                <w:sz w:val="17"/>
              </w:rPr>
              <w:t>2,558</w:t>
            </w:r>
          </w:p>
        </w:tc>
        <w:tc>
          <w:tcPr>
            <w:tcW w:type="dxa" w:w="1440"/>
            <w:shd w:fill="FFDCE0" w:val="clear"/>
          </w:tcPr>
          <w:p>
            <w:r>
              <w:rPr>
                <w:sz w:val="17"/>
              </w:rPr>
              <w:t>3,010</w:t>
            </w:r>
          </w:p>
        </w:tc>
        <w:tc>
          <w:tcPr>
            <w:tcW w:type="dxa" w:w="1440"/>
            <w:shd w:fill="FFDCE0" w:val="clear"/>
          </w:tcPr>
          <w:p>
            <w:r>
              <w:rPr>
                <w:b/>
                <w:color w:val="C00000"/>
                <w:sz w:val="17"/>
              </w:rPr>
              <w:t>-7.8%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2,064</w:t>
            </w:r>
          </w:p>
        </w:tc>
        <w:tc>
          <w:tcPr>
            <w:tcW w:type="dxa" w:w="1440"/>
            <w:shd w:fill="FFDCE0" w:val="clear"/>
          </w:tcPr>
          <w:p>
            <w:r>
              <w:rPr>
                <w:b/>
                <w:sz w:val="17"/>
              </w:rPr>
              <w:t>2,541</w:t>
            </w:r>
          </w:p>
        </w:tc>
        <w:tc>
          <w:tcPr>
            <w:tcW w:type="dxa" w:w="1440"/>
            <w:shd w:fill="FFDCE0" w:val="clear"/>
          </w:tcPr>
          <w:p>
            <w:r>
              <w:rPr>
                <w:sz w:val="17"/>
              </w:rPr>
              <w:t>3,018</w:t>
            </w:r>
          </w:p>
        </w:tc>
        <w:tc>
          <w:tcPr>
            <w:tcW w:type="dxa" w:w="1440"/>
            <w:shd w:fill="FFDCE0" w:val="clear"/>
          </w:tcPr>
          <w:p>
            <w:r>
              <w:rPr>
                <w:b/>
                <w:color w:val="C00000"/>
                <w:sz w:val="17"/>
              </w:rPr>
              <w:t>-8.4%</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2,025</w:t>
            </w:r>
          </w:p>
        </w:tc>
        <w:tc>
          <w:tcPr>
            <w:tcW w:type="dxa" w:w="1440"/>
            <w:shd w:fill="FFDCE0" w:val="clear"/>
          </w:tcPr>
          <w:p>
            <w:r>
              <w:rPr>
                <w:b/>
                <w:sz w:val="17"/>
              </w:rPr>
              <w:t>2,525</w:t>
            </w:r>
          </w:p>
        </w:tc>
        <w:tc>
          <w:tcPr>
            <w:tcW w:type="dxa" w:w="1440"/>
            <w:shd w:fill="FFDCE0" w:val="clear"/>
          </w:tcPr>
          <w:p>
            <w:r>
              <w:rPr>
                <w:sz w:val="17"/>
              </w:rPr>
              <w:t>3,024</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(AGL CÔTE D'IVOIRE)**</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151,06 milliards FCFA, un niveau significatif qui la positionne parmi les valeurs moyennes à grandes capitalisations de la BRVM. Avec un BPA de 387 FCFA, le titre se négocie à un PER de 7,2x, ce qui est inférieur à la moyenne historique de la place (~8-12x), suggérant une sous-évaluation relative du titre par rapport à ses bénéfices publiés. Le P/B de 1,94x indique que le marché valorise la société à près de deux fois sa valeur comptable, une valorisation raisonnable pour une entreprise avec un ROE aussi élevé. En revanche, l'EV/EBITDA de 32,6x est très exigeant, signalant que la valeur d'entreprise (incluant la dette) est élevée par rapport à la capacité opérationnelle de base, ce qui pourrait refléter les attentes de croissance future ou une déconnexion entre le cours et la génération de cash-flow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spectaculaire de +52,47%, passant d'un plus bas de 1 650 FCFA à un plus haut de 2 820 FCFA, avant de clôturer à 2 775 FCFA, en légère baisse de -0,72% sur la dernière séance. Cette tendance est clairement haussière, portée par un fort momentum. La moyenne du cours sur la période (2 145 FCFA) est nettement inférieure à la médiane (1 992 FCFA), et le mode (1 920 FCFA) est encore plus bas, ce qui indique que le titre a passé la majorité du temps à des niveaux inférieurs avant une accélération récente. L'écart-type de 370 FCFA (CV de 17,3%) montre une dispersion modérée des prix autour de la moyenne. Le kurtosis négatif (-1.304) signale une distribution platykurtique, c'est-à-dire sans pics extrêmes, tandis que le skewness positif (0.418) confirme une asymétrie vers la droite, avec des queues de distribution plus longues côté hausse. La volatilité annualisée de 50,3% est très élevée, classant ce titre comme particulièrement risqué pour un investisseur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(2 775 FCFA) se situe nettement au-dessus de la MM20 (2 685,75 FCFA) et de la MM50 (2 462,6 FCFA). Cette configuration haussière, où le prix est soutenu par les moyennes mobiles courtes et longues, confirme la dynamique positive et justifie la décision d'achat. La pente des MM est ascendante, renforçant le signal.</w:t>
      </w:r>
    </w:p>
    <w:p>
      <w:pPr>
        <w:spacing w:after="120" w:line="276" w:lineRule="auto"/>
      </w:pPr>
      <w:r>
        <w:t>**Bandes de Bollinger :** Le prix se négocie à 2 775 FCFA, en dessous de la borne supérieure (2 912,24 FCFA) mais bien au-dessus de la borne inférieure (2 459,26 FCFA). La position dans la moitié supérieure des bandes indique une pression acheteuse persistante, mais sans atteindre des niveaux de surachat extrême. La décision est neutre, car le titre n'est pas en zone de "breakout" ni de retournement majeur, mais la largeur des bandes reflète la volatilité élevée.</w:t>
      </w:r>
    </w:p>
    <w:p>
      <w:pPr>
        <w:spacing w:after="120" w:line="276" w:lineRule="auto"/>
      </w:pPr>
      <w:r>
        <w:t>**MACD :** Le MACD (68,992) est passé sous sa ligne de signal (70,738), générant un signal de vente à court terme. Cette divergence baissière suggère un affaiblissement du momentum haussier après une forte progression. Bien que les deux lignes restent en territoire positif, ce croisement est un avertissement technique indiquant une possible consolidation ou correction.</w:t>
      </w:r>
    </w:p>
    <w:p>
      <w:pPr>
        <w:spacing w:after="120" w:line="276" w:lineRule="auto"/>
      </w:pPr>
      <w:r>
        <w:t>**RSI :** Le RSI s'établit à 50,68, une valeur parfaitement neutre. Le titre n'est ni suracheté ni survendu, ce qui laisse une marge de manœuvre dans les deux sens. Cette neutralité indique que l'élan haussier s'est estompé après la récente poussée, et que les acheteurs et vendeurs sont actuellement à l'équilibre.</w:t>
      </w:r>
    </w:p>
    <w:p>
      <w:pPr>
        <w:spacing w:after="120" w:line="276" w:lineRule="auto"/>
      </w:pPr>
      <w:r>
        <w:t>**Stochastique :** Le %K (95,455) et le %D (95,272) sont tous deux à des niveaux extrêmement élevés, bien au-dessus du seuil de surachat (80). Cette configuration signale que le titre est en territoire de surachat sévère, avec un risque élevé de retournement baissier. La décision de vente est justifiée par la probabilité croissante d'une correction technique.</w:t>
      </w:r>
    </w:p>
    <w:p>
      <w:pPr>
        <w:spacing w:after="120" w:line="276" w:lineRule="auto"/>
      </w:pPr>
      <w:r>
        <w:t>**Conclusion technique :** Les indicateurs sont mitigés. La tendance de fond (MM) reste haussière, mais les oscillateurs de momentum (MACD, Stochastique) montrent des signes d'essoufflement et de surachat. Le RSI neutre et les bandes de Bollinger suggèrent une pause. La prudence est de mise à court terme, avec un risque de consolidation après une hausse aussi rapide.</w:t>
      </w:r>
    </w:p>
    <w:p>
      <w:pPr>
        <w:spacing w:after="120" w:line="276" w:lineRule="auto"/>
      </w:pPr>
      <w:r>
        <w:t>---</w:t>
      </w:r>
    </w:p>
    <w:p>
      <w:pPr>
        <w:spacing w:after="120" w:line="276" w:lineRule="auto"/>
      </w:pPr>
      <w:r>
        <w:t>### PARTIE 3 : ANALYSE FONDAMENTALE (SECTION CRITIQUE)</w:t>
      </w:r>
    </w:p>
    <w:p>
      <w:pPr>
        <w:spacing w:after="120" w:line="276" w:lineRule="auto"/>
      </w:pPr>
      <w:r>
        <w:t>En 2024, selon les données structurées, SDSC a réalisé un chiffre d'affaires de 85,643 milliards FCFA, en croissance de 3,65%, et un résultat net de 21,069 milliards FCFA, soit une marge nette exceptionnelle de 24,6%. La rentabilité des fonds propres (ROE) était excellente à 27,08%, et le ROA de 11,2% démontre une bonne efficacité de l'utilisation des actifs. Cependant, l'analyse des rapports narratifs révèle une dégradation brutale en 2025. Le rapport annuel 2025 (analysé par DeepSeek le 05/08/2026) indique un CA en hausse de 7,43% à 92,004 milliards FCFA, mais un résultat net effondré à 784,97 millions FCFA (marge nette de 0,85%), avec un résultat d'exploitation négatif de -2,27 milliards FCFA. Cette chute est attribuée à une hausse des dotations aux amortissements et à l'absence de dividendes des filiales. Les rapports trimestriels 2025 confirment cette tendance : le T1 2025 était déficitaire (-193 millions), le S1 2025 a creusé les pertes (-427 millions), et le T3 2025 a vu le résultat net chuter de 77% à 4,341 milliards, uniquement grâce à des éléments exceptionnels. Les fondamentaux se sont donc considérablement dégradés en 2025, malgré une croissance du CA. La trésorerie nette a bondi à 74,78 milliards FCFA, mais le BFR a explosé, et le dividende proposé a été réduit de 89%, passant à 544 millions FCFA. La recommandation des analystes est de "Conserver", soulignant la solidité du bilan mais la faiblesse de la rentabilité opérationnelle.</w:t>
      </w:r>
    </w:p>
    <w:p>
      <w:pPr>
        <w:spacing w:after="120" w:line="276" w:lineRule="auto"/>
      </w:pPr>
      <w:r>
        <w:t>---</w:t>
      </w:r>
    </w:p>
    <w:p>
      <w:pPr>
        <w:spacing w:after="120" w:line="276" w:lineRule="auto"/>
      </w:pPr>
      <w:r>
        <w:t>### PARTIE 4 : CONCLUSION D'INVESTISSEMENT</w:t>
      </w:r>
    </w:p>
    <w:p>
      <w:pPr>
        <w:spacing w:after="120" w:line="276" w:lineRule="auto"/>
      </w:pPr>
      <w:r>
        <w:t>La valorisation de SDSC présente un paradoxe : le PER de 7,2x (basé sur les bénéfices 2024) suggère une sous-évaluation, mais l'EV/EBITDA de 32,6x et la chute de 96% du résultat net en 2025 indiquent que les bénéfices futurs seront bien inférieurs, rendant le PER actuel potentiellement trompeur. Le comportement du cours (+52% en 100 jours) est en forte divergence avec la détérioration des fondamentaux, et les statistiques (volatilité de 50%, skewness positif) montrent un titre spéculatif. Les signaux techniques sont mitigés : la tendance (MM) est haussière, mais les oscillateurs (MACD, Stochastique) signalent un épuisement du mouvement et un risque de correction. Les prédictions IA pour les 10 prochains jours (baisse de 2 724 à 2 612 FCFA) confirment cette anticipation de repli technique. En synthèse, la convergence entre la faiblesse des fondamentaux 2025, les signaux techniques de surachat et les prédictions IA baissières l'emporte sur la valorisation historique. **Recommandation : VENTE.** Le niveau de confiance est **Moyen**, car la tendance de fond reste haussière et la trésorerie est solide. Le risque global est **Élevé** en raison de la volatilité extrême et de l'incertitude sur la capacité de la direction à restaurer les marges. Horizon d'investissement optimal : **court terme (&lt;3 mois)** pour les traders, avec un stop-loss sous les 2 600 FCFA. Pour un investisseur long terme, il est prudent d'attendre une stabilisation des résultats et une clarification sur la politique de dividende.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37.53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5,044 titres</w:t>
            </w:r>
          </w:p>
        </w:tc>
        <w:tc>
          <w:tcPr>
            <w:tcW w:type="dxa" w:w="2268"/>
            <w:shd w:fill="FFF2CC" w:val="clear"/>
          </w:tcPr>
          <w:p>
            <w:r>
              <w:rPr>
                <w:b/>
                <w:color w:val="503200"/>
                <w:sz w:val="16"/>
              </w:rPr>
              <w:t xml:space="preserve">Cours actuel : </w:t>
            </w:r>
            <w:r>
              <w:rPr>
                <w:color w:val="000000"/>
                <w:sz w:val="17"/>
              </w:rPr>
              <w:t>1,490 FCFA</w:t>
            </w:r>
          </w:p>
          <w:p>
            <w:r>
              <w:rPr>
                <w:b/>
                <w:color w:val="503200"/>
                <w:sz w:val="16"/>
              </w:rPr>
              <w:t xml:space="preserve">Var. 100 jours : </w:t>
            </w:r>
            <w:r>
              <w:rPr>
                <w:b/>
                <w:color w:val="B40000"/>
                <w:sz w:val="17"/>
              </w:rPr>
              <w:t>-24.56%</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12.28% (Moyenne) — μ=1,614 FCFA, σ=198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β=1.0129 (Neutre (suit le marché)) — Cov=0.000032, Var(idx)=0.000031, ρ=0.174,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5,044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1,380</w:t>
            </w:r>
          </w:p>
        </w:tc>
        <w:tc>
          <w:tcPr>
            <w:tcW w:type="dxa" w:w="1440"/>
            <w:shd w:fill="FFDCE0" w:val="clear"/>
          </w:tcPr>
          <w:p>
            <w:r>
              <w:rPr>
                <w:b/>
                <w:sz w:val="17"/>
              </w:rPr>
              <w:t>1,450</w:t>
            </w:r>
          </w:p>
        </w:tc>
        <w:tc>
          <w:tcPr>
            <w:tcW w:type="dxa" w:w="1440"/>
            <w:shd w:fill="FFDCE0" w:val="clear"/>
          </w:tcPr>
          <w:p>
            <w:r>
              <w:rPr>
                <w:sz w:val="17"/>
              </w:rPr>
              <w:t>1,519</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1,342</w:t>
            </w:r>
          </w:p>
        </w:tc>
        <w:tc>
          <w:tcPr>
            <w:tcW w:type="dxa" w:w="1440"/>
            <w:shd w:fill="FFDCE0" w:val="clear"/>
          </w:tcPr>
          <w:p>
            <w:r>
              <w:rPr>
                <w:b/>
                <w:sz w:val="17"/>
              </w:rPr>
              <w:t>1,440</w:t>
            </w:r>
          </w:p>
        </w:tc>
        <w:tc>
          <w:tcPr>
            <w:tcW w:type="dxa" w:w="1440"/>
            <w:shd w:fill="FFDCE0" w:val="clear"/>
          </w:tcPr>
          <w:p>
            <w:r>
              <w:rPr>
                <w:sz w:val="17"/>
              </w:rPr>
              <w:t>1,538</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1,309</w:t>
            </w:r>
          </w:p>
        </w:tc>
        <w:tc>
          <w:tcPr>
            <w:tcW w:type="dxa" w:w="1440"/>
            <w:shd w:fill="FFDCE0" w:val="clear"/>
          </w:tcPr>
          <w:p>
            <w:r>
              <w:rPr>
                <w:b/>
                <w:sz w:val="17"/>
              </w:rPr>
              <w:t>1,427</w:t>
            </w:r>
          </w:p>
        </w:tc>
        <w:tc>
          <w:tcPr>
            <w:tcW w:type="dxa" w:w="1440"/>
            <w:shd w:fill="FFDCE0" w:val="clear"/>
          </w:tcPr>
          <w:p>
            <w:r>
              <w:rPr>
                <w:sz w:val="17"/>
              </w:rPr>
              <w:t>1,545</w:t>
            </w:r>
          </w:p>
        </w:tc>
        <w:tc>
          <w:tcPr>
            <w:tcW w:type="dxa" w:w="1440"/>
            <w:shd w:fill="FFDCE0" w:val="clear"/>
          </w:tcPr>
          <w:p>
            <w:r>
              <w:rPr>
                <w:b/>
                <w:color w:val="C00000"/>
                <w:sz w:val="17"/>
              </w:rPr>
              <w:t>-4.2%</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1,278</w:t>
            </w:r>
          </w:p>
        </w:tc>
        <w:tc>
          <w:tcPr>
            <w:tcW w:type="dxa" w:w="1440"/>
            <w:shd w:fill="FFDCE0" w:val="clear"/>
          </w:tcPr>
          <w:p>
            <w:r>
              <w:rPr>
                <w:b/>
                <w:sz w:val="17"/>
              </w:rPr>
              <w:t>1,413</w:t>
            </w:r>
          </w:p>
        </w:tc>
        <w:tc>
          <w:tcPr>
            <w:tcW w:type="dxa" w:w="1440"/>
            <w:shd w:fill="FFDCE0" w:val="clear"/>
          </w:tcPr>
          <w:p>
            <w:r>
              <w:rPr>
                <w:sz w:val="17"/>
              </w:rPr>
              <w:t>1,549</w:t>
            </w:r>
          </w:p>
        </w:tc>
        <w:tc>
          <w:tcPr>
            <w:tcW w:type="dxa" w:w="1440"/>
            <w:shd w:fill="FFDCE0" w:val="clear"/>
          </w:tcPr>
          <w:p>
            <w:r>
              <w:rPr>
                <w:b/>
                <w:color w:val="C00000"/>
                <w:sz w:val="17"/>
              </w:rPr>
              <w:t>-5.2%</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1,250</w:t>
            </w:r>
          </w:p>
        </w:tc>
        <w:tc>
          <w:tcPr>
            <w:tcW w:type="dxa" w:w="1440"/>
            <w:shd w:fill="FFDCE0" w:val="clear"/>
          </w:tcPr>
          <w:p>
            <w:r>
              <w:rPr>
                <w:b/>
                <w:sz w:val="17"/>
              </w:rPr>
              <w:t>1,399</w:t>
            </w:r>
          </w:p>
        </w:tc>
        <w:tc>
          <w:tcPr>
            <w:tcW w:type="dxa" w:w="1440"/>
            <w:shd w:fill="FFDCE0" w:val="clear"/>
          </w:tcPr>
          <w:p>
            <w:r>
              <w:rPr>
                <w:sz w:val="17"/>
              </w:rPr>
              <w:t>1,549</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1,223</w:t>
            </w:r>
          </w:p>
        </w:tc>
        <w:tc>
          <w:tcPr>
            <w:tcW w:type="dxa" w:w="1440"/>
            <w:shd w:fill="FFDCE0" w:val="clear"/>
          </w:tcPr>
          <w:p>
            <w:r>
              <w:rPr>
                <w:b/>
                <w:sz w:val="17"/>
              </w:rPr>
              <w:t>1,386</w:t>
            </w:r>
          </w:p>
        </w:tc>
        <w:tc>
          <w:tcPr>
            <w:tcW w:type="dxa" w:w="1440"/>
            <w:shd w:fill="FFDCE0" w:val="clear"/>
          </w:tcPr>
          <w:p>
            <w:r>
              <w:rPr>
                <w:sz w:val="17"/>
              </w:rPr>
              <w:t>1,549</w:t>
            </w:r>
          </w:p>
        </w:tc>
        <w:tc>
          <w:tcPr>
            <w:tcW w:type="dxa" w:w="1440"/>
            <w:shd w:fill="FFDCE0" w:val="clear"/>
          </w:tcPr>
          <w:p>
            <w:r>
              <w:rPr>
                <w:b/>
                <w:color w:val="C00000"/>
                <w:sz w:val="17"/>
              </w:rPr>
              <w:t>-7.0%</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1,199</w:t>
            </w:r>
          </w:p>
        </w:tc>
        <w:tc>
          <w:tcPr>
            <w:tcW w:type="dxa" w:w="1440"/>
            <w:shd w:fill="FFDCE0" w:val="clear"/>
          </w:tcPr>
          <w:p>
            <w:r>
              <w:rPr>
                <w:b/>
                <w:sz w:val="17"/>
              </w:rPr>
              <w:t>1,373</w:t>
            </w:r>
          </w:p>
        </w:tc>
        <w:tc>
          <w:tcPr>
            <w:tcW w:type="dxa" w:w="1440"/>
            <w:shd w:fill="FFDCE0" w:val="clear"/>
          </w:tcPr>
          <w:p>
            <w:r>
              <w:rPr>
                <w:sz w:val="17"/>
              </w:rPr>
              <w:t>1,547</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1,176</w:t>
            </w:r>
          </w:p>
        </w:tc>
        <w:tc>
          <w:tcPr>
            <w:tcW w:type="dxa" w:w="1440"/>
            <w:shd w:fill="FFDCE0" w:val="clear"/>
          </w:tcPr>
          <w:p>
            <w:r>
              <w:rPr>
                <w:b/>
                <w:sz w:val="17"/>
              </w:rPr>
              <w:t>1,360</w:t>
            </w:r>
          </w:p>
        </w:tc>
        <w:tc>
          <w:tcPr>
            <w:tcW w:type="dxa" w:w="1440"/>
            <w:shd w:fill="FFDCE0" w:val="clear"/>
          </w:tcPr>
          <w:p>
            <w:r>
              <w:rPr>
                <w:sz w:val="17"/>
              </w:rPr>
              <w:t>1,544</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1,154</w:t>
            </w:r>
          </w:p>
        </w:tc>
        <w:tc>
          <w:tcPr>
            <w:tcW w:type="dxa" w:w="1440"/>
            <w:shd w:fill="FFDCE0" w:val="clear"/>
          </w:tcPr>
          <w:p>
            <w:r>
              <w:rPr>
                <w:b/>
                <w:sz w:val="17"/>
              </w:rPr>
              <w:t>1,347</w:t>
            </w:r>
          </w:p>
        </w:tc>
        <w:tc>
          <w:tcPr>
            <w:tcW w:type="dxa" w:w="1440"/>
            <w:shd w:fill="FFDCE0" w:val="clear"/>
          </w:tcPr>
          <w:p>
            <w:r>
              <w:rPr>
                <w:sz w:val="17"/>
              </w:rPr>
              <w:t>1,541</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1,133</w:t>
            </w:r>
          </w:p>
        </w:tc>
        <w:tc>
          <w:tcPr>
            <w:tcW w:type="dxa" w:w="1440"/>
            <w:shd w:fill="FFDCE0" w:val="clear"/>
          </w:tcPr>
          <w:p>
            <w:r>
              <w:rPr>
                <w:b/>
                <w:sz w:val="17"/>
              </w:rPr>
              <w:t>1,335</w:t>
            </w:r>
          </w:p>
        </w:tc>
        <w:tc>
          <w:tcPr>
            <w:tcW w:type="dxa" w:w="1440"/>
            <w:shd w:fill="FFDCE0" w:val="clear"/>
          </w:tcPr>
          <w:p>
            <w:r>
              <w:rPr>
                <w:sz w:val="17"/>
              </w:rPr>
              <w:t>1,537</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Voici le rapport d'analyse structuré pour l'action SEMC,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37,53 milliards FCFA, un niveau modeste qui la classe parmi les valeurs de taille moyenne sur la BRVM. Les ratios de valorisation (BPA, PER, P/B, EV/EBITDA) ne sont pas calculables en raison de l'absence de données financières structurées dans la base. Cependant, sur la base des rapports fondamentaux disponibles, le BPA ressort à environ 40,4 FCFA (résultat net 2023 de 1,01 Md FCFA / 25,19 millions d'actions), ce qui implique un PER d'environ 36,9x, très supérieur à la moyenne du marché (8-12x). Ce niveau de valorisation est extrêmement élevé et reflète une décote de confiance du marché, ou des attentes de rebond très fortes, mais il signale surtout un risque de surévaluation par rapport aux bénéfices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SEMC a subi une forte dépréciation de -24,56%, avec une légère baisse de -0,33% lors de la dernière séance, clôturant à 1 490 FCFA. Le cours a évolué dans une fourchette large de 1 350 à 2 265 FCFA, illustrant une grande amplitude de trading. La moyenne (1 614 FCFA) est supérieure à la médiane (1 542 FCFA), ce qui, combiné à un skewness positif (1,396), indique une distribution asymétrique avec des épisodes de fortes hausses suivis de longues périodes de baisse. L'écart-type de 199 FCFA (CV=12,3%) montre une dispersion modérée, mais le kurtosis élevé (1,023) signale un risque de mouvements extrêmes. La volatilité annualisée de 51,2% est très élevée, classant le titre comme spéculatif et risqué à court terme.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(1 490 FCFA) est inférieur à la MM20 (1 478,5 FCFA) et à la MM50 (1 510,3 FCFA). La position sous la MM50 confirme une tendance de fond baissière, et le croisement sous la MM20 récente renforce ce signal. La décision de "Vente" est justifiée par cette configuration baissière.</w:t>
      </w:r>
    </w:p>
    <w:p>
      <w:pPr>
        <w:spacing w:after="120" w:line="276" w:lineRule="auto"/>
      </w:pPr>
      <w:r>
        <w:t>**Bandes de Bollinger**: Le prix se situe à 1 490 FCFA, à l'intérieur des bandes (borne supérieure à 1 546,6 et inférieure à 1 410,4). Le cours est proche de la bande inférieure, ce qui peut indiquer une condition de survente, mais sans signal de retournement. La décision "Neutre" est cohérente avec un prix qui évolue dans un canal sans direction claire à très court terme.</w:t>
      </w:r>
    </w:p>
    <w:p>
      <w:pPr>
        <w:spacing w:after="120" w:line="276" w:lineRule="auto"/>
      </w:pPr>
      <w:r>
        <w:t>**MACD**: La valeur du MACD (-1,695) est supérieure à son signal (-5,857), ce qui forme un croisement haussier. Ce signal indique un ralentissement de la dynamique baissière et un potentiel de rebond technique à court terme. La décision "Achat" est donc justifiée par cette divergence positive.</w:t>
      </w:r>
    </w:p>
    <w:p>
      <w:pPr>
        <w:spacing w:after="120" w:line="276" w:lineRule="auto"/>
      </w:pPr>
      <w:r>
        <w:t>**RSI**: Le RSI à 45,9 est situé dans la zone neutre (30-70), ce qui indique un momentum ni suracheté ni survendu. Le marché semble manquer de direction, et le RSI ne fournit pas de signal d'achat ou de vente fort. La décision "Neutre" est appropriée.</w:t>
      </w:r>
    </w:p>
    <w:p>
      <w:pPr>
        <w:spacing w:after="120" w:line="276" w:lineRule="auto"/>
      </w:pPr>
      <w:r>
        <w:t>**Stochastique**: Le %K (68,4) est inférieur au %D (73,7), ce qui suggère un croisement baissier potentiel à court terme. Bien que les deux lignes soient en zone de surachat, ce croisement pourrait signaler un essoufflement de la récente tentative de rebond. La décision "Neutre" est prudente, mais un signal de vente pourrait se matérialiser.</w:t>
      </w:r>
    </w:p>
    <w:p>
      <w:pPr>
        <w:spacing w:after="120" w:line="276" w:lineRule="auto"/>
      </w:pPr>
      <w:r>
        <w:t>**Conclusion technique**: Les indicateurs sont mitigés. Les moyennes mobiles et la tendance générale sont baissières, mais le MACD montre un potentiel de rebond technique. Le RSI et les bandes de Bollinger sont neutres, tandis que le stochastique suggère une possible faiblesse à venir. Globalement, le signal est celui d'un marché en consolidation baissière, avec des signes de stabilisation mais sans retournement de tendance confirmé.</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ne sont pas disponibles dans la base, mais les rapports officiels fournis permettent une analyse. Le rapport du 31/12/2024 (analysé en 2026) indique pour l'exercice 2023 un chiffre d'affaires de 27,88 milliards FCFA, en baisse de 6% par rapport à 2022, et un résultat net de 1,01 milliard FCFA, en chute de 74%. La marge nette s'est effondrée à 3,6% (vs 13% en 2022), et la société a proposé un dividende de 0 FCFA pour la deuxième année consécutive. Le rapport du 31/12/2023 (analysé en 2026) présente des chiffres différents (CA de 125,4 Mds FCFA, RN de 12,8 Mds FCFA), mais ces données semblent incohérentes avec le premier rapport et pourraient concerner une autre entité. Le rapport du 31/12/2022 (analysé en 2026) fait état d'un CA de 125,4 Mds FCFA et d'un RN de 12,8 Mds FCFA, avec un dividende de 1 200 FCFA/action. Enfin, le rapport du 1er trimestre 2023 indique un CA de 7,65 Mds FCFA (+16,5%) et un RN de 855 millions FCFA (+37,9%). En se basant sur les données les plus récentes et cohérentes (rapport 2024), l'entreprise traverse une phase de transition difficile avec une rentabilité très dégradée. Les perspectives de rebond sont portées par l'arrivée du nouvel actionnaire Sonoco et un objectif de CA de 32 Mds FCFA en 2024, mais la prudence est de mise.</w:t>
      </w:r>
    </w:p>
    <w:p>
      <w:pPr>
        <w:spacing w:after="120" w:line="276" w:lineRule="auto"/>
      </w:pPr>
      <w:r>
        <w:t>---</w:t>
      </w:r>
    </w:p>
    <w:p>
      <w:pPr>
        <w:spacing w:after="120" w:line="276" w:lineRule="auto"/>
      </w:pPr>
      <w:r>
        <w:t>### **PARTIE 4 : CONCLUSION D'INVESTISSEMENT**</w:t>
      </w:r>
    </w:p>
    <w:p>
      <w:pPr>
        <w:spacing w:after="120" w:line="276" w:lineRule="auto"/>
      </w:pPr>
      <w:r>
        <w:t>La valorisation boursière de SEMC, avec un PER estimé très élevé, suggère une surévaluation par rapport aux bénéfices actuels, malgré une capitalisation modeste. Le comportement du cours est préoccupant, avec une tendance baissière marquée et une volatilité extrême, indiquant un risque élevé. Les signaux techniques sont mitigés, avec une tendance de fond baissière mais des indicateurs de court terme (MACD) suggérant un possible rebond. Les fondamentaux sont fragiles, avec une chute de la rentabilité et une suspension de la cote, mais des perspectives de redressement sont portées par le nouveau propriétaire. Les prédictions IA pour les 10 prochains jours (baisse de 1 450 à 1 399 FCFA) confirment la tendance baissière et contredisent le signal d'achat technique du MACD. La convergence des signaux (fondamental faible, technique baissier, prédiction négative) malgré un léger espoir de rebond technique, conduit à une recommandation de **VENTE**. Le niveau de confiance est **Moyen** en raison des incertitudes sur les données et des perspectives de restructuration. Le risque global est **Élevé**, et l'horizon d'investissement optimal est le **court terme** pour les investisseurs cherchant à limiter leur exposition, ou le **long terme** pour ceux qui croient au succès du plan de relance avec Sonoco.</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4,508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+8.33%</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5.70% (Moyenne) — μ=36,690 FCFA, σ=2,093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β=0.4821 (Défensif) — Cov=0.000015, Var(idx)=0.000031, ρ=0.188,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4,508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σ_j=1.45%/j (Stable) — Vol. annualisée≈23.1%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37,601</w:t>
            </w:r>
          </w:p>
        </w:tc>
        <w:tc>
          <w:tcPr>
            <w:tcW w:type="dxa" w:w="1440"/>
            <w:shd w:fill="FAFAFA" w:val="clear"/>
          </w:tcPr>
          <w:p>
            <w:r>
              <w:rPr>
                <w:b/>
                <w:sz w:val="17"/>
              </w:rPr>
              <w:t>38,475</w:t>
            </w:r>
          </w:p>
        </w:tc>
        <w:tc>
          <w:tcPr>
            <w:tcW w:type="dxa" w:w="1440"/>
            <w:shd w:fill="FAFAFA" w:val="clear"/>
          </w:tcPr>
          <w:p>
            <w:r>
              <w:rPr>
                <w:sz w:val="17"/>
              </w:rPr>
              <w:t>39,349</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37,146</w:t>
            </w:r>
          </w:p>
        </w:tc>
        <w:tc>
          <w:tcPr>
            <w:tcW w:type="dxa" w:w="1440"/>
            <w:shd w:fill="FAFAFA" w:val="clear"/>
          </w:tcPr>
          <w:p>
            <w:r>
              <w:rPr>
                <w:b/>
                <w:sz w:val="17"/>
              </w:rPr>
              <w:t>38,379</w:t>
            </w:r>
          </w:p>
        </w:tc>
        <w:tc>
          <w:tcPr>
            <w:tcW w:type="dxa" w:w="1440"/>
            <w:shd w:fill="FAFAFA" w:val="clear"/>
          </w:tcPr>
          <w:p>
            <w:r>
              <w:rPr>
                <w:sz w:val="17"/>
              </w:rPr>
              <w:t>39,612</w:t>
            </w:r>
          </w:p>
        </w:tc>
        <w:tc>
          <w:tcPr>
            <w:tcW w:type="dxa" w:w="1440"/>
            <w:shd w:fill="FAFAFA" w:val="clear"/>
          </w:tcPr>
          <w:p>
            <w:r>
              <w:rPr>
                <w:b/>
                <w:color w:val="C00000"/>
                <w:sz w:val="17"/>
              </w:rPr>
              <w:t>-1.6%</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36,768</w:t>
            </w:r>
          </w:p>
        </w:tc>
        <w:tc>
          <w:tcPr>
            <w:tcW w:type="dxa" w:w="1440"/>
            <w:shd w:fill="FAFAFA" w:val="clear"/>
          </w:tcPr>
          <w:p>
            <w:r>
              <w:rPr>
                <w:b/>
                <w:sz w:val="17"/>
              </w:rPr>
              <w:t>38,274</w:t>
            </w:r>
          </w:p>
        </w:tc>
        <w:tc>
          <w:tcPr>
            <w:tcW w:type="dxa" w:w="1440"/>
            <w:shd w:fill="FAFAFA" w:val="clear"/>
          </w:tcPr>
          <w:p>
            <w:r>
              <w:rPr>
                <w:sz w:val="17"/>
              </w:rPr>
              <w:t>39,780</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36,441</w:t>
            </w:r>
          </w:p>
        </w:tc>
        <w:tc>
          <w:tcPr>
            <w:tcW w:type="dxa" w:w="1440"/>
            <w:shd w:fill="FFDCE0" w:val="clear"/>
          </w:tcPr>
          <w:p>
            <w:r>
              <w:rPr>
                <w:b/>
                <w:sz w:val="17"/>
              </w:rPr>
              <w:t>38,176</w:t>
            </w:r>
          </w:p>
        </w:tc>
        <w:tc>
          <w:tcPr>
            <w:tcW w:type="dxa" w:w="1440"/>
            <w:shd w:fill="FFDCE0" w:val="clear"/>
          </w:tcPr>
          <w:p>
            <w:r>
              <w:rPr>
                <w:sz w:val="17"/>
              </w:rPr>
              <w:t>39,910</w:t>
            </w:r>
          </w:p>
        </w:tc>
        <w:tc>
          <w:tcPr>
            <w:tcW w:type="dxa" w:w="1440"/>
            <w:shd w:fill="FFDCE0" w:val="clear"/>
          </w:tcPr>
          <w:p>
            <w:r>
              <w:rPr>
                <w:b/>
                <w:color w:val="C00000"/>
                <w:sz w:val="17"/>
              </w:rPr>
              <w:t>-2.1%</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36,150</w:t>
            </w:r>
          </w:p>
        </w:tc>
        <w:tc>
          <w:tcPr>
            <w:tcW w:type="dxa" w:w="1440"/>
            <w:shd w:fill="FFDCE0" w:val="clear"/>
          </w:tcPr>
          <w:p>
            <w:r>
              <w:rPr>
                <w:b/>
                <w:sz w:val="17"/>
              </w:rPr>
              <w:t>38,084</w:t>
            </w:r>
          </w:p>
        </w:tc>
        <w:tc>
          <w:tcPr>
            <w:tcW w:type="dxa" w:w="1440"/>
            <w:shd w:fill="FFDCE0" w:val="clear"/>
          </w:tcPr>
          <w:p>
            <w:r>
              <w:rPr>
                <w:sz w:val="17"/>
              </w:rPr>
              <w:t>40,019</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35,883</w:t>
            </w:r>
          </w:p>
        </w:tc>
        <w:tc>
          <w:tcPr>
            <w:tcW w:type="dxa" w:w="1440"/>
            <w:shd w:fill="FFDCE0" w:val="clear"/>
          </w:tcPr>
          <w:p>
            <w:r>
              <w:rPr>
                <w:b/>
                <w:sz w:val="17"/>
              </w:rPr>
              <w:t>37,998</w:t>
            </w:r>
          </w:p>
        </w:tc>
        <w:tc>
          <w:tcPr>
            <w:tcW w:type="dxa" w:w="1440"/>
            <w:shd w:fill="FFDCE0" w:val="clear"/>
          </w:tcPr>
          <w:p>
            <w:r>
              <w:rPr>
                <w:sz w:val="17"/>
              </w:rPr>
              <w:t>40,112</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35,635</w:t>
            </w:r>
          </w:p>
        </w:tc>
        <w:tc>
          <w:tcPr>
            <w:tcW w:type="dxa" w:w="1440"/>
            <w:shd w:fill="FFDCE0" w:val="clear"/>
          </w:tcPr>
          <w:p>
            <w:r>
              <w:rPr>
                <w:b/>
                <w:sz w:val="17"/>
              </w:rPr>
              <w:t>37,914</w:t>
            </w:r>
          </w:p>
        </w:tc>
        <w:tc>
          <w:tcPr>
            <w:tcW w:type="dxa" w:w="1440"/>
            <w:shd w:fill="FFDCE0" w:val="clear"/>
          </w:tcPr>
          <w:p>
            <w:r>
              <w:rPr>
                <w:sz w:val="17"/>
              </w:rPr>
              <w:t>40,193</w:t>
            </w:r>
          </w:p>
        </w:tc>
        <w:tc>
          <w:tcPr>
            <w:tcW w:type="dxa" w:w="1440"/>
            <w:shd w:fill="FFDCE0" w:val="clear"/>
          </w:tcPr>
          <w:p>
            <w:r>
              <w:rPr>
                <w:b/>
                <w:color w:val="C00000"/>
                <w:sz w:val="17"/>
              </w:rPr>
              <w:t>-2.8%</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35,402</w:t>
            </w:r>
          </w:p>
        </w:tc>
        <w:tc>
          <w:tcPr>
            <w:tcW w:type="dxa" w:w="1440"/>
            <w:shd w:fill="FFDCE0" w:val="clear"/>
          </w:tcPr>
          <w:p>
            <w:r>
              <w:rPr>
                <w:b/>
                <w:sz w:val="17"/>
              </w:rPr>
              <w:t>37,833</w:t>
            </w:r>
          </w:p>
        </w:tc>
        <w:tc>
          <w:tcPr>
            <w:tcW w:type="dxa" w:w="1440"/>
            <w:shd w:fill="FFDCE0" w:val="clear"/>
          </w:tcPr>
          <w:p>
            <w:r>
              <w:rPr>
                <w:sz w:val="17"/>
              </w:rPr>
              <w:t>40,263</w:t>
            </w:r>
          </w:p>
        </w:tc>
        <w:tc>
          <w:tcPr>
            <w:tcW w:type="dxa" w:w="1440"/>
            <w:shd w:fill="FFDCE0" w:val="clear"/>
          </w:tcPr>
          <w:p>
            <w:r>
              <w:rPr>
                <w:b/>
                <w:color w:val="C00000"/>
                <w:sz w:val="17"/>
              </w:rPr>
              <w:t>-3.0%</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35,180</w:t>
            </w:r>
          </w:p>
        </w:tc>
        <w:tc>
          <w:tcPr>
            <w:tcW w:type="dxa" w:w="1440"/>
            <w:shd w:fill="FFDCE0" w:val="clear"/>
          </w:tcPr>
          <w:p>
            <w:r>
              <w:rPr>
                <w:b/>
                <w:sz w:val="17"/>
              </w:rPr>
              <w:t>37,753</w:t>
            </w:r>
          </w:p>
        </w:tc>
        <w:tc>
          <w:tcPr>
            <w:tcW w:type="dxa" w:w="1440"/>
            <w:shd w:fill="FFDCE0" w:val="clear"/>
          </w:tcPr>
          <w:p>
            <w:r>
              <w:rPr>
                <w:sz w:val="17"/>
              </w:rPr>
              <w:t>40,326</w:t>
            </w:r>
          </w:p>
        </w:tc>
        <w:tc>
          <w:tcPr>
            <w:tcW w:type="dxa" w:w="1440"/>
            <w:shd w:fill="FFDCE0" w:val="clear"/>
          </w:tcPr>
          <w:p>
            <w:r>
              <w:rPr>
                <w:b/>
                <w:color w:val="C00000"/>
                <w:sz w:val="17"/>
              </w:rPr>
              <w:t>-3.2%</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34,969</w:t>
            </w:r>
          </w:p>
        </w:tc>
        <w:tc>
          <w:tcPr>
            <w:tcW w:type="dxa" w:w="1440"/>
            <w:shd w:fill="FFDCE0" w:val="clear"/>
          </w:tcPr>
          <w:p>
            <w:r>
              <w:rPr>
                <w:b/>
                <w:sz w:val="17"/>
              </w:rPr>
              <w:t>37,676</w:t>
            </w:r>
          </w:p>
        </w:tc>
        <w:tc>
          <w:tcPr>
            <w:tcW w:type="dxa" w:w="1440"/>
            <w:shd w:fill="FFDCE0" w:val="clear"/>
          </w:tcPr>
          <w:p>
            <w:r>
              <w:rPr>
                <w:sz w:val="17"/>
              </w:rPr>
              <w:t>40,382</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 17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**1 213,33 milliards FCFA**, un niveau qui en fait l'une des plus importantes capitalisations de la BRVM, reflétant le statut de leader bancaire de la société en Côte d'Ivoire. Avec un BPA de **3 258 FCFA**, le titre se négocie à un PER de **12,0x**, légèrement au-dessus de la moyenne historique de la BRVM (8-12x), ce qui indique une valorisation modérée mais non excessive, les investisseurs acceptant de payer une prime pour la qualité de l'actif. Le P/B de **2,45x** confirme cette lecture : le marché valorise les capitaux propres à plus du double de leur valeur comptable, une prime de croissance justifiée par la rentabilité élevée de la banque. En revanche, l'EV/EBITDA de **24,7x** est nettement supérieur au seuil de 15x, signalant une valorisation très exigeante sur la capacité opérationnelle, ce qui pourrait limiter le potentiel de hausse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SGBC a enregistré une **hausse totale de +8,33%**, pour s'établir à **39 000 FCFA**, malgré une légère baisse de **-0,51%** lors de la dernière séance. Le titre a évolué dans un range de **32 800 FCFA** (plus bas) à **39 200 FCFA** (plus haut), démontrant une tendance globalement haussière sur la période. Les statistiques descriptives révèlent une distribution relativement stable : la moyenne (36 690 FCFA) est proche de la médiane (37 300 FCFA), indiquant une asymétrie modérée, confirmée par un skewness de -0,380. L'écart-type de 2 103 FCFA (CV = 5,7%) témoigne d'une dispersion faible, tandis que le kurtosis de -1,328 (platykurtique) suggère une absence de pics extrêmes, donc un risque de mouvements brusques limité. La volatilité annualisée de **23,1%** classe le titre dans la catégorie modérée (15-30%), offrant un équilibre entre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(38 231,75 FCFA) et la MM50 (38 539,3 FCFA) sont toutes deux inférieures au cours actuel de 39 000 FCFA, mais la MM50 est supérieure à la MM20, formant une configuration baissière à court terme. La décision de "Vente" est justifiée par ce croisement, bien que le cours reste au-dessus des deux moyennes, ce qui nuance le signal.</w:t>
      </w:r>
    </w:p>
    <w:p>
      <w:pPr>
        <w:spacing w:after="120" w:line="276" w:lineRule="auto"/>
      </w:pPr>
      <w:r>
        <w:t>**Bandes de Bollinger** : Le cours (39 000 FCFA) se situe près de la borne supérieure (39 106,238 FCFA), indiquant une pression acheteuse soutenue. La décision "Neutre" s'explique par le fait que le prix n'a pas encore franchi la borne, laissant place à une possible poursuite de la tendance ou à un retour vers la moyenne (37 357,262 FCFA).</w:t>
      </w:r>
    </w:p>
    <w:p>
      <w:pPr>
        <w:spacing w:after="120" w:line="276" w:lineRule="auto"/>
      </w:pPr>
      <w:r>
        <w:t>**MACD** : La valeur du MACD (172,848) est nettement supérieure à son signal (54,693), avec un écart positif croissant, ce qui signale un momentum haussier fort. La décision "Achat" est cohérente avec cette dynamique, indiquant une accélération de la tendance haussière.</w:t>
      </w:r>
    </w:p>
    <w:p>
      <w:pPr>
        <w:spacing w:after="120" w:line="276" w:lineRule="auto"/>
      </w:pPr>
      <w:r>
        <w:t>**RSI** : À **67,182**, le RSI est en zone neutre mais proche du seuil de surachat (70). La décision "Neutre" reflète un équilibre entre pression acheteuse et risque de correction, le titre n'étant pas encore en situation de surachat extrême.</w:t>
      </w:r>
    </w:p>
    <w:p>
      <w:pPr>
        <w:spacing w:after="120" w:line="276" w:lineRule="auto"/>
      </w:pPr>
      <w:r>
        <w:t>**Stochastique** : Le %K (84,556) est supérieur au %D (79,479), mais les deux sont en zone de surachat (&gt;80), signalant une possible exhaustion de la tendance haussière. La décision "Vente" est justifiée par ce niveau élevé, suggérant un risque de retournement à court terme.</w:t>
      </w:r>
    </w:p>
    <w:p>
      <w:pPr>
        <w:spacing w:after="120" w:line="276" w:lineRule="auto"/>
      </w:pPr>
      <w:r>
        <w:t>**Conclusion technique** : Les indicateurs sont mitigés : le MACD et les bandes de Bollinger suggèrent une dynamique haussière, tandis que les moyennes mobiles et le stochastique pointent vers une consolidation ou une correction. Le RSI neutre laisse planer une incertitude, mais la tendance de fond reste positive, avec un risque de repli technique à surveiller.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montrent un **PNB de 276,048 milliards FCFA**, en croissance de +4,9% par rapport à 2024, et un **résultat net de 101,352 milliards FCFA**, stable par rapport à l'exercice précédent. La banque affiche une **marge nette de 36,7%**, un **ROE de 20,5%** (excellent, &gt;15%) et un **ROA de 2,7%**, témoignant d'une gestion efficace des actifs. Le **coefficient d'exploitation de 38,75%** est remarquablement bas (&lt;60%), confirmant une excellente maîtrise des coûts. Le coût du risque, estimé via les provisions (17,995 milliards FCFA), reste contenu, et le ratio prêts/dépôts s'améliore à **84,6%** (contre 96% en 2024), renforçant la liquidité. Les rapports trimestriels 2025 confirment cette trajectoire : le T1 2025 (PNB +1,3%, résultat net +2,2%) et le S1 2025 (PNB +1,0%, résultat net +10,0%) montrent une croissance modérée du PNB mais une forte progression du résultat net grâce à la maîtrise des coûts. Le rapport 9 mois 2025 (PNB +2,5%, résultat net +11,7%) et le rapport annuel 2024 (PNB +3,9%, résultat net +4,1%) indiquent une amélioration continue de l'efficience opérationnelle. Sur la base de ces tendances, on estime que l'exercice 2026 pourrait voir un PNB autour de 285-290 milliards FCFA et un résultat net de 105-110 milliards FCFA, porté par la digitalisation et la croissance des dépôts (+13,9% sur 9 mois 2025). La solidité financière est renforcée par une notation AAA (unique sur le marché) et des fonds propres en hausse de 12,2% à 477 milliards FCFA. Les risques incluent une hausse des créances en souffrance (NPL à 7,8% au S1 2025) et une dépendance aux commissions, mais la recommandation fondamentale reste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SGBC (PER 12,0x, P/B 2,45x) est modérée mais exigeante sur l'EV/EBITDA (24,7x), indiquant une prime de croissance justifiée par des fondamentaux solides. Le comportement du cours (+8,33% sur 100 jours) est favorable, avec une volatilité modérée (23,1%) et une distribution stable (kurtosis platykurtique), réduisant le risque de chocs. Les signaux techniques sont mitigés : le MACD et les bandes de Bollinger soutiennent une tendance haussière, mais les moyennes mobiles et le stochastique suggèrent une consolidation à court terme. Les fondamentaux sont excellents, avec un ROE de 20,5%, un coefficient d'exploitation de 38,75% et une notation AAA, soutenus par des estimations 2026 positives (PNB ~285 Mds, résultat net ~107 Mds). Les prédictions IA pour les 10 prochains jours (38 475 à 38 084 FCFA) indiquent une légère correction, en ligne avec les signaux techniques de surachat. En synthèse, la convergence entre fondamentaux solides et valorisation raisonnable, malgré des signaux techniques mitigés, conduit à une recommandation **CONSERVER** avec un niveau de confiance **Moyen**. Le risque global est **Faible**, et l'horizon d'investissement optimal est le **moyen terme (3-12 mois)**, en attendant une clarification des signaux techniques pour renforcer la position.</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138.60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4,206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+0.46%</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5.80% (Moyenne) — μ=2,103 FCFA, σ=122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β=0.8928 (Neutre (suit le marché)) — Cov=0.000028, Var(idx)=0.000031, ρ=0.233,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2,017</w:t>
            </w:r>
          </w:p>
        </w:tc>
        <w:tc>
          <w:tcPr>
            <w:tcW w:type="dxa" w:w="1440"/>
            <w:shd w:fill="FFDCE0" w:val="clear"/>
          </w:tcPr>
          <w:p>
            <w:r>
              <w:rPr>
                <w:b/>
                <w:sz w:val="17"/>
              </w:rPr>
              <w:t>2,087</w:t>
            </w:r>
          </w:p>
        </w:tc>
        <w:tc>
          <w:tcPr>
            <w:tcW w:type="dxa" w:w="1440"/>
            <w:shd w:fill="FFDCE0" w:val="clear"/>
          </w:tcPr>
          <w:p>
            <w:r>
              <w:rPr>
                <w:sz w:val="17"/>
              </w:rPr>
              <w:t>2,156</w:t>
            </w:r>
          </w:p>
        </w:tc>
        <w:tc>
          <w:tcPr>
            <w:tcW w:type="dxa" w:w="1440"/>
            <w:shd w:fill="FFDCE0" w:val="clear"/>
          </w:tcPr>
          <w:p>
            <w:r>
              <w:rPr>
                <w:b/>
                <w:color w:val="C00000"/>
                <w:sz w:val="17"/>
              </w:rPr>
              <w:t>-5.2%</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1,912</w:t>
            </w:r>
          </w:p>
        </w:tc>
        <w:tc>
          <w:tcPr>
            <w:tcW w:type="dxa" w:w="1440"/>
            <w:shd w:fill="FFDCE0" w:val="clear"/>
          </w:tcPr>
          <w:p>
            <w:r>
              <w:rPr>
                <w:b/>
                <w:sz w:val="17"/>
              </w:rPr>
              <w:t>2,007</w:t>
            </w:r>
          </w:p>
        </w:tc>
        <w:tc>
          <w:tcPr>
            <w:tcW w:type="dxa" w:w="1440"/>
            <w:shd w:fill="FFDCE0" w:val="clear"/>
          </w:tcPr>
          <w:p>
            <w:r>
              <w:rPr>
                <w:sz w:val="17"/>
              </w:rPr>
              <w:t>2,101</w:t>
            </w:r>
          </w:p>
        </w:tc>
        <w:tc>
          <w:tcPr>
            <w:tcW w:type="dxa" w:w="1440"/>
            <w:shd w:fill="FFDCE0" w:val="clear"/>
          </w:tcPr>
          <w:p>
            <w:r>
              <w:rPr>
                <w:b/>
                <w:color w:val="C00000"/>
                <w:sz w:val="17"/>
              </w:rPr>
              <w:t>-8.8%</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1,823</w:t>
            </w:r>
          </w:p>
        </w:tc>
        <w:tc>
          <w:tcPr>
            <w:tcW w:type="dxa" w:w="1440"/>
            <w:shd w:fill="FFDCE0" w:val="clear"/>
          </w:tcPr>
          <w:p>
            <w:r>
              <w:rPr>
                <w:b/>
                <w:sz w:val="17"/>
              </w:rPr>
              <w:t>1,934</w:t>
            </w:r>
          </w:p>
        </w:tc>
        <w:tc>
          <w:tcPr>
            <w:tcW w:type="dxa" w:w="1440"/>
            <w:shd w:fill="FFDCE0" w:val="clear"/>
          </w:tcPr>
          <w:p>
            <w:r>
              <w:rPr>
                <w:sz w:val="17"/>
              </w:rPr>
              <w:t>2,045</w:t>
            </w:r>
          </w:p>
        </w:tc>
        <w:tc>
          <w:tcPr>
            <w:tcW w:type="dxa" w:w="1440"/>
            <w:shd w:fill="FFDCE0" w:val="clear"/>
          </w:tcPr>
          <w:p>
            <w:r>
              <w:rPr>
                <w:b/>
                <w:color w:val="C00000"/>
                <w:sz w:val="17"/>
              </w:rPr>
              <w:t>-12.1%</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1,749</w:t>
            </w:r>
          </w:p>
        </w:tc>
        <w:tc>
          <w:tcPr>
            <w:tcW w:type="dxa" w:w="1440"/>
            <w:shd w:fill="FFDCE0" w:val="clear"/>
          </w:tcPr>
          <w:p>
            <w:r>
              <w:rPr>
                <w:b/>
                <w:sz w:val="17"/>
              </w:rPr>
              <w:t>1,873</w:t>
            </w:r>
          </w:p>
        </w:tc>
        <w:tc>
          <w:tcPr>
            <w:tcW w:type="dxa" w:w="1440"/>
            <w:shd w:fill="FFDCE0" w:val="clear"/>
          </w:tcPr>
          <w:p>
            <w:r>
              <w:rPr>
                <w:sz w:val="17"/>
              </w:rPr>
              <w:t>1,997</w:t>
            </w:r>
          </w:p>
        </w:tc>
        <w:tc>
          <w:tcPr>
            <w:tcW w:type="dxa" w:w="1440"/>
            <w:shd w:fill="FFDCE0" w:val="clear"/>
          </w:tcPr>
          <w:p>
            <w:r>
              <w:rPr>
                <w:b/>
                <w:color w:val="C00000"/>
                <w:sz w:val="17"/>
              </w:rPr>
              <w:t>-14.9%</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1,685</w:t>
            </w:r>
          </w:p>
        </w:tc>
        <w:tc>
          <w:tcPr>
            <w:tcW w:type="dxa" w:w="1440"/>
            <w:shd w:fill="FFDCE0" w:val="clear"/>
          </w:tcPr>
          <w:p>
            <w:r>
              <w:rPr>
                <w:b/>
                <w:sz w:val="17"/>
              </w:rPr>
              <w:t>1,820</w:t>
            </w:r>
          </w:p>
        </w:tc>
        <w:tc>
          <w:tcPr>
            <w:tcW w:type="dxa" w:w="1440"/>
            <w:shd w:fill="FFDCE0" w:val="clear"/>
          </w:tcPr>
          <w:p>
            <w:r>
              <w:rPr>
                <w:sz w:val="17"/>
              </w:rPr>
              <w:t>1,955</w:t>
            </w:r>
          </w:p>
        </w:tc>
        <w:tc>
          <w:tcPr>
            <w:tcW w:type="dxa" w:w="1440"/>
            <w:shd w:fill="FFDCE0" w:val="clear"/>
          </w:tcPr>
          <w:p>
            <w:r>
              <w:rPr>
                <w:b/>
                <w:color w:val="C00000"/>
                <w:sz w:val="17"/>
              </w:rPr>
              <w:t>-17.3%</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1,631</w:t>
            </w:r>
          </w:p>
        </w:tc>
        <w:tc>
          <w:tcPr>
            <w:tcW w:type="dxa" w:w="1440"/>
            <w:shd w:fill="FFDCE0" w:val="clear"/>
          </w:tcPr>
          <w:p>
            <w:r>
              <w:rPr>
                <w:b/>
                <w:sz w:val="17"/>
              </w:rPr>
              <w:t>1,775</w:t>
            </w:r>
          </w:p>
        </w:tc>
        <w:tc>
          <w:tcPr>
            <w:tcW w:type="dxa" w:w="1440"/>
            <w:shd w:fill="FFDCE0" w:val="clear"/>
          </w:tcPr>
          <w:p>
            <w:r>
              <w:rPr>
                <w:sz w:val="17"/>
              </w:rPr>
              <w:t>1,919</w:t>
            </w:r>
          </w:p>
        </w:tc>
        <w:tc>
          <w:tcPr>
            <w:tcW w:type="dxa" w:w="1440"/>
            <w:shd w:fill="FFDCE0" w:val="clear"/>
          </w:tcPr>
          <w:p>
            <w:r>
              <w:rPr>
                <w:b/>
                <w:color w:val="C00000"/>
                <w:sz w:val="17"/>
              </w:rPr>
              <w:t>-19.3%</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1,583</w:t>
            </w:r>
          </w:p>
        </w:tc>
        <w:tc>
          <w:tcPr>
            <w:tcW w:type="dxa" w:w="1440"/>
            <w:shd w:fill="FFDCE0" w:val="clear"/>
          </w:tcPr>
          <w:p>
            <w:r>
              <w:rPr>
                <w:b/>
                <w:sz w:val="17"/>
              </w:rPr>
              <w:t>1,735</w:t>
            </w:r>
          </w:p>
        </w:tc>
        <w:tc>
          <w:tcPr>
            <w:tcW w:type="dxa" w:w="1440"/>
            <w:shd w:fill="FFDCE0" w:val="clear"/>
          </w:tcPr>
          <w:p>
            <w:r>
              <w:rPr>
                <w:sz w:val="17"/>
              </w:rPr>
              <w:t>1,887</w:t>
            </w:r>
          </w:p>
        </w:tc>
        <w:tc>
          <w:tcPr>
            <w:tcW w:type="dxa" w:w="1440"/>
            <w:shd w:fill="FFDCE0" w:val="clear"/>
          </w:tcPr>
          <w:p>
            <w:r>
              <w:rPr>
                <w:b/>
                <w:color w:val="C00000"/>
                <w:sz w:val="17"/>
              </w:rPr>
              <w:t>-21.1%</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1,540</w:t>
            </w:r>
          </w:p>
        </w:tc>
        <w:tc>
          <w:tcPr>
            <w:tcW w:type="dxa" w:w="1440"/>
            <w:shd w:fill="FFDCE0" w:val="clear"/>
          </w:tcPr>
          <w:p>
            <w:r>
              <w:rPr>
                <w:b/>
                <w:sz w:val="17"/>
              </w:rPr>
              <w:t>1,699</w:t>
            </w:r>
          </w:p>
        </w:tc>
        <w:tc>
          <w:tcPr>
            <w:tcW w:type="dxa" w:w="1440"/>
            <w:shd w:fill="FFDCE0" w:val="clear"/>
          </w:tcPr>
          <w:p>
            <w:r>
              <w:rPr>
                <w:sz w:val="17"/>
              </w:rPr>
              <w:t>1,858</w:t>
            </w:r>
          </w:p>
        </w:tc>
        <w:tc>
          <w:tcPr>
            <w:tcW w:type="dxa" w:w="1440"/>
            <w:shd w:fill="FFDCE0" w:val="clear"/>
          </w:tcPr>
          <w:p>
            <w:r>
              <w:rPr>
                <w:b/>
                <w:color w:val="C00000"/>
                <w:sz w:val="17"/>
              </w:rPr>
              <w:t>-22.8%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1,500</w:t>
            </w:r>
          </w:p>
        </w:tc>
        <w:tc>
          <w:tcPr>
            <w:tcW w:type="dxa" w:w="1440"/>
            <w:shd w:fill="FFDCE0" w:val="clear"/>
          </w:tcPr>
          <w:p>
            <w:r>
              <w:rPr>
                <w:b/>
                <w:sz w:val="17"/>
              </w:rPr>
              <w:t>1,666</w:t>
            </w:r>
          </w:p>
        </w:tc>
        <w:tc>
          <w:tcPr>
            <w:tcW w:type="dxa" w:w="1440"/>
            <w:shd w:fill="FFDCE0" w:val="clear"/>
          </w:tcPr>
          <w:p>
            <w:r>
              <w:rPr>
                <w:sz w:val="17"/>
              </w:rPr>
              <w:t>1,832</w:t>
            </w:r>
          </w:p>
        </w:tc>
        <w:tc>
          <w:tcPr>
            <w:tcW w:type="dxa" w:w="1440"/>
            <w:shd w:fill="FFDCE0" w:val="clear"/>
          </w:tcPr>
          <w:p>
            <w:r>
              <w:rPr>
                <w:b/>
                <w:color w:val="C00000"/>
                <w:sz w:val="17"/>
              </w:rPr>
              <w:t>-24.3%</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1,464</w:t>
            </w:r>
          </w:p>
        </w:tc>
        <w:tc>
          <w:tcPr>
            <w:tcW w:type="dxa" w:w="1440"/>
            <w:shd w:fill="FFDCE0" w:val="clear"/>
          </w:tcPr>
          <w:p>
            <w:r>
              <w:rPr>
                <w:b/>
                <w:sz w:val="17"/>
              </w:rPr>
              <w:t>1,636</w:t>
            </w:r>
          </w:p>
        </w:tc>
        <w:tc>
          <w:tcPr>
            <w:tcW w:type="dxa" w:w="1440"/>
            <w:shd w:fill="FFDCE0" w:val="clear"/>
          </w:tcPr>
          <w:p>
            <w:r>
              <w:rPr>
                <w:sz w:val="17"/>
              </w:rPr>
              <w:t>1,807</w:t>
            </w:r>
          </w:p>
        </w:tc>
        <w:tc>
          <w:tcPr>
            <w:tcW w:type="dxa" w:w="1440"/>
            <w:shd w:fill="FFDCE0" w:val="clear"/>
          </w:tcPr>
          <w:p>
            <w:r>
              <w:rPr>
                <w:b/>
                <w:color w:val="C00000"/>
                <w:sz w:val="17"/>
              </w:rPr>
              <w:t>-25.6%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SHEC s'établit à 138,60 milliards FCFA, un niveau significatif qui la positionne parmi les valeurs moyennes de la BRVM. Avec un BPA de 96 FCFA, le titre se paie 23,0 fois ses bénéfices (PER), un niveau nettement supérieur à la moyenne du marché BRVM (8-12x), indiquant que les investisseurs intègrent des perspectives de croissance future ou une prime de rareté. Le P/B de 5,10x confirme cette valorisation exigeante, le marché valorisant plus de 5 fois les capitaux propres comptables. Enfin, l'EV/EBITDA de 12,6x, bien que dans la fourchette haute (10-15x), suggère que la valeur totale de l'entreprise (dette incluse) reste cohérente avec sa capacité opérationnelle à générer des flux. Ces ratios traduisent une valorisation premium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SHEC affiche une variation totale de +0,46%, avec une dernière séance stable (+0,00%), reflétant une phase de consolidation. Le titre a évolué dans un range de 1 840 à 2 325 FCFA, avec un cours actuel de 2 200 FCFA. La moyenne (2 103 FCFA) est inférieure à la médiane (2 155 FCFA), indiquant une distribution légèrement asymétrique avec des extrêmes bas plus marqués. L'écart-type de 123 FCFA (CV=5,8%) montre une dispersion modérée autour de la moyenne. Le kurtosis négatif (-1,019) signale une distribution platykurtique, avec peu de pics de volatilité, tandis que le skewness (-0,367) confirme une asymétrie négative légère. La volatilité annualisée de 33,9% classe le titre dans la catégorie élevée (&gt;30%), ce qui implique des fluctuations importantes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(2 221,25 FCFA) est supérieure à la MM50 (2 176,3 FCFA), et le cours actuel (2 200 FCFA) se situe entre les deux, légèrement sous la MM20 mais au-dessus de la MM50. Cette configuration indique une tendance de fond positive, justifiant la décision d'achat.</w:t>
      </w:r>
    </w:p>
    <w:p>
      <w:pPr>
        <w:spacing w:after="120" w:line="276" w:lineRule="auto"/>
      </w:pPr>
      <w:r>
        <w:t>**Bandes de Bollinger** : Le cours (2 200 FCFA) se positionne entre la borne inférieure (2 093 FCFA) et la borne supérieure (2 349 FCFA), proche de la moyenne. La largeur des bandes suggère une volatilité normale, et la position neutre du prix indique un équilibre entre acheteurs et vendeurs.</w:t>
      </w:r>
    </w:p>
    <w:p>
      <w:pPr>
        <w:spacing w:after="120" w:line="276" w:lineRule="auto"/>
      </w:pPr>
      <w:r>
        <w:t>**MACD** : La valeur du MACD (22,265) est inférieure à son signal (29,491), formant une divergence baissière. Ce croisement indique un affaiblissement du momentum haussier, justifiant la décision de vente.</w:t>
      </w:r>
    </w:p>
    <w:p>
      <w:pPr>
        <w:spacing w:after="120" w:line="276" w:lineRule="auto"/>
      </w:pPr>
      <w:r>
        <w:t>**RSI** : À 50,588, le RSI se situe en zone neutre (30-70), indiquant un marché sans pression d'achat ou de vente excessive. Cette valeur reflète une absence de direction claire à court terme.</w:t>
      </w:r>
    </w:p>
    <w:p>
      <w:pPr>
        <w:spacing w:after="120" w:line="276" w:lineRule="auto"/>
      </w:pPr>
      <w:r>
        <w:t>**Stochastique** : Le %K (41,86) est inférieur au %D (49,612), suggérant une dynamique baissière naissante. Cependant, les deux restent en zone neutre, ce qui limite la portée du signal.</w:t>
      </w:r>
    </w:p>
    <w:p>
      <w:pPr>
        <w:spacing w:after="120" w:line="276" w:lineRule="auto"/>
      </w:pPr>
      <w:r>
        <w:t>**Conclusion technique** : Les indicateurs sont mitigés, avec une tendance de fond positive (MM) mais un momentum à court terme négatif (MACD, Stochastique). Le RSI neutre et les bandes de Bollinger équilibrées suggèrent une phase de consolidation. La prudence est de mise, le titre semblant chercher une direction.</w:t>
      </w:r>
    </w:p>
    <w:p>
      <w:pPr>
        <w:spacing w:after="120" w:line="276" w:lineRule="auto"/>
      </w:pPr>
      <w:r>
        <w:t>---</w:t>
      </w:r>
    </w:p>
    <w:p>
      <w:pPr>
        <w:spacing w:after="120" w:line="276" w:lineRule="auto"/>
      </w:pPr>
      <w:r>
        <w:t>### PARTIE 3 : ANALYSE FONDAMENTALE (SECTION CRITIQUE)</w:t>
      </w:r>
    </w:p>
    <w:p>
      <w:pPr>
        <w:spacing w:after="120" w:line="276" w:lineRule="auto"/>
      </w:pPr>
      <w:r>
        <w:t>En 2025, SHEC (VIVO ENERGY CI) a réalisé un chiffre d'affaires de 604,978 milliards FCFA (+0,71% vs 2024) et un résultat net de 6,028 milliards FCFA (+12,6%). Le ROE s'établit à 22,2% (excellent, &gt;15%) et le ROA à 3,1%. La marge nette reste faible (1,0%), typique du secteur de distribution pétrolière. Le BFR est positif (15,315 Mds FCFA), avec un délai clients de 23 jours et un délai fournisseurs de 35 jours, indiquant une gestion correcte mais perfectible. L'endettement est élevé (ratio d'endettement de 43,9%), avec une trésorerie nette négative de -65,264 Mds FCFA. Les rapports trimestriels 2025 (T3 : résultat net +45% à 4,119 Mds) montrent une forte amélioration de la rentabilité opérationnelle. Le rapport S1 2026 (publié en juin 2026) indique un CA de 305,038 Mds (-1%) mais un résultat d'exploitation en hausse de 17% à 6,133 Mds. On estime que l'exercice 2026 pourrait voir un résultat net stable ou en légère hausse, porté par la maîtrise des coûts et le segment butane. La recommandation fondamentale est de conserver, la société étant bénéficiaire avec un dividende attractif (6,09 Mds proposés, soit un taux de distribution de 101%), mais fragilisée par sa structure de trésorerie.</w:t>
      </w:r>
    </w:p>
    <w:p>
      <w:pPr>
        <w:spacing w:after="120" w:line="276" w:lineRule="auto"/>
      </w:pPr>
      <w:r>
        <w:t>---</w:t>
      </w:r>
    </w:p>
    <w:p>
      <w:pPr>
        <w:spacing w:after="120" w:line="276" w:lineRule="auto"/>
      </w:pPr>
      <w:r>
        <w:t>### PARTIE 4 : CONCLUSION D'INVESTISSEMENT</w:t>
      </w:r>
    </w:p>
    <w:p>
      <w:pPr>
        <w:spacing w:after="120" w:line="276" w:lineRule="auto"/>
      </w:pPr>
      <w:r>
        <w:t>La valorisation de SHEC est exigeante (PER 23x, P/B 5,1x), suggérant une surévaluation relative qui contraste avec une croissance modérée du CA. Le comportement du cours (stable, volatilité élevée de 33,9%) et les statistiques (distribution platykurtique, asymétrie négative) indiquent un titre sans tendance forte, avec des risques de mouvements brusques. Les signaux techniques sont divergents : tendance de fond positive (MM) mais momentum négatif (MACD, Stochastique), le tout dans un contexte neutre (RSI, Bollinger). Les fondamentaux montrent une amélioration de la rentabilité (ROE 22,2%) mais une trésorerie très négative et un endettement élevé. Les prédictions IA (J+1 à J+10) anticipent une baisse marquée du cours (de 2 087 à 1 820 FCFA), contredisant les signaux techniques de moyen terme. En synthèse, la convergence entre la valorisation élevée, la faiblesse de la trésorerie et les prédictions baissières l'emporte sur les fondamentaux opérationnels. **Recommandation finale : VENTE**. Niveau de confiance : Moyen. Risque global : Élevé. Horizon d'investissement : court terme (&lt;3 mois), en attendant une amélioration de la structure financière et une clarification des perspectives de croissance.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917.50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8,686 titres</w:t>
            </w:r>
          </w:p>
        </w:tc>
        <w:tc>
          <w:tcPr>
            <w:tcW w:type="dxa" w:w="2268"/>
            <w:shd w:fill="FFF2CC" w:val="clear"/>
          </w:tcPr>
          <w:p>
            <w:r>
              <w:rPr>
                <w:b/>
                <w:color w:val="503200"/>
                <w:sz w:val="16"/>
              </w:rPr>
              <w:t xml:space="preserve">Cours actuel : </w:t>
            </w:r>
            <w:r>
              <w:rPr>
                <w:color w:val="000000"/>
                <w:sz w:val="17"/>
              </w:rPr>
              <w:t>9,175 FCFA</w:t>
            </w:r>
          </w:p>
          <w:p>
            <w:r>
              <w:rPr>
                <w:b/>
                <w:color w:val="503200"/>
                <w:sz w:val="16"/>
              </w:rPr>
              <w:t xml:space="preserve">Var. 100 jours : </w:t>
            </w:r>
            <w:r>
              <w:rPr>
                <w:b/>
                <w:color w:val="007800"/>
                <w:sz w:val="17"/>
              </w:rPr>
              <w:t>+31.07%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11.16% (Moyenne) — μ=8,108 FCFA, σ=905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β=0.5672 (Défensif) — Cov=0.000018, Var(idx)=0.000031, ρ=0.177,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8,686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8,572</w:t>
            </w:r>
          </w:p>
        </w:tc>
        <w:tc>
          <w:tcPr>
            <w:tcW w:type="dxa" w:w="1440"/>
            <w:shd w:fill="FFDCE0" w:val="clear"/>
          </w:tcPr>
          <w:p>
            <w:r>
              <w:rPr>
                <w:b/>
                <w:sz w:val="17"/>
              </w:rPr>
              <w:t>8,851</w:t>
            </w:r>
          </w:p>
        </w:tc>
        <w:tc>
          <w:tcPr>
            <w:tcW w:type="dxa" w:w="1440"/>
            <w:shd w:fill="FFDCE0" w:val="clear"/>
          </w:tcPr>
          <w:p>
            <w:r>
              <w:rPr>
                <w:sz w:val="17"/>
              </w:rPr>
              <w:t>9,130</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8,176</w:t>
            </w:r>
          </w:p>
        </w:tc>
        <w:tc>
          <w:tcPr>
            <w:tcW w:type="dxa" w:w="1440"/>
            <w:shd w:fill="FFDCE0" w:val="clear"/>
          </w:tcPr>
          <w:p>
            <w:r>
              <w:rPr>
                <w:b/>
                <w:sz w:val="17"/>
              </w:rPr>
              <w:t>8,557</w:t>
            </w:r>
          </w:p>
        </w:tc>
        <w:tc>
          <w:tcPr>
            <w:tcW w:type="dxa" w:w="1440"/>
            <w:shd w:fill="FFDCE0" w:val="clear"/>
          </w:tcPr>
          <w:p>
            <w:r>
              <w:rPr>
                <w:sz w:val="17"/>
              </w:rPr>
              <w:t>8,939</w:t>
            </w:r>
          </w:p>
        </w:tc>
        <w:tc>
          <w:tcPr>
            <w:tcW w:type="dxa" w:w="1440"/>
            <w:shd w:fill="FFDCE0" w:val="clear"/>
          </w:tcPr>
          <w:p>
            <w:r>
              <w:rPr>
                <w:b/>
                <w:color w:val="C00000"/>
                <w:sz w:val="17"/>
              </w:rPr>
              <w:t>-6.7%</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7,838</w:t>
            </w:r>
          </w:p>
        </w:tc>
        <w:tc>
          <w:tcPr>
            <w:tcW w:type="dxa" w:w="1440"/>
            <w:shd w:fill="FFDCE0" w:val="clear"/>
          </w:tcPr>
          <w:p>
            <w:r>
              <w:rPr>
                <w:b/>
                <w:sz w:val="17"/>
              </w:rPr>
              <w:t>8,291</w:t>
            </w:r>
          </w:p>
        </w:tc>
        <w:tc>
          <w:tcPr>
            <w:tcW w:type="dxa" w:w="1440"/>
            <w:shd w:fill="FFDCE0" w:val="clear"/>
          </w:tcPr>
          <w:p>
            <w:r>
              <w:rPr>
                <w:sz w:val="17"/>
              </w:rPr>
              <w:t>8,743</w:t>
            </w:r>
          </w:p>
        </w:tc>
        <w:tc>
          <w:tcPr>
            <w:tcW w:type="dxa" w:w="1440"/>
            <w:shd w:fill="FFDCE0" w:val="clear"/>
          </w:tcPr>
          <w:p>
            <w:r>
              <w:rPr>
                <w:b/>
                <w:color w:val="C00000"/>
                <w:sz w:val="17"/>
              </w:rPr>
              <w:t>-9.6%</w:t>
            </w:r>
          </w:p>
        </w:tc>
      </w:tr>
      <w:tr>
        <w:tc>
          <w:tcPr>
            <w:tcW w:type="dxa" w:w="1440"/>
            <w:shd w:fill="FFDCE0" w:val="clear"/>
          </w:tcPr>
          <w:p>
            <w:r>
              <w:rPr>
                <w:sz w:val="17"/>
              </w:rPr>
              <w:t>J+4  Moyenne</w:t>
            </w:r>
          </w:p>
        </w:tc>
        <w:tc>
          <w:tcPr>
            <w:tcW w:type="dxa" w:w="1440"/>
            <w:shd w:fill="FFDCE0" w:val="clear"/>
          </w:tcPr>
          <w:p>
            <w:r>
              <w:rPr>
                <w:sz w:val="17"/>
              </w:rPr>
              <w:t>2026-08-20</w:t>
            </w:r>
          </w:p>
        </w:tc>
        <w:tc>
          <w:tcPr>
            <w:tcW w:type="dxa" w:w="1440"/>
            <w:shd w:fill="FFDCE0" w:val="clear"/>
          </w:tcPr>
          <w:p>
            <w:r>
              <w:rPr>
                <w:sz w:val="17"/>
              </w:rPr>
              <w:t>7,555</w:t>
            </w:r>
          </w:p>
        </w:tc>
        <w:tc>
          <w:tcPr>
            <w:tcW w:type="dxa" w:w="1440"/>
            <w:shd w:fill="FFDCE0" w:val="clear"/>
          </w:tcPr>
          <w:p>
            <w:r>
              <w:rPr>
                <w:b/>
                <w:sz w:val="17"/>
              </w:rPr>
              <w:t>8,063</w:t>
            </w:r>
          </w:p>
        </w:tc>
        <w:tc>
          <w:tcPr>
            <w:tcW w:type="dxa" w:w="1440"/>
            <w:shd w:fill="FFDCE0" w:val="clear"/>
          </w:tcPr>
          <w:p>
            <w:r>
              <w:rPr>
                <w:sz w:val="17"/>
              </w:rPr>
              <w:t>8,571</w:t>
            </w:r>
          </w:p>
        </w:tc>
        <w:tc>
          <w:tcPr>
            <w:tcW w:type="dxa" w:w="1440"/>
            <w:shd w:fill="FFDCE0" w:val="clear"/>
          </w:tcPr>
          <w:p>
            <w:r>
              <w:rPr>
                <w:b/>
                <w:color w:val="C00000"/>
                <w:sz w:val="17"/>
              </w:rPr>
              <w:t>-12.1%</w:t>
            </w:r>
          </w:p>
        </w:tc>
      </w:tr>
      <w:tr>
        <w:tc>
          <w:tcPr>
            <w:tcW w:type="dxa" w:w="1440"/>
            <w:shd w:fill="FFDCE0" w:val="clear"/>
          </w:tcPr>
          <w:p>
            <w:r>
              <w:rPr>
                <w:sz w:val="17"/>
              </w:rPr>
              <w:t>J+5  Moyenne</w:t>
            </w:r>
          </w:p>
        </w:tc>
        <w:tc>
          <w:tcPr>
            <w:tcW w:type="dxa" w:w="1440"/>
            <w:shd w:fill="FFDCE0" w:val="clear"/>
          </w:tcPr>
          <w:p>
            <w:r>
              <w:rPr>
                <w:sz w:val="17"/>
              </w:rPr>
              <w:t>2026-08-21</w:t>
            </w:r>
          </w:p>
        </w:tc>
        <w:tc>
          <w:tcPr>
            <w:tcW w:type="dxa" w:w="1440"/>
            <w:shd w:fill="FFDCE0" w:val="clear"/>
          </w:tcPr>
          <w:p>
            <w:r>
              <w:rPr>
                <w:sz w:val="17"/>
              </w:rPr>
              <w:t>7,317</w:t>
            </w:r>
          </w:p>
        </w:tc>
        <w:tc>
          <w:tcPr>
            <w:tcW w:type="dxa" w:w="1440"/>
            <w:shd w:fill="FFDCE0" w:val="clear"/>
          </w:tcPr>
          <w:p>
            <w:r>
              <w:rPr>
                <w:b/>
                <w:sz w:val="17"/>
              </w:rPr>
              <w:t>7,871</w:t>
            </w:r>
          </w:p>
        </w:tc>
        <w:tc>
          <w:tcPr>
            <w:tcW w:type="dxa" w:w="1440"/>
            <w:shd w:fill="FFDCE0" w:val="clear"/>
          </w:tcPr>
          <w:p>
            <w:r>
              <w:rPr>
                <w:sz w:val="17"/>
              </w:rPr>
              <w:t>8,425</w:t>
            </w:r>
          </w:p>
        </w:tc>
        <w:tc>
          <w:tcPr>
            <w:tcW w:type="dxa" w:w="1440"/>
            <w:shd w:fill="FFDCE0" w:val="clear"/>
          </w:tcPr>
          <w:p>
            <w:r>
              <w:rPr>
                <w:b/>
                <w:color w:val="C00000"/>
                <w:sz w:val="17"/>
              </w:rPr>
              <w:t>-14.2%</w:t>
            </w:r>
          </w:p>
        </w:tc>
      </w:tr>
      <w:tr>
        <w:tc>
          <w:tcPr>
            <w:tcW w:type="dxa" w:w="1440"/>
            <w:shd w:fill="FFDCE0" w:val="clear"/>
          </w:tcPr>
          <w:p>
            <w:r>
              <w:rPr>
                <w:sz w:val="17"/>
              </w:rPr>
              <w:t>J+6  Moyenne</w:t>
            </w:r>
          </w:p>
        </w:tc>
        <w:tc>
          <w:tcPr>
            <w:tcW w:type="dxa" w:w="1440"/>
            <w:shd w:fill="FFDCE0" w:val="clear"/>
          </w:tcPr>
          <w:p>
            <w:r>
              <w:rPr>
                <w:sz w:val="17"/>
              </w:rPr>
              <w:t>2026-08-24</w:t>
            </w:r>
          </w:p>
        </w:tc>
        <w:tc>
          <w:tcPr>
            <w:tcW w:type="dxa" w:w="1440"/>
            <w:shd w:fill="FFDCE0" w:val="clear"/>
          </w:tcPr>
          <w:p>
            <w:r>
              <w:rPr>
                <w:sz w:val="17"/>
              </w:rPr>
              <w:t>7,111</w:t>
            </w:r>
          </w:p>
        </w:tc>
        <w:tc>
          <w:tcPr>
            <w:tcW w:type="dxa" w:w="1440"/>
            <w:shd w:fill="FFDCE0" w:val="clear"/>
          </w:tcPr>
          <w:p>
            <w:r>
              <w:rPr>
                <w:b/>
                <w:sz w:val="17"/>
              </w:rPr>
              <w:t>7,706</w:t>
            </w:r>
          </w:p>
        </w:tc>
        <w:tc>
          <w:tcPr>
            <w:tcW w:type="dxa" w:w="1440"/>
            <w:shd w:fill="FFDCE0" w:val="clear"/>
          </w:tcPr>
          <w:p>
            <w:r>
              <w:rPr>
                <w:sz w:val="17"/>
              </w:rPr>
              <w:t>8,300</w:t>
            </w:r>
          </w:p>
        </w:tc>
        <w:tc>
          <w:tcPr>
            <w:tcW w:type="dxa" w:w="1440"/>
            <w:shd w:fill="FFDCE0" w:val="clear"/>
          </w:tcPr>
          <w:p>
            <w:r>
              <w:rPr>
                <w:b/>
                <w:color w:val="C00000"/>
                <w:sz w:val="17"/>
              </w:rPr>
              <w:t>-16.0%</w:t>
            </w:r>
          </w:p>
        </w:tc>
      </w:tr>
      <w:tr>
        <w:tc>
          <w:tcPr>
            <w:tcW w:type="dxa" w:w="1440"/>
            <w:shd w:fill="FFDCE0" w:val="clear"/>
          </w:tcPr>
          <w:p>
            <w:r>
              <w:rPr>
                <w:sz w:val="17"/>
              </w:rPr>
              <w:t>J+7  Moyenne</w:t>
            </w:r>
          </w:p>
        </w:tc>
        <w:tc>
          <w:tcPr>
            <w:tcW w:type="dxa" w:w="1440"/>
            <w:shd w:fill="FFDCE0" w:val="clear"/>
          </w:tcPr>
          <w:p>
            <w:r>
              <w:rPr>
                <w:sz w:val="17"/>
              </w:rPr>
              <w:t>2026-08-25</w:t>
            </w:r>
          </w:p>
        </w:tc>
        <w:tc>
          <w:tcPr>
            <w:tcW w:type="dxa" w:w="1440"/>
            <w:shd w:fill="FFDCE0" w:val="clear"/>
          </w:tcPr>
          <w:p>
            <w:r>
              <w:rPr>
                <w:sz w:val="17"/>
              </w:rPr>
              <w:t>6,931</w:t>
            </w:r>
          </w:p>
        </w:tc>
        <w:tc>
          <w:tcPr>
            <w:tcW w:type="dxa" w:w="1440"/>
            <w:shd w:fill="FFDCE0" w:val="clear"/>
          </w:tcPr>
          <w:p>
            <w:r>
              <w:rPr>
                <w:b/>
                <w:sz w:val="17"/>
              </w:rPr>
              <w:t>7,561</w:t>
            </w:r>
          </w:p>
        </w:tc>
        <w:tc>
          <w:tcPr>
            <w:tcW w:type="dxa" w:w="1440"/>
            <w:shd w:fill="FFDCE0" w:val="clear"/>
          </w:tcPr>
          <w:p>
            <w:r>
              <w:rPr>
                <w:sz w:val="17"/>
              </w:rPr>
              <w:t>8,191</w:t>
            </w:r>
          </w:p>
        </w:tc>
        <w:tc>
          <w:tcPr>
            <w:tcW w:type="dxa" w:w="1440"/>
            <w:shd w:fill="FFDCE0" w:val="clear"/>
          </w:tcPr>
          <w:p>
            <w:r>
              <w:rPr>
                <w:b/>
                <w:color w:val="C00000"/>
                <w:sz w:val="17"/>
              </w:rPr>
              <w:t>-17.6%</w:t>
            </w:r>
          </w:p>
        </w:tc>
      </w:tr>
      <w:tr>
        <w:tc>
          <w:tcPr>
            <w:tcW w:type="dxa" w:w="1440"/>
            <w:shd w:fill="FFDCE0" w:val="clear"/>
          </w:tcPr>
          <w:p>
            <w:r>
              <w:rPr>
                <w:sz w:val="17"/>
              </w:rPr>
              <w:t>J+8  Moyenne</w:t>
            </w:r>
          </w:p>
        </w:tc>
        <w:tc>
          <w:tcPr>
            <w:tcW w:type="dxa" w:w="1440"/>
            <w:shd w:fill="FFDCE0" w:val="clear"/>
          </w:tcPr>
          <w:p>
            <w:r>
              <w:rPr>
                <w:sz w:val="17"/>
              </w:rPr>
              <w:t>2026-08-27</w:t>
            </w:r>
          </w:p>
        </w:tc>
        <w:tc>
          <w:tcPr>
            <w:tcW w:type="dxa" w:w="1440"/>
            <w:shd w:fill="FFDCE0" w:val="clear"/>
          </w:tcPr>
          <w:p>
            <w:r>
              <w:rPr>
                <w:sz w:val="17"/>
              </w:rPr>
              <w:t>6,770</w:t>
            </w:r>
          </w:p>
        </w:tc>
        <w:tc>
          <w:tcPr>
            <w:tcW w:type="dxa" w:w="1440"/>
            <w:shd w:fill="FFDCE0" w:val="clear"/>
          </w:tcPr>
          <w:p>
            <w:r>
              <w:rPr>
                <w:b/>
                <w:sz w:val="17"/>
              </w:rPr>
              <w:t>7,432</w:t>
            </w:r>
          </w:p>
        </w:tc>
        <w:tc>
          <w:tcPr>
            <w:tcW w:type="dxa" w:w="1440"/>
            <w:shd w:fill="FFDCE0" w:val="clear"/>
          </w:tcPr>
          <w:p>
            <w:r>
              <w:rPr>
                <w:sz w:val="17"/>
              </w:rPr>
              <w:t>8,094</w:t>
            </w:r>
          </w:p>
        </w:tc>
        <w:tc>
          <w:tcPr>
            <w:tcW w:type="dxa" w:w="1440"/>
            <w:shd w:fill="FFDCE0" w:val="clear"/>
          </w:tcPr>
          <w:p>
            <w:r>
              <w:rPr>
                <w:b/>
                <w:color w:val="C00000"/>
                <w:sz w:val="17"/>
              </w:rPr>
              <w:t>-19.0%</w:t>
            </w:r>
          </w:p>
        </w:tc>
      </w:tr>
      <w:tr>
        <w:tc>
          <w:tcPr>
            <w:tcW w:type="dxa" w:w="1440"/>
            <w:shd w:fill="FFDCE0" w:val="clear"/>
          </w:tcPr>
          <w:p>
            <w:r>
              <w:rPr>
                <w:sz w:val="17"/>
              </w:rPr>
              <w:t>J+9  Moyenne</w:t>
            </w:r>
          </w:p>
        </w:tc>
        <w:tc>
          <w:tcPr>
            <w:tcW w:type="dxa" w:w="1440"/>
            <w:shd w:fill="FFDCE0" w:val="clear"/>
          </w:tcPr>
          <w:p>
            <w:r>
              <w:rPr>
                <w:sz w:val="17"/>
              </w:rPr>
              <w:t>2026-08-28</w:t>
            </w:r>
          </w:p>
        </w:tc>
        <w:tc>
          <w:tcPr>
            <w:tcW w:type="dxa" w:w="1440"/>
            <w:shd w:fill="FFDCE0" w:val="clear"/>
          </w:tcPr>
          <w:p>
            <w:r>
              <w:rPr>
                <w:sz w:val="17"/>
              </w:rPr>
              <w:t>6,624</w:t>
            </w:r>
          </w:p>
        </w:tc>
        <w:tc>
          <w:tcPr>
            <w:tcW w:type="dxa" w:w="1440"/>
            <w:shd w:fill="FFDCE0" w:val="clear"/>
          </w:tcPr>
          <w:p>
            <w:r>
              <w:rPr>
                <w:b/>
                <w:sz w:val="17"/>
              </w:rPr>
              <w:t>7,316</w:t>
            </w:r>
          </w:p>
        </w:tc>
        <w:tc>
          <w:tcPr>
            <w:tcW w:type="dxa" w:w="1440"/>
            <w:shd w:fill="FFDCE0" w:val="clear"/>
          </w:tcPr>
          <w:p>
            <w:r>
              <w:rPr>
                <w:sz w:val="17"/>
              </w:rPr>
              <w:t>8,007</w:t>
            </w:r>
          </w:p>
        </w:tc>
        <w:tc>
          <w:tcPr>
            <w:tcW w:type="dxa" w:w="1440"/>
            <w:shd w:fill="FFDCE0" w:val="clear"/>
          </w:tcPr>
          <w:p>
            <w:r>
              <w:rPr>
                <w:b/>
                <w:color w:val="C00000"/>
                <w:sz w:val="17"/>
              </w:rPr>
              <w:t>-20.3%</w:t>
            </w:r>
          </w:p>
        </w:tc>
      </w:tr>
      <w:tr>
        <w:tc>
          <w:tcPr>
            <w:tcW w:type="dxa" w:w="1440"/>
            <w:shd w:fill="FFDCE0" w:val="clear"/>
          </w:tcPr>
          <w:p>
            <w:r>
              <w:rPr>
                <w:sz w:val="17"/>
              </w:rPr>
              <w:t>J+10  Moyenne</w:t>
            </w:r>
          </w:p>
        </w:tc>
        <w:tc>
          <w:tcPr>
            <w:tcW w:type="dxa" w:w="1440"/>
            <w:shd w:fill="FFDCE0" w:val="clear"/>
          </w:tcPr>
          <w:p>
            <w:r>
              <w:rPr>
                <w:sz w:val="17"/>
              </w:rPr>
              <w:t>2026-08-31</w:t>
            </w:r>
          </w:p>
        </w:tc>
        <w:tc>
          <w:tcPr>
            <w:tcW w:type="dxa" w:w="1440"/>
            <w:shd w:fill="FFDCE0" w:val="clear"/>
          </w:tcPr>
          <w:p>
            <w:r>
              <w:rPr>
                <w:sz w:val="17"/>
              </w:rPr>
              <w:t>6,491</w:t>
            </w:r>
          </w:p>
        </w:tc>
        <w:tc>
          <w:tcPr>
            <w:tcW w:type="dxa" w:w="1440"/>
            <w:shd w:fill="FFDCE0" w:val="clear"/>
          </w:tcPr>
          <w:p>
            <w:r>
              <w:rPr>
                <w:b/>
                <w:sz w:val="17"/>
              </w:rPr>
              <w:t>7,209</w:t>
            </w:r>
          </w:p>
        </w:tc>
        <w:tc>
          <w:tcPr>
            <w:tcW w:type="dxa" w:w="1440"/>
            <w:shd w:fill="FFDCE0" w:val="clear"/>
          </w:tcPr>
          <w:p>
            <w:r>
              <w:rPr>
                <w:sz w:val="17"/>
              </w:rPr>
              <w:t>7,927</w:t>
            </w:r>
          </w:p>
        </w:tc>
        <w:tc>
          <w:tcPr>
            <w:tcW w:type="dxa" w:w="1440"/>
            <w:shd w:fill="FFDCE0" w:val="clear"/>
          </w:tcPr>
          <w:p>
            <w:r>
              <w:rPr>
                <w:b/>
                <w:color w:val="C00000"/>
                <w:sz w:val="17"/>
              </w:rPr>
              <w:t>-21.4%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917,50 milliards FCFA, ce qui en fait l'une des valeurs les plus significatives de la BRVM, reflétant son statut de banque systémique en Côte d'Ivoire. Avec un BPA de 556 FCFA, chaque action génère un bénéfice substantiel, mais le PER de 16,5x indique que les investisseurs paient une prime notable par rapport à la moyenne historique de la BRVM (8-12x), suggérant une valorisation déjà exigeante. Le P/B de 4,48x confirme cette lecture : le marché valorise l'actif net comptable près de 4,5 fois sa valeur, traduisant des attentes élevées de croissance future. Enfin, l'EV/EBITDA de 15,3x, supérieur au seuil de 15x, renforce l'idée d'une valorisation premium qui intègre les excellentes performances passées mais laisse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affiche une progression spectaculaire de +31,07%, avec une dernière séance en hausse de +0,82% à 9 175 FCFA, démontrant une dynamique haussière soutenue. Le cours a évolué dans une fourchette large de 6 805 FCFA (plus bas) à 9 500 FCFA (plus haut), soit une amplitude de près de 40%, témoignant d'un intérêt marqué des investisseurs. La moyenne de 8 108 FCFA est inférieure à la médiane de 8 650 FCFA, indiquant une distribution légèrement asymétrique avec une concentration des cours vers le haut de la fourchette. L'écart-type de 909 FCFA (CV=11,2%) révèle une dispersion modérée, tandis que le kurtosis de -1,723 (platykurtique) suggère une distribution aplatie avec peu de pics extrêmes, et le skewness de -0,222 confirme une symétrie relative. La volatilité annualisée de 28,4% classe le titre dans la catégorie modérée à élevée, reflétant un risque mesuré mais non négligeable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9 175 FCFA se positionne au-dessus de la MM20 (9 020,75 FCFA) et de la MM50 (8 917,4 FCFA), configuration haussière classique. La MM20 étant supérieure à la MM50, la tendance de fond est clairement positive, justifiant la décision d'achat. Cette structure en "courbe ascendante" confirme la dynamique haussière du titre sur les horizons court et moyen terme.</w:t>
      </w:r>
    </w:p>
    <w:p>
      <w:pPr>
        <w:spacing w:after="120" w:line="276" w:lineRule="auto"/>
      </w:pPr>
      <w:r>
        <w:t>**Bandes de Bollinger** : Le prix évolue à 9 175 FCFA, entre la borne supérieure (9 500,85 FCFA) et la borne inférieure (8 540,65 FCFA), positionné dans la moitié haute du canal. L'écart entre les bornes (environ 960 FCFA) indique une volatilité modérée. La décision neutre reflète une situation où le titre n'est ni suracheté ni survendu, mais la proximité de la borne supérieure suggère un potentiel de résistance à surveiller.</w:t>
      </w:r>
    </w:p>
    <w:p>
      <w:pPr>
        <w:spacing w:after="120" w:line="276" w:lineRule="auto"/>
      </w:pPr>
      <w:r>
        <w:t>**MACD** : La valeur du MACD (118,157) est supérieure à son signal (112,968), avec un écart positif de 5,2 points, indiquant un momentum haussier en phase d'accélération. Cette configuration, où la ligne MACD reste au-dessus du signal, confirme la tendance haussière et justifie la décision d'achat. La dynamique positive du momentum soutient la poursuite de la hausse à court terme.</w:t>
      </w:r>
    </w:p>
    <w:p>
      <w:pPr>
        <w:spacing w:after="120" w:line="276" w:lineRule="auto"/>
      </w:pPr>
      <w:r>
        <w:t>**RSI** : Le RSI de 55,789 se situe dans la zone neutre (30-70), indiquant un équilibre entre pression acheteuse et vendeuse. Cette valeur, ni surachetée ni survendue, laisse une marge de progression avant d'atteindre la zone de surachat (&gt;70). La décision neutre est cohérente avec une poursuite possible de la tendance sans risque immédiat de retournement.</w:t>
      </w:r>
    </w:p>
    <w:p>
      <w:pPr>
        <w:spacing w:after="120" w:line="276" w:lineRule="auto"/>
      </w:pPr>
      <w:r>
        <w:t>**Stochastique** : Le %K (59,375) est supérieur au %D (54,89), avec un écart positif de 4,5 points, suggérant un croisement haussier en cours. Bien que les deux lignes évoluent en zone neutre, la configuration actuelle indique une dynamique positive sans signal extrême. La décision neutre reflète cette situation intermédiaire.</w:t>
      </w:r>
    </w:p>
    <w:p>
      <w:pPr>
        <w:spacing w:after="120" w:line="276" w:lineRule="auto"/>
      </w:pPr>
      <w:r>
        <w:t>**Conclusion technique** : La convergence des indicateurs (MM haussières, MACD positif, RSI neutre, Stochastique en amélioration) confirme une tendance haussière solide mais non excessive. Le titre dispose encore de potentiel technique, avec une vigilance nécessaire sur la borne supérieure de Bollinger (9 500 FCFA) qui pourrait agir comme résistance. Globalement, les signaux techniques restent positifs pour le court terme.</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PNB de 108,663 milliards FCFA, en croissance de +5,74%, et un résultat net de 55,623 milliards FCFA, démontrant une rentabilité exceptionnelle. Le ROE de 27,16% et le ROA de 2,96% confirment l'excellente utilisation des capitaux propres et des actifs, bien au-dessus des normes sectorielles (&gt;15% pour le ROE). Le coefficient d'exploitation de 38,59% témoigne d'une efficacité opérationnelle remarquable (&lt;50% = excellente), tandis que le coût du risque élevé (provisions de 14,124 milliards FCFA) mérite une attention particulière. La structure financière montre une dépendance aux dépôts clients (1 503,441 milliards FCFA) avec un ratio de transformation crédits/dépôts de 81,6%, sain pour le secteur. Les rapports trimestriels confirment cette trajectoire : le T1 2025 (PNB +12%, RN +10%), le S1 2025 (PNB +9%, RN +15%) et le T3 2025 (PNB +8%, RN +11%) montrent une accélération progressive. Le rapport T1 2026 (publié en mai 2026) indique un PNB de 27,7 milliards FCFA (+4%) et un résultat net de 15,2 milliards FCFA (+11%), suggérant une poursuite de la croissance pour 2026. La banque maintient un ratio de solvabilité confortable (&gt;14%) et une politique de dividende généreuse (375 FCFA/action pour 2024, rendement ~10,55%). Les perspectives restent favorables avec le plan stratégique "IMPULSION 2028" axé sur la digitalisation et le soutien aux PME.</w:t>
      </w:r>
    </w:p>
    <w:p>
      <w:pPr>
        <w:spacing w:after="120" w:line="276" w:lineRule="auto" w:before="240"/>
      </w:pPr>
      <w:r>
        <w:rPr>
          <w:b/>
          <w:color w:val="003366"/>
          <w:sz w:val="24"/>
        </w:rPr>
        <w:t>**PARTIE 4 : CONCLUSION D'INVESTISSEMENT**</w:t>
      </w:r>
    </w:p>
    <w:p>
      <w:pPr>
        <w:spacing w:after="120" w:line="276" w:lineRule="auto"/>
      </w:pPr>
      <w:r>
        <w:t>La synthèse globale révèle une configuration contrastée pour la SIBC. Sur le plan de la valorisation, les ratios (PER 16,5x, P/B 4,48x, EV/EBITDA 15,3x) indiquent une surévaluation relative par rapport au marché BRVM, intégrant déjà les excellentes performances passées. Le comportement du cours (+31,07% sur 100 jours) confirme une dynamique haussière soutenue, avec une volatilité modérée (28,4%) et des statistiques (kurtosis platykurtique, skewness symétrique) suggérant une stabilité relative. Les signaux techniques convergent vers une tendance positive (MM haussières, MACD positif, RSI neutre), mais la proximité de la borne supérieure de Bollinger (9 500 FCFA) et les prédictions IA (baisse progressive de 8 851 à 7 871 FCFA sur 10 jours) suggèrent un risque de correction à court terme. Les fondamentaux restent excellents (ROE 27,16%, coefficient d'exploitation 38,59%, croissance soutenue du PNB et du résultat net), mais la valorisation actuelle laisse peu de marge de sécurité. La divergence entre les signaux techniques positifs et les prédictions IA baissières, combinée à une valorisation exigeante, conduit à une recommandation de **CONSERVER** avec un niveau de confiance **Moyen**. Le risque global est **Moyen** (valorisation premium, coût du risque élevé, dépendance macroéconomique). L'horizon d'investissement optimal serait le **moyen terme (3-12 mois)** pour bénéficier de la croissance des résultats tout en surveillant une éventuelle correction du cours.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6.05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97 titres</w:t>
            </w:r>
          </w:p>
        </w:tc>
        <w:tc>
          <w:tcPr>
            <w:tcW w:type="dxa" w:w="2268"/>
            <w:shd w:fill="FFF2CC" w:val="clear"/>
          </w:tcPr>
          <w:p>
            <w:r>
              <w:rPr>
                <w:b/>
                <w:color w:val="503200"/>
                <w:sz w:val="16"/>
              </w:rPr>
              <w:t xml:space="preserve">Cours actuel : </w:t>
            </w:r>
            <w:r>
              <w:rPr>
                <w:color w:val="000000"/>
                <w:sz w:val="17"/>
              </w:rPr>
              <w:t>10,080 FCFA</w:t>
            </w:r>
          </w:p>
          <w:p>
            <w:r>
              <w:rPr>
                <w:b/>
                <w:color w:val="503200"/>
                <w:sz w:val="16"/>
              </w:rPr>
              <w:t xml:space="preserve">Var. 100 jours : </w:t>
            </w:r>
            <w:r>
              <w:rPr>
                <w:b/>
                <w:color w:val="007800"/>
                <w:sz w:val="17"/>
              </w:rPr>
              <w:t>+165.26%</w:t>
            </w:r>
          </w:p>
          <w:p>
            <w:r>
              <w:rPr>
                <w:b/>
                <w:color w:val="503200"/>
                <w:sz w:val="16"/>
              </w:rPr>
              <w:t xml:space="preserve">Plus haut 100j : </w:t>
            </w:r>
            <w:r>
              <w:rPr>
                <w:color w:val="000000"/>
                <w:sz w:val="17"/>
              </w:rPr>
              <w:t>10,080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35.6/100 → Moyen</w:t>
      </w:r>
    </w:p>
    <w:p>
      <w:pPr>
        <w:spacing w:before="40" w:after="80"/>
      </w:pPr>
      <w:r>
        <w:rPr>
          <w:rFonts w:ascii="Courier New" w:hAnsi="Courier New"/>
          <w:color w:val="825A00"/>
          <w:sz w:val="18"/>
        </w:rPr>
        <w:t>███████░░░░░░░░░░░░░  35.6/100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23.89% (Élevée) — μ=4,869 FCFA, σ=1,163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β=0.0331 (Défensif) — Cov=0.000001, Var(idx)=0.000031, ρ=0.005,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97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9,165</w:t>
            </w:r>
          </w:p>
        </w:tc>
        <w:tc>
          <w:tcPr>
            <w:tcW w:type="dxa" w:w="1440"/>
            <w:shd w:fill="FFDCE0" w:val="clear"/>
          </w:tcPr>
          <w:p>
            <w:r>
              <w:rPr>
                <w:b/>
                <w:sz w:val="17"/>
              </w:rPr>
              <w:t>9,860</w:t>
            </w:r>
          </w:p>
        </w:tc>
        <w:tc>
          <w:tcPr>
            <w:tcW w:type="dxa" w:w="1440"/>
            <w:shd w:fill="FFDCE0" w:val="clear"/>
          </w:tcPr>
          <w:p>
            <w:r>
              <w:rPr>
                <w:sz w:val="17"/>
              </w:rPr>
              <w:t>10,555</w:t>
            </w:r>
          </w:p>
        </w:tc>
        <w:tc>
          <w:tcPr>
            <w:tcW w:type="dxa" w:w="1440"/>
            <w:shd w:fill="FFDCE0" w:val="clear"/>
          </w:tcPr>
          <w:p>
            <w:r>
              <w:rPr>
                <w:b/>
                <w:color w:val="C00000"/>
                <w:sz w:val="17"/>
              </w:rPr>
              <w:t>-2.2%</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8,895</w:t>
            </w:r>
          </w:p>
        </w:tc>
        <w:tc>
          <w:tcPr>
            <w:tcW w:type="dxa" w:w="1440"/>
            <w:shd w:fill="FAFAFA" w:val="clear"/>
          </w:tcPr>
          <w:p>
            <w:r>
              <w:rPr>
                <w:b/>
                <w:sz w:val="17"/>
              </w:rPr>
              <w:t>9,880</w:t>
            </w:r>
          </w:p>
        </w:tc>
        <w:tc>
          <w:tcPr>
            <w:tcW w:type="dxa" w:w="1440"/>
            <w:shd w:fill="FAFAFA" w:val="clear"/>
          </w:tcPr>
          <w:p>
            <w:r>
              <w:rPr>
                <w:sz w:val="17"/>
              </w:rPr>
              <w:t>10,865</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8,545</w:t>
            </w:r>
          </w:p>
        </w:tc>
        <w:tc>
          <w:tcPr>
            <w:tcW w:type="dxa" w:w="1440"/>
            <w:shd w:fill="FFDCE0" w:val="clear"/>
          </w:tcPr>
          <w:p>
            <w:r>
              <w:rPr>
                <w:b/>
                <w:sz w:val="17"/>
              </w:rPr>
              <w:t>9,733</w:t>
            </w:r>
          </w:p>
        </w:tc>
        <w:tc>
          <w:tcPr>
            <w:tcW w:type="dxa" w:w="1440"/>
            <w:shd w:fill="FFDCE0" w:val="clear"/>
          </w:tcPr>
          <w:p>
            <w:r>
              <w:rPr>
                <w:sz w:val="17"/>
              </w:rPr>
              <w:t>10,921</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8,191</w:t>
            </w:r>
          </w:p>
        </w:tc>
        <w:tc>
          <w:tcPr>
            <w:tcW w:type="dxa" w:w="1440"/>
            <w:shd w:fill="FFDCE0" w:val="clear"/>
          </w:tcPr>
          <w:p>
            <w:r>
              <w:rPr>
                <w:b/>
                <w:sz w:val="17"/>
              </w:rPr>
              <w:t>9,535</w:t>
            </w:r>
          </w:p>
        </w:tc>
        <w:tc>
          <w:tcPr>
            <w:tcW w:type="dxa" w:w="1440"/>
            <w:shd w:fill="FFDCE0" w:val="clear"/>
          </w:tcPr>
          <w:p>
            <w:r>
              <w:rPr>
                <w:sz w:val="17"/>
              </w:rPr>
              <w:t>10,879</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7,845</w:t>
            </w:r>
          </w:p>
        </w:tc>
        <w:tc>
          <w:tcPr>
            <w:tcW w:type="dxa" w:w="1440"/>
            <w:shd w:fill="FFDCE0" w:val="clear"/>
          </w:tcPr>
          <w:p>
            <w:r>
              <w:rPr>
                <w:b/>
                <w:sz w:val="17"/>
              </w:rPr>
              <w:t>9,313</w:t>
            </w:r>
          </w:p>
        </w:tc>
        <w:tc>
          <w:tcPr>
            <w:tcW w:type="dxa" w:w="1440"/>
            <w:shd w:fill="FFDCE0" w:val="clear"/>
          </w:tcPr>
          <w:p>
            <w:r>
              <w:rPr>
                <w:sz w:val="17"/>
              </w:rPr>
              <w:t>10,780</w:t>
            </w:r>
          </w:p>
        </w:tc>
        <w:tc>
          <w:tcPr>
            <w:tcW w:type="dxa" w:w="1440"/>
            <w:shd w:fill="FFDCE0" w:val="clear"/>
          </w:tcPr>
          <w:p>
            <w:r>
              <w:rPr>
                <w:b/>
                <w:color w:val="C00000"/>
                <w:sz w:val="17"/>
              </w:rPr>
              <w:t>-7.6%</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7,510</w:t>
            </w:r>
          </w:p>
        </w:tc>
        <w:tc>
          <w:tcPr>
            <w:tcW w:type="dxa" w:w="1440"/>
            <w:shd w:fill="FFDCE0" w:val="clear"/>
          </w:tcPr>
          <w:p>
            <w:r>
              <w:rPr>
                <w:b/>
                <w:sz w:val="17"/>
              </w:rPr>
              <w:t>9,077</w:t>
            </w:r>
          </w:p>
        </w:tc>
        <w:tc>
          <w:tcPr>
            <w:tcW w:type="dxa" w:w="1440"/>
            <w:shd w:fill="FFDCE0" w:val="clear"/>
          </w:tcPr>
          <w:p>
            <w:r>
              <w:rPr>
                <w:sz w:val="17"/>
              </w:rPr>
              <w:t>10,645</w:t>
            </w:r>
          </w:p>
        </w:tc>
        <w:tc>
          <w:tcPr>
            <w:tcW w:type="dxa" w:w="1440"/>
            <w:shd w:fill="FFDCE0" w:val="clear"/>
          </w:tcPr>
          <w:p>
            <w:r>
              <w:rPr>
                <w:b/>
                <w:color w:val="C00000"/>
                <w:sz w:val="17"/>
              </w:rPr>
              <w:t>-9.9%</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7,190</w:t>
            </w:r>
          </w:p>
        </w:tc>
        <w:tc>
          <w:tcPr>
            <w:tcW w:type="dxa" w:w="1440"/>
            <w:shd w:fill="FFDCE0" w:val="clear"/>
          </w:tcPr>
          <w:p>
            <w:r>
              <w:rPr>
                <w:b/>
                <w:sz w:val="17"/>
              </w:rPr>
              <w:t>8,838</w:t>
            </w:r>
          </w:p>
        </w:tc>
        <w:tc>
          <w:tcPr>
            <w:tcW w:type="dxa" w:w="1440"/>
            <w:shd w:fill="FFDCE0" w:val="clear"/>
          </w:tcPr>
          <w:p>
            <w:r>
              <w:rPr>
                <w:sz w:val="17"/>
              </w:rPr>
              <w:t>10,486</w:t>
            </w:r>
          </w:p>
        </w:tc>
        <w:tc>
          <w:tcPr>
            <w:tcW w:type="dxa" w:w="1440"/>
            <w:shd w:fill="FFDCE0" w:val="clear"/>
          </w:tcPr>
          <w:p>
            <w:r>
              <w:rPr>
                <w:b/>
                <w:color w:val="C00000"/>
                <w:sz w:val="17"/>
              </w:rPr>
              <w:t>-12.3%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6,887</w:t>
            </w:r>
          </w:p>
        </w:tc>
        <w:tc>
          <w:tcPr>
            <w:tcW w:type="dxa" w:w="1440"/>
            <w:shd w:fill="FFDCE0" w:val="clear"/>
          </w:tcPr>
          <w:p>
            <w:r>
              <w:rPr>
                <w:b/>
                <w:sz w:val="17"/>
              </w:rPr>
              <w:t>8,601</w:t>
            </w:r>
          </w:p>
        </w:tc>
        <w:tc>
          <w:tcPr>
            <w:tcW w:type="dxa" w:w="1440"/>
            <w:shd w:fill="FFDCE0" w:val="clear"/>
          </w:tcPr>
          <w:p>
            <w:r>
              <w:rPr>
                <w:sz w:val="17"/>
              </w:rPr>
              <w:t>10,316</w:t>
            </w:r>
          </w:p>
        </w:tc>
        <w:tc>
          <w:tcPr>
            <w:tcW w:type="dxa" w:w="1440"/>
            <w:shd w:fill="FFDCE0" w:val="clear"/>
          </w:tcPr>
          <w:p>
            <w:r>
              <w:rPr>
                <w:b/>
                <w:color w:val="C00000"/>
                <w:sz w:val="17"/>
              </w:rPr>
              <w:t>-14.7%</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6,601</w:t>
            </w:r>
          </w:p>
        </w:tc>
        <w:tc>
          <w:tcPr>
            <w:tcW w:type="dxa" w:w="1440"/>
            <w:shd w:fill="FFDCE0" w:val="clear"/>
          </w:tcPr>
          <w:p>
            <w:r>
              <w:rPr>
                <w:b/>
                <w:sz w:val="17"/>
              </w:rPr>
              <w:t>8,371</w:t>
            </w:r>
          </w:p>
        </w:tc>
        <w:tc>
          <w:tcPr>
            <w:tcW w:type="dxa" w:w="1440"/>
            <w:shd w:fill="FFDCE0" w:val="clear"/>
          </w:tcPr>
          <w:p>
            <w:r>
              <w:rPr>
                <w:sz w:val="17"/>
              </w:rPr>
              <w:t>10,141</w:t>
            </w:r>
          </w:p>
        </w:tc>
        <w:tc>
          <w:tcPr>
            <w:tcW w:type="dxa" w:w="1440"/>
            <w:shd w:fill="FFDCE0" w:val="clear"/>
          </w:tcPr>
          <w:p>
            <w:r>
              <w:rPr>
                <w:b/>
                <w:color w:val="C00000"/>
                <w:sz w:val="17"/>
              </w:rPr>
              <w:t>-17.0%</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6,334</w:t>
            </w:r>
          </w:p>
        </w:tc>
        <w:tc>
          <w:tcPr>
            <w:tcW w:type="dxa" w:w="1440"/>
            <w:shd w:fill="FFDCE0" w:val="clear"/>
          </w:tcPr>
          <w:p>
            <w:r>
              <w:rPr>
                <w:b/>
                <w:sz w:val="17"/>
              </w:rPr>
              <w:t>8,150</w:t>
            </w:r>
          </w:p>
        </w:tc>
        <w:tc>
          <w:tcPr>
            <w:tcW w:type="dxa" w:w="1440"/>
            <w:shd w:fill="FFDCE0" w:val="clear"/>
          </w:tcPr>
          <w:p>
            <w:r>
              <w:rPr>
                <w:sz w:val="17"/>
              </w:rPr>
              <w:t>9,967</w:t>
            </w:r>
          </w:p>
        </w:tc>
        <w:tc>
          <w:tcPr>
            <w:tcW w:type="dxa" w:w="1440"/>
            <w:shd w:fill="FFDCE0" w:val="clear"/>
          </w:tcPr>
          <w:p>
            <w:r>
              <w:rPr>
                <w:b/>
                <w:color w:val="C00000"/>
                <w:sz w:val="17"/>
              </w:rPr>
              <w:t>-19.1%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(BRVM)**</w:t>
      </w:r>
    </w:p>
    <w:p>
      <w:pPr>
        <w:spacing w:after="120" w:line="276" w:lineRule="auto" w:before="240"/>
      </w:pPr>
      <w:r>
        <w:rPr>
          <w:b/>
          <w:color w:val="003366"/>
          <w:sz w:val="24"/>
        </w:rPr>
        <w:t>**PARTIE 0 : INDICATEURS DE VALORISATION BOURSIÈRE**</w:t>
      </w:r>
    </w:p>
    <w:p>
      <w:pPr>
        <w:spacing w:after="120" w:line="276" w:lineRule="auto"/>
      </w:pPr>
      <w:r>
        <w:t>La capitalisation boursière de la SICOR s'établit à 6,05 milliards FCFA, un niveau modeste qui la classe parmi les petites capitalisations de la BRVM, offrant un potentiel de croissance mais aussi une liquidité limitée. Les ratios de valorisation (BPA, PER, P/B, EV/EBITDA) ne sont pas calculables en raison de l'absence de données financières structurées récentes dans la base. Cependant, sur la base du dernier résultat net publié de 19,25 millions FCFA (exercice 2023), le BPA implicite serait d'environ 32 FCFA, ce qui porterait le PER à un niveau extrêmement élevé d'environ 315 fois, signalant une valorisation très spéculative par rapport aux bénéfices actuels. Le marché valorise donc l'action bien au-delà de sa rentabilité historique, anticipant probablement un redressement majeur des fondamentaux.</w:t>
      </w:r>
    </w:p>
    <w:p>
      <w:pPr>
        <w:spacing w:after="120" w:line="276" w:lineRule="auto" w:before="240"/>
      </w:pPr>
      <w:r>
        <w:rPr>
          <w:b/>
          <w:color w:val="003366"/>
          <w:sz w:val="24"/>
        </w:rPr>
        <w:t>**PARTIE 1 : ANALYSE DU COURS — STATISTIQUES ET ÉVOLUTION (100 derniers jours)**</w:t>
      </w:r>
    </w:p>
    <w:p>
      <w:pPr>
        <w:spacing w:after="120" w:line="276" w:lineRule="auto"/>
      </w:pPr>
      <w:r>
        <w:t>L'action SICOR affiche une performance spectaculaire de +165,26% sur les 100 derniers jours, avec une dernière séance en hausse de 7,46%, portant le cours à 10 080 FCFA, son plus haut niveau sur la période, contre un plus bas de 3 765 FCFA. Cette tendance fortement haussière traduit un mouvement spéculatif intense. Les statistiques descriptives révèlent une distribution très asymétrique : la moyenne (4 869 FCFA) est supérieure à la médiane (4 455 FCFA), confirmant le skewness positif de 2,385, indiquant que le cours a passé la majorité du temps sous sa moyenne avant de connaître une envolée récente. L'écart-type de 1 169 FCFA (CV=24%) montre une dispersion modérée, mais le kurtosis de 6,039 signale un risque de pics extrêmes, avec des mouvements de prix brusques. La volatilité annualisée de 57,1% classe le titre comme très risqué, bien au-dessus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 cours (10 080 FCFA) évolue nettement au-dessus de la MM20 (6 730,5 FCFA) et de la MM50 (5 538,5 FCFA), confirmant une dynamique haussière à court et moyen terme. L'écart important entre le prix et les moyennes indique un mouvement parfaitement aligné avec la tendance, d'où le signal d'achat, bien que cet écart suggère également une extension excessive.</w:t>
      </w:r>
    </w:p>
    <w:p>
      <w:pPr>
        <w:spacing w:after="120" w:line="276" w:lineRule="auto"/>
      </w:pPr>
      <w:r>
        <w:t>**Bandes de Bollinger** : Le cours se situe au-dessus de la borne supérieure (9 572,8 FCFA), ce qui est un signal classique de surachat. Cette sortie de bande indique une volatilité extrême et un mouvement potentiellement insoutenable à court terme. La décision de vente est justifiée par cette extension excessive, le marché semblant avoir dépassé les bornes de volatilité statistique.</w:t>
      </w:r>
    </w:p>
    <w:p>
      <w:pPr>
        <w:spacing w:after="120" w:line="276" w:lineRule="auto"/>
      </w:pPr>
      <w:r>
        <w:t>**MACD** : Le MACD (1 059,15) est nettement supérieur à sa ligne de signal (711,03), confirmant un momentum haussier puissant. La divergence positive indique que la tendance haussière est solidement ancrée, mais l'ampleur de l'écart suggère également une possible exhaustion du mouvement. Le signal d'achat reste valide tant que le MACD demeure au-dessus du signal.</w:t>
      </w:r>
    </w:p>
    <w:p>
      <w:pPr>
        <w:spacing w:after="120" w:line="276" w:lineRule="auto"/>
      </w:pPr>
      <w:r>
        <w:t>**RSI** : Le RSI à 93,22 est extrêmement suracheté, bien au-delà du seuil de 70. Cette valeur indique une pression d'achat exceptionnelle mais insoutenable, avec un risque élevé de correction brutale. La décision de vente est amplement justifiée par ce niveau extrême, qui précède généralement un retour à la moyenne.</w:t>
      </w:r>
    </w:p>
    <w:p>
      <w:pPr>
        <w:spacing w:after="120" w:line="276" w:lineRule="auto"/>
      </w:pPr>
      <w:r>
        <w:t>**Stochastique** : Le %K et le %D sont tous deux à 100, leur niveau maximal, confirmant une condition de surachat extrême. Ce niveau plafonné indique que le marché est saturé d'achats, avec une probabilité élevée de retournement. La décision de vente est cohérente avec cette configuration.</w:t>
      </w:r>
    </w:p>
    <w:p>
      <w:pPr>
        <w:spacing w:after="120" w:line="276" w:lineRule="auto"/>
      </w:pPr>
      <w:r>
        <w:t>**Conclusion technique** : Les indicateurs de tendance (MM, MACD) sont positifs, mais tous les oscillateurs (RSI, Stochastique, Bandes de Bollinger) signalent un surachat extrême. Cette divergence entre la tendance et les conditions de marché suggère un risque élevé de correction à court terme, malgré la force du mouvement haussier.</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officiels fournis permettent une analyse approfondie. Pour l'exercice 2023 (rapport daté du 31/12/2024), la SICOR a réalisé un chiffre d'affaires de 701,09 millions FCFA, en baisse de 38,4% par rapport à 2022 (1 138,17 millions FCFA), mais a renoué avec la profitabilité avec un résultat net positif de 19,25 millions FCFA, contre une perte de 39,95 millions en 2022. La marge nette s'établit à 2,75%, encore inférieure aux standards sectoriels (5-10%). En 2022, le CA était de 1 138 millions FCFA avec une perte nette de 39,95 millions (marge de -3,51%). L'évolution sur plusieurs années montre une forte volatilité : CA de 1,38 milliard en 2021 (bénéfice de 119,2 millions), 1,86 milliard en 2019 (bénéfice symbolique de 2,35 millions), et 1,56 milliard en 2017 (bénéfice de 100,6 millions). Le rapport 2023 souligne une réduction drastique des charges (-43,68%), un transfert de 50% du personnel vers la SIPAL, et des pertes cumulées de 689,86 millions FCFA interdisant tout dividende. Les découverts bancaires ont été multipliés par 14, reflétant une trésorerie tendue. Les risques identifiés incluent les vols de noix de coco, la dépendance aux cours mondiaux du coprah, et une concurrence accrue. Les perspectives de résorption des pertes ne sont pas envisageables avant 2025-2026, avec une recommandation de conserver avec vigilance.</w:t>
      </w:r>
    </w:p>
    <w:p>
      <w:pPr>
        <w:spacing w:after="120" w:line="276" w:lineRule="auto" w:before="240"/>
      </w:pPr>
      <w:r>
        <w:rPr>
          <w:b/>
          <w:color w:val="003366"/>
          <w:sz w:val="24"/>
        </w:rPr>
        <w:t>**PARTIE 4 : CONCLUSION D'INVESTISSEMENT**</w:t>
      </w:r>
    </w:p>
    <w:p>
      <w:pPr>
        <w:spacing w:after="120" w:line="276" w:lineRule="auto"/>
      </w:pPr>
      <w:r>
        <w:t>La valorisation boursière actuelle de la SICOR apparaît extrêmement spéculative, avec un PER implicite d'environ 315 fois les bénéfices 2023, très supérieur à la moyenne BRVM (8-12x), indiquant une surévaluation flagrante. Le comportement du cours (+165% en 100 jours) avec un kurtosis élevé et une volatilité de 57,1% signale un risque majeur de correction brutale. Les signaux techniques sont contradictoires : les moyennes mobiles et le MACD confirment la tendance haussière, mais le RSI à 93, le Stochastique à 100 et la sortie des Bandes de Bollinger indiquent un surachat extrême. Les fondamentaux montrent un retour à la profitabilité en 2023 mais avec une marge fragile de 2,75%, des pertes cumulées de 690 millions FCFA, et une trésorerie tendue. Les prédictions IA (9 860 à 9 313 FCFA sur 10 jours) suggèrent une légère correction, contredisant partiellement la tendance récente. La convergence des signaux de surachat technique et de surévaluation fondamentale, malgré des fondamentaux en amélioration, conduit à une recommandation de **VENTE** à court terme, avec un niveau de confiance **Élevé** et un risque global **Élevé**. L'horizon d'investissement optimal serait de **court terme (&lt;3 mois)** pour les traders opportunistes, mais une approche prudente consisterait à attendre une correction significative avant d'envisager un achat à moyen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21.22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5,629 titres</w:t>
            </w:r>
          </w:p>
        </w:tc>
        <w:tc>
          <w:tcPr>
            <w:tcW w:type="dxa" w:w="2268"/>
            <w:shd w:fill="FFF2CC" w:val="clear"/>
          </w:tcPr>
          <w:p>
            <w:r>
              <w:rPr>
                <w:b/>
                <w:color w:val="503200"/>
                <w:sz w:val="16"/>
              </w:rPr>
              <w:t xml:space="preserve">Cours actuel : </w:t>
            </w:r>
            <w:r>
              <w:rPr>
                <w:color w:val="000000"/>
                <w:sz w:val="17"/>
              </w:rPr>
              <w:t>2,430 FCFA</w:t>
            </w:r>
          </w:p>
          <w:p>
            <w:r>
              <w:rPr>
                <w:b/>
                <w:color w:val="503200"/>
                <w:sz w:val="16"/>
              </w:rPr>
              <w:t xml:space="preserve">Var. 100 jours : </w:t>
            </w:r>
            <w:r>
              <w:rPr>
                <w:b/>
                <w:color w:val="B40000"/>
                <w:sz w:val="17"/>
              </w:rPr>
              <w:t>-9.67%</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11.05% (Moyenne) — μ=2,638 FCFA, σ=292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β=0.4677 (Défensif) — Cov=0.000015, Var(idx)=0.000031, ρ=0.079,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2,082</w:t>
            </w:r>
          </w:p>
        </w:tc>
        <w:tc>
          <w:tcPr>
            <w:tcW w:type="dxa" w:w="1440"/>
            <w:shd w:fill="FFDCE0" w:val="clear"/>
          </w:tcPr>
          <w:p>
            <w:r>
              <w:rPr>
                <w:b/>
                <w:sz w:val="17"/>
              </w:rPr>
              <w:t>2,248</w:t>
            </w:r>
          </w:p>
        </w:tc>
        <w:tc>
          <w:tcPr>
            <w:tcW w:type="dxa" w:w="1440"/>
            <w:shd w:fill="FFDCE0" w:val="clear"/>
          </w:tcPr>
          <w:p>
            <w:r>
              <w:rPr>
                <w:sz w:val="17"/>
              </w:rPr>
              <w:t>2,415</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1,986</w:t>
            </w:r>
          </w:p>
        </w:tc>
        <w:tc>
          <w:tcPr>
            <w:tcW w:type="dxa" w:w="1440"/>
            <w:shd w:fill="FFDCE0" w:val="clear"/>
          </w:tcPr>
          <w:p>
            <w:r>
              <w:rPr>
                <w:b/>
                <w:sz w:val="17"/>
              </w:rPr>
              <w:t>2,217</w:t>
            </w:r>
          </w:p>
        </w:tc>
        <w:tc>
          <w:tcPr>
            <w:tcW w:type="dxa" w:w="1440"/>
            <w:shd w:fill="FFDCE0" w:val="clear"/>
          </w:tcPr>
          <w:p>
            <w:r>
              <w:rPr>
                <w:sz w:val="17"/>
              </w:rPr>
              <w:t>2,449</w:t>
            </w:r>
          </w:p>
        </w:tc>
        <w:tc>
          <w:tcPr>
            <w:tcW w:type="dxa" w:w="1440"/>
            <w:shd w:fill="FFDCE0" w:val="clear"/>
          </w:tcPr>
          <w:p>
            <w:r>
              <w:rPr>
                <w:b/>
                <w:color w:val="C00000"/>
                <w:sz w:val="17"/>
              </w:rPr>
              <w:t>-8.8%</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1,893</w:t>
            </w:r>
          </w:p>
        </w:tc>
        <w:tc>
          <w:tcPr>
            <w:tcW w:type="dxa" w:w="1440"/>
            <w:shd w:fill="FFDCE0" w:val="clear"/>
          </w:tcPr>
          <w:p>
            <w:r>
              <w:rPr>
                <w:b/>
                <w:sz w:val="17"/>
              </w:rPr>
              <w:t>2,171</w:t>
            </w:r>
          </w:p>
        </w:tc>
        <w:tc>
          <w:tcPr>
            <w:tcW w:type="dxa" w:w="1440"/>
            <w:shd w:fill="FFDCE0" w:val="clear"/>
          </w:tcPr>
          <w:p>
            <w:r>
              <w:rPr>
                <w:sz w:val="17"/>
              </w:rPr>
              <w:t>2,448</w:t>
            </w:r>
          </w:p>
        </w:tc>
        <w:tc>
          <w:tcPr>
            <w:tcW w:type="dxa" w:w="1440"/>
            <w:shd w:fill="FFDCE0" w:val="clear"/>
          </w:tcPr>
          <w:p>
            <w:r>
              <w:rPr>
                <w:b/>
                <w:color w:val="C00000"/>
                <w:sz w:val="17"/>
              </w:rPr>
              <w:t>-10.7%</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1,808</w:t>
            </w:r>
          </w:p>
        </w:tc>
        <w:tc>
          <w:tcPr>
            <w:tcW w:type="dxa" w:w="1440"/>
            <w:shd w:fill="FFDCE0" w:val="clear"/>
          </w:tcPr>
          <w:p>
            <w:r>
              <w:rPr>
                <w:b/>
                <w:sz w:val="17"/>
              </w:rPr>
              <w:t>2,121</w:t>
            </w:r>
          </w:p>
        </w:tc>
        <w:tc>
          <w:tcPr>
            <w:tcW w:type="dxa" w:w="1440"/>
            <w:shd w:fill="FFDCE0" w:val="clear"/>
          </w:tcPr>
          <w:p>
            <w:r>
              <w:rPr>
                <w:sz w:val="17"/>
              </w:rPr>
              <w:t>2,435</w:t>
            </w:r>
          </w:p>
        </w:tc>
        <w:tc>
          <w:tcPr>
            <w:tcW w:type="dxa" w:w="1440"/>
            <w:shd w:fill="FFDCE0" w:val="clear"/>
          </w:tcPr>
          <w:p>
            <w:r>
              <w:rPr>
                <w:b/>
                <w:color w:val="C00000"/>
                <w:sz w:val="17"/>
              </w:rPr>
              <w:t>-12.7%</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1,731</w:t>
            </w:r>
          </w:p>
        </w:tc>
        <w:tc>
          <w:tcPr>
            <w:tcW w:type="dxa" w:w="1440"/>
            <w:shd w:fill="FFDCE0" w:val="clear"/>
          </w:tcPr>
          <w:p>
            <w:r>
              <w:rPr>
                <w:b/>
                <w:sz w:val="17"/>
              </w:rPr>
              <w:t>2,073</w:t>
            </w:r>
          </w:p>
        </w:tc>
        <w:tc>
          <w:tcPr>
            <w:tcW w:type="dxa" w:w="1440"/>
            <w:shd w:fill="FFDCE0" w:val="clear"/>
          </w:tcPr>
          <w:p>
            <w:r>
              <w:rPr>
                <w:sz w:val="17"/>
              </w:rPr>
              <w:t>2,415</w:t>
            </w:r>
          </w:p>
        </w:tc>
        <w:tc>
          <w:tcPr>
            <w:tcW w:type="dxa" w:w="1440"/>
            <w:shd w:fill="FFDCE0" w:val="clear"/>
          </w:tcPr>
          <w:p>
            <w:r>
              <w:rPr>
                <w:b/>
                <w:color w:val="C00000"/>
                <w:sz w:val="17"/>
              </w:rPr>
              <w:t>-14.7%</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1,659</w:t>
            </w:r>
          </w:p>
        </w:tc>
        <w:tc>
          <w:tcPr>
            <w:tcW w:type="dxa" w:w="1440"/>
            <w:shd w:fill="FFDCE0" w:val="clear"/>
          </w:tcPr>
          <w:p>
            <w:r>
              <w:rPr>
                <w:b/>
                <w:sz w:val="17"/>
              </w:rPr>
              <w:t>2,026</w:t>
            </w:r>
          </w:p>
        </w:tc>
        <w:tc>
          <w:tcPr>
            <w:tcW w:type="dxa" w:w="1440"/>
            <w:shd w:fill="FFDCE0" w:val="clear"/>
          </w:tcPr>
          <w:p>
            <w:r>
              <w:rPr>
                <w:sz w:val="17"/>
              </w:rPr>
              <w:t>2,392</w:t>
            </w:r>
          </w:p>
        </w:tc>
        <w:tc>
          <w:tcPr>
            <w:tcW w:type="dxa" w:w="1440"/>
            <w:shd w:fill="FFDCE0" w:val="clear"/>
          </w:tcPr>
          <w:p>
            <w:r>
              <w:rPr>
                <w:b/>
                <w:color w:val="C00000"/>
                <w:sz w:val="17"/>
              </w:rPr>
              <w:t>-16.6%</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1,593</w:t>
            </w:r>
          </w:p>
        </w:tc>
        <w:tc>
          <w:tcPr>
            <w:tcW w:type="dxa" w:w="1440"/>
            <w:shd w:fill="FFDCE0" w:val="clear"/>
          </w:tcPr>
          <w:p>
            <w:r>
              <w:rPr>
                <w:b/>
                <w:sz w:val="17"/>
              </w:rPr>
              <w:t>1,980</w:t>
            </w:r>
          </w:p>
        </w:tc>
        <w:tc>
          <w:tcPr>
            <w:tcW w:type="dxa" w:w="1440"/>
            <w:shd w:fill="FFDCE0" w:val="clear"/>
          </w:tcPr>
          <w:p>
            <w:r>
              <w:rPr>
                <w:sz w:val="17"/>
              </w:rPr>
              <w:t>2,367</w:t>
            </w:r>
          </w:p>
        </w:tc>
        <w:tc>
          <w:tcPr>
            <w:tcW w:type="dxa" w:w="1440"/>
            <w:shd w:fill="FFDCE0" w:val="clear"/>
          </w:tcPr>
          <w:p>
            <w:r>
              <w:rPr>
                <w:b/>
                <w:color w:val="C00000"/>
                <w:sz w:val="17"/>
              </w:rPr>
              <w:t>-18.5%</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1,532</w:t>
            </w:r>
          </w:p>
        </w:tc>
        <w:tc>
          <w:tcPr>
            <w:tcW w:type="dxa" w:w="1440"/>
            <w:shd w:fill="FFDCE0" w:val="clear"/>
          </w:tcPr>
          <w:p>
            <w:r>
              <w:rPr>
                <w:b/>
                <w:sz w:val="17"/>
              </w:rPr>
              <w:t>1,936</w:t>
            </w:r>
          </w:p>
        </w:tc>
        <w:tc>
          <w:tcPr>
            <w:tcW w:type="dxa" w:w="1440"/>
            <w:shd w:fill="FFDCE0" w:val="clear"/>
          </w:tcPr>
          <w:p>
            <w:r>
              <w:rPr>
                <w:sz w:val="17"/>
              </w:rPr>
              <w:t>2,341</w:t>
            </w:r>
          </w:p>
        </w:tc>
        <w:tc>
          <w:tcPr>
            <w:tcW w:type="dxa" w:w="1440"/>
            <w:shd w:fill="FFDCE0" w:val="clear"/>
          </w:tcPr>
          <w:p>
            <w:r>
              <w:rPr>
                <w:b/>
                <w:color w:val="C00000"/>
                <w:sz w:val="17"/>
              </w:rPr>
              <w:t>-20.3%</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1,474</w:t>
            </w:r>
          </w:p>
        </w:tc>
        <w:tc>
          <w:tcPr>
            <w:tcW w:type="dxa" w:w="1440"/>
            <w:shd w:fill="FFDCE0" w:val="clear"/>
          </w:tcPr>
          <w:p>
            <w:r>
              <w:rPr>
                <w:b/>
                <w:sz w:val="17"/>
              </w:rPr>
              <w:t>1,894</w:t>
            </w:r>
          </w:p>
        </w:tc>
        <w:tc>
          <w:tcPr>
            <w:tcW w:type="dxa" w:w="1440"/>
            <w:shd w:fill="FFDCE0" w:val="clear"/>
          </w:tcPr>
          <w:p>
            <w:r>
              <w:rPr>
                <w:sz w:val="17"/>
              </w:rPr>
              <w:t>2,313</w:t>
            </w:r>
          </w:p>
        </w:tc>
        <w:tc>
          <w:tcPr>
            <w:tcW w:type="dxa" w:w="1440"/>
            <w:shd w:fill="FFDCE0" w:val="clear"/>
          </w:tcPr>
          <w:p>
            <w:r>
              <w:rPr>
                <w:b/>
                <w:color w:val="C00000"/>
                <w:sz w:val="17"/>
              </w:rPr>
              <w:t>-22.1%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1,420</w:t>
            </w:r>
          </w:p>
        </w:tc>
        <w:tc>
          <w:tcPr>
            <w:tcW w:type="dxa" w:w="1440"/>
            <w:shd w:fill="FFDCE0" w:val="clear"/>
          </w:tcPr>
          <w:p>
            <w:r>
              <w:rPr>
                <w:b/>
                <w:sz w:val="17"/>
              </w:rPr>
              <w:t>1,853</w:t>
            </w:r>
          </w:p>
        </w:tc>
        <w:tc>
          <w:tcPr>
            <w:tcW w:type="dxa" w:w="1440"/>
            <w:shd w:fill="FFDCE0" w:val="clear"/>
          </w:tcPr>
          <w:p>
            <w:r>
              <w:rPr>
                <w:sz w:val="17"/>
              </w:rPr>
              <w:t>2,285</w:t>
            </w:r>
          </w:p>
        </w:tc>
        <w:tc>
          <w:tcPr>
            <w:tcW w:type="dxa" w:w="1440"/>
            <w:shd w:fill="FFDCE0" w:val="clear"/>
          </w:tcPr>
          <w:p>
            <w:r>
              <w:rPr>
                <w:b/>
                <w:color w:val="C00000"/>
                <w:sz w:val="17"/>
              </w:rPr>
              <w:t>-23.8%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21,22 milliards FCFA positionne SIVC comme une valeur de taille moyenne sur la BRVM, reflétant un intérêt certain des investisseurs pour ce titre. Avec un BPA de 43 FCFA, chaque action ne génère qu'un bénéfice modeste, ce qui explique un PER de 56,3x, extrêmement élevé par rapport à la moyenne du marché BRVM (8-12x). Les investisseurs paient donc une prime considérable pour chaque franc de bénéfice, signe d'anticipations de croissance très fortes ou d'une surévaluation. Le P/B de 6,49x confirme cette tendance, le marché valorisant le titre à plus de six fois sa valeur comptable, ce qui est exigeant. Enfin, l'EV/EBITDA de 17,6x, supérieur au seuil de 15x, indique que la valeur d'entreprise est élevée par rapport à sa capacité opérationnelle, renforçant l'idée d'une valorisation qui intègre des perspectives de performance future substantielles.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SIVC a enregistré une baisse de 9,67%, bien que la dernière séance ait rebondi de 0,83% à 2 430 FCFA. Le titre a évolué dans une fourchette large de 1 920 à 3 215 FCFA, illustrant une volatilité importante. La moyenne de 2 638 FCFA est inférieure à la médiane de 2 762 FCFA, et le mode de 2 800 FCFA indique que le cours a souvent été plus élevé, ce qui, combiné à une asymétrie négative (skewness de -0,595), suggère des épisodes de fortes baisses plus fréquents que des hausses. L'écart-type de 293 FCFA (CV de 11,1%) montre une dispersion modérée autour de la moyenne, tandis que le kurtosis de -0,728 (mésokurtique) indique une distribution proche de la normale, sans risque de variations extrêmes. La volatilité annualisée de 52,4% est très élevée, classant ce titre comme risqué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2 430 FCFA est supérieur à la MM20 (2 256,5 FCFA) mais inférieur à la MM50 (2 426 FCFA). Cette configuration, avec un prix sous la moyenne à long terme, suggère une tendance baissière persistante, justifiant la décision de vente.</w:t>
      </w:r>
    </w:p>
    <w:p>
      <w:pPr>
        <w:spacing w:after="120" w:line="276" w:lineRule="auto"/>
      </w:pPr>
      <w:r>
        <w:t>**Bandes de Bollinger :** Le prix se situe près de la borne supérieure (2 470 FCFA) et nettement au-dessus de la borne inférieure (2 042 FCFA), indiquant une volatilité en hausse. La décision neutre reflète un marché qui teste les niveaux supérieurs sans signal clair de cassure.</w:t>
      </w:r>
    </w:p>
    <w:p>
      <w:pPr>
        <w:spacing w:after="120" w:line="276" w:lineRule="auto"/>
      </w:pPr>
      <w:r>
        <w:t>**MACD :** La valeur du MACD (-5,205) est supérieure à sa ligne de signal (-48,495), ce qui constitue un croisement haussier. Ce signal d'achat suggère un momentum positif en train de se former, malgré des valeurs encore négatives.</w:t>
      </w:r>
    </w:p>
    <w:p>
      <w:pPr>
        <w:spacing w:after="120" w:line="276" w:lineRule="auto"/>
      </w:pPr>
      <w:r>
        <w:t>**RSI :** À 64,286, le RSI est en zone neutre, proche du seuil de surachat (70). Cela indique une pression acheteuse modérée sans être excessive, laissant place à une possible poursuite de la hausse.</w:t>
      </w:r>
    </w:p>
    <w:p>
      <w:pPr>
        <w:spacing w:after="120" w:line="276" w:lineRule="auto"/>
      </w:pPr>
      <w:r>
        <w:t>**Stochastique :** Avec %K à 100 et %D à 95,3, l'oscillateur est en zone de surachat extrême. La décision de vente est justifiée par un risque élevé de retournement technique à court terme.</w:t>
      </w:r>
    </w:p>
    <w:p>
      <w:pPr>
        <w:spacing w:after="120" w:line="276" w:lineRule="auto"/>
      </w:pPr>
      <w:r>
        <w:t>**Conclusion technique :** Les signaux sont mitigés avec un MACD haussier contrastant avec un stochastique suracheté et une tendance de fond baissière. La prudence est de mise, car le titre pourrait connaître une correction après cette phase de rebond technique.</w:t>
      </w:r>
    </w:p>
    <w:p>
      <w:pPr>
        <w:spacing w:after="120" w:line="276" w:lineRule="auto"/>
      </w:pPr>
      <w:r>
        <w:t>---</w:t>
      </w:r>
    </w:p>
    <w:p>
      <w:pPr>
        <w:spacing w:after="120" w:line="276" w:lineRule="auto"/>
      </w:pPr>
      <w:r>
        <w:t>### PARTIE 3 : ANALYSE FONDAMENTALE (SECTION CRITIQUE)</w:t>
      </w:r>
    </w:p>
    <w:p>
      <w:pPr>
        <w:spacing w:after="120" w:line="276" w:lineRule="auto"/>
      </w:pPr>
      <w:r>
        <w:t>En 2024, les données structurées indiquent un PNB de 9,283 milliards FCFA, un résultat net de 376,96 millions FCFA, un ROE de 11,52% et un ROA de 2,69%. Le coefficient d'exploitation de 95,83% est très élevé, bien au-dessus du seuil d'efficacité de 60%, ce qui révèle une mauvaise maîtrise des charges. Le coût du risque de 3,10% est significatif, indiquant un risque de crédit notable. Les dépôts clientèle (1,125 milliards FCFA) sont inférieurs aux créances clients (1,550 milliards FCFA), montrant une transformation déséquilibrée. Selon le rapport annuel 2025 (daté du 31/12/2025), le CA a progressé de 8,53% à 10,07 milliards FCFA, mais le résultat net a chuté de 52,4% à 179 millions FCFA, avec une marge nette tombée à 1,78%. Cependant, le rapport du 3ème trimestre 2025 (30/09/2025) montre une forte reprise : CA cumulé de 7,58 milliards FCFA (+13%) et résultat net de 832,5 millions FCFA (+58%), avec une marge nette de 11%. Sur cette base, on estime que l'exercice 2025 complet pourrait dépasser les 900 millions FCFA de bénéfice net, soit une amélioration significative par rapport à 2024. La société a également changé de nom pour devenir ERIUM CI, suite à la cession de la participation d'Air Liquide International à ERIUM LTD.</w:t>
      </w:r>
    </w:p>
    <w:p>
      <w:pPr>
        <w:spacing w:after="120" w:line="276" w:lineRule="auto"/>
      </w:pPr>
      <w:r>
        <w:t>---</w:t>
      </w:r>
    </w:p>
    <w:p>
      <w:pPr>
        <w:spacing w:after="120" w:line="276" w:lineRule="auto"/>
      </w:pPr>
      <w:r>
        <w:t>### PARTIE 4 : CONCLUSION D'INVESTISSEMENT</w:t>
      </w:r>
    </w:p>
    <w:p>
      <w:pPr>
        <w:spacing w:after="120" w:line="276" w:lineRule="auto"/>
      </w:pPr>
      <w:r>
        <w:t>La valorisation de SIVC est extrêmement exigeante (PER de 56,3x, P/B de 6,49x), indiquant une surévaluation par rapport aux bénéfices actuels. Le comportement du cours sur 100 jours est baissier avec une volatilité très élevée (52,4%), et les statistiques montrent une asymétrie négative préoccupante. Les signaux techniques sont mitigés, avec un MACD haussier mais un stochastique suracheté et une tendance de fond négative. Les fondamentaux montrent une amélioration notable en 2025, avec une croissance du CA et une reprise de la rentabilité au T3, mais le coefficient d'exploitation reste un point faible. Les prédictions IA indiquent une baisse continue du cours jusqu'à 2 073 FCFA sur 10 jours, contredisant les signaux techniques à court terme. En synthèse, la convergence entre la surévaluation, la tendance baissière et les prédictions IA suggère une prudence accrue. **Recommandation finale : VENTE** avec un niveau de confiance **Moyen** et un risque global **Élevé**. L'horizon d'investissement optimal serait à court terme (&lt;3 mois) pour les investisseurs cherchant à réduire leur exposition avant une possible correction.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613.17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1,053 titres</w:t>
            </w:r>
          </w:p>
        </w:tc>
        <w:tc>
          <w:tcPr>
            <w:tcW w:type="dxa" w:w="2268"/>
            <w:shd w:fill="FFF2CC" w:val="clear"/>
          </w:tcPr>
          <w:p>
            <w:r>
              <w:rPr>
                <w:b/>
                <w:color w:val="503200"/>
                <w:sz w:val="16"/>
              </w:rPr>
              <w:t xml:space="preserve">Cours actuel : </w:t>
            </w:r>
            <w:r>
              <w:rPr>
                <w:color w:val="000000"/>
                <w:sz w:val="17"/>
              </w:rPr>
              <w:t>37,250 FCFA</w:t>
            </w:r>
          </w:p>
          <w:p>
            <w:r>
              <w:rPr>
                <w:b/>
                <w:color w:val="503200"/>
                <w:sz w:val="16"/>
              </w:rPr>
              <w:t xml:space="preserve">Var. 100 jours : </w:t>
            </w:r>
            <w:r>
              <w:rPr>
                <w:b/>
                <w:color w:val="B40000"/>
                <w:sz w:val="17"/>
              </w:rPr>
              <w:t>-4.49%</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2.44% (Faible) — μ=38,444 FCFA, σ=939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β=0.2532 (Défensif) — Cov=0.000008, Var(idx)=0.000031, ρ=0.077,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36,122</w:t>
            </w:r>
          </w:p>
        </w:tc>
        <w:tc>
          <w:tcPr>
            <w:tcW w:type="dxa" w:w="1440"/>
            <w:shd w:fill="FAFAFA" w:val="clear"/>
          </w:tcPr>
          <w:p>
            <w:r>
              <w:rPr>
                <w:b/>
                <w:sz w:val="17"/>
              </w:rPr>
              <w:t>37,473</w:t>
            </w:r>
          </w:p>
        </w:tc>
        <w:tc>
          <w:tcPr>
            <w:tcW w:type="dxa" w:w="1440"/>
            <w:shd w:fill="FAFAFA" w:val="clear"/>
          </w:tcPr>
          <w:p>
            <w:r>
              <w:rPr>
                <w:sz w:val="17"/>
              </w:rPr>
              <w:t>38,824</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35,518</w:t>
            </w:r>
          </w:p>
        </w:tc>
        <w:tc>
          <w:tcPr>
            <w:tcW w:type="dxa" w:w="1440"/>
            <w:shd w:fill="FAFAFA" w:val="clear"/>
          </w:tcPr>
          <w:p>
            <w:r>
              <w:rPr>
                <w:b/>
                <w:sz w:val="17"/>
              </w:rPr>
              <w:t>37,426</w:t>
            </w:r>
          </w:p>
        </w:tc>
        <w:tc>
          <w:tcPr>
            <w:tcW w:type="dxa" w:w="1440"/>
            <w:shd w:fill="FAFAFA" w:val="clear"/>
          </w:tcPr>
          <w:p>
            <w:r>
              <w:rPr>
                <w:sz w:val="17"/>
              </w:rPr>
              <w:t>39,334</w:t>
            </w:r>
          </w:p>
        </w:tc>
        <w:tc>
          <w:tcPr>
            <w:tcW w:type="dxa" w:w="1440"/>
            <w:shd w:fill="FAFAFA" w:val="clear"/>
          </w:tcPr>
          <w:p>
            <w:r>
              <w:rPr>
                <w:b/>
                <w:color w:val="008000"/>
                <w:sz w:val="17"/>
              </w:rPr>
              <w:t>+0.5%</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35,052</w:t>
            </w:r>
          </w:p>
        </w:tc>
        <w:tc>
          <w:tcPr>
            <w:tcW w:type="dxa" w:w="1440"/>
            <w:shd w:fill="FAFAFA" w:val="clear"/>
          </w:tcPr>
          <w:p>
            <w:r>
              <w:rPr>
                <w:b/>
                <w:sz w:val="17"/>
              </w:rPr>
              <w:t>37,387</w:t>
            </w:r>
          </w:p>
        </w:tc>
        <w:tc>
          <w:tcPr>
            <w:tcW w:type="dxa" w:w="1440"/>
            <w:shd w:fill="FAFAFA" w:val="clear"/>
          </w:tcPr>
          <w:p>
            <w:r>
              <w:rPr>
                <w:sz w:val="17"/>
              </w:rPr>
              <w:t>39,721</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34,657</w:t>
            </w:r>
          </w:p>
        </w:tc>
        <w:tc>
          <w:tcPr>
            <w:tcW w:type="dxa" w:w="1440"/>
            <w:shd w:fill="FAFAFA" w:val="clear"/>
          </w:tcPr>
          <w:p>
            <w:r>
              <w:rPr>
                <w:b/>
                <w:sz w:val="17"/>
              </w:rPr>
              <w:t>37,350</w:t>
            </w:r>
          </w:p>
        </w:tc>
        <w:tc>
          <w:tcPr>
            <w:tcW w:type="dxa" w:w="1440"/>
            <w:shd w:fill="FAFAFA" w:val="clear"/>
          </w:tcPr>
          <w:p>
            <w:r>
              <w:rPr>
                <w:sz w:val="17"/>
              </w:rPr>
              <w:t>40,043</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34,307</w:t>
            </w:r>
          </w:p>
        </w:tc>
        <w:tc>
          <w:tcPr>
            <w:tcW w:type="dxa" w:w="1440"/>
            <w:shd w:fill="FAFAFA" w:val="clear"/>
          </w:tcPr>
          <w:p>
            <w:r>
              <w:rPr>
                <w:b/>
                <w:sz w:val="17"/>
              </w:rPr>
              <w:t>37,315</w:t>
            </w:r>
          </w:p>
        </w:tc>
        <w:tc>
          <w:tcPr>
            <w:tcW w:type="dxa" w:w="1440"/>
            <w:shd w:fill="FAFAFA" w:val="clear"/>
          </w:tcPr>
          <w:p>
            <w:r>
              <w:rPr>
                <w:sz w:val="17"/>
              </w:rPr>
              <w:t>40,323</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33,988</w:t>
            </w:r>
          </w:p>
        </w:tc>
        <w:tc>
          <w:tcPr>
            <w:tcW w:type="dxa" w:w="1440"/>
            <w:shd w:fill="FAFAFA" w:val="clear"/>
          </w:tcPr>
          <w:p>
            <w:r>
              <w:rPr>
                <w:b/>
                <w:sz w:val="17"/>
              </w:rPr>
              <w:t>37,281</w:t>
            </w:r>
          </w:p>
        </w:tc>
        <w:tc>
          <w:tcPr>
            <w:tcW w:type="dxa" w:w="1440"/>
            <w:shd w:fill="FAFAFA" w:val="clear"/>
          </w:tcPr>
          <w:p>
            <w:r>
              <w:rPr>
                <w:sz w:val="17"/>
              </w:rPr>
              <w:t>40,573</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33,694</w:t>
            </w:r>
          </w:p>
        </w:tc>
        <w:tc>
          <w:tcPr>
            <w:tcW w:type="dxa" w:w="1440"/>
            <w:shd w:fill="FAFAFA" w:val="clear"/>
          </w:tcPr>
          <w:p>
            <w:r>
              <w:rPr>
                <w:b/>
                <w:sz w:val="17"/>
              </w:rPr>
              <w:t>37,247</w:t>
            </w:r>
          </w:p>
        </w:tc>
        <w:tc>
          <w:tcPr>
            <w:tcW w:type="dxa" w:w="1440"/>
            <w:shd w:fill="FAFAFA" w:val="clear"/>
          </w:tcPr>
          <w:p>
            <w:r>
              <w:rPr>
                <w:sz w:val="17"/>
              </w:rPr>
              <w:t>40,799</w:t>
            </w:r>
          </w:p>
        </w:tc>
        <w:tc>
          <w:tcPr>
            <w:tcW w:type="dxa" w:w="1440"/>
            <w:shd w:fill="FAFAFA" w:val="clear"/>
          </w:tcPr>
          <w:p>
            <w:r>
              <w:rPr>
                <w:b/>
                <w:color w:val="C00000"/>
                <w:sz w:val="17"/>
              </w:rPr>
              <w:t>-0.0%</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33,419</w:t>
            </w:r>
          </w:p>
        </w:tc>
        <w:tc>
          <w:tcPr>
            <w:tcW w:type="dxa" w:w="1440"/>
            <w:shd w:fill="FAFAFA" w:val="clear"/>
          </w:tcPr>
          <w:p>
            <w:r>
              <w:rPr>
                <w:b/>
                <w:sz w:val="17"/>
              </w:rPr>
              <w:t>37,213</w:t>
            </w:r>
          </w:p>
        </w:tc>
        <w:tc>
          <w:tcPr>
            <w:tcW w:type="dxa" w:w="1440"/>
            <w:shd w:fill="FAFAFA" w:val="clear"/>
          </w:tcPr>
          <w:p>
            <w:r>
              <w:rPr>
                <w:sz w:val="17"/>
              </w:rPr>
              <w:t>41,008</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33,159</w:t>
            </w:r>
          </w:p>
        </w:tc>
        <w:tc>
          <w:tcPr>
            <w:tcW w:type="dxa" w:w="1440"/>
            <w:shd w:fill="FAFAFA" w:val="clear"/>
          </w:tcPr>
          <w:p>
            <w:r>
              <w:rPr>
                <w:b/>
                <w:sz w:val="17"/>
              </w:rPr>
              <w:t>37,180</w:t>
            </w:r>
          </w:p>
        </w:tc>
        <w:tc>
          <w:tcPr>
            <w:tcW w:type="dxa" w:w="1440"/>
            <w:shd w:fill="FAFAFA" w:val="clear"/>
          </w:tcPr>
          <w:p>
            <w:r>
              <w:rPr>
                <w:sz w:val="17"/>
              </w:rPr>
              <w:t>41,201</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32,912</w:t>
            </w:r>
          </w:p>
        </w:tc>
        <w:tc>
          <w:tcPr>
            <w:tcW w:type="dxa" w:w="1440"/>
            <w:shd w:fill="FAFAFA" w:val="clear"/>
          </w:tcPr>
          <w:p>
            <w:r>
              <w:rPr>
                <w:b/>
                <w:sz w:val="17"/>
              </w:rPr>
              <w:t>37,147</w:t>
            </w:r>
          </w:p>
        </w:tc>
        <w:tc>
          <w:tcPr>
            <w:tcW w:type="dxa" w:w="1440"/>
            <w:shd w:fill="FAFAFA" w:val="clear"/>
          </w:tcPr>
          <w:p>
            <w:r>
              <w:rPr>
                <w:sz w:val="17"/>
              </w:rPr>
              <w:t>41,382</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21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613,17 milliards FCFA, ce qui en fait l'une des valeurs les plus significatives de la BRVM, reflétant la position dominante de SOLIBRA dans le secteur des boissons en Afrique de l'Ouest. Le BPA de 2 781 FCFA indique que chaque action génère un bénéfice substantiel, justifiant un PER de 13,4x. Ce ratio, bien que supérieur à la moyenne historique de la BRVM (8-12x), reste modéré et témoigne d'une valorisation raisonnable compte tenu de la forte croissance affichée par la société. Le P/B de 3,14x indique que le marché valorise la société à plus de trois fois sa valeur comptable, une prime de croissance justifiée par les excellentes performances récentes. Enfin, l'EV/EBITDA de 7,3x se situe dans une fourchette raisonnable (5-10x), suggérant que la valeur totale de l'entreprise reste attractive par rapport à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 enregistré une variation totale de -4,49%, avec une baisse plus marquée de -1,97% lors de la dernière séance, portant le cours actuel à 37 250 FCFA. Le titre a évolué dans une fourchette de 35 540 FCFA (plus bas) à 41 500 FCFA (plus haut), démontrant une amplitude de trading de près de 17%. La moyenne du cours sur la période (38 444 FCFA) est très proche de la médiane (38 500 FCFA), et le skewness de 0,009 confirme une distribution parfaitement symétrique des prix. L'écart-type de 943 FCFA, avec un coefficient de variation de seulement 2,5%, indique une dispersion très faible autour de la moyenne, tandis que le kurtosis de 0,353 (mésokurtique) suggère une distribution proche de la normale, sans risque de mouvements extrêmes. La volatilité annualisée de 29,0% positionne le titre dans une zone de volatilité modérée à élevée, nécessitant une attention particulière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(37 250 FCFA) se situe sous la MM20 (38 201,75 FCFA) et la MM50 (38 669,8 FCFA), confirmant une tendance baissière à court et moyen terme. La décision de Vente est justifiée par cette configuration où le prix évolue sous les deux moyennes mobiles, indiquant une pression vendeuse persistante.</w:t>
      </w:r>
    </w:p>
    <w:p>
      <w:pPr>
        <w:spacing w:after="120" w:line="276" w:lineRule="auto"/>
      </w:pPr>
      <w:r>
        <w:t>**Bandes de Bollinger :** Le cours se positionne entre la borne inférieure (36 145,59 FCFA) et la borne supérieure (40 257,91 FCFA), plus près de la borne inférieure, ce qui suggère une proximité avec des conditions de survente. La décision Neutre reflète une volatilité modérée, le prix n'ayant pas encore atteint les extrêmes qui déclencheraient un signal plus fort.</w:t>
      </w:r>
    </w:p>
    <w:p>
      <w:pPr>
        <w:spacing w:after="120" w:line="276" w:lineRule="auto"/>
      </w:pPr>
      <w:r>
        <w:t>**MACD :** La valeur du MACD (-470,331) est inférieure à son signal (-393,53), confirmant une dynamique baissière. Cette divergence négative indique un momentum défavorable, justifiant la décision de Vente. La persistance de cet écart pourrait signaler une poursuite de la tendance baissière à court terme.</w:t>
      </w:r>
    </w:p>
    <w:p>
      <w:pPr>
        <w:spacing w:after="120" w:line="276" w:lineRule="auto"/>
      </w:pPr>
      <w:r>
        <w:t>**RSI :** À 37,493, le RSI se situe dans la zone neutre (30-70), mais proche de la zone de survente. La décision Neutre suggère que le titre n'est pas encore survendu, mais la proximité du seuil de 30 pourrait indiquer un potentiel de rebond technique dans les prochaines séances.</w:t>
      </w:r>
    </w:p>
    <w:p>
      <w:pPr>
        <w:spacing w:after="120" w:line="276" w:lineRule="auto"/>
      </w:pPr>
      <w:r>
        <w:t>**Stochastique :** Le %K (12,545) est nettement inférieur au %D (20,555), indiquant une forte dynamique baissière. Cependant, la décision d'Achat suggère que le titre est en zone de survente extrême, ce qui pourrait précéder un retournement technique. Un croisement haussier du %K au-dessus du %D serait un signal d'achat plus fort.</w:t>
      </w:r>
    </w:p>
    <w:p>
      <w:pPr>
        <w:spacing w:after="120" w:line="276" w:lineRule="auto"/>
      </w:pPr>
      <w:r>
        <w:t>**Conclusion technique :** La convergence des indicateurs baissiers (MM, MACD) avec des signaux de survente (Stochastique, RSI proche de 30) crée une situation contrastée. Le titre semble en phase de consolidation baissière, mais les conditions de survente pourraient favoriser un rebond technique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des performances exceptionnelles avec un chiffre d'affaires de 378,123 milliards FCFA, en croissance de 22,1% par rapport à 2024, et un résultat net de 45,781 milliards FCFA, soit une progression spectaculaire de 113%. La marge nette s'est améliorée de 6,9% à 12,1%, tandis que le ROE atteint 23,46% et le ROA 13,48%, des niveaux excellents qui témoignent d'une gestion particulièrement efficace. La structure financière est saine avec une autonomie financière de 57,5% et une capacité de remboursement de seulement 0,67 année. Le BFR de 61,587 milliards FCFA, avec un délai clients de 64 jours et un délai fournisseurs de 77 jours, indique une gestion équilibrée du cycle d'exploitation. Les rapports trimestriels confirment cette dynamique : le T1 2026 affiche un CA de 93,46 milliards FCFA (+7,6%) et un résultat net de 16,26 milliards FCFA (+4,8%), suggérant une poursuite de la croissance en 2026. Le dividende proposé de 2 127 FCFA par action pour 2025, avec un taux de distribution de 76,5%, témoigne de la générosité de la politique de rémunération. Les rapports historiques (2023-2024) montrent une trajectoire ascendante remarquable, passant d'un résultat net de 15,078 milliards FCFA en 2023 à 45,781 milliards FCFA en 2025, confirmant la solidité et la pérennité du modèle économique de SOLIBRA.</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mais globalement positive pour SLBC. La valorisation (PER 13,4x, P/B 3,14x, EV/EBITDA 7,3x) indique une décote relative par rapport au potentiel de croissance, rendant le titre attractif pour les investisseurs de long terme. Le comportement du cours sur 100 jours montre une tendance baissière modérée (-4,49%) avec une volatilité maîtrisée (CV 2,5%), mais les statistiques descriptives (distribution symétrique, kurtosis normal) suggèrent une stabilité relative. Les signaux techniques sont mitigés : les indicateurs baissiers (MM, MACD) contrastent avec les conditions de survente (Stochastique), créant une incertitude à court terme. Les fondamentaux restent exceptionnellement solides avec une croissance à deux chiffres, des marges en amélioration constante et une politique de dividende généreuse. Les prédictions IA (37 315 à 37 473 FCFA sur 10 jours) suggèrent une stabilisation proche des niveaux actuels, confirmant la fin potentielle de la phase baissière. La convergence entre la solidité fondamentale et la stabilisation technique attendue justifie une recommandation **ACHAT** pour les investisseurs à moyen et long terme, avec un niveau de confiance **Élevé** et un risque global **Moyen**. L'horizon d'investissement optimal serait de 3 à 12 mois pour bénéficier pleinement du potentiel de revalorisation du titre.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127.49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1,247 titres</w:t>
            </w:r>
          </w:p>
        </w:tc>
        <w:tc>
          <w:tcPr>
            <w:tcW w:type="dxa" w:w="2268"/>
            <w:shd w:fill="FFF2CC" w:val="clear"/>
          </w:tcPr>
          <w:p>
            <w:r>
              <w:rPr>
                <w:b/>
                <w:color w:val="503200"/>
                <w:sz w:val="16"/>
              </w:rPr>
              <w:t xml:space="preserve">Cours actuel : </w:t>
            </w:r>
            <w:r>
              <w:rPr>
                <w:color w:val="000000"/>
                <w:sz w:val="17"/>
              </w:rPr>
              <w:t>16,355 FCFA</w:t>
            </w:r>
          </w:p>
          <w:p>
            <w:r>
              <w:rPr>
                <w:b/>
                <w:color w:val="503200"/>
                <w:sz w:val="16"/>
              </w:rPr>
              <w:t xml:space="preserve">Var. 100 jours : </w:t>
            </w:r>
            <w:r>
              <w:rPr>
                <w:b/>
                <w:color w:val="007800"/>
                <w:sz w:val="17"/>
              </w:rPr>
              <w:t>+23.43%</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14.94% (Moyenne) — μ=14,297 FCFA, σ=2,136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β=-0.7400 (Contre-cyclique) — Cov=-0.000023, Var(idx)=0.000031, ρ=-0.169,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15,673</w:t>
            </w:r>
          </w:p>
        </w:tc>
        <w:tc>
          <w:tcPr>
            <w:tcW w:type="dxa" w:w="1440"/>
            <w:shd w:fill="FAFAFA" w:val="clear"/>
          </w:tcPr>
          <w:p>
            <w:r>
              <w:rPr>
                <w:b/>
                <w:sz w:val="17"/>
              </w:rPr>
              <w:t>16,294</w:t>
            </w:r>
          </w:p>
        </w:tc>
        <w:tc>
          <w:tcPr>
            <w:tcW w:type="dxa" w:w="1440"/>
            <w:shd w:fill="FAFAFA" w:val="clear"/>
          </w:tcPr>
          <w:p>
            <w:r>
              <w:rPr>
                <w:sz w:val="17"/>
              </w:rPr>
              <w:t>16,915</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15,359</w:t>
            </w:r>
          </w:p>
        </w:tc>
        <w:tc>
          <w:tcPr>
            <w:tcW w:type="dxa" w:w="1440"/>
            <w:shd w:fill="FAFAFA" w:val="clear"/>
          </w:tcPr>
          <w:p>
            <w:r>
              <w:rPr>
                <w:b/>
                <w:sz w:val="17"/>
              </w:rPr>
              <w:t>16,234</w:t>
            </w:r>
          </w:p>
        </w:tc>
        <w:tc>
          <w:tcPr>
            <w:tcW w:type="dxa" w:w="1440"/>
            <w:shd w:fill="FAFAFA" w:val="clear"/>
          </w:tcPr>
          <w:p>
            <w:r>
              <w:rPr>
                <w:sz w:val="17"/>
              </w:rPr>
              <w:t>17,110</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15,108</w:t>
            </w:r>
          </w:p>
        </w:tc>
        <w:tc>
          <w:tcPr>
            <w:tcW w:type="dxa" w:w="1440"/>
            <w:shd w:fill="FAFAFA" w:val="clear"/>
          </w:tcPr>
          <w:p>
            <w:r>
              <w:rPr>
                <w:b/>
                <w:sz w:val="17"/>
              </w:rPr>
              <w:t>16,177</w:t>
            </w:r>
          </w:p>
        </w:tc>
        <w:tc>
          <w:tcPr>
            <w:tcW w:type="dxa" w:w="1440"/>
            <w:shd w:fill="FAFAFA" w:val="clear"/>
          </w:tcPr>
          <w:p>
            <w:r>
              <w:rPr>
                <w:sz w:val="17"/>
              </w:rPr>
              <w:t>17,245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14,891</w:t>
            </w:r>
          </w:p>
        </w:tc>
        <w:tc>
          <w:tcPr>
            <w:tcW w:type="dxa" w:w="1440"/>
            <w:shd w:fill="FAFAFA" w:val="clear"/>
          </w:tcPr>
          <w:p>
            <w:r>
              <w:rPr>
                <w:b/>
                <w:sz w:val="17"/>
              </w:rPr>
              <w:t>16,121</w:t>
            </w:r>
          </w:p>
        </w:tc>
        <w:tc>
          <w:tcPr>
            <w:tcW w:type="dxa" w:w="1440"/>
            <w:shd w:fill="FAFAFA" w:val="clear"/>
          </w:tcPr>
          <w:p>
            <w:r>
              <w:rPr>
                <w:sz w:val="17"/>
              </w:rPr>
              <w:t>17,350</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14,696</w:t>
            </w:r>
          </w:p>
        </w:tc>
        <w:tc>
          <w:tcPr>
            <w:tcW w:type="dxa" w:w="1440"/>
            <w:shd w:fill="FAFAFA" w:val="clear"/>
          </w:tcPr>
          <w:p>
            <w:r>
              <w:rPr>
                <w:b/>
                <w:sz w:val="17"/>
              </w:rPr>
              <w:t>16,066</w:t>
            </w:r>
          </w:p>
        </w:tc>
        <w:tc>
          <w:tcPr>
            <w:tcW w:type="dxa" w:w="1440"/>
            <w:shd w:fill="FAFAFA" w:val="clear"/>
          </w:tcPr>
          <w:p>
            <w:r>
              <w:rPr>
                <w:sz w:val="17"/>
              </w:rPr>
              <w:t>17,436</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14,516</w:t>
            </w:r>
          </w:p>
        </w:tc>
        <w:tc>
          <w:tcPr>
            <w:tcW w:type="dxa" w:w="1440"/>
            <w:shd w:fill="FFDCE0" w:val="clear"/>
          </w:tcPr>
          <w:p>
            <w:r>
              <w:rPr>
                <w:b/>
                <w:sz w:val="17"/>
              </w:rPr>
              <w:t>16,012</w:t>
            </w:r>
          </w:p>
        </w:tc>
        <w:tc>
          <w:tcPr>
            <w:tcW w:type="dxa" w:w="1440"/>
            <w:shd w:fill="FFDCE0" w:val="clear"/>
          </w:tcPr>
          <w:p>
            <w:r>
              <w:rPr>
                <w:sz w:val="17"/>
              </w:rPr>
              <w:t>17,507</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14,348</w:t>
            </w:r>
          </w:p>
        </w:tc>
        <w:tc>
          <w:tcPr>
            <w:tcW w:type="dxa" w:w="1440"/>
            <w:shd w:fill="FFDCE0" w:val="clear"/>
          </w:tcPr>
          <w:p>
            <w:r>
              <w:rPr>
                <w:b/>
                <w:sz w:val="17"/>
              </w:rPr>
              <w:t>15,958</w:t>
            </w:r>
          </w:p>
        </w:tc>
        <w:tc>
          <w:tcPr>
            <w:tcW w:type="dxa" w:w="1440"/>
            <w:shd w:fill="FFDCE0" w:val="clear"/>
          </w:tcPr>
          <w:p>
            <w:r>
              <w:rPr>
                <w:sz w:val="17"/>
              </w:rPr>
              <w:t>17,568</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14,190</w:t>
            </w:r>
          </w:p>
        </w:tc>
        <w:tc>
          <w:tcPr>
            <w:tcW w:type="dxa" w:w="1440"/>
            <w:shd w:fill="FFDCE0" w:val="clear"/>
          </w:tcPr>
          <w:p>
            <w:r>
              <w:rPr>
                <w:b/>
                <w:sz w:val="17"/>
              </w:rPr>
              <w:t>15,905</w:t>
            </w:r>
          </w:p>
        </w:tc>
        <w:tc>
          <w:tcPr>
            <w:tcW w:type="dxa" w:w="1440"/>
            <w:shd w:fill="FFDCE0" w:val="clear"/>
          </w:tcPr>
          <w:p>
            <w:r>
              <w:rPr>
                <w:sz w:val="17"/>
              </w:rPr>
              <w:t>17,621</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14,040</w:t>
            </w:r>
          </w:p>
        </w:tc>
        <w:tc>
          <w:tcPr>
            <w:tcW w:type="dxa" w:w="1440"/>
            <w:shd w:fill="FFDCE0" w:val="clear"/>
          </w:tcPr>
          <w:p>
            <w:r>
              <w:rPr>
                <w:b/>
                <w:sz w:val="17"/>
              </w:rPr>
              <w:t>15,853</w:t>
            </w:r>
          </w:p>
        </w:tc>
        <w:tc>
          <w:tcPr>
            <w:tcW w:type="dxa" w:w="1440"/>
            <w:shd w:fill="FFDCE0" w:val="clear"/>
          </w:tcPr>
          <w:p>
            <w:r>
              <w:rPr>
                <w:sz w:val="17"/>
              </w:rPr>
              <w:t>17,667</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13,896</w:t>
            </w:r>
          </w:p>
        </w:tc>
        <w:tc>
          <w:tcPr>
            <w:tcW w:type="dxa" w:w="1440"/>
            <w:shd w:fill="FFDCE0" w:val="clear"/>
          </w:tcPr>
          <w:p>
            <w:r>
              <w:rPr>
                <w:b/>
                <w:sz w:val="17"/>
              </w:rPr>
              <w:t>15,802</w:t>
            </w:r>
          </w:p>
        </w:tc>
        <w:tc>
          <w:tcPr>
            <w:tcW w:type="dxa" w:w="1440"/>
            <w:shd w:fill="FFDCE0" w:val="clear"/>
          </w:tcPr>
          <w:p>
            <w:r>
              <w:rPr>
                <w:sz w:val="17"/>
              </w:rPr>
              <w:t>17,707</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**Date de l'analyse : 14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SMBC s'établit à 127,49 milliards FCFA, un niveau qui la positionne parmi les valeurs moyennes de la cote de la BRVM, avec une liquidité relativement faible (volume moyen de 1 247 titres par jour). Le BPA de 1 677 FCFA indique que chaque action génère un bénéfice substantiel, justifiant un PER de 9,8x, inférieur à la moyenne du marché (8-12x), ce qui suggère une sous-évaluation relative du titre par rapport à ses bénéfices. Le P/B de 2,97x montre que le marché valorise l'entreprise à près de trois fois sa valeur comptable, traduisant une prime de croissance accordée par les investisseurs. Enfin, l'EV/EBITDA de 6,1x, dans la fourchette raisonnable de 5-10x, indique que la valeur totale de l'entreprise (capitalisation + dette nette) reste attractive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SMBC a enregistré une progression remarquable de +23,43%, avec une légère correction de -0,58% lors de la dernière séance, reflétant une prise de bénéfices après une forte ascension. Le cours a évolué dans une fourchette large de 11 450 FCFA (plus bas) à 17 735 FCFA (plus haut), démontrant une dynamique haussière soutenue. La moyenne (14 297 FCFA) est supérieure à la médiane (13 595 FCFA), indiquant une distribution légèrement asymétrique vers le haut, avec des périodes de cours élevés plus fréquentes récemment. L'écart-type de 2 146 FCFA (CV=15,0%) révèle une dispersion modérée des prix autour de la moyenne. Le kurtosis de -1,602 (platykurtique) suggère une distribution aplatie avec peu de valeurs extrêmes, tandis que le skewness de 0,055 confirme une symétrie quasi parfaite. La volatilité annualisée de 38,6% classe SMBC comme un titre à forte volatilité, offrant un potentiel de rendement élevé mais avec un risque de fluctuations importantes.</w:t>
      </w:r>
    </w:p>
    <w:p>
      <w:pPr>
        <w:spacing w:after="120" w:line="276" w:lineRule="auto"/>
      </w:pPr>
      <w:r>
        <w:t>---</w:t>
      </w:r>
    </w:p>
    <w:p>
      <w:pPr>
        <w:spacing w:after="120" w:line="276" w:lineRule="auto"/>
      </w:pPr>
      <w:r>
        <w:t>### PARTIE 2 : ANALYSE TECHNIQUE DÉTAILLÉE</w:t>
      </w:r>
    </w:p>
    <w:p>
      <w:pPr>
        <w:spacing w:after="120" w:line="276" w:lineRule="auto"/>
      </w:pPr>
      <w:r>
        <w:t>**Moyennes Mobiles :** Les MM20 (16 084,5 FCFA) et MM50 (16 292,8 FCFA) sont toutes deux inférieures au cours actuel de 16 355 FCFA, indiquant une tendance haussière de court et moyen terme. Cependant, la MM50 est supérieure à la MM20, suggérant un possible ralentissement du momentum à court terme. La décision de "Vente" signalée par cet indicateur semble prudente, car le cours pourrait consolider avant de poursuivre sa hausse.</w:t>
      </w:r>
    </w:p>
    <w:p>
      <w:pPr>
        <w:spacing w:after="120" w:line="276" w:lineRule="auto"/>
      </w:pPr>
      <w:r>
        <w:t>**Bandes de Bollinger :** Le cours se situe à 16 355 FCFA, entre la borne inférieure (15 217 FCFA) et la borne supérieure (16 952 FCFA), proche de cette dernière. Cette position indique une pression acheteuse persistante, mais le resserrement des bandes suggère une volatilité en diminution. La décision "Neutre" est justifiée, car le titre n'est ni suracheté ni survendu, mais la proximité de la borne supérieure pourrait limiter le potentiel de hausse à court terme.</w:t>
      </w:r>
    </w:p>
    <w:p>
      <w:pPr>
        <w:spacing w:after="120" w:line="276" w:lineRule="auto"/>
      </w:pPr>
      <w:r>
        <w:t>**MACD :** Le MACD (82,77) est nettement supérieur à sa ligne de signal (43,88), confirmant un momentum haussier fort. L'écart positif entre les deux lignes indique une dynamique d'achat soutenue, justifiant la décision "Achat". Cette configuration suggère que la tendance haussière pourrait se poursuivre dans les prochaines séances.</w:t>
      </w:r>
    </w:p>
    <w:p>
      <w:pPr>
        <w:spacing w:after="120" w:line="276" w:lineRule="auto"/>
      </w:pPr>
      <w:r>
        <w:t>**RSI :** Le RSI de 59,27 se situe dans la zone neutre (30-70), indiquant un équilibre entre acheteurs et vendeurs. Cette valeur suggère que le titre n'est ni suracheté ni survendu, laissant une marge de progression avant d'atteindre des niveaux extrêmes. La décision "Neutre" est cohérente avec cette lecture.</w:t>
      </w:r>
    </w:p>
    <w:p>
      <w:pPr>
        <w:spacing w:after="120" w:line="276" w:lineRule="auto"/>
      </w:pPr>
      <w:r>
        <w:t>**Stochastique :** Le %K (77,83) est inférieur au %D (85,07), indiquant un croisement baissier potentiel à court terme. Cependant, les deux valeurs restent élevées, suggérant que le titre est encore en zone de surachat. La décision "Neutre" reflète cette ambiguïté, avec un risque de correction technique.</w:t>
      </w:r>
    </w:p>
    <w:p>
      <w:pPr>
        <w:spacing w:after="120" w:line="276" w:lineRule="auto"/>
      </w:pPr>
      <w:r>
        <w:t>**Conclusion technique :** Les indicateurs sont globalement partagés entre signaux haussiers (MACD, position du cours) et neutres (Bollinger, RSI, Stochastique). La tendance de fond reste positive, mais les signaux de surachat et le croisement baissier du stochastique suggèrent une possible consolidation à court terme avant une reprise de la hausse.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SMBC a réalisé un chiffre d'affaires de 206,740 milliards FCFA, en baisse de -9,7% par rapport à 2024 (229,061 milliards FCFA). Malgré cette contraction, le résultat net a bondi de +50,3% à 13,075 milliards FCFA, porté par une amélioration spectaculaire de la marge nette à 6,3% (contre 3,8% en 2024). Le ROE s'établit à un niveau excellent de 30,47%, tandis que le ROA atteint 7,26%, démontrant une utilisation efficace des actifs. La structure financière s'est renforcée avec des capitaux propres de 42,913 milliards FCFA (+21,6%) et une trésorerie nette positive de 23,988 milliards FCFA. Le BFR de 1,693 milliards FCFA reste maîtrisé, mais le délai clients de 193,75 jours est élevé, constituant un risque de trésorerie à surveiller.</w:t>
      </w:r>
    </w:p>
    <w:p>
      <w:pPr>
        <w:spacing w:after="120" w:line="276" w:lineRule="auto"/>
      </w:pPr>
      <w:r>
        <w:t>**Estimations basées sur les rapports trimestriels 2025 :** Les rapports T1, S1 et 9M 2025 confirment la tendance : le CA cumulé à fin septembre s'établit à 155,2 milliards FCFA (-14% vs 9M 2024), mais le résultat net progresse de +6% à 5,7 milliards FCFA, grâce à l'amélioration des marges de raffinage. On estime que l'exercice 2025 devrait confirmer la forte progression de la rentabilité, avec un résultat net annuel potentiellement supérieur à 13 milliards FCFA, comme le confirment les données structurées. Les perspectives pour 2026 restent positives, portées par la demande locale (chantiers routiers) et l'export vers le Nigeria, le Ghana et le Burkina Faso.</w:t>
      </w:r>
    </w:p>
    <w:p>
      <w:pPr>
        <w:spacing w:after="120" w:line="276" w:lineRule="auto"/>
      </w:pPr>
      <w:r>
        <w:t>**Évolution temporelle :** De 2023 (résultat net de 17,255 milliards FCFA) à 2024 (8,698 milliards FCFA), la rentabilité avait chuté de -49,6%, avant de rebondir fortement en 2025 (+50,3%). Cette volatilité reflète la sensibilité du secteur aux prix du pétrole et aux cycles d'investissement public. La recommandation fondamentale est **ACHAT**, compte tenu de la solidité financière retrouvée, de la trésorerie abondante et de l'amélioration structurelle des marges.</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une convergence positive entre les différentes dimensions analysées. La valorisation (PER de 9,8x, EV/EBITDA de 6,1x) indique une sous-évaluation relative, tandis que le comportement du cours (+23,43% sur 100 jours) confirme une dynamique haussière soutenue, malgré une volatilité élevée (38,6%). Les signaux techniques sont partagés mais globalement favorables, avec un MACD haussier et une tendance de fond positive, tempérés par des indicateurs neutres (RSI, Bollinger) et un stochastique en zone de surachat. Les fondamentaux sont solides, avec un ROE de 30,47%, une trésorerie nette de 23,988 milliards FCFA et une amélioration spectaculaire de la marge nette en 2025. Les prédictions IA pour les 10 prochains jours (de 16 294 à 16 066 FCFA) suggèrent une légère correction technique, cohérente avec les signaux de surachat à court terme, mais sans remettre en cause la tendance de fond. **Recommandation finale : ACHAT**, avec un niveau de confiance **Élevé** et un risque global **Moyen**. L'horizon d'investissement optimal est le **moyen terme (3-12 mois)**, permettant de capitaliser sur la reprise de la rentabilité et le potentiel de croissance du secteur des infrastructures en Afrique de l'Ouest, tout en absorbant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3190.00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9,254 titres</w:t>
            </w:r>
          </w:p>
        </w:tc>
        <w:tc>
          <w:tcPr>
            <w:tcW w:type="dxa" w:w="2268"/>
            <w:shd w:fill="FFF2CC" w:val="clear"/>
          </w:tcPr>
          <w:p>
            <w:r>
              <w:rPr>
                <w:b/>
                <w:color w:val="503200"/>
                <w:sz w:val="16"/>
              </w:rPr>
              <w:t xml:space="preserve">Cours actuel : </w:t>
            </w:r>
            <w:r>
              <w:rPr>
                <w:color w:val="000000"/>
                <w:sz w:val="17"/>
              </w:rPr>
              <w:t>31,900 FCFA</w:t>
            </w:r>
          </w:p>
          <w:p>
            <w:r>
              <w:rPr>
                <w:b/>
                <w:color w:val="503200"/>
                <w:sz w:val="16"/>
              </w:rPr>
              <w:t xml:space="preserve">Var. 100 jours : </w:t>
            </w:r>
            <w:r>
              <w:rPr>
                <w:b/>
                <w:color w:val="007800"/>
                <w:sz w:val="17"/>
              </w:rPr>
              <w:t>+10.02%</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4.52% (Faible) — μ=29,394 FCFA, σ=1,329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β=1.2567 (Agressif) — Cov=0.000039, Var(idx)=0.000031, ρ=0.439,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9,254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30,904</w:t>
            </w:r>
          </w:p>
        </w:tc>
        <w:tc>
          <w:tcPr>
            <w:tcW w:type="dxa" w:w="1440"/>
            <w:shd w:fill="FAFAFA" w:val="clear"/>
          </w:tcPr>
          <w:p>
            <w:r>
              <w:rPr>
                <w:b/>
                <w:sz w:val="17"/>
              </w:rPr>
              <w:t>31,702</w:t>
            </w:r>
          </w:p>
        </w:tc>
        <w:tc>
          <w:tcPr>
            <w:tcW w:type="dxa" w:w="1440"/>
            <w:shd w:fill="FAFAFA" w:val="clear"/>
          </w:tcPr>
          <w:p>
            <w:r>
              <w:rPr>
                <w:sz w:val="17"/>
              </w:rPr>
              <w:t>32,500</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30,536</w:t>
            </w:r>
          </w:p>
        </w:tc>
        <w:tc>
          <w:tcPr>
            <w:tcW w:type="dxa" w:w="1440"/>
            <w:shd w:fill="FAFAFA" w:val="clear"/>
          </w:tcPr>
          <w:p>
            <w:r>
              <w:rPr>
                <w:b/>
                <w:sz w:val="17"/>
              </w:rPr>
              <w:t>31,664</w:t>
            </w:r>
          </w:p>
        </w:tc>
        <w:tc>
          <w:tcPr>
            <w:tcW w:type="dxa" w:w="1440"/>
            <w:shd w:fill="FAFAFA" w:val="clear"/>
          </w:tcPr>
          <w:p>
            <w:r>
              <w:rPr>
                <w:sz w:val="17"/>
              </w:rPr>
              <w:t>32,791</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30,236</w:t>
            </w:r>
          </w:p>
        </w:tc>
        <w:tc>
          <w:tcPr>
            <w:tcW w:type="dxa" w:w="1440"/>
            <w:shd w:fill="FAFAFA" w:val="clear"/>
          </w:tcPr>
          <w:p>
            <w:r>
              <w:rPr>
                <w:b/>
                <w:sz w:val="17"/>
              </w:rPr>
              <w:t>31,615</w:t>
            </w:r>
          </w:p>
        </w:tc>
        <w:tc>
          <w:tcPr>
            <w:tcW w:type="dxa" w:w="1440"/>
            <w:shd w:fill="FAFAFA" w:val="clear"/>
          </w:tcPr>
          <w:p>
            <w:r>
              <w:rPr>
                <w:sz w:val="17"/>
              </w:rPr>
              <w:t>32,993</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29,981</w:t>
            </w:r>
          </w:p>
        </w:tc>
        <w:tc>
          <w:tcPr>
            <w:tcW w:type="dxa" w:w="1440"/>
            <w:shd w:fill="FAFAFA" w:val="clear"/>
          </w:tcPr>
          <w:p>
            <w:r>
              <w:rPr>
                <w:b/>
                <w:sz w:val="17"/>
              </w:rPr>
              <w:t>31,571</w:t>
            </w:r>
          </w:p>
        </w:tc>
        <w:tc>
          <w:tcPr>
            <w:tcW w:type="dxa" w:w="1440"/>
            <w:shd w:fill="FAFAFA" w:val="clear"/>
          </w:tcPr>
          <w:p>
            <w:r>
              <w:rPr>
                <w:sz w:val="17"/>
              </w:rPr>
              <w:t>33,160</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29,756</w:t>
            </w:r>
          </w:p>
        </w:tc>
        <w:tc>
          <w:tcPr>
            <w:tcW w:type="dxa" w:w="1440"/>
            <w:shd w:fill="FAFAFA" w:val="clear"/>
          </w:tcPr>
          <w:p>
            <w:r>
              <w:rPr>
                <w:b/>
                <w:sz w:val="17"/>
              </w:rPr>
              <w:t>31,531</w:t>
            </w:r>
          </w:p>
        </w:tc>
        <w:tc>
          <w:tcPr>
            <w:tcW w:type="dxa" w:w="1440"/>
            <w:shd w:fill="FAFAFA" w:val="clear"/>
          </w:tcPr>
          <w:p>
            <w:r>
              <w:rPr>
                <w:sz w:val="17"/>
              </w:rPr>
              <w:t>33,306</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29,551</w:t>
            </w:r>
          </w:p>
        </w:tc>
        <w:tc>
          <w:tcPr>
            <w:tcW w:type="dxa" w:w="1440"/>
            <w:shd w:fill="FAFAFA" w:val="clear"/>
          </w:tcPr>
          <w:p>
            <w:r>
              <w:rPr>
                <w:b/>
                <w:sz w:val="17"/>
              </w:rPr>
              <w:t>31,493</w:t>
            </w:r>
          </w:p>
        </w:tc>
        <w:tc>
          <w:tcPr>
            <w:tcW w:type="dxa" w:w="1440"/>
            <w:shd w:fill="FAFAFA" w:val="clear"/>
          </w:tcPr>
          <w:p>
            <w:r>
              <w:rPr>
                <w:sz w:val="17"/>
              </w:rPr>
              <w:t>33,435</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29,362</w:t>
            </w:r>
          </w:p>
        </w:tc>
        <w:tc>
          <w:tcPr>
            <w:tcW w:type="dxa" w:w="1440"/>
            <w:shd w:fill="FAFAFA" w:val="clear"/>
          </w:tcPr>
          <w:p>
            <w:r>
              <w:rPr>
                <w:b/>
                <w:sz w:val="17"/>
              </w:rPr>
              <w:t>31,457</w:t>
            </w:r>
          </w:p>
        </w:tc>
        <w:tc>
          <w:tcPr>
            <w:tcW w:type="dxa" w:w="1440"/>
            <w:shd w:fill="FAFAFA" w:val="clear"/>
          </w:tcPr>
          <w:p>
            <w:r>
              <w:rPr>
                <w:sz w:val="17"/>
              </w:rPr>
              <w:t>33,552</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29,184</w:t>
            </w:r>
          </w:p>
        </w:tc>
        <w:tc>
          <w:tcPr>
            <w:tcW w:type="dxa" w:w="1440"/>
            <w:shd w:fill="FAFAFA" w:val="clear"/>
          </w:tcPr>
          <w:p>
            <w:r>
              <w:rPr>
                <w:b/>
                <w:sz w:val="17"/>
              </w:rPr>
              <w:t>31,422</w:t>
            </w:r>
          </w:p>
        </w:tc>
        <w:tc>
          <w:tcPr>
            <w:tcW w:type="dxa" w:w="1440"/>
            <w:shd w:fill="FAFAFA" w:val="clear"/>
          </w:tcPr>
          <w:p>
            <w:r>
              <w:rPr>
                <w:sz w:val="17"/>
              </w:rPr>
              <w:t>33,659</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29,016</w:t>
            </w:r>
          </w:p>
        </w:tc>
        <w:tc>
          <w:tcPr>
            <w:tcW w:type="dxa" w:w="1440"/>
            <w:shd w:fill="FAFAFA" w:val="clear"/>
          </w:tcPr>
          <w:p>
            <w:r>
              <w:rPr>
                <w:b/>
                <w:sz w:val="17"/>
              </w:rPr>
              <w:t>31,387</w:t>
            </w:r>
          </w:p>
        </w:tc>
        <w:tc>
          <w:tcPr>
            <w:tcW w:type="dxa" w:w="1440"/>
            <w:shd w:fill="FAFAFA" w:val="clear"/>
          </w:tcPr>
          <w:p>
            <w:r>
              <w:rPr>
                <w:sz w:val="17"/>
              </w:rPr>
              <w:t>33,757</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28,856</w:t>
            </w:r>
          </w:p>
        </w:tc>
        <w:tc>
          <w:tcPr>
            <w:tcW w:type="dxa" w:w="1440"/>
            <w:shd w:fill="FAFAFA" w:val="clear"/>
          </w:tcPr>
          <w:p>
            <w:r>
              <w:rPr>
                <w:b/>
                <w:sz w:val="17"/>
              </w:rPr>
              <w:t>31,352</w:t>
            </w:r>
          </w:p>
        </w:tc>
        <w:tc>
          <w:tcPr>
            <w:tcW w:type="dxa" w:w="1440"/>
            <w:shd w:fill="FAFAFA" w:val="clear"/>
          </w:tcPr>
          <w:p>
            <w:r>
              <w:rPr>
                <w:sz w:val="17"/>
              </w:rPr>
              <w:t>33,848</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3 190 milliards FCFA, ce qui en fait la valeur la plus lourde et la plus liquide de la cote BRVM, représentant une part significative de l'indice composite. Avec un BPA de 4 136 FCFA, chaque action génère un bénéfice substantiel, justifiant un PER de 7,7x. Ce niveau est inférieur à la moyenne historique de la BRVM (8-12x), signalant une sous-évaluation relative du titre par rapport à ses bénéfices. Le P/B de 2,28x indique que le marché valorise la société à plus du double de ses capitaux propres, une prime de croissance classique pour un leader de marché. Enfin, l'EV/EBITDA de 3,3x est particulièrement attractif, suggérant que la valeur d'entreprise est très faible par rapport à sa capacité opérationnelle de génération de cash, renforçant le potentiel de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affiche une progression de +10,02%, avec une légère correction de -0,30% lors de la dernière séance, témoignant d'une tendance haussière solide mais récemment hésitante. Le cours a évolué dans un range de 27 160 FCFA (plus bas) à 32 500 FCFA (plus haut), démontrant une amplitude de trading de près de 20%. La moyenne du cours (29 394 FCFA) est inférieure à la médiane (28 875 FCFA), ce qui, combiné à un skewness positif (0.886), indique que le titre a passé plus de temps sous sa moyenne, mais avec des épisodes de hausse marqués. L'écart-type de 1 336 FCFA (CV=4,5%) montre une dispersion modérée, tandis que le kurtosis négatif (-0.620) suggère une distribution mésokurtique, sans risque de pics extrêmes. La volatilité annualisée de 25,7% classe le titre dans une zone de risque modéré, cohérente avec un marché émergent.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(31 900 FCFA) se situe nettement au-dessus de la MM20 (31 440 FCFA) et de la MM50 (30 152 FCFA), confirmant une dynamique haussière à court et moyen terme. La configuration des MM (MM20 &gt; MM50) valide la tendance positive, justifiant une décision d'**Achat**.</w:t>
      </w:r>
    </w:p>
    <w:p>
      <w:pPr>
        <w:spacing w:after="120" w:line="276" w:lineRule="auto"/>
      </w:pPr>
      <w:r>
        <w:t>**Bandes de Bollinger** : Le prix évolue entre la borne supérieure (32 477 FCFA) et la borne inférieure (30 403 FCFA), proche de la borne haute, indiquant une pression acheteuse sans surachat extrême. La largeur des bandes reflète une volatilité modérée, la décision reste **Neutre** en attendant une cassure nette.</w:t>
      </w:r>
    </w:p>
    <w:p>
      <w:pPr>
        <w:spacing w:after="120" w:line="276" w:lineRule="auto"/>
      </w:pPr>
      <w:r>
        <w:t>**MACD** : Le MACD (405,4) est supérieur à son signal (396,7), avec un écart positif, signalant un momentum haussier en cours. Cette configuration, bien que légère, soutient une décision d'**Achat**.</w:t>
      </w:r>
    </w:p>
    <w:p>
      <w:pPr>
        <w:spacing w:after="120" w:line="276" w:lineRule="auto"/>
      </w:pPr>
      <w:r>
        <w:t>**RSI** : À 55,07, le RSI se situe en zone neutre (30-70), indiquant un équilibre entre acheteurs et vendeurs. Il n'y a pas de surachat ni de survente, la décision est **Neutre**, mais le biais reste positif.</w:t>
      </w:r>
    </w:p>
    <w:p>
      <w:pPr>
        <w:spacing w:after="120" w:line="276" w:lineRule="auto"/>
      </w:pPr>
      <w:r>
        <w:t>**Stochastique** : Le %K (94,4) et le %D (98,1) sont en zone de surachat extrême (&gt;80), signalant une possible correction à court terme. Le croisement potentiel des deux lignes suggère une décision de **Vente** pour les traders à court terme.</w:t>
      </w:r>
    </w:p>
    <w:p>
      <w:pPr>
        <w:spacing w:after="120" w:line="276" w:lineRule="auto"/>
      </w:pPr>
      <w:r>
        <w:t>**Conclusion technique** : Les indicateurs de tendance (MM, MACD) sont positifs, mais les oscillateurs de momentum (RSI, Stochastique) montrent des signes de surachat, particulièrement le Stochastique. Cette divergence suggère une consolidation à court terme avant une possible poursuite de la hausse, la tendance de fond restant haussière.</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fondamentaux solides avec un chiffre d'affaires de 1 923,1 milliards FCFA (+8,3% vs 2024) et un résultat net de 413,6 milliards FCFA (+5,1%). La marge nette s'établit à 21,5%, avec un ROE exceptionnel de 29,6% et un ROA de 12,6%, démontrant une excellente rentabilité des capitaux propres et des actifs. Le BFR est négatif (-284,9 milliards FCFA), une situation favorable pour une entreprise, indiquant que Sonatel finance son exploitation grâce à ses fournisseurs (délai fournisseurs de 201 jours contre 46 jours pour les clients). La structure financière est saine avec une autonomie financière de 42,8% et une capacité de remboursement de 0,64 an. Les rapports trimestriels 2025 (T1, S1, T3) confirment cette dynamique : le T1 2025 montre une croissance du résultat net de +14,9%, le S1 2025 un CA de 960,2 milliards (+9,4%), et le T3 2025 un CA 9M de 1 432,5 milliards (+8,6%). Sur la base du S1 2026 (CA de 1 049,8 milliards, +9,3% et résultat net de 230 milliards, +10,5%), on estime que l'exercice 2026 devrait poursuivre cette trajectoire, avec un CA annuel potentiel dépassant 2 100 milliards FCFA et un résultat net autour de 450 milliards FCFA. La notation AAA (WU) de GCR Ratings et le dividende de 1 740 FCFA net par action renforcent l'attractivité du titre.</w:t>
      </w:r>
    </w:p>
    <w:p>
      <w:pPr>
        <w:spacing w:after="120" w:line="276" w:lineRule="auto"/>
      </w:pPr>
      <w:r>
        <w:t>---</w:t>
      </w:r>
    </w:p>
    <w:p>
      <w:pPr>
        <w:spacing w:after="120" w:line="276" w:lineRule="auto"/>
      </w:pPr>
      <w:r>
        <w:t>### PARTIE 4 : CONCLUSION D'INVESTISSEMENT</w:t>
      </w:r>
    </w:p>
    <w:p>
      <w:pPr>
        <w:spacing w:after="120" w:line="276" w:lineRule="auto"/>
      </w:pPr>
      <w:r>
        <w:t>La valorisation de SNTS est attractive avec un PER de 7,7x et un EV/EBITDA de 3,3x, indiquant une sous-évaluation relative malgré une prime P/B de 2,28x. Le comportement du cours est haussier (+10% sur 100 jours) avec une volatilité modérée (25,7%), mais les statistiques (skewness positif, kurtosis négatif) suggèrent une stabilité relative. Les signaux techniques sont mitigés : les MM et le MACD sont positifs, mais le Stochastique en surachat appelle à la prudence à court terme. Les fondamentaux sont excellents, avec une croissance soutenue du CA et des bénéfices, une rentabilité élevée (ROE 29,6%) et une structure financière saine. Les prédictions IA (31 702 FCFA à J+1, 31 531 FCFA à J+10) indiquent une légère consolidation, contredisant légèrement la tendance haussière mais confirmant le scénario de stabilisation après les gains récents. En synthèse, la convergence entre une valorisation faible, des fondamentaux solides et une tendance positive, malgré des signaux techniques mixtes, conduit à une recommandation **ACHAT** pour les investisseurs à moyen terme. Le niveau de confiance est **Élevé**, avec un risque global **Faible**, et un horizon d'investissement optimal de **3 à 12 mois**, en profitant des éventuelles corrections pour renforcer la position.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169.57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5,774 titres</w:t>
            </w:r>
          </w:p>
        </w:tc>
        <w:tc>
          <w:tcPr>
            <w:tcW w:type="dxa" w:w="2268"/>
            <w:shd w:fill="FFF2CC" w:val="clear"/>
          </w:tcPr>
          <w:p>
            <w:r>
              <w:rPr>
                <w:b/>
                <w:color w:val="503200"/>
                <w:sz w:val="16"/>
              </w:rPr>
              <w:t xml:space="preserve">Cours actuel : </w:t>
            </w:r>
            <w:r>
              <w:rPr>
                <w:color w:val="000000"/>
                <w:sz w:val="17"/>
              </w:rPr>
              <w:t>7,850 FCFA</w:t>
            </w:r>
          </w:p>
          <w:p>
            <w:r>
              <w:rPr>
                <w:b/>
                <w:color w:val="503200"/>
                <w:sz w:val="16"/>
              </w:rPr>
              <w:t xml:space="preserve">Var. 100 jours : </w:t>
            </w:r>
            <w:r>
              <w:rPr>
                <w:b/>
                <w:color w:val="B40000"/>
                <w:sz w:val="17"/>
              </w:rPr>
              <w:t>-11.60%</w:t>
            </w:r>
          </w:p>
          <w:p>
            <w:r>
              <w:rPr>
                <w:b/>
                <w:color w:val="503200"/>
                <w:sz w:val="16"/>
              </w:rPr>
              <w:t xml:space="preserve">Plus haut 100j : </w:t>
            </w:r>
            <w:r>
              <w:rPr>
                <w:color w:val="000000"/>
                <w:sz w:val="17"/>
              </w:rPr>
              <w:t>8,880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4.96% (Faible) — μ=7,983 FCFA, σ=396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β=0.4157 (Défensif) — Cov=0.000013, Var(idx)=0.000031, ρ=0.094,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7,397</w:t>
            </w:r>
          </w:p>
        </w:tc>
        <w:tc>
          <w:tcPr>
            <w:tcW w:type="dxa" w:w="1440"/>
            <w:shd w:fill="FAFAFA" w:val="clear"/>
          </w:tcPr>
          <w:p>
            <w:r>
              <w:rPr>
                <w:b/>
                <w:sz w:val="17"/>
              </w:rPr>
              <w:t>7,740</w:t>
            </w:r>
          </w:p>
        </w:tc>
        <w:tc>
          <w:tcPr>
            <w:tcW w:type="dxa" w:w="1440"/>
            <w:shd w:fill="FAFAFA" w:val="clear"/>
          </w:tcPr>
          <w:p>
            <w:r>
              <w:rPr>
                <w:sz w:val="17"/>
              </w:rPr>
              <w:t>8,082</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7,281</w:t>
            </w:r>
          </w:p>
        </w:tc>
        <w:tc>
          <w:tcPr>
            <w:tcW w:type="dxa" w:w="1440"/>
            <w:shd w:fill="FAFAFA" w:val="clear"/>
          </w:tcPr>
          <w:p>
            <w:r>
              <w:rPr>
                <w:b/>
                <w:sz w:val="17"/>
              </w:rPr>
              <w:t>7,767</w:t>
            </w:r>
          </w:p>
        </w:tc>
        <w:tc>
          <w:tcPr>
            <w:tcW w:type="dxa" w:w="1440"/>
            <w:shd w:fill="FAFAFA" w:val="clear"/>
          </w:tcPr>
          <w:p>
            <w:r>
              <w:rPr>
                <w:sz w:val="17"/>
              </w:rPr>
              <w:t>8,253</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7,185</w:t>
            </w:r>
          </w:p>
        </w:tc>
        <w:tc>
          <w:tcPr>
            <w:tcW w:type="dxa" w:w="1440"/>
            <w:shd w:fill="FAFAFA" w:val="clear"/>
          </w:tcPr>
          <w:p>
            <w:r>
              <w:rPr>
                <w:b/>
                <w:sz w:val="17"/>
              </w:rPr>
              <w:t>7,781</w:t>
            </w:r>
          </w:p>
        </w:tc>
        <w:tc>
          <w:tcPr>
            <w:tcW w:type="dxa" w:w="1440"/>
            <w:shd w:fill="FAFAFA" w:val="clear"/>
          </w:tcPr>
          <w:p>
            <w:r>
              <w:rPr>
                <w:sz w:val="17"/>
              </w:rPr>
              <w:t>8,376</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7,105</w:t>
            </w:r>
          </w:p>
        </w:tc>
        <w:tc>
          <w:tcPr>
            <w:tcW w:type="dxa" w:w="1440"/>
            <w:shd w:fill="FAFAFA" w:val="clear"/>
          </w:tcPr>
          <w:p>
            <w:r>
              <w:rPr>
                <w:b/>
                <w:sz w:val="17"/>
              </w:rPr>
              <w:t>7,794</w:t>
            </w:r>
          </w:p>
        </w:tc>
        <w:tc>
          <w:tcPr>
            <w:tcW w:type="dxa" w:w="1440"/>
            <w:shd w:fill="FAFAFA" w:val="clear"/>
          </w:tcPr>
          <w:p>
            <w:r>
              <w:rPr>
                <w:sz w:val="17"/>
              </w:rPr>
              <w:t>8,483</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7,036</w:t>
            </w:r>
          </w:p>
        </w:tc>
        <w:tc>
          <w:tcPr>
            <w:tcW w:type="dxa" w:w="1440"/>
            <w:shd w:fill="FAFAFA" w:val="clear"/>
          </w:tcPr>
          <w:p>
            <w:r>
              <w:rPr>
                <w:b/>
                <w:sz w:val="17"/>
              </w:rPr>
              <w:t>7,808</w:t>
            </w:r>
          </w:p>
        </w:tc>
        <w:tc>
          <w:tcPr>
            <w:tcW w:type="dxa" w:w="1440"/>
            <w:shd w:fill="FAFAFA" w:val="clear"/>
          </w:tcPr>
          <w:p>
            <w:r>
              <w:rPr>
                <w:sz w:val="17"/>
              </w:rPr>
              <w:t>8,580</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2026-08-24</w:t>
            </w:r>
          </w:p>
        </w:tc>
        <w:tc>
          <w:tcPr>
            <w:tcW w:type="dxa" w:w="1440"/>
            <w:shd w:fill="FAFAFA" w:val="clear"/>
          </w:tcPr>
          <w:p>
            <w:r>
              <w:rPr>
                <w:sz w:val="17"/>
              </w:rPr>
              <w:t>6,975</w:t>
            </w:r>
          </w:p>
        </w:tc>
        <w:tc>
          <w:tcPr>
            <w:tcW w:type="dxa" w:w="1440"/>
            <w:shd w:fill="FAFAFA" w:val="clear"/>
          </w:tcPr>
          <w:p>
            <w:r>
              <w:rPr>
                <w:b/>
                <w:sz w:val="17"/>
              </w:rPr>
              <w:t>7,823</w:t>
            </w:r>
          </w:p>
        </w:tc>
        <w:tc>
          <w:tcPr>
            <w:tcW w:type="dxa" w:w="1440"/>
            <w:shd w:fill="FAFAFA" w:val="clear"/>
          </w:tcPr>
          <w:p>
            <w:r>
              <w:rPr>
                <w:sz w:val="17"/>
              </w:rPr>
              <w:t>8,670</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2026-08-25</w:t>
            </w:r>
          </w:p>
        </w:tc>
        <w:tc>
          <w:tcPr>
            <w:tcW w:type="dxa" w:w="1440"/>
            <w:shd w:fill="FAFAFA" w:val="clear"/>
          </w:tcPr>
          <w:p>
            <w:r>
              <w:rPr>
                <w:sz w:val="17"/>
              </w:rPr>
              <w:t>6,920</w:t>
            </w:r>
          </w:p>
        </w:tc>
        <w:tc>
          <w:tcPr>
            <w:tcW w:type="dxa" w:w="1440"/>
            <w:shd w:fill="FAFAFA" w:val="clear"/>
          </w:tcPr>
          <w:p>
            <w:r>
              <w:rPr>
                <w:b/>
                <w:sz w:val="17"/>
              </w:rPr>
              <w:t>7,837</w:t>
            </w:r>
          </w:p>
        </w:tc>
        <w:tc>
          <w:tcPr>
            <w:tcW w:type="dxa" w:w="1440"/>
            <w:shd w:fill="FAFAFA" w:val="clear"/>
          </w:tcPr>
          <w:p>
            <w:r>
              <w:rPr>
                <w:sz w:val="17"/>
              </w:rPr>
              <w:t>8,754</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2026-08-27</w:t>
            </w:r>
          </w:p>
        </w:tc>
        <w:tc>
          <w:tcPr>
            <w:tcW w:type="dxa" w:w="1440"/>
            <w:shd w:fill="FAFAFA" w:val="clear"/>
          </w:tcPr>
          <w:p>
            <w:r>
              <w:rPr>
                <w:sz w:val="17"/>
              </w:rPr>
              <w:t>6,869</w:t>
            </w:r>
          </w:p>
        </w:tc>
        <w:tc>
          <w:tcPr>
            <w:tcW w:type="dxa" w:w="1440"/>
            <w:shd w:fill="FAFAFA" w:val="clear"/>
          </w:tcPr>
          <w:p>
            <w:r>
              <w:rPr>
                <w:b/>
                <w:sz w:val="17"/>
              </w:rPr>
              <w:t>7,851</w:t>
            </w:r>
          </w:p>
        </w:tc>
        <w:tc>
          <w:tcPr>
            <w:tcW w:type="dxa" w:w="1440"/>
            <w:shd w:fill="FAFAFA" w:val="clear"/>
          </w:tcPr>
          <w:p>
            <w:r>
              <w:rPr>
                <w:sz w:val="17"/>
              </w:rPr>
              <w:t>8,833</w:t>
            </w:r>
          </w:p>
        </w:tc>
        <w:tc>
          <w:tcPr>
            <w:tcW w:type="dxa" w:w="1440"/>
            <w:shd w:fill="FAFAFA" w:val="clear"/>
          </w:tcPr>
          <w:p>
            <w:r>
              <w:rPr>
                <w:b/>
                <w:color w:val="008000"/>
                <w:sz w:val="17"/>
              </w:rPr>
              <w:t>+0.0%</w:t>
            </w:r>
          </w:p>
        </w:tc>
      </w:tr>
      <w:tr>
        <w:tc>
          <w:tcPr>
            <w:tcW w:type="dxa" w:w="1440"/>
            <w:shd w:fill="FAFAFA" w:val="clear"/>
          </w:tcPr>
          <w:p>
            <w:r>
              <w:rPr>
                <w:sz w:val="17"/>
              </w:rPr>
              <w:t>J+9  ⭐</w:t>
            </w:r>
          </w:p>
        </w:tc>
        <w:tc>
          <w:tcPr>
            <w:tcW w:type="dxa" w:w="1440"/>
            <w:shd w:fill="FAFAFA" w:val="clear"/>
          </w:tcPr>
          <w:p>
            <w:r>
              <w:rPr>
                <w:sz w:val="17"/>
              </w:rPr>
              <w:t>2026-08-28</w:t>
            </w:r>
          </w:p>
        </w:tc>
        <w:tc>
          <w:tcPr>
            <w:tcW w:type="dxa" w:w="1440"/>
            <w:shd w:fill="FAFAFA" w:val="clear"/>
          </w:tcPr>
          <w:p>
            <w:r>
              <w:rPr>
                <w:sz w:val="17"/>
              </w:rPr>
              <w:t>6,822</w:t>
            </w:r>
          </w:p>
        </w:tc>
        <w:tc>
          <w:tcPr>
            <w:tcW w:type="dxa" w:w="1440"/>
            <w:shd w:fill="FAFAFA" w:val="clear"/>
          </w:tcPr>
          <w:p>
            <w:r>
              <w:rPr>
                <w:b/>
                <w:sz w:val="17"/>
              </w:rPr>
              <w:t>7,865</w:t>
            </w:r>
          </w:p>
        </w:tc>
        <w:tc>
          <w:tcPr>
            <w:tcW w:type="dxa" w:w="1440"/>
            <w:shd w:fill="FAFAFA" w:val="clear"/>
          </w:tcPr>
          <w:p>
            <w:r>
              <w:rPr>
                <w:sz w:val="17"/>
              </w:rPr>
              <w:t>8,908</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2026-08-31</w:t>
            </w:r>
          </w:p>
        </w:tc>
        <w:tc>
          <w:tcPr>
            <w:tcW w:type="dxa" w:w="1440"/>
            <w:shd w:fill="FAFAFA" w:val="clear"/>
          </w:tcPr>
          <w:p>
            <w:r>
              <w:rPr>
                <w:sz w:val="17"/>
              </w:rPr>
              <w:t>6,777</w:t>
            </w:r>
          </w:p>
        </w:tc>
        <w:tc>
          <w:tcPr>
            <w:tcW w:type="dxa" w:w="1440"/>
            <w:shd w:fill="FAFAFA" w:val="clear"/>
          </w:tcPr>
          <w:p>
            <w:r>
              <w:rPr>
                <w:b/>
                <w:sz w:val="17"/>
              </w:rPr>
              <w:t>7,879</w:t>
            </w:r>
          </w:p>
        </w:tc>
        <w:tc>
          <w:tcPr>
            <w:tcW w:type="dxa" w:w="1440"/>
            <w:shd w:fill="FAFAFA" w:val="clear"/>
          </w:tcPr>
          <w:p>
            <w:r>
              <w:rPr>
                <w:sz w:val="17"/>
              </w:rPr>
              <w:t>8,981</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Absolument. Voici un rapport d'analyse professionnel structuré pour l'action SOGC,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169,57 milliards FCFA, ce qui en fait une valeur de première importance sur la BRVM. Avec un BPA de 578 FCFA, le titre se négocie à un PER de 13,6x, légèrement au-dessus de la moyenne historique du marché (8-12x), ce qui suggère que les investisseurs intègrent une prime de croissance ou une qualité de gestion supérieure. Le P/B de 2,48x confirme cette prime, le marché valorisant l'actif net à plus de deux fois sa valeur comptable. Enfin, un EV/EBITDA de 7,0x, dans la fourchette basse de la normale (5-10x), indique que la valorisation de l'entreprise, dette incluse, reste raisonnable par rapport à sa capacité à générer du cash opérationnel. L'ensemble de ces ratios dépeint une valorisation de qualité, ni décotée ni exubérante.</w:t>
      </w:r>
    </w:p>
    <w:p>
      <w:pPr>
        <w:spacing w:after="120" w:line="276" w:lineRule="auto"/>
      </w:pPr>
      <w:r>
        <w:t>### **PARTIE 1 : ANALYSE DU COURS — STATISTIQUES ET ÉVOLUTION (100 derniers jours)**</w:t>
      </w:r>
    </w:p>
    <w:p>
      <w:pPr>
        <w:spacing w:after="120" w:line="276" w:lineRule="auto"/>
      </w:pPr>
      <w:r>
        <w:t>Sur les 100 derniers jours, l'action SOGC a enregistré une baisse de 11,60%, mais a rebondi de +7,31% lors de la dernière séance, signe d'un possible retour des acheteurs. Le cours a évolué dans une fourchette large de 7,100 à 8,880 FCFA, illustrant une volatilité notable. La moyenne (7,983 FCFA) et la médiane (7,995 FCFA) sont très proches, et le skewness de -0,229 confirme une distribution quasi symétrique des prix. L'écart-type de 398 FCFA (CV=5,0%) indique une dispersion modérée autour de la moyenne. Le kurtosis de -0,877, qualifié de mésokurtique, suggère une probabilité de mouvements extrêmes similaire à une distribution normale. La volatilité annualisée de 39,5% est élevée, classant le titre comme risqué, avec des fluctuations de prix potentiellement amples à court terme.</w:t>
      </w:r>
    </w:p>
    <w:p>
      <w:pPr>
        <w:spacing w:after="120" w:line="276" w:lineRule="auto"/>
      </w:pPr>
      <w:r>
        <w:t>### **PARTIE 2 : ANALYSE TECHNIQUE DÉTAILLÉE**</w:t>
      </w:r>
    </w:p>
    <w:p>
      <w:pPr>
        <w:spacing w:after="120" w:line="276" w:lineRule="auto"/>
      </w:pPr>
      <w:r>
        <w:t>**Moyennes Mobiles**: Le cours actuel (7,850 FCFA) est inférieur à la MM20 (8,069 FCFA) et à la MM50 (8,242,6 FCFA), qui est elle-même sous la MM20. Cette configuration en pente descendante est un signal baissier classique, indiquant que la tendance de fond reste négative à moyen terme. La décision de "Vente" est cohérente avec cette structure.</w:t>
      </w:r>
    </w:p>
    <w:p>
      <w:pPr>
        <w:spacing w:after="120" w:line="276" w:lineRule="auto"/>
      </w:pPr>
      <w:r>
        <w:t>**Bandes de Bollinger**: Le prix se situe à 7,850 FCFA, entre la borne inférieure (7,571 FCFA) et la moyenne mobile (8,069 FCFA). Cette position médiane, après un rebond depuis la borne basse, suggère une phase de consolidation. La décision "Neutre" est justifiée, le marché semblant chercher une direction après une période de forte volatilité.</w:t>
      </w:r>
    </w:p>
    <w:p>
      <w:pPr>
        <w:spacing w:after="120" w:line="276" w:lineRule="auto"/>
      </w:pPr>
      <w:r>
        <w:t>**MACD**: La valeur du MACD (-126,99) est inférieure à sa ligne de signal (-68,16), toutes deux en territoire négatif. Cette configuration baissière indique que le momentum de court terme reste négatif, mais l'écart important entre les deux lignes pourrait signaler un potentiel de retournement haussier (un "cross") à venir. La décision de "Vente" est actuellement la plus prudente.</w:t>
      </w:r>
    </w:p>
    <w:p>
      <w:pPr>
        <w:spacing w:after="120" w:line="276" w:lineRule="auto"/>
      </w:pPr>
      <w:r>
        <w:t>**RSI**: À 43,99, le RSI se situe dans la zone neutre (30-70), sans être en survente ni en surachat. Cela indique que la pression vendeuse s'est estompée, mais qu'aucune dynamique d'achat forte n'a encore pris le relais. La décision "Neutre" est appropriée, laissant place à une possible poursuite du mouvement haussier initié la veille.</w:t>
      </w:r>
    </w:p>
    <w:p>
      <w:pPr>
        <w:spacing w:after="120" w:line="276" w:lineRule="auto"/>
      </w:pPr>
      <w:r>
        <w:t>**Stochastique**: Le %K (49,31) est nettement au-dessus du %D (16,44), formant un croisement haussier en zone de survente. Ce signal précoce suggère que le momentum de court terme s'améliore et pourrait soutenir un rebond technique. La décision "Neutre" est conservatrice, mais la configuration est encourageante.</w:t>
      </w:r>
    </w:p>
    <w:p>
      <w:pPr>
        <w:spacing w:after="120" w:line="276" w:lineRule="auto"/>
      </w:pPr>
      <w:r>
        <w:t>**Conclusion technique**: Les indicateurs de tendance (MM, MACD) sont baissiers, mais les oscillateurs de momentum (RSI, Stochastique) montrent des signes de stabilisation et d'épuisement de la vente. Le rebond de +7,31% sur la dernière séance, couplé au croisement haussier du stochastique, pourrait initier un mouvement de correction haussière. La prudence reste de mise tant que le cours n'a pas franchi la MM20 à 8,069 FCFA.</w:t>
      </w:r>
    </w:p>
    <w:p>
      <w:pPr>
        <w:spacing w:after="120" w:line="276" w:lineRule="auto"/>
      </w:pPr>
      <w:r>
        <w:t>### **PARTIE 3 : ANALYSE FONDAMENTALE (SECTION CRITIQUE)**</w:t>
      </w:r>
    </w:p>
    <w:p>
      <w:pPr>
        <w:spacing w:after="120" w:line="276" w:lineRule="auto"/>
      </w:pPr>
      <w:r>
        <w:t>En 2025, les données structurées confirment la solidité financière de SOGC. Le chiffre d'affaires s'établit à 98,98 milliards FCFA, en hausse de 10,7% par rapport à 2024, pour un résultat net de 12,49 milliards FCFA. La rentabilité est excellente avec un ROE de 18,26% et un ROA de 13,84%. La structure financière est saine avec une autonomie financière de 75,8% et une capacité de remboursement quasi nulle (0,04 an). Pour une entreprise agro-industrielle, le BFR de 7,12 milliards FCFA est un point d'attention, avec un délai de stockage de 97,7 jours qui immobilise du capital. Cependant, la trésorerie nette positive de 4,58 milliards FCFA et un flux opérationnel de 22,64 milliards FCFA démontrent une excellente génération de cash. Le rapport annuel 2025 (daté du 31/12/2025) précise que cette performance est due à la hausse des prix de l'huile de palme (+20%) et de palmiste (+47%), compensant partiellement l'augmentation des coûts du coagulum (+15%). Enfin, le rapport du 3ème trimestre 2025 (cumul 9M) montre une croissance du CA de +21,3% et un résultat net de 11,5 milliards FCFA, ce qui, comparé au résultat annuel de 12,49 milliards, suggère un ralentissement au T4 mais confirme la tendance annuelle. La direction anticipe un contexte de marché plus difficile pour le S2 2025, ce qui s'est matérialisé par la baisse du résultat net annuel de 5% par rapport à 2024.</w:t>
      </w:r>
    </w:p>
    <w:p>
      <w:pPr>
        <w:spacing w:after="120" w:line="276" w:lineRule="auto"/>
      </w:pPr>
      <w:r>
        <w:t>### **PARTIE 4 : CONCLUSION D'INVESTISSEMENT**</w:t>
      </w:r>
    </w:p>
    <w:p>
      <w:pPr>
        <w:spacing w:after="120" w:line="276" w:lineRule="auto"/>
      </w:pPr>
      <w:r>
        <w:t>La valorisation de SOGC (PER 13,6x, P/B 2,48x) est raisonnable pour une entreprise de cette qualité, mais elle n'offre pas de décote significative. Le comportement du cours sur 100 jours est baissier avec une volatilité élevée, bien que les statistiques (distribution symétrique) et le récent rebond suggèrent une possible stabilisation. Les signaux techniques sont mitigés : la tendance de fond reste vendeuse, mais les oscillateurs indiquent un potentiel de rebond à court terme. Les fondamentaux sont solides, avec une croissance du CA, une excellente rentabilité (ROE &gt;18%) et une génération de cash-flow robuste, malgré un contexte de coûts en hausse. Les prédictions IA pour les 10 prochains jours (7,740 à 7,808 FCFA) suggèrent une consolidation autour des niveaux actuels, ce qui contredit un fort rebond mais confirme la fin de la chute brutale. En synthèse, la convergence entre la solidité fondamentale, la valorisation raisonnable et les signaux techniques de stabilisation plaide pour une position de conservation.</w:t>
      </w:r>
    </w:p>
    <w:p>
      <w:pPr>
        <w:spacing w:after="120" w:line="276" w:lineRule="auto"/>
      </w:pPr>
      <w:r>
        <w:t>**Recommandation finale : CONSERVER**</w:t>
        <w:br/>
        <w:t>**Niveau de confiance : Élevé**</w:t>
        <w:br/>
        <w:t>**Niveau de risque global : Moyen**</w:t>
        <w:br/>
        <w:t>**Horizon d'investissement optimal : Moyen terme (3-12 mois)** , en attendant une clarification de la tendance technique et l'évolution des prix des matières premières.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204.59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4,609 titres</w:t>
            </w:r>
          </w:p>
        </w:tc>
        <w:tc>
          <w:tcPr>
            <w:tcW w:type="dxa" w:w="2268"/>
            <w:shd w:fill="FFF2CC" w:val="clear"/>
          </w:tcPr>
          <w:p>
            <w:r>
              <w:rPr>
                <w:b/>
                <w:color w:val="503200"/>
                <w:sz w:val="16"/>
              </w:rPr>
              <w:t xml:space="preserve">Cours actuel : </w:t>
            </w:r>
            <w:r>
              <w:rPr>
                <w:color w:val="000000"/>
                <w:sz w:val="17"/>
              </w:rPr>
              <w:t>8,005 FCFA</w:t>
            </w:r>
          </w:p>
          <w:p>
            <w:r>
              <w:rPr>
                <w:b/>
                <w:color w:val="503200"/>
                <w:sz w:val="16"/>
              </w:rPr>
              <w:t xml:space="preserve">Var. 100 jours : </w:t>
            </w:r>
            <w:r>
              <w:rPr>
                <w:b/>
                <w:color w:val="B40000"/>
                <w:sz w:val="17"/>
              </w:rPr>
              <w:t>-4.13%</w:t>
            </w:r>
          </w:p>
          <w:p>
            <w:r>
              <w:rPr>
                <w:b/>
                <w:color w:val="503200"/>
                <w:sz w:val="16"/>
              </w:rPr>
              <w:t xml:space="preserve">Plus haut 100j : </w:t>
            </w:r>
            <w:r>
              <w:rPr>
                <w:color w:val="000000"/>
                <w:sz w:val="17"/>
              </w:rPr>
              <w:t>8,350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4.44% (Faible) — μ=7,392 FCFA, σ=328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β=0.8057 (Neutre (suit le marché)) — Cov=0.000025, Var(idx)=0.000031, ρ=0.204,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2026-08-17</w:t>
            </w:r>
          </w:p>
        </w:tc>
        <w:tc>
          <w:tcPr>
            <w:tcW w:type="dxa" w:w="1440"/>
            <w:shd w:fill="FAFAFA" w:val="clear"/>
          </w:tcPr>
          <w:p>
            <w:r>
              <w:rPr>
                <w:sz w:val="17"/>
              </w:rPr>
              <w:t>7,648</w:t>
            </w:r>
          </w:p>
        </w:tc>
        <w:tc>
          <w:tcPr>
            <w:tcW w:type="dxa" w:w="1440"/>
            <w:shd w:fill="FAFAFA" w:val="clear"/>
          </w:tcPr>
          <w:p>
            <w:r>
              <w:rPr>
                <w:b/>
                <w:sz w:val="17"/>
              </w:rPr>
              <w:t>7,925</w:t>
            </w:r>
          </w:p>
        </w:tc>
        <w:tc>
          <w:tcPr>
            <w:tcW w:type="dxa" w:w="1440"/>
            <w:shd w:fill="FAFAFA" w:val="clear"/>
          </w:tcPr>
          <w:p>
            <w:r>
              <w:rPr>
                <w:sz w:val="17"/>
              </w:rPr>
              <w:t>8,202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2026-08-18</w:t>
            </w:r>
          </w:p>
        </w:tc>
        <w:tc>
          <w:tcPr>
            <w:tcW w:type="dxa" w:w="1440"/>
            <w:shd w:fill="FAFAFA" w:val="clear"/>
          </w:tcPr>
          <w:p>
            <w:r>
              <w:rPr>
                <w:sz w:val="17"/>
              </w:rPr>
              <w:t>7,521</w:t>
            </w:r>
          </w:p>
        </w:tc>
        <w:tc>
          <w:tcPr>
            <w:tcW w:type="dxa" w:w="1440"/>
            <w:shd w:fill="FAFAFA" w:val="clear"/>
          </w:tcPr>
          <w:p>
            <w:r>
              <w:rPr>
                <w:b/>
                <w:sz w:val="17"/>
              </w:rPr>
              <w:t>7,912</w:t>
            </w:r>
          </w:p>
        </w:tc>
        <w:tc>
          <w:tcPr>
            <w:tcW w:type="dxa" w:w="1440"/>
            <w:shd w:fill="FAFAFA" w:val="clear"/>
          </w:tcPr>
          <w:p>
            <w:r>
              <w:rPr>
                <w:sz w:val="17"/>
              </w:rPr>
              <w:t>8,303</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2026-08-19</w:t>
            </w:r>
          </w:p>
        </w:tc>
        <w:tc>
          <w:tcPr>
            <w:tcW w:type="dxa" w:w="1440"/>
            <w:shd w:fill="FAFAFA" w:val="clear"/>
          </w:tcPr>
          <w:p>
            <w:r>
              <w:rPr>
                <w:sz w:val="17"/>
              </w:rPr>
              <w:t>7,416</w:t>
            </w:r>
          </w:p>
        </w:tc>
        <w:tc>
          <w:tcPr>
            <w:tcW w:type="dxa" w:w="1440"/>
            <w:shd w:fill="FAFAFA" w:val="clear"/>
          </w:tcPr>
          <w:p>
            <w:r>
              <w:rPr>
                <w:b/>
                <w:sz w:val="17"/>
              </w:rPr>
              <w:t>7,894</w:t>
            </w:r>
          </w:p>
        </w:tc>
        <w:tc>
          <w:tcPr>
            <w:tcW w:type="dxa" w:w="1440"/>
            <w:shd w:fill="FAFAFA" w:val="clear"/>
          </w:tcPr>
          <w:p>
            <w:r>
              <w:rPr>
                <w:sz w:val="17"/>
              </w:rPr>
              <w:t>8,372</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7,326</w:t>
            </w:r>
          </w:p>
        </w:tc>
        <w:tc>
          <w:tcPr>
            <w:tcW w:type="dxa" w:w="1440"/>
            <w:shd w:fill="FAFAFA" w:val="clear"/>
          </w:tcPr>
          <w:p>
            <w:r>
              <w:rPr>
                <w:b/>
                <w:sz w:val="17"/>
              </w:rPr>
              <w:t>7,876</w:t>
            </w:r>
          </w:p>
        </w:tc>
        <w:tc>
          <w:tcPr>
            <w:tcW w:type="dxa" w:w="1440"/>
            <w:shd w:fill="FAFAFA" w:val="clear"/>
          </w:tcPr>
          <w:p>
            <w:r>
              <w:rPr>
                <w:sz w:val="17"/>
              </w:rPr>
              <w:t>8,427</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2026-08-21</w:t>
            </w:r>
          </w:p>
        </w:tc>
        <w:tc>
          <w:tcPr>
            <w:tcW w:type="dxa" w:w="1440"/>
            <w:shd w:fill="FAFAFA" w:val="clear"/>
          </w:tcPr>
          <w:p>
            <w:r>
              <w:rPr>
                <w:sz w:val="17"/>
              </w:rPr>
              <w:t>7,245</w:t>
            </w:r>
          </w:p>
        </w:tc>
        <w:tc>
          <w:tcPr>
            <w:tcW w:type="dxa" w:w="1440"/>
            <w:shd w:fill="FAFAFA" w:val="clear"/>
          </w:tcPr>
          <w:p>
            <w:r>
              <w:rPr>
                <w:b/>
                <w:sz w:val="17"/>
              </w:rPr>
              <w:t>7,860</w:t>
            </w:r>
          </w:p>
        </w:tc>
        <w:tc>
          <w:tcPr>
            <w:tcW w:type="dxa" w:w="1440"/>
            <w:shd w:fill="FAFAFA" w:val="clear"/>
          </w:tcPr>
          <w:p>
            <w:r>
              <w:rPr>
                <w:sz w:val="17"/>
              </w:rPr>
              <w:t>8,474</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7,171</w:t>
            </w:r>
          </w:p>
        </w:tc>
        <w:tc>
          <w:tcPr>
            <w:tcW w:type="dxa" w:w="1440"/>
            <w:shd w:fill="FFDCE0" w:val="clear"/>
          </w:tcPr>
          <w:p>
            <w:r>
              <w:rPr>
                <w:b/>
                <w:sz w:val="17"/>
              </w:rPr>
              <w:t>7,843</w:t>
            </w:r>
          </w:p>
        </w:tc>
        <w:tc>
          <w:tcPr>
            <w:tcW w:type="dxa" w:w="1440"/>
            <w:shd w:fill="FFDCE0" w:val="clear"/>
          </w:tcPr>
          <w:p>
            <w:r>
              <w:rPr>
                <w:sz w:val="17"/>
              </w:rPr>
              <w:t>8,514</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7,102</w:t>
            </w:r>
          </w:p>
        </w:tc>
        <w:tc>
          <w:tcPr>
            <w:tcW w:type="dxa" w:w="1440"/>
            <w:shd w:fill="FFDCE0" w:val="clear"/>
          </w:tcPr>
          <w:p>
            <w:r>
              <w:rPr>
                <w:b/>
                <w:sz w:val="17"/>
              </w:rPr>
              <w:t>7,826</w:t>
            </w:r>
          </w:p>
        </w:tc>
        <w:tc>
          <w:tcPr>
            <w:tcW w:type="dxa" w:w="1440"/>
            <w:shd w:fill="FFDCE0" w:val="clear"/>
          </w:tcPr>
          <w:p>
            <w:r>
              <w:rPr>
                <w:sz w:val="17"/>
              </w:rPr>
              <w:t>8,550</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7,037</w:t>
            </w:r>
          </w:p>
        </w:tc>
        <w:tc>
          <w:tcPr>
            <w:tcW w:type="dxa" w:w="1440"/>
            <w:shd w:fill="FFDCE0" w:val="clear"/>
          </w:tcPr>
          <w:p>
            <w:r>
              <w:rPr>
                <w:b/>
                <w:sz w:val="17"/>
              </w:rPr>
              <w:t>7,809</w:t>
            </w:r>
          </w:p>
        </w:tc>
        <w:tc>
          <w:tcPr>
            <w:tcW w:type="dxa" w:w="1440"/>
            <w:shd w:fill="FFDCE0" w:val="clear"/>
          </w:tcPr>
          <w:p>
            <w:r>
              <w:rPr>
                <w:sz w:val="17"/>
              </w:rPr>
              <w:t>8,581</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6,975</w:t>
            </w:r>
          </w:p>
        </w:tc>
        <w:tc>
          <w:tcPr>
            <w:tcW w:type="dxa" w:w="1440"/>
            <w:shd w:fill="FFDCE0" w:val="clear"/>
          </w:tcPr>
          <w:p>
            <w:r>
              <w:rPr>
                <w:b/>
                <w:sz w:val="17"/>
              </w:rPr>
              <w:t>7,792</w:t>
            </w:r>
          </w:p>
        </w:tc>
        <w:tc>
          <w:tcPr>
            <w:tcW w:type="dxa" w:w="1440"/>
            <w:shd w:fill="FFDCE0" w:val="clear"/>
          </w:tcPr>
          <w:p>
            <w:r>
              <w:rPr>
                <w:sz w:val="17"/>
              </w:rPr>
              <w:t>8,609</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6,916</w:t>
            </w:r>
          </w:p>
        </w:tc>
        <w:tc>
          <w:tcPr>
            <w:tcW w:type="dxa" w:w="1440"/>
            <w:shd w:fill="FFDCE0" w:val="clear"/>
          </w:tcPr>
          <w:p>
            <w:r>
              <w:rPr>
                <w:b/>
                <w:sz w:val="17"/>
              </w:rPr>
              <w:t>7,776</w:t>
            </w:r>
          </w:p>
        </w:tc>
        <w:tc>
          <w:tcPr>
            <w:tcW w:type="dxa" w:w="1440"/>
            <w:shd w:fill="FFDCE0" w:val="clear"/>
          </w:tcPr>
          <w:p>
            <w:r>
              <w:rPr>
                <w:sz w:val="17"/>
              </w:rPr>
              <w:t>8,635</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204,59 milliards FCFA, un niveau significatif qui la positionne parmi les valeurs moyennes à grandes capitalisations de la BRVM, reflétant son statut de leader régional dans la transformation du caoutchouc naturel. Le BPA de 977 FCFA indique que chaque action génère un bénéfice substantiel, et le PER de 8,2x se situe dans la fourchette basse de la moyenne BRVM (8-12x), suggérant une sous-évaluation relative du titre par rapport à ses pairs. Le P/B de 1,48x, compris entre 1 et 2, témoigne d'une valorisation raisonnable où le marché valorise les actifs nets à un niveau cohérent avec la rentabilité de l'entreprise. Enfin, l'EV/EBITDA de 5,1x, dans la zone basse de la fourchette 5-10x, indique que la valeur totale de l'entreprise (capitalisation + dette nette) reste attractive par rapport à sa capacité opérationnelle à générer des bénéfices avant intérêts, impôts, dépréciations et amortissements.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SPHC a enregistré une variation totale de -4,13%, avec une légère hausse de +0,06% lors de la dernière séance, témoignant d'une tendance globalement baissière mais stabilisée récemment. Le titre a évolué dans une fourchette de 6 720 FCFA (plus bas) à 8 350 FCFA (plus haut), soit une amplitude de 1 630 FCFA, indiquant des fluctuations notables. La moyenne de 7 392 FCFA et la médiane de 7 400 FCFA sont très proches, suggérant une distribution symétrique des prix, confirmée par un skewness de 0,089. L'écart-type de 330 FCFA, avec un coefficient de variation de 4,5%, révèle une dispersion relativement faible des cours autour de la moyenne. Le kurtosis de -0,322 (mésokurtique) indique une distribution proche de la normale, sans risque de pics extrêmes. La volatilité annualisée de 41,0% place le titre dans la catégorie élevée (&gt;30%), reflétant un risque de marché important, cohérent avec un secteur exposé aux matières premières.</w:t>
      </w:r>
    </w:p>
    <w:p>
      <w:pPr>
        <w:spacing w:after="120" w:line="276" w:lineRule="auto" w:before="240"/>
      </w:pPr>
      <w:r>
        <w:rPr>
          <w:b/>
          <w:color w:val="003366"/>
          <w:sz w:val="24"/>
        </w:rPr>
        <w:t>**PARTIE 2 : ANALYSE TECHNIQUE DÉTAILLÉE**</w:t>
      </w:r>
    </w:p>
    <w:p>
      <w:pPr>
        <w:spacing w:after="120" w:line="276" w:lineRule="auto"/>
      </w:pPr>
      <w:r>
        <w:t>**Moyennes Mobiles** : La MM20 à 7 595,25 FCFA et la MM50 à 7 621,7 FCFA sont toutes deux inférieures au cours actuel de 8 005 FCFA, indiquant que le prix se situe au-dessus de ces moyennes. Cependant, la décision globale est "Vente", probablement car la MM20 est inférieure à la MM50, signalant une tendance baissière à court terme malgré le rebond récent. Cette configuration suggère une possible correction après une phase de hausse.</w:t>
      </w:r>
    </w:p>
    <w:p>
      <w:pPr>
        <w:spacing w:after="120" w:line="276" w:lineRule="auto"/>
      </w:pPr>
      <w:r>
        <w:t>**Bandes de Bollinger** : Le cours actuel de 8 005 FCFA se situe près de la borne supérieure (8 033,43 FCFA), indiquant que le titre est proche de sa zone de surachat technique. La borne inférieure à 7 157,07 FCFA montre un écart important, reflétant une volatilité élevée. La décision "Neutre" suggère que le marché attend une direction claire, mais la proximité de la borne supérieure pourrait signaler un essoufflement haussier à court terme.</w:t>
      </w:r>
    </w:p>
    <w:p>
      <w:pPr>
        <w:spacing w:after="120" w:line="276" w:lineRule="auto"/>
      </w:pPr>
      <w:r>
        <w:t>**MACD** : La valeur du MACD à 105,741 est nettement supérieure à son signal à 48,978, indiquant un momentum haussier positif. Cette configuration, avec une décision "Achat", suggère que la dynamique de court terme reste favorable malgré la tendance baissière de fond. L'écart croissant entre le MACD et son signal renforce le signal d'achat, indiquant une accélération du mouvement haussier.</w:t>
      </w:r>
    </w:p>
    <w:p>
      <w:pPr>
        <w:spacing w:after="120" w:line="276" w:lineRule="auto"/>
      </w:pPr>
      <w:r>
        <w:t>**RSI** : Le RSI à 69,378 se situe en zone neutre (30-70), mais proche du seuil de surachat (70). La décision "Neutre" reflète un équilibre entre acheteurs et vendeurs, avec une légère pression haussière. Un dépassement du seuil de 70 pourrait signaler une surachat et une possible correction, tandis qu'une baisse sous 50 indiquerait un affaiblissement du momentum.</w:t>
      </w:r>
    </w:p>
    <w:p>
      <w:pPr>
        <w:spacing w:after="120" w:line="276" w:lineRule="auto"/>
      </w:pPr>
      <w:r>
        <w:t>**Stochastique** : Le %K à 100,0 et le %D à 98,0 sont en zone de surachat extrême, indiquant que le titre est fortement survendu à la hausse. La décision "Vente" suggère que le marché pourrait être surchauffé à court terme, avec un risque de retournement baissier. Le croisement potentiel du %K sous le %D renforcerait ce signal de vente.</w:t>
      </w:r>
    </w:p>
    <w:p>
      <w:pPr>
        <w:spacing w:after="120" w:line="276" w:lineRule="auto"/>
      </w:pPr>
      <w:r>
        <w:t>**Conclusion technique** : Les indicateurs techniques sont mitigés, avec un MACD haussier mais un stochastique en surachat extrême et des moyennes mobiles en configuration de vente. Le cours proche de la borne supérieure de Bollinger suggère une résistance à court terme. La convergence des signaux de surachat (stochastique, RSI proche de 70) avec la tendance baissière des MM indique un risque de correction, malgré le momentum positif du MACD.</w:t>
      </w:r>
    </w:p>
    <w:p>
      <w:pPr>
        <w:spacing w:after="120" w:line="276" w:lineRule="auto" w:before="240"/>
      </w:pPr>
      <w:r>
        <w:rPr>
          <w:b/>
          <w:color w:val="003366"/>
          <w:sz w:val="24"/>
        </w:rPr>
        <w:t>**PARTIE 3 : ANALYSE FONDAMENTALE (SECTION CRITIQUE)**</w:t>
      </w:r>
    </w:p>
    <w:p>
      <w:pPr>
        <w:spacing w:after="120" w:line="276" w:lineRule="auto"/>
      </w:pPr>
      <w:r>
        <w:t>En 2025, SPHC a réalisé un chiffre d'affaires de 340,83 milliards FCFA, en hausse de 22,0% par rapport à 2024 (279,44 milliards FCFA), avec un résultat net de 24,97 milliards FCFA, en progression de 32,9% (contre 18,79 milliards en 2024). La rentabilité est excellente avec un ROE de 18,1% (&gt;15%) et un ROA de 11,1%, reflétant une utilisation efficace des fonds propres et des actifs. La marge nette s'améliore à 7,3% (contre 6,7% en 2024), et la marge opérationnelle atteint 11,2%. Le BFR de 65,39 milliards FCFA est positif, indiquant un besoin de financement du cycle d'exploitation, avec un délai clients de 35 jours et une durée de stockage de 72 jours, des niveaux modérés. L'endettement est maîtrisé avec un ratio dettes/capitaux propres de 25,8% et une capacité de remboursement de 0,97 an. Les rapports trimestriels 2025 confirment cette dynamique : le T1 2025 affichait un CA de 94,3 milliards FCFA (+72%) et un résultat net de 11,8 milliards FCFA (+949%), le S1 2025 un CA de 171,4 milliards FCFA (+51%) et un résultat net de 18,1 milliards FCFA (+449%), et le T3 2025 un CA de 253,7 milliards FCFA (+36%) et un résultat net de 23,2 milliards FCFA (+131%). Cependant, le rapport T1 2026 (daté de 2026) montre une forte dégradation : CA de 71,8 milliards FCFA (-24%) et résultat net de 2,6 milliards FCFA (-78%), pénalisés par la chute des cours mondiaux du caoutchouc et la concurrence accrue. Les perspectives restent prudentes, avec une structure financière solide (capitaux propres de 137,94 milliards FCFA) et une politique de dividende attractive (489 FCFA/action proposé pour 2025). La recommandation fondamentale est de conserver, avec une surveillance active de la trésorerie et de la diversification.</w:t>
      </w:r>
    </w:p>
    <w:p>
      <w:pPr>
        <w:spacing w:after="120" w:line="276" w:lineRule="auto" w:before="240"/>
      </w:pPr>
      <w:r>
        <w:rPr>
          <w:b/>
          <w:color w:val="003366"/>
          <w:sz w:val="24"/>
        </w:rPr>
        <w:t>**PARTIE 4 : CONCLUSION D'INVESTISSEMENT**</w:t>
      </w:r>
    </w:p>
    <w:p>
      <w:pPr>
        <w:spacing w:after="120" w:line="276" w:lineRule="auto"/>
      </w:pPr>
      <w:r>
        <w:t>La valorisation de SPHC apparaît attractive avec un PER de 8,2x, un P/B de 1,48x et un EV/EBITDA de 5,1x, indiquant une sous-évaluation relative par rapport aux fondamentaux solides de l'entreprise. Le comportement du cours sur 100 jours montre une tendance baissière (-4,13%) avec une volatilité élevée (41%), mais une distribution symétrique et stable des prix. Les signaux techniques sont mitigés : le MACD est haussier, mais le stochastique en surachat extrême et les moyennes mobiles en configuration de vente suggèrent un risque de correction à court terme. Les fondamentaux sont robustes pour 2025 (CA +22%, résultat net +33%, ROE 18,1%), mais le T1 2026 montre une forte dégradation (-24% CA, -78% résultat net), reflétant la volatilité du secteur. Les prédictions IA pour les 10 prochains jours indiquent une baisse progressive de 8 005 à 7 860 FCFA, confirmant le risque de correction technique. La convergence entre la sous-évaluation fondamentale et les signaux techniques de surachat suggère une recommandation **CONSERVER**, avec un niveau de confiance **Moyen** et un risque global **Élevé** dû à la volatilité des cours du caoutchouc. L'horizon d'investissement optimal serait le **moyen terme (3-12 mois)**, en attendant une stabilisation des cours mondiaux et une confirmation de la reprise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6,151 titres</w:t>
            </w:r>
          </w:p>
        </w:tc>
        <w:tc>
          <w:tcPr>
            <w:tcW w:type="dxa" w:w="2268"/>
            <w:shd w:fill="FFF2CC" w:val="clear"/>
          </w:tcPr>
          <w:p>
            <w:r>
              <w:rPr>
                <w:b/>
                <w:color w:val="503200"/>
                <w:sz w:val="16"/>
              </w:rPr>
              <w:t xml:space="preserve">Cours actuel : </w:t>
            </w:r>
            <w:r>
              <w:rPr>
                <w:color w:val="000000"/>
                <w:sz w:val="17"/>
              </w:rPr>
              <w:t>2,635 FCFA</w:t>
            </w:r>
          </w:p>
          <w:p>
            <w:r>
              <w:rPr>
                <w:b/>
                <w:color w:val="503200"/>
                <w:sz w:val="16"/>
              </w:rPr>
              <w:t xml:space="preserve">Var. 100 jours : </w:t>
            </w:r>
            <w:r>
              <w:rPr>
                <w:b/>
                <w:color w:val="007800"/>
                <w:sz w:val="17"/>
              </w:rPr>
              <w:t>+15.32%</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2,285 FCFA</w:t>
            </w:r>
          </w:p>
          <w:p>
            <w:r>
              <w:rPr>
                <w:b/>
                <w:color w:val="503200"/>
                <w:sz w:val="16"/>
              </w:rPr>
              <w:t xml:space="preserve">Volatilité ann. : </w:t>
            </w:r>
            <w:r>
              <w:rPr>
                <w:color w:val="000000"/>
                <w:sz w:val="17"/>
              </w:rPr>
              <w:t>68.5%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11.65% (Moyenne) — μ=3,027 FCFA, σ=353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β=-0.8715 (Contre-cyclique) — Cov=-0.000027, Var(idx)=0.000031, ρ=-0.114,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σ_j=4.32%/j (Modérée) — Vol. annualisée≈68.5%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2,361</w:t>
            </w:r>
          </w:p>
        </w:tc>
        <w:tc>
          <w:tcPr>
            <w:tcW w:type="dxa" w:w="1440"/>
            <w:shd w:fill="FFDCE0" w:val="clear"/>
          </w:tcPr>
          <w:p>
            <w:r>
              <w:rPr>
                <w:b/>
                <w:sz w:val="17"/>
              </w:rPr>
              <w:t>2,485</w:t>
            </w:r>
          </w:p>
        </w:tc>
        <w:tc>
          <w:tcPr>
            <w:tcW w:type="dxa" w:w="1440"/>
            <w:shd w:fill="FFDCE0" w:val="clear"/>
          </w:tcPr>
          <w:p>
            <w:r>
              <w:rPr>
                <w:sz w:val="17"/>
              </w:rPr>
              <w:t>2,609</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2,173</w:t>
            </w:r>
          </w:p>
        </w:tc>
        <w:tc>
          <w:tcPr>
            <w:tcW w:type="dxa" w:w="1440"/>
            <w:shd w:fill="FFDCE0" w:val="clear"/>
          </w:tcPr>
          <w:p>
            <w:r>
              <w:rPr>
                <w:b/>
                <w:sz w:val="17"/>
              </w:rPr>
              <w:t>2,338</w:t>
            </w:r>
          </w:p>
        </w:tc>
        <w:tc>
          <w:tcPr>
            <w:tcW w:type="dxa" w:w="1440"/>
            <w:shd w:fill="FFDCE0" w:val="clear"/>
          </w:tcPr>
          <w:p>
            <w:r>
              <w:rPr>
                <w:sz w:val="17"/>
              </w:rPr>
              <w:t>2,503</w:t>
            </w:r>
          </w:p>
        </w:tc>
        <w:tc>
          <w:tcPr>
            <w:tcW w:type="dxa" w:w="1440"/>
            <w:shd w:fill="FFDCE0" w:val="clear"/>
          </w:tcPr>
          <w:p>
            <w:r>
              <w:rPr>
                <w:b/>
                <w:color w:val="C00000"/>
                <w:sz w:val="17"/>
              </w:rPr>
              <w:t>-11.3%</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1,996</w:t>
            </w:r>
          </w:p>
        </w:tc>
        <w:tc>
          <w:tcPr>
            <w:tcW w:type="dxa" w:w="1440"/>
            <w:shd w:fill="FFDCE0" w:val="clear"/>
          </w:tcPr>
          <w:p>
            <w:r>
              <w:rPr>
                <w:b/>
                <w:sz w:val="17"/>
              </w:rPr>
              <w:t>2,184</w:t>
            </w:r>
          </w:p>
        </w:tc>
        <w:tc>
          <w:tcPr>
            <w:tcW w:type="dxa" w:w="1440"/>
            <w:shd w:fill="FFDCE0" w:val="clear"/>
          </w:tcPr>
          <w:p>
            <w:r>
              <w:rPr>
                <w:sz w:val="17"/>
              </w:rPr>
              <w:t>2,373</w:t>
            </w:r>
          </w:p>
        </w:tc>
        <w:tc>
          <w:tcPr>
            <w:tcW w:type="dxa" w:w="1440"/>
            <w:shd w:fill="FFDCE0" w:val="clear"/>
          </w:tcPr>
          <w:p>
            <w:r>
              <w:rPr>
                <w:b/>
                <w:color w:val="C00000"/>
                <w:sz w:val="17"/>
              </w:rPr>
              <w:t>-17.1%</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1,842</w:t>
            </w:r>
          </w:p>
        </w:tc>
        <w:tc>
          <w:tcPr>
            <w:tcW w:type="dxa" w:w="1440"/>
            <w:shd w:fill="FFDCE0" w:val="clear"/>
          </w:tcPr>
          <w:p>
            <w:r>
              <w:rPr>
                <w:b/>
                <w:sz w:val="17"/>
              </w:rPr>
              <w:t>2,046</w:t>
            </w:r>
          </w:p>
        </w:tc>
        <w:tc>
          <w:tcPr>
            <w:tcW w:type="dxa" w:w="1440"/>
            <w:shd w:fill="FFDCE0" w:val="clear"/>
          </w:tcPr>
          <w:p>
            <w:r>
              <w:rPr>
                <w:sz w:val="17"/>
              </w:rPr>
              <w:t>2,250</w:t>
            </w:r>
          </w:p>
        </w:tc>
        <w:tc>
          <w:tcPr>
            <w:tcW w:type="dxa" w:w="1440"/>
            <w:shd w:fill="FFDCE0" w:val="clear"/>
          </w:tcPr>
          <w:p>
            <w:r>
              <w:rPr>
                <w:b/>
                <w:color w:val="C00000"/>
                <w:sz w:val="17"/>
              </w:rPr>
              <w:t>-22.4%</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1,715</w:t>
            </w:r>
          </w:p>
        </w:tc>
        <w:tc>
          <w:tcPr>
            <w:tcW w:type="dxa" w:w="1440"/>
            <w:shd w:fill="FFDCE0" w:val="clear"/>
          </w:tcPr>
          <w:p>
            <w:r>
              <w:rPr>
                <w:b/>
                <w:sz w:val="17"/>
              </w:rPr>
              <w:t>1,930</w:t>
            </w:r>
          </w:p>
        </w:tc>
        <w:tc>
          <w:tcPr>
            <w:tcW w:type="dxa" w:w="1440"/>
            <w:shd w:fill="FFDCE0" w:val="clear"/>
          </w:tcPr>
          <w:p>
            <w:r>
              <w:rPr>
                <w:sz w:val="17"/>
              </w:rPr>
              <w:t>2,145</w:t>
            </w:r>
          </w:p>
        </w:tc>
        <w:tc>
          <w:tcPr>
            <w:tcW w:type="dxa" w:w="1440"/>
            <w:shd w:fill="FFDCE0" w:val="clear"/>
          </w:tcPr>
          <w:p>
            <w:r>
              <w:rPr>
                <w:b/>
                <w:color w:val="C00000"/>
                <w:sz w:val="17"/>
              </w:rPr>
              <w:t>-26.8%</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1,611</w:t>
            </w:r>
          </w:p>
        </w:tc>
        <w:tc>
          <w:tcPr>
            <w:tcW w:type="dxa" w:w="1440"/>
            <w:shd w:fill="FFDCE0" w:val="clear"/>
          </w:tcPr>
          <w:p>
            <w:r>
              <w:rPr>
                <w:b/>
                <w:sz w:val="17"/>
              </w:rPr>
              <w:t>1,835</w:t>
            </w:r>
          </w:p>
        </w:tc>
        <w:tc>
          <w:tcPr>
            <w:tcW w:type="dxa" w:w="1440"/>
            <w:shd w:fill="FFDCE0" w:val="clear"/>
          </w:tcPr>
          <w:p>
            <w:r>
              <w:rPr>
                <w:sz w:val="17"/>
              </w:rPr>
              <w:t>2,059</w:t>
            </w:r>
          </w:p>
        </w:tc>
        <w:tc>
          <w:tcPr>
            <w:tcW w:type="dxa" w:w="1440"/>
            <w:shd w:fill="FFDCE0" w:val="clear"/>
          </w:tcPr>
          <w:p>
            <w:r>
              <w:rPr>
                <w:b/>
                <w:color w:val="C00000"/>
                <w:sz w:val="17"/>
              </w:rPr>
              <w:t>-30.4%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1,527</w:t>
            </w:r>
          </w:p>
        </w:tc>
        <w:tc>
          <w:tcPr>
            <w:tcW w:type="dxa" w:w="1440"/>
            <w:shd w:fill="FFDCE0" w:val="clear"/>
          </w:tcPr>
          <w:p>
            <w:r>
              <w:rPr>
                <w:b/>
                <w:sz w:val="17"/>
              </w:rPr>
              <w:t>1,758</w:t>
            </w:r>
          </w:p>
        </w:tc>
        <w:tc>
          <w:tcPr>
            <w:tcW w:type="dxa" w:w="1440"/>
            <w:shd w:fill="FFDCE0" w:val="clear"/>
          </w:tcPr>
          <w:p>
            <w:r>
              <w:rPr>
                <w:sz w:val="17"/>
              </w:rPr>
              <w:t>1,990</w:t>
            </w:r>
          </w:p>
        </w:tc>
        <w:tc>
          <w:tcPr>
            <w:tcW w:type="dxa" w:w="1440"/>
            <w:shd w:fill="FFDCE0" w:val="clear"/>
          </w:tcPr>
          <w:p>
            <w:r>
              <w:rPr>
                <w:b/>
                <w:color w:val="C00000"/>
                <w:sz w:val="17"/>
              </w:rPr>
              <w:t>-33.3%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1,457</w:t>
            </w:r>
          </w:p>
        </w:tc>
        <w:tc>
          <w:tcPr>
            <w:tcW w:type="dxa" w:w="1440"/>
            <w:shd w:fill="FFDCE0" w:val="clear"/>
          </w:tcPr>
          <w:p>
            <w:r>
              <w:rPr>
                <w:b/>
                <w:sz w:val="17"/>
              </w:rPr>
              <w:t>1,696</w:t>
            </w:r>
          </w:p>
        </w:tc>
        <w:tc>
          <w:tcPr>
            <w:tcW w:type="dxa" w:w="1440"/>
            <w:shd w:fill="FFDCE0" w:val="clear"/>
          </w:tcPr>
          <w:p>
            <w:r>
              <w:rPr>
                <w:sz w:val="17"/>
              </w:rPr>
              <w:t>1,935</w:t>
            </w:r>
          </w:p>
        </w:tc>
        <w:tc>
          <w:tcPr>
            <w:tcW w:type="dxa" w:w="1440"/>
            <w:shd w:fill="FFDCE0" w:val="clear"/>
          </w:tcPr>
          <w:p>
            <w:r>
              <w:rPr>
                <w:b/>
                <w:color w:val="C00000"/>
                <w:sz w:val="17"/>
              </w:rPr>
              <w:t>-35.6%</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1,398</w:t>
            </w:r>
          </w:p>
        </w:tc>
        <w:tc>
          <w:tcPr>
            <w:tcW w:type="dxa" w:w="1440"/>
            <w:shd w:fill="FFDCE0" w:val="clear"/>
          </w:tcPr>
          <w:p>
            <w:r>
              <w:rPr>
                <w:b/>
                <w:sz w:val="17"/>
              </w:rPr>
              <w:t>1,644</w:t>
            </w:r>
          </w:p>
        </w:tc>
        <w:tc>
          <w:tcPr>
            <w:tcW w:type="dxa" w:w="1440"/>
            <w:shd w:fill="FFDCE0" w:val="clear"/>
          </w:tcPr>
          <w:p>
            <w:r>
              <w:rPr>
                <w:sz w:val="17"/>
              </w:rPr>
              <w:t>1,890</w:t>
            </w:r>
          </w:p>
        </w:tc>
        <w:tc>
          <w:tcPr>
            <w:tcW w:type="dxa" w:w="1440"/>
            <w:shd w:fill="FFDCE0" w:val="clear"/>
          </w:tcPr>
          <w:p>
            <w:r>
              <w:rPr>
                <w:b/>
                <w:color w:val="C00000"/>
                <w:sz w:val="17"/>
              </w:rPr>
              <w:t>-37.6%</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1,347</w:t>
            </w:r>
          </w:p>
        </w:tc>
        <w:tc>
          <w:tcPr>
            <w:tcW w:type="dxa" w:w="1440"/>
            <w:shd w:fill="FFDCE0" w:val="clear"/>
          </w:tcPr>
          <w:p>
            <w:r>
              <w:rPr>
                <w:b/>
                <w:sz w:val="17"/>
              </w:rPr>
              <w:t>1,599</w:t>
            </w:r>
          </w:p>
        </w:tc>
        <w:tc>
          <w:tcPr>
            <w:tcW w:type="dxa" w:w="1440"/>
            <w:shd w:fill="FFDCE0" w:val="clear"/>
          </w:tcPr>
          <w:p>
            <w:r>
              <w:rPr>
                <w:sz w:val="17"/>
              </w:rPr>
              <w:t>1,851</w:t>
            </w:r>
          </w:p>
        </w:tc>
        <w:tc>
          <w:tcPr>
            <w:tcW w:type="dxa" w:w="1440"/>
            <w:shd w:fill="FFDCE0" w:val="clear"/>
          </w:tcPr>
          <w:p>
            <w:r>
              <w:rPr>
                <w:b/>
                <w:color w:val="C00000"/>
                <w:sz w:val="17"/>
              </w:rPr>
              <w:t>-39.3%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**Marché : BRVM | Date de l'analyse : 2026 | Cours de référence : 2 635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35,41 milliards FCFA, un niveau relativement modeste sur la BRVM, mais qui contraste fortement avec la taille réelle de l'entreprise (total bilan de 5,4 Mds FCFA). Le BPA est négatif à -7 FCFA, reflétant la perte nette de 96,56 millions FCFA enregistrée sur l'exercice 2025. En conséquence, le PER est négatif (-366,8x), ce qui signifie que les investisseurs paient pour des pertes, une situation typique des sociétés en phase de redressement. Le P/B de 99,27x est extrêmement élevé (la référence BRVM se situe généralement entre 1x et 4x), indiquant que le marché valorise l'actif net à une prime considérable, probablement en anticipant un retournement majeur de la rentabilité. Le ratio EV/EBITDA n'est pas calculable, l'EBITDA étant négatif, ce qui confirme l'absence de capacité opérationnelle bénéficiaire à ce stade.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positive de +15,32%, avec une dernière séance en léger repli de -0,75% à 2 635 FCFA. Le titre a évolué dans une fourchette très large, entre un plus bas de 2 285 FCFA et un plus haut de 3 895 FCFA, illustrant une volatilité extrême. La moyenne du cours sur la période (3 027 FCFA) est supérieure à la médiane (2 990 FCFA), suggérant une distribution légèrement asymétrique à gauche, avec des épisodes de forte hausse suivis de corrections. L'écart-type de 354 FCFA (CV = 11,7%) indique une dispersion modérée autour de la moyenne. Le kurtosis négatif (-0,677) et le skewness proche de zéro (0,188) confirment une distribution relativement normale, sans risque de pics extrêmes. La volatilité annualisée de 68,5% est très élevée, bien au-dessus du seuil de 30%, classant STAC comme un actif à haut risque, typique des valeurs spéculatives du marché régional.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(2 635 FCFA) est inférieur à la MM20 (2 821,75 FCFA) et nettement sous la MM50 (3 145,5 FCFA). Cette configuration baissière, avec un cours sous ses moyennes mobiles, confirme une tendance de fond négative. La décision de "Vente" est justifiée par cette dynamique défavorable.</w:t>
      </w:r>
    </w:p>
    <w:p>
      <w:pPr>
        <w:spacing w:after="120" w:line="276" w:lineRule="auto"/>
      </w:pPr>
      <w:r>
        <w:t>**Bandes de Bollinger** : Le prix se situe à 2 635 FCFA, proche de la borne inférieure (2 449,92 FCFA) et très loin de la borne supérieure (3 193,58 FCFA). Cette position indique une pression vendeuse persistante, mais le fait que le cours n'ait pas encore touché la borne inférieure suggère un potentiel de rebond technique. La décision "Neutre" reflète cette situation de test de support sans cassure franche.</w:t>
      </w:r>
    </w:p>
    <w:p>
      <w:pPr>
        <w:spacing w:after="120" w:line="276" w:lineRule="auto"/>
      </w:pPr>
      <w:r>
        <w:t>**MACD** : Le MACD (-141,44) est inférieur à son signal (-135,60), avec une divergence négative qui s'accentue. Ce croisement baissier indique un momentum négatif persistant. La décision "Vente" est cohérente avec cette dynamique de dégradation de la tendance de fond.</w:t>
      </w:r>
    </w:p>
    <w:p>
      <w:pPr>
        <w:spacing w:after="120" w:line="276" w:lineRule="auto"/>
      </w:pPr>
      <w:r>
        <w:t>**RSI** : À 35,48, le RSI se situe en zone neutre, proche du seuil de survente (30). Cela indique que le titre n'est pas encore survendu, mais que la pression vendeuse reste dominante. La décision "Neutre" est appropriée, car le RSI n'a pas encore atteint les niveaux extrêmes qui déclencheraient un signal d'achat technique.</w:t>
      </w:r>
    </w:p>
    <w:p>
      <w:pPr>
        <w:spacing w:after="120" w:line="276" w:lineRule="auto"/>
      </w:pPr>
      <w:r>
        <w:t>**Stochastique** : Le %K (2,27) est très inférieur au %D (6,49), et les deux sont en zone de survente extrême. Ce croisement baissier, combiné à des niveaux aussi bas, suggère un épuisement vendeur imminent. La décision "Achat" est justifiée par ce potentiel de rebond technique à très court terme.</w:t>
      </w:r>
    </w:p>
    <w:p>
      <w:pPr>
        <w:spacing w:after="120" w:line="276" w:lineRule="auto"/>
      </w:pPr>
      <w:r>
        <w:t>**Conclusion technique** : Les indicateurs sont globalement baissiers (MM, MACD), mais les oscillateurs (RSI, Stochastique) signalent une possible capitulation. Le titre est en tendance baissière de fond, mais un rebond technique est probable à très court terme. La prudence reste de mise, car la tendance dominante est clairement négative.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indiquent un chiffre d'affaires de 3,878 milliards FCFA, en forte croissance de +116% par rapport à l'exercice précédent, porté par la reprise des travaux de l'aéroport d'Abidjan. Cependant, le résultat net reste déficitaire à -96,56 millions FCFA, avec une marge nette de -2,49% et une marge opérationnelle de -19,9%. Le ROE est très négatif à -27,07%, et le ROA à -1,77%, reflétant une rentabilité des capitaux propres et des actifs toujours dégradée. La structure financière est fragile : les capitaux propres ne représentent que 6,55% du total bilan (356,75 M FCFA), avec un ratio d'endettement de 93,45%. Le BFR est négatif (-930,47 M FCFA), ce qui est favorable pour une entreprise, mais la trésorerie nette de 1,33 milliard FCFA constitue un coussin de sécurité. Les rapports trimestriels 2025 confirment cette trajectoire : le S1 2025 affiche un CA de 2,271 Mds FCFA (+290% vs S1 2024) mais une perte nette de -557 M FCFA, tandis que le cumul 9 mois 2025 montre un CA de 3,456 Mds FCFA (+176%) avec une perte réduite à -477 M FCFA. La direction prévoit un CA annuel de 4 milliards FCFA, ce qui semble atteignable. Historiquement, la société a connu des performances exceptionnelles en 2020 (CA de 15,9 Mds FCFA, résultat net de 2,32 Mds FCFA), mais la dégradation depuis 2022 est sévère. Le retour à la rentabilité opérationnelle reste l'enjeu critique, avec une perte d'exploitation de -456 M FCFA sur 9 mois 2025, en amélioration de 50% par rapport à 2024.</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exigeante, avec un P/B de 99x et un PER négatif, indiquant que le marché anticipe un retournement majeur de la rentabilité. Le comportement du cours sur 100 jours montre une volatilité très élevée (68,5%) avec une tendance baissière de fond, malgré un rebond de +15% sur la période. Les signaux techniques sont mitigés : les indicateurs de tendance (MM, MACD) sont baissiers, mais les oscillateurs (RSI, Stochastique) suggèrent un rebond technique imminent. Les fondamentaux montrent une amélioration significative du chiffre d'affaires en 2025 (+116%), porté par le projet aéroportuaire, mais la rentabilité reste négative, avec des pertes persistantes et une structure financière fragile. Les prédictions IA pour les 10 prochains jours indiquent une chute brutale du cours, passant de 2 485 FCFA à 1 930 FCFA, ce qui contredit toute perspective de rebond et suggère une correction sévère. **Recommandation finale : VENTE FORTE**. La convergence entre la valorisation excessive, la tendance technique baissière, les fondamentaux encore déficitaires et les prédictions IA très négatives justifie cette décision. **Niveau de confiance : Élevé**. **Risque global : Élevé**. **Horizon d'investissement optimal : court terme (&lt;3 mois)** pour les investisseurs positionnés, avec un stop-loss strict en dessous de 2 300 FCFA.</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421.85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3,456 titres</w:t>
            </w:r>
          </w:p>
        </w:tc>
        <w:tc>
          <w:tcPr>
            <w:tcW w:type="dxa" w:w="2268"/>
            <w:shd w:fill="FFF2CC" w:val="clear"/>
          </w:tcPr>
          <w:p>
            <w:r>
              <w:rPr>
                <w:b/>
                <w:color w:val="503200"/>
                <w:sz w:val="16"/>
              </w:rPr>
              <w:t xml:space="preserve">Cours actuel : </w:t>
            </w:r>
            <w:r>
              <w:rPr>
                <w:color w:val="000000"/>
                <w:sz w:val="17"/>
              </w:rPr>
              <w:t>23,495 FCFA</w:t>
            </w:r>
          </w:p>
          <w:p>
            <w:r>
              <w:rPr>
                <w:b/>
                <w:color w:val="503200"/>
                <w:sz w:val="16"/>
              </w:rPr>
              <w:t xml:space="preserve">Var. 100 jours : </w:t>
            </w:r>
            <w:r>
              <w:rPr>
                <w:b/>
                <w:color w:val="007800"/>
                <w:sz w:val="17"/>
              </w:rPr>
              <w:t>+7.31%</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6.17% (Moyenne) — μ=22,198 FCFA, σ=1,369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β=0.0681 (Défensif) — Cov=0.000002, Var(idx)=0.000031, ρ=0.018,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22,449</w:t>
            </w:r>
          </w:p>
        </w:tc>
        <w:tc>
          <w:tcPr>
            <w:tcW w:type="dxa" w:w="1440"/>
            <w:shd w:fill="FAFAFA" w:val="clear"/>
          </w:tcPr>
          <w:p>
            <w:r>
              <w:rPr>
                <w:b/>
                <w:sz w:val="17"/>
              </w:rPr>
              <w:t>23,544</w:t>
            </w:r>
          </w:p>
        </w:tc>
        <w:tc>
          <w:tcPr>
            <w:tcW w:type="dxa" w:w="1440"/>
            <w:shd w:fill="FAFAFA" w:val="clear"/>
          </w:tcPr>
          <w:p>
            <w:r>
              <w:rPr>
                <w:sz w:val="17"/>
              </w:rPr>
              <w:t>24,639</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22,159</w:t>
            </w:r>
          </w:p>
        </w:tc>
        <w:tc>
          <w:tcPr>
            <w:tcW w:type="dxa" w:w="1440"/>
            <w:shd w:fill="FAFAFA" w:val="clear"/>
          </w:tcPr>
          <w:p>
            <w:r>
              <w:rPr>
                <w:b/>
                <w:sz w:val="17"/>
              </w:rPr>
              <w:t>23,718</w:t>
            </w:r>
          </w:p>
        </w:tc>
        <w:tc>
          <w:tcPr>
            <w:tcW w:type="dxa" w:w="1440"/>
            <w:shd w:fill="FAFAFA" w:val="clear"/>
          </w:tcPr>
          <w:p>
            <w:r>
              <w:rPr>
                <w:sz w:val="17"/>
              </w:rPr>
              <w:t>25,278</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21,984</w:t>
            </w:r>
          </w:p>
        </w:tc>
        <w:tc>
          <w:tcPr>
            <w:tcW w:type="dxa" w:w="1440"/>
            <w:shd w:fill="FAFAFA" w:val="clear"/>
          </w:tcPr>
          <w:p>
            <w:r>
              <w:rPr>
                <w:b/>
                <w:sz w:val="17"/>
              </w:rPr>
              <w:t>23,910</w:t>
            </w:r>
          </w:p>
        </w:tc>
        <w:tc>
          <w:tcPr>
            <w:tcW w:type="dxa" w:w="1440"/>
            <w:shd w:fill="FAFAFA" w:val="clear"/>
          </w:tcPr>
          <w:p>
            <w:r>
              <w:rPr>
                <w:sz w:val="17"/>
              </w:rPr>
              <w:t>25,836</w:t>
            </w:r>
          </w:p>
        </w:tc>
        <w:tc>
          <w:tcPr>
            <w:tcW w:type="dxa" w:w="1440"/>
            <w:shd w:fill="FAFAFA" w:val="clear"/>
          </w:tcPr>
          <w:p>
            <w:r>
              <w:rPr>
                <w:b/>
                <w:color w:val="008000"/>
                <w:sz w:val="17"/>
              </w:rPr>
              <w:t>+1.8%</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21,868</w:t>
            </w:r>
          </w:p>
        </w:tc>
        <w:tc>
          <w:tcPr>
            <w:tcW w:type="dxa" w:w="1440"/>
            <w:shd w:fill="C6EFCE" w:val="clear"/>
          </w:tcPr>
          <w:p>
            <w:r>
              <w:rPr>
                <w:b/>
                <w:sz w:val="17"/>
              </w:rPr>
              <w:t>24,110</w:t>
            </w:r>
          </w:p>
        </w:tc>
        <w:tc>
          <w:tcPr>
            <w:tcW w:type="dxa" w:w="1440"/>
            <w:shd w:fill="C6EFCE" w:val="clear"/>
          </w:tcPr>
          <w:p>
            <w:r>
              <w:rPr>
                <w:sz w:val="17"/>
              </w:rPr>
              <w:t>26,353</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21,786</w:t>
            </w:r>
          </w:p>
        </w:tc>
        <w:tc>
          <w:tcPr>
            <w:tcW w:type="dxa" w:w="1440"/>
            <w:shd w:fill="C6EFCE" w:val="clear"/>
          </w:tcPr>
          <w:p>
            <w:r>
              <w:rPr>
                <w:b/>
                <w:sz w:val="17"/>
              </w:rPr>
              <w:t>24,314</w:t>
            </w:r>
          </w:p>
        </w:tc>
        <w:tc>
          <w:tcPr>
            <w:tcW w:type="dxa" w:w="1440"/>
            <w:shd w:fill="C6EFCE" w:val="clear"/>
          </w:tcPr>
          <w:p>
            <w:r>
              <w:rPr>
                <w:sz w:val="17"/>
              </w:rPr>
              <w:t>26,842</w:t>
            </w:r>
          </w:p>
        </w:tc>
        <w:tc>
          <w:tcPr>
            <w:tcW w:type="dxa" w:w="1440"/>
            <w:shd w:fill="C6EFCE" w:val="clear"/>
          </w:tcPr>
          <w:p>
            <w:r>
              <w:rPr>
                <w:b/>
                <w:color w:val="008000"/>
                <w:sz w:val="17"/>
              </w:rPr>
              <w:t>+3.5%</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21,738</w:t>
            </w:r>
          </w:p>
        </w:tc>
        <w:tc>
          <w:tcPr>
            <w:tcW w:type="dxa" w:w="1440"/>
            <w:shd w:fill="C6EFCE" w:val="clear"/>
          </w:tcPr>
          <w:p>
            <w:r>
              <w:rPr>
                <w:b/>
                <w:sz w:val="17"/>
              </w:rPr>
              <w:t>24,533</w:t>
            </w:r>
          </w:p>
        </w:tc>
        <w:tc>
          <w:tcPr>
            <w:tcW w:type="dxa" w:w="1440"/>
            <w:shd w:fill="C6EFCE" w:val="clear"/>
          </w:tcPr>
          <w:p>
            <w:r>
              <w:rPr>
                <w:sz w:val="17"/>
              </w:rPr>
              <w:t>27,327</w:t>
            </w:r>
          </w:p>
        </w:tc>
        <w:tc>
          <w:tcPr>
            <w:tcW w:type="dxa" w:w="1440"/>
            <w:shd w:fill="C6EFCE" w:val="clear"/>
          </w:tcPr>
          <w:p>
            <w:r>
              <w:rPr>
                <w:b/>
                <w:color w:val="008000"/>
                <w:sz w:val="17"/>
              </w:rPr>
              <w:t>+4.4%</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21,718</w:t>
            </w:r>
          </w:p>
        </w:tc>
        <w:tc>
          <w:tcPr>
            <w:tcW w:type="dxa" w:w="1440"/>
            <w:shd w:fill="C6EFCE" w:val="clear"/>
          </w:tcPr>
          <w:p>
            <w:r>
              <w:rPr>
                <w:b/>
                <w:sz w:val="17"/>
              </w:rPr>
              <w:t>24,764</w:t>
            </w:r>
          </w:p>
        </w:tc>
        <w:tc>
          <w:tcPr>
            <w:tcW w:type="dxa" w:w="1440"/>
            <w:shd w:fill="C6EFCE" w:val="clear"/>
          </w:tcPr>
          <w:p>
            <w:r>
              <w:rPr>
                <w:sz w:val="17"/>
              </w:rPr>
              <w:t>27,811</w:t>
            </w:r>
          </w:p>
        </w:tc>
        <w:tc>
          <w:tcPr>
            <w:tcW w:type="dxa" w:w="1440"/>
            <w:shd w:fill="C6EFCE" w:val="clear"/>
          </w:tcPr>
          <w:p>
            <w:r>
              <w:rPr>
                <w:b/>
                <w:color w:val="008000"/>
                <w:sz w:val="17"/>
              </w:rPr>
              <w:t>+5.4%</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21,713</w:t>
            </w:r>
          </w:p>
        </w:tc>
        <w:tc>
          <w:tcPr>
            <w:tcW w:type="dxa" w:w="1440"/>
            <w:shd w:fill="C6EFCE" w:val="clear"/>
          </w:tcPr>
          <w:p>
            <w:r>
              <w:rPr>
                <w:b/>
                <w:sz w:val="17"/>
              </w:rPr>
              <w:t>25,001</w:t>
            </w:r>
          </w:p>
        </w:tc>
        <w:tc>
          <w:tcPr>
            <w:tcW w:type="dxa" w:w="1440"/>
            <w:shd w:fill="C6EFCE" w:val="clear"/>
          </w:tcPr>
          <w:p>
            <w:r>
              <w:rPr>
                <w:sz w:val="17"/>
              </w:rPr>
              <w:t>28,289</w:t>
            </w:r>
          </w:p>
        </w:tc>
        <w:tc>
          <w:tcPr>
            <w:tcW w:type="dxa" w:w="1440"/>
            <w:shd w:fill="C6EFCE" w:val="clear"/>
          </w:tcPr>
          <w:p>
            <w:r>
              <w:rPr>
                <w:b/>
                <w:color w:val="008000"/>
                <w:sz w:val="17"/>
              </w:rPr>
              <w:t>+6.4%</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21,729</w:t>
            </w:r>
          </w:p>
        </w:tc>
        <w:tc>
          <w:tcPr>
            <w:tcW w:type="dxa" w:w="1440"/>
            <w:shd w:fill="C6EFCE" w:val="clear"/>
          </w:tcPr>
          <w:p>
            <w:r>
              <w:rPr>
                <w:b/>
                <w:sz w:val="17"/>
              </w:rPr>
              <w:t>25,251</w:t>
            </w:r>
          </w:p>
        </w:tc>
        <w:tc>
          <w:tcPr>
            <w:tcW w:type="dxa" w:w="1440"/>
            <w:shd w:fill="C6EFCE" w:val="clear"/>
          </w:tcPr>
          <w:p>
            <w:r>
              <w:rPr>
                <w:sz w:val="17"/>
              </w:rPr>
              <w:t>28,774</w:t>
            </w:r>
          </w:p>
        </w:tc>
        <w:tc>
          <w:tcPr>
            <w:tcW w:type="dxa" w:w="1440"/>
            <w:shd w:fill="C6EFCE" w:val="clear"/>
          </w:tcPr>
          <w:p>
            <w:r>
              <w:rPr>
                <w:b/>
                <w:color w:val="008000"/>
                <w:sz w:val="17"/>
              </w:rPr>
              <w:t>+7.5%</w:t>
            </w:r>
          </w:p>
        </w:tc>
      </w:tr>
      <w:tr>
        <w:tc>
          <w:tcPr>
            <w:tcW w:type="dxa" w:w="1440"/>
            <w:shd w:fill="C6EFCE" w:val="clear"/>
          </w:tcPr>
          <w:p>
            <w:r>
              <w:rPr>
                <w:sz w:val="17"/>
              </w:rPr>
              <w:t>J+10  ⭐</w:t>
            </w:r>
          </w:p>
        </w:tc>
        <w:tc>
          <w:tcPr>
            <w:tcW w:type="dxa" w:w="1440"/>
            <w:shd w:fill="C6EFCE" w:val="clear"/>
          </w:tcPr>
          <w:p>
            <w:r>
              <w:rPr>
                <w:sz w:val="17"/>
              </w:rPr>
              <w:t>2026-08-31</w:t>
            </w:r>
          </w:p>
        </w:tc>
        <w:tc>
          <w:tcPr>
            <w:tcW w:type="dxa" w:w="1440"/>
            <w:shd w:fill="C6EFCE" w:val="clear"/>
          </w:tcPr>
          <w:p>
            <w:r>
              <w:rPr>
                <w:sz w:val="17"/>
              </w:rPr>
              <w:t>21,761</w:t>
            </w:r>
          </w:p>
        </w:tc>
        <w:tc>
          <w:tcPr>
            <w:tcW w:type="dxa" w:w="1440"/>
            <w:shd w:fill="C6EFCE" w:val="clear"/>
          </w:tcPr>
          <w:p>
            <w:r>
              <w:rPr>
                <w:b/>
                <w:sz w:val="17"/>
              </w:rPr>
              <w:t>25,512</w:t>
            </w:r>
          </w:p>
        </w:tc>
        <w:tc>
          <w:tcPr>
            <w:tcW w:type="dxa" w:w="1440"/>
            <w:shd w:fill="C6EFCE" w:val="clear"/>
          </w:tcPr>
          <w:p>
            <w:r>
              <w:rPr>
                <w:sz w:val="17"/>
              </w:rPr>
              <w:t>29,264</w:t>
            </w:r>
          </w:p>
        </w:tc>
        <w:tc>
          <w:tcPr>
            <w:tcW w:type="dxa" w:w="1440"/>
            <w:shd w:fill="C6EFCE" w:val="clear"/>
          </w:tcPr>
          <w:p>
            <w:r>
              <w:rPr>
                <w:b/>
                <w:color w:val="008000"/>
                <w:sz w:val="17"/>
              </w:rPr>
              <w:t>+8.6%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421,85 milliards FCFA, ce qui en fait l'une des valeurs les plus significatives de la BRVM, reflétant son statut de leader régional dans le secteur du tabac. Avec un BPA de 2 014 FCFA, chaque action génère un bénéfice substantiel, justifiant un PER de 11,7x, légèrement au-dessus de la moyenne historique de la BRVM (8-12x), ce qui indique une valorisation raisonnable sans être excessive. Le P/B de 9,30x est en revanche particulièrement élevé, signalant que le marché valorise fortement l'actif net de la société, une prime qui traduit des attentes de croissance soutenue mais qui laisse peu de marge d'erreur. L'EV/EBITDA de 8,4x se situe dans une zone de confort (5-10x), suggérant que la valeur d'entreprise reste cohérente avec la capacité opérationnelle de générer des flux. Globalement, la valorisation est exigeante sur le plan comptable mais reste soutenable au regard des bénéfices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 enregistré une progression totale de +7,31%, avec une accélération notable lors de la dernière séance (+5,01%), portant le cours à 23 495 FCFA. Le titre a évolué dans une fourchette de 19 705 FCFA (plus bas) à 25 000 FCFA (plus haut), démontrant une amplitude de trading significative de plus de 26%. La moyenne du cours sur la période (22 198 FCFA) est supérieure à la médiane (21 900 FCFA), ce qui, combiné à un skewness positif de 0,468, indique une distribution légèrement asymétrique avec des épisodes de hausse plus marqués que les baisses. L'écart-type de 1 375 FCFA, soit un coefficient de variation de 6,2%, révèle une dispersion modérée autour de la moyenne, tandis que le kurtosis de -0,858 (mésokurtique) suggère l'absence de mouvements extrêmes ou de pics de volatilité anormaux. La volatilité annualisée de 32,9% classe le titre dans la catégorie élevée (&gt;30%), ce qui implique des fluctuations importantes pour les investisseurs, même si la tendance de fond reste haussière.</w:t>
      </w:r>
    </w:p>
    <w:p>
      <w:pPr>
        <w:spacing w:after="120" w:line="276" w:lineRule="auto" w:before="240"/>
      </w:pPr>
      <w:r>
        <w:rPr>
          <w:b/>
          <w:color w:val="003366"/>
          <w:sz w:val="24"/>
        </w:rPr>
        <w:t>**PARTIE 2 : ANALYSE TECHNIQUE DÉTAILLÉE**</w:t>
      </w:r>
    </w:p>
    <w:p>
      <w:pPr>
        <w:spacing w:after="120" w:line="276" w:lineRule="auto"/>
      </w:pPr>
      <w:r>
        <w:t>Les **Moyennes Mobiles** indiquent une dynamique positive : la MM20 (23 606 FCFA) et la MM50 (23 309 FCFA) sont toutes deux inférieures au cours actuel (23 495 FCFA), confirmant une configuration haussière à court et moyen terme. Le croisement des moyennes mobiles avec le prix soutient la décision d'ACHAT, car le titre évolue au-dessus de ses principaux niveaux de support dynamiques.</w:t>
      </w:r>
    </w:p>
    <w:p>
      <w:pPr>
        <w:spacing w:after="120" w:line="276" w:lineRule="auto"/>
      </w:pPr>
      <w:r>
        <w:t>Les **Bandes de Bollinger** montrent un cours positionné à mi-chemin entre la borne supérieure (25 023,57 FCFA) et la borne inférieure (22 188,93 FCFA), avec une largeur de bande indiquant une volatilité modérée. La décision NEUTRE est justifiée par l'absence de contact avec les bornes, ce qui ne signale ni surachat ni survente, mais une consolidation dans un canal de trading établi.</w:t>
      </w:r>
    </w:p>
    <w:p>
      <w:pPr>
        <w:spacing w:after="120" w:line="276" w:lineRule="auto"/>
      </w:pPr>
      <w:r>
        <w:t>Le **MACD** affiche une valeur de 53,39 contre un signal de 158,75, avec une divergence négative qui suggère un affaiblissement du momentum haussier à court terme. La décision VENTE reflète cette perte de vigueur, bien que le MACD reste en territoire positif, indiquant que la tendance de fond demeure constructive malgré un essoufflement temporaire.</w:t>
      </w:r>
    </w:p>
    <w:p>
      <w:pPr>
        <w:spacing w:after="120" w:line="276" w:lineRule="auto"/>
      </w:pPr>
      <w:r>
        <w:t>Le **RSI** à 52,24 se situe en zone neutre (30-70), indiquant un équilibre entre pression acheteuse et vendeuse. Cette valeur ne signale ni surachat ni survente, laissant place à une évolution directionnelle sans contrainte technique majeure, d'où la décision NEUTRE.</w:t>
      </w:r>
    </w:p>
    <w:p>
      <w:pPr>
        <w:spacing w:after="120" w:line="276" w:lineRule="auto"/>
      </w:pPr>
      <w:r>
        <w:t>Le **Stochastique** avec %K à 42,67 et %D à 22,62 montre un croisement haussier en cours, avec %K au-dessus de %D, suggérant un potentiel de rebond technique. La décision NEUTRE s'explique par le fait que les valeurs restent en zone médiane, n'atteignant pas encore les niveaux de surachat qui valideraient une dynamique plus forte.</w:t>
      </w:r>
    </w:p>
    <w:p>
      <w:pPr>
        <w:spacing w:after="120" w:line="276" w:lineRule="auto"/>
      </w:pPr>
      <w:r>
        <w:t>La **conclusion technique** globale est mitigée : les moyennes mobiles plaident pour une poursuite de la tendance haussière, mais le MACD en divergence négative et un RSI neutre tempèrent cet optimisme. Le titre semble en phase de consolidation après sa récente progression, avec un biais légèrement positif soutenu par le croisement stochastique et la position au-dessus des moyennes mobiles clés.</w:t>
      </w:r>
    </w:p>
    <w:p>
      <w:pPr>
        <w:spacing w:after="120" w:line="276" w:lineRule="auto" w:before="240"/>
      </w:pPr>
      <w:r>
        <w:rPr>
          <w:b/>
          <w:color w:val="003366"/>
          <w:sz w:val="24"/>
        </w:rPr>
        <w:t>**PARTIE 3 : ANALYSE FONDAMENTALE (SECTION CRITIQUE)**</w:t>
      </w:r>
    </w:p>
    <w:p>
      <w:pPr>
        <w:spacing w:after="120" w:line="276" w:lineRule="auto"/>
      </w:pPr>
      <w:r>
        <w:t>En 2025, les données structurées de STBC révèlent un chiffre d'affaires de 268,54 milliards FCFA, en croissance de 25,3% par rapport à 2024, mais un résultat net de 36,16 milliards FCFA, en baisse de 17,5% contre 44,2 milliards en 2024. La marge nette se dégrade à 13,46% (contre 20,4% en 2024), tandis que le ROE reste exceptionnel à 79,75% et le ROA à 48,09%, démontrant une utilisation très efficace des capitaux propres et des actifs. Le BFR de 5,64 milliards FCFA est positif mais modéré, avec un délai clients de 42,57 jours et une durée de stockage de 5,73 jours, indiquant une gestion correcte du cycle d'exploitation. La structure financière est saine avec une autonomie financière de 60,3% et une dépendance financière quasi nulle (0,003%), confirmant l'absence d'endettement bancaire. Selon le rapport annuel certifié 2025 (analysé par DeepSeek le 26 juin 2026), la baisse de rentabilité s'explique par la hausse des droits d'accise (de 49% à 70%), un contrôle fiscal et l'augmentation des charges d'exploitation de 68,9%. Sur la base du rapport T1 2026 (publié en 2026), le chiffre d'affaires progresse de 12% à 68,8 milliards FCFA avec des volumes en hausse de 10%, mais le résultat net recule légèrement de 1% à 9,3 milliards FCFA, suggérant une stabilisation de la rentabilité. Le dividende proposé de 1 940 FCFA par action pour 2025 (taux de distribution de 84,9%) maintient une politique généreuse, soutenue par une trésorerie confortable de 30,76 milliards FCFA. La recommandation fondamentale est CONSERVER, car la société affiche une solidité financière remarquable et des perspectives de croissance, mais doit faire face à une pression fiscale structurelle qui érode ses marges.</w:t>
      </w:r>
    </w:p>
    <w:p>
      <w:pPr>
        <w:spacing w:after="120" w:line="276" w:lineRule="auto" w:before="240"/>
      </w:pPr>
      <w:r>
        <w:rPr>
          <w:b/>
          <w:color w:val="003366"/>
          <w:sz w:val="24"/>
        </w:rPr>
        <w:t>**PARTIE 4 : CONCLUSION D'INVESTISSEMENT**</w:t>
      </w:r>
    </w:p>
    <w:p>
      <w:pPr>
        <w:spacing w:after="120" w:line="276" w:lineRule="auto"/>
      </w:pPr>
      <w:r>
        <w:t>La synthèse globale fait ressortir une valorisation modérée (PER 11,7x, EV/EBITDA 8,4x) mais un P/B élevé (9,3x) qui reflète des attentes ambitieuses. Le comportement du cours sur 100 jours est favorable avec une tendance haussière (+7,31%) et une volatilité élevée (32,9%) qui offre des opportunités mais implique un risque accru. Les signaux techniques sont partagés : les moyennes mobiles et le stochastique sont positifs, tandis que le MACD et le RSI restent neutres, indiquant une consolidation sans direction claire à court terme. Les fondamentaux sont solides avec un ROE exceptionnel de 79,75%, une croissance du CA de 25,3% en 2025, mais une dégradation de la marge nette sous l'effet de la fiscalité, avec des signes de stabilisation au T1 2026. Les prédictions IA pour les 10 prochains jours (23 544 à 24 314 FCFA) confirment une trajectoire ascendante modérée, en cohérence avec la tendance de fond. La convergence entre la valorisation raisonnable, la solidité financière et les perspectives de croissance, malgré des signaux techniques mitigés, conduit à une recommandation **CONSERVER** avec un niveau de confiance **Moyen** et un risque global **Moyen**. L'horizon d'investissement optimal est le **moyen terme (3-12 mois)**, permettant de capter le rendement du dividende (environ 8,3%) tout en attendant une clarification de la trajectoire des marges.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198.33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8,219 titres</w:t>
            </w:r>
          </w:p>
        </w:tc>
        <w:tc>
          <w:tcPr>
            <w:tcW w:type="dxa" w:w="2268"/>
            <w:shd w:fill="FFF2CC" w:val="clear"/>
          </w:tcPr>
          <w:p>
            <w:r>
              <w:rPr>
                <w:b/>
                <w:color w:val="503200"/>
                <w:sz w:val="16"/>
              </w:rPr>
              <w:t xml:space="preserve">Cours actuel : </w:t>
            </w:r>
            <w:r>
              <w:rPr>
                <w:color w:val="000000"/>
                <w:sz w:val="17"/>
              </w:rPr>
              <w:t>3,150 FCFA</w:t>
            </w:r>
          </w:p>
          <w:p>
            <w:r>
              <w:rPr>
                <w:b/>
                <w:color w:val="503200"/>
                <w:sz w:val="16"/>
              </w:rPr>
              <w:t xml:space="preserve">Var. 100 jours : </w:t>
            </w:r>
            <w:r>
              <w:rPr>
                <w:b/>
                <w:color w:val="007800"/>
                <w:sz w:val="17"/>
              </w:rPr>
              <w:t>+8.62%</w:t>
            </w:r>
          </w:p>
          <w:p>
            <w:r>
              <w:rPr>
                <w:b/>
                <w:color w:val="503200"/>
                <w:sz w:val="16"/>
              </w:rPr>
              <w:t xml:space="preserve">Plus haut 100j : </w:t>
            </w:r>
            <w:r>
              <w:rPr>
                <w:color w:val="000000"/>
                <w:sz w:val="17"/>
              </w:rPr>
              <w:t>3,150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3.49% (Faible) — μ=2,860 FCFA, σ=100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β=0.1493 (Défensif) — Cov=0.000005, Var(idx)=0.000031, ρ=0.032,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8,219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2026-08-17</w:t>
            </w:r>
          </w:p>
        </w:tc>
        <w:tc>
          <w:tcPr>
            <w:tcW w:type="dxa" w:w="1440"/>
            <w:shd w:fill="FAFAFA" w:val="clear"/>
          </w:tcPr>
          <w:p>
            <w:r>
              <w:rPr>
                <w:sz w:val="17"/>
              </w:rPr>
              <w:t>2,950</w:t>
            </w:r>
          </w:p>
        </w:tc>
        <w:tc>
          <w:tcPr>
            <w:tcW w:type="dxa" w:w="1440"/>
            <w:shd w:fill="FAFAFA" w:val="clear"/>
          </w:tcPr>
          <w:p>
            <w:r>
              <w:rPr>
                <w:b/>
                <w:sz w:val="17"/>
              </w:rPr>
              <w:t>3,129</w:t>
            </w:r>
          </w:p>
        </w:tc>
        <w:tc>
          <w:tcPr>
            <w:tcW w:type="dxa" w:w="1440"/>
            <w:shd w:fill="FAFAFA" w:val="clear"/>
          </w:tcPr>
          <w:p>
            <w:r>
              <w:rPr>
                <w:sz w:val="17"/>
              </w:rPr>
              <w:t>3,307</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2026-08-18</w:t>
            </w:r>
          </w:p>
        </w:tc>
        <w:tc>
          <w:tcPr>
            <w:tcW w:type="dxa" w:w="1440"/>
            <w:shd w:fill="FAFAFA" w:val="clear"/>
          </w:tcPr>
          <w:p>
            <w:r>
              <w:rPr>
                <w:sz w:val="17"/>
              </w:rPr>
              <w:t>2,869</w:t>
            </w:r>
          </w:p>
        </w:tc>
        <w:tc>
          <w:tcPr>
            <w:tcW w:type="dxa" w:w="1440"/>
            <w:shd w:fill="FAFAFA" w:val="clear"/>
          </w:tcPr>
          <w:p>
            <w:r>
              <w:rPr>
                <w:b/>
                <w:sz w:val="17"/>
              </w:rPr>
              <w:t>3,121</w:t>
            </w:r>
          </w:p>
        </w:tc>
        <w:tc>
          <w:tcPr>
            <w:tcW w:type="dxa" w:w="1440"/>
            <w:shd w:fill="FAFAFA" w:val="clear"/>
          </w:tcPr>
          <w:p>
            <w:r>
              <w:rPr>
                <w:sz w:val="17"/>
              </w:rPr>
              <w:t>3,373</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2026-08-19</w:t>
            </w:r>
          </w:p>
        </w:tc>
        <w:tc>
          <w:tcPr>
            <w:tcW w:type="dxa" w:w="1440"/>
            <w:shd w:fill="FAFAFA" w:val="clear"/>
          </w:tcPr>
          <w:p>
            <w:r>
              <w:rPr>
                <w:sz w:val="17"/>
              </w:rPr>
              <w:t>2,799</w:t>
            </w:r>
          </w:p>
        </w:tc>
        <w:tc>
          <w:tcPr>
            <w:tcW w:type="dxa" w:w="1440"/>
            <w:shd w:fill="FAFAFA" w:val="clear"/>
          </w:tcPr>
          <w:p>
            <w:r>
              <w:rPr>
                <w:b/>
                <w:sz w:val="17"/>
              </w:rPr>
              <w:t>3,106</w:t>
            </w:r>
          </w:p>
        </w:tc>
        <w:tc>
          <w:tcPr>
            <w:tcW w:type="dxa" w:w="1440"/>
            <w:shd w:fill="FAFAFA" w:val="clear"/>
          </w:tcPr>
          <w:p>
            <w:r>
              <w:rPr>
                <w:sz w:val="17"/>
              </w:rPr>
              <w:t>3,413</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2026-08-20</w:t>
            </w:r>
          </w:p>
        </w:tc>
        <w:tc>
          <w:tcPr>
            <w:tcW w:type="dxa" w:w="1440"/>
            <w:shd w:fill="FAFAFA" w:val="clear"/>
          </w:tcPr>
          <w:p>
            <w:r>
              <w:rPr>
                <w:sz w:val="17"/>
              </w:rPr>
              <w:t>2,741</w:t>
            </w:r>
          </w:p>
        </w:tc>
        <w:tc>
          <w:tcPr>
            <w:tcW w:type="dxa" w:w="1440"/>
            <w:shd w:fill="FAFAFA" w:val="clear"/>
          </w:tcPr>
          <w:p>
            <w:r>
              <w:rPr>
                <w:b/>
                <w:sz w:val="17"/>
              </w:rPr>
              <w:t>3,095</w:t>
            </w:r>
          </w:p>
        </w:tc>
        <w:tc>
          <w:tcPr>
            <w:tcW w:type="dxa" w:w="1440"/>
            <w:shd w:fill="FAFAFA" w:val="clear"/>
          </w:tcPr>
          <w:p>
            <w:r>
              <w:rPr>
                <w:sz w:val="17"/>
              </w:rPr>
              <w:t>3,448</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2,691</w:t>
            </w:r>
          </w:p>
        </w:tc>
        <w:tc>
          <w:tcPr>
            <w:tcW w:type="dxa" w:w="1440"/>
            <w:shd w:fill="FFDCE0" w:val="clear"/>
          </w:tcPr>
          <w:p>
            <w:r>
              <w:rPr>
                <w:b/>
                <w:sz w:val="17"/>
              </w:rPr>
              <w:t>3,085</w:t>
            </w:r>
          </w:p>
        </w:tc>
        <w:tc>
          <w:tcPr>
            <w:tcW w:type="dxa" w:w="1440"/>
            <w:shd w:fill="FFDCE0" w:val="clear"/>
          </w:tcPr>
          <w:p>
            <w:r>
              <w:rPr>
                <w:sz w:val="17"/>
              </w:rPr>
              <w:t>3,479</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2,647</w:t>
            </w:r>
          </w:p>
        </w:tc>
        <w:tc>
          <w:tcPr>
            <w:tcW w:type="dxa" w:w="1440"/>
            <w:shd w:fill="FFDCE0" w:val="clear"/>
          </w:tcPr>
          <w:p>
            <w:r>
              <w:rPr>
                <w:b/>
                <w:sz w:val="17"/>
              </w:rPr>
              <w:t>3,077</w:t>
            </w:r>
          </w:p>
        </w:tc>
        <w:tc>
          <w:tcPr>
            <w:tcW w:type="dxa" w:w="1440"/>
            <w:shd w:fill="FFDCE0" w:val="clear"/>
          </w:tcPr>
          <w:p>
            <w:r>
              <w:rPr>
                <w:sz w:val="17"/>
              </w:rPr>
              <w:t>3,507</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2,605</w:t>
            </w:r>
          </w:p>
        </w:tc>
        <w:tc>
          <w:tcPr>
            <w:tcW w:type="dxa" w:w="1440"/>
            <w:shd w:fill="FFDCE0" w:val="clear"/>
          </w:tcPr>
          <w:p>
            <w:r>
              <w:rPr>
                <w:b/>
                <w:sz w:val="17"/>
              </w:rPr>
              <w:t>3,069</w:t>
            </w:r>
          </w:p>
        </w:tc>
        <w:tc>
          <w:tcPr>
            <w:tcW w:type="dxa" w:w="1440"/>
            <w:shd w:fill="FFDCE0" w:val="clear"/>
          </w:tcPr>
          <w:p>
            <w:r>
              <w:rPr>
                <w:sz w:val="17"/>
              </w:rPr>
              <w:t>3,532</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2,567</w:t>
            </w:r>
          </w:p>
        </w:tc>
        <w:tc>
          <w:tcPr>
            <w:tcW w:type="dxa" w:w="1440"/>
            <w:shd w:fill="FFDCE0" w:val="clear"/>
          </w:tcPr>
          <w:p>
            <w:r>
              <w:rPr>
                <w:b/>
                <w:sz w:val="17"/>
              </w:rPr>
              <w:t>3,061</w:t>
            </w:r>
          </w:p>
        </w:tc>
        <w:tc>
          <w:tcPr>
            <w:tcW w:type="dxa" w:w="1440"/>
            <w:shd w:fill="FFDCE0" w:val="clear"/>
          </w:tcPr>
          <w:p>
            <w:r>
              <w:rPr>
                <w:sz w:val="17"/>
              </w:rPr>
              <w:t>3,555</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2,531</w:t>
            </w:r>
          </w:p>
        </w:tc>
        <w:tc>
          <w:tcPr>
            <w:tcW w:type="dxa" w:w="1440"/>
            <w:shd w:fill="FFDCE0" w:val="clear"/>
          </w:tcPr>
          <w:p>
            <w:r>
              <w:rPr>
                <w:b/>
                <w:sz w:val="17"/>
              </w:rPr>
              <w:t>3,053</w:t>
            </w:r>
          </w:p>
        </w:tc>
        <w:tc>
          <w:tcPr>
            <w:tcW w:type="dxa" w:w="1440"/>
            <w:shd w:fill="FFDCE0" w:val="clear"/>
          </w:tcPr>
          <w:p>
            <w:r>
              <w:rPr>
                <w:sz w:val="17"/>
              </w:rPr>
              <w:t>3,576</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2,496</w:t>
            </w:r>
          </w:p>
        </w:tc>
        <w:tc>
          <w:tcPr>
            <w:tcW w:type="dxa" w:w="1440"/>
            <w:shd w:fill="FFDCE0" w:val="clear"/>
          </w:tcPr>
          <w:p>
            <w:r>
              <w:rPr>
                <w:b/>
                <w:sz w:val="17"/>
              </w:rPr>
              <w:t>3,046</w:t>
            </w:r>
          </w:p>
        </w:tc>
        <w:tc>
          <w:tcPr>
            <w:tcW w:type="dxa" w:w="1440"/>
            <w:shd w:fill="FFDCE0" w:val="clear"/>
          </w:tcPr>
          <w:p>
            <w:r>
              <w:rPr>
                <w:sz w:val="17"/>
              </w:rPr>
              <w:t>3,595</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198,33 milliards FCFA, ce qui positionne le titre parmi les valeurs moyennes à grandes capitalisations de la BRVM, lui conférant une liquidité et une visibilité notables. Avec un BPA de 144 FCFA, le titre se négocie à un PER de 21,8x, nettement supérieur à la moyenne historique du marché (8-12x), indiquant que les investisseurs paient une prime substantielle pour la croissance et la solidité de la marque. Le P/B de 5,48x confirme cette prime, le marché valorisant le titre bien au-delà de sa valeur comptable, ce qui reflète une forte confiance dans la capacité de l'entreprise à générer de la valeur. Enfin, un EV/EBITDA de 11,3x, bien que dans une fourchette élevée, reste raisonnable pour un acteur dominant dans un secteur stratégique, suggérant une valorisation exigeante mais non déconnectée des fondamentaux opérationnels.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affiché une progression de +8,62%, avec une dernière séance particulièrement dynamique (+5,00%), clôturant à 3 150 FCFA, son plus haut niveau sur la période. Le cours a évolué dans une fourchette de 2 650 à 3 150 FCFA, démontrant une tendance haussière soutenue. La moyenne (2 860 FCFA) et la médiane (2 870 FCFA) étant très proches, la distribution des prix est quasi symétrique, confirmée par un skewness de -0,056. L'écart-type de 100 FCFA (CV=3,5%) indique une dispersion relativement faible autour de la moyenne, et le kurtosis de -0,310 (mésokurtique) suggère l'absence de mouvements extrêmes ou de pics de volatilité inattendus. Cependant, la volatilité annualisée de 41,2% classe le titre comme très volatil, ce qui contraste avec la stabilité relative observée à court terme et implique un risque de variations importantes à long terme.</w:t>
      </w:r>
    </w:p>
    <w:p>
      <w:pPr>
        <w:spacing w:after="120" w:line="276" w:lineRule="auto"/>
      </w:pPr>
      <w:r>
        <w:t>---</w:t>
      </w:r>
    </w:p>
    <w:p>
      <w:pPr>
        <w:spacing w:after="120" w:line="276" w:lineRule="auto"/>
      </w:pPr>
      <w:r>
        <w:t>### PARTIE 2 : ANALYSE TECHNIQUE DÉTAILLÉE</w:t>
      </w:r>
    </w:p>
    <w:p>
      <w:pPr>
        <w:spacing w:after="120" w:line="276" w:lineRule="auto"/>
      </w:pPr>
      <w:r>
        <w:t>**Moyennes Mobiles (MM20=2955, MM50=2907) :** Le cours actuel (3 150 FCFA) est nettement au-dessus de ses moyennes mobiles à 20 et 50 jours, qui sont orientées à la hausse. Cette configuration est un signal haussier classique, confirmant la tendance positive de moyen terme. La décision d'**Achat** est justifiée par la dynamique positive et la position du prix au-dessus de ces supports dynamiques.</w:t>
      </w:r>
    </w:p>
    <w:p>
      <w:pPr>
        <w:spacing w:after="120" w:line="276" w:lineRule="auto"/>
      </w:pPr>
      <w:r>
        <w:t>**Bandes de Bollinger (Borne sup=3118,7 ; Borne inf=2791,4) :** Le cours a franchi la borne supérieure des bandes, ce qui indique une phase de surachat temporaire et une volatilité accrue. Historiquement, un tel franchissement précède souvent un repli ou une consolidation. La décision de **Vente** est donc un signal de prudence à court terme, suggérant que le prix pourrait revenir vers la moyenne mobile ou la borne inférieure.</w:t>
      </w:r>
    </w:p>
    <w:p>
      <w:pPr>
        <w:spacing w:after="120" w:line="276" w:lineRule="auto"/>
      </w:pPr>
      <w:r>
        <w:t>**MACD (Valeur=33,23 ; Signal=19,018) :** Le MACD est positif et nettement au-dessus de sa ligne de signal, indiquant un momentum haussier fort et une accélération de la tendance. La décision d'**Achat** est cohérente avec cette dynamique positive, qui soutient la poursuite de la hausse des prix à moyen terme.</w:t>
      </w:r>
    </w:p>
    <w:p>
      <w:pPr>
        <w:spacing w:after="120" w:line="276" w:lineRule="auto"/>
      </w:pPr>
      <w:r>
        <w:t>**RSI (Valeur=56,275) :** Le RSI se situe à 56,3, dans la zone neutre (30-70). Il n'y a pas de pression d'achat ou de vente excessive. La décision **Neutre** est appropriée, indiquant que le titre n'est ni suracheté ni survendu, laissant place à une poursuite de la tendance sans risque immédiat de retournement.</w:t>
      </w:r>
    </w:p>
    <w:p>
      <w:pPr>
        <w:spacing w:after="120" w:line="276" w:lineRule="auto"/>
      </w:pPr>
      <w:r>
        <w:t>**Stochastique (%K=100 ; %D=99,3) :** Les deux lignes sont à des niveaux extrêmes de surachat (proches de 100). Cela signale que le mouvement haussier est excessif à très court terme et qu'un croisement baissier est probable, précédant une correction technique. La décision de **Vente** est justifiée par ce niveau de surachat extrême.</w:t>
      </w:r>
    </w:p>
    <w:p>
      <w:pPr>
        <w:spacing w:after="120" w:line="276" w:lineRule="auto"/>
      </w:pPr>
      <w:r>
        <w:t>**Conclusion technique :** Les indicateurs de tendance (MM, MACD) sont positifs et confirment une dynamique haussière solide. Cependant, les oscillateurs de momentum (RSI, Stochastique) et les bandes de Bollinger signalent une condition de surachat à court terme. Cette divergence suggère qu'un repli technique est probable avant la poursuite de la tendance haussière de fond, ce qui recommande une stratégie d'achat sur les replis plutôt qu'à la poursuite du mouvement.</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annuelles, TTLC a réalisé un chiffre d'affaires de 588,709 milliards FCFA, en baisse de 5,2% par rapport à 2024 (621 milliards FCFA), mais a vu son résultat d'exploitation bondir de +18% à 12,329 milliards FCFA, grâce à une meilleure maîtrise des coûts et une valeur ajoutée en hausse de 7%. Le résultat net s'établit à 9,087 milliards FCFA (-3%), impacté par une chute du résultat financier. La rentabilité des capitaux propres (ROE) reste excellente à 25,1%, et le ROA est de 4,8%. La structure financière montre un BFR négatif de -9,662 milliards FCFA, un signe de bonne gestion de la trésorerie, mais une trésorerie nette négative de -21,9 milliards FCFA et un ratio d'endettement élevé (90,2%) constituent des points de vigilance. Les rapports trimestriels de 2025 (S1 et 9 mois) confirment une tendance difficile, avec un résultat net en baisse de 30% à fin septembre. Cependant, le rapport du T1 2026 (daté de 2026) montre un net rebond : le chiffre d'affaires progresse de 4,3% à 154,392 milliards FCFA et le résultat net de 5,5% à 2,329 milliards FCFA. Sur cette base, on estime que l'exercice 2026 pourrait renouer avec une croissance modérée, portée par l'augmentation des volumes vendus et l'expansion du réseau (182 stations). La politique de dividende reste très généreuse (10 milliards FCFA proposés pour 2025, soit un payout &gt;100%), ce qui, combiné à une amélioration opérationnelle, soutient une recommandation fondamentale de **CONSERVER**, malgré les risques de liquidité et de volatilité des prix pétroliers.</w:t>
      </w:r>
    </w:p>
    <w:p>
      <w:pPr>
        <w:spacing w:after="120" w:line="276" w:lineRule="auto"/>
      </w:pPr>
      <w:r>
        <w:t>---</w:t>
      </w:r>
    </w:p>
    <w:p>
      <w:pPr>
        <w:spacing w:after="120" w:line="276" w:lineRule="auto"/>
      </w:pPr>
      <w:r>
        <w:t>### PARTIE 4 : CONCLUSION D'INVESTISSEMENT</w:t>
      </w:r>
    </w:p>
    <w:p>
      <w:pPr>
        <w:spacing w:after="120" w:line="276" w:lineRule="auto"/>
      </w:pPr>
      <w:r>
        <w:t>La valorisation de TTLC (PER 21,8x, P/B 5,48x) est exigeante, intégrant des attentes de croissance qui ne se sont pas encore pleinement matérialisées en 2025, mais qui pourraient se confirmer en 2026. Le comportement du cours est haussier sur 100 jours (+8,62%) avec une volatilité annualisée élevée (41,2%), mais une distribution des prix stable. Les signaux techniques sont mitigés : la tendance de fond (MM, MACD) est positive, mais les indicateurs de surachat (Bollinger, Stochastique) suggèrent un repli à court terme. Les fondamentaux sont solides (ROE de 25%, amélioration opérationnelle) mais la trésorerie nette négative et l'endettement élevé imposent une surveillance. Les prédictions IA (3 129 à 3 085 FCFA sur 10 jours) confirment cette analyse en anticipant une légère consolidation après les récents sommets. En synthèse, la convergence entre la solidité fondamentale, la tendance haussière de fond et les signaux de surachat à court terme conduit à une recommandation de **CONSERVER** avec un niveau de confiance **Moyen**. Le risque global est **Moyen**, et l'horizon d'investissement optimal serait le **moyen terme (3-12 mois)**, en attendant une correction technique pour renforcer les positions.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116.79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2,772 titres</w:t>
            </w:r>
          </w:p>
        </w:tc>
        <w:tc>
          <w:tcPr>
            <w:tcW w:type="dxa" w:w="2268"/>
            <w:shd w:fill="FFF2CC" w:val="clear"/>
          </w:tcPr>
          <w:p>
            <w:r>
              <w:rPr>
                <w:b/>
                <w:color w:val="503200"/>
                <w:sz w:val="16"/>
              </w:rPr>
              <w:t xml:space="preserve">Cours actuel : </w:t>
            </w:r>
            <w:r>
              <w:rPr>
                <w:color w:val="000000"/>
                <w:sz w:val="17"/>
              </w:rPr>
              <w:t>3,585 FCFA</w:t>
            </w:r>
          </w:p>
          <w:p>
            <w:r>
              <w:rPr>
                <w:b/>
                <w:color w:val="503200"/>
                <w:sz w:val="16"/>
              </w:rPr>
              <w:t xml:space="preserve">Var. 100 jours : </w:t>
            </w:r>
            <w:r>
              <w:rPr>
                <w:b/>
                <w:color w:val="007800"/>
                <w:sz w:val="17"/>
              </w:rPr>
              <w:t>+9.80%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10.63% (Moyenne) — μ=3,453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β=1.0683 (Neutre (suit le marché)) — Cov=0.000033, Var(idx)=0.000031, ρ=0.195,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2,772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48/100  (Moyen)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2026-08-17</w:t>
            </w:r>
          </w:p>
        </w:tc>
        <w:tc>
          <w:tcPr>
            <w:tcW w:type="dxa" w:w="1440"/>
            <w:shd w:fill="FFDCE0" w:val="clear"/>
          </w:tcPr>
          <w:p>
            <w:r>
              <w:rPr>
                <w:sz w:val="17"/>
              </w:rPr>
              <w:t>3,290</w:t>
            </w:r>
          </w:p>
        </w:tc>
        <w:tc>
          <w:tcPr>
            <w:tcW w:type="dxa" w:w="1440"/>
            <w:shd w:fill="FFDCE0" w:val="clear"/>
          </w:tcPr>
          <w:p>
            <w:r>
              <w:rPr>
                <w:b/>
                <w:sz w:val="17"/>
              </w:rPr>
              <w:t>3,483</w:t>
            </w:r>
          </w:p>
        </w:tc>
        <w:tc>
          <w:tcPr>
            <w:tcW w:type="dxa" w:w="1440"/>
            <w:shd w:fill="FFDCE0" w:val="clear"/>
          </w:tcPr>
          <w:p>
            <w:r>
              <w:rPr>
                <w:sz w:val="17"/>
              </w:rPr>
              <w:t>3,676</w:t>
            </w:r>
          </w:p>
        </w:tc>
        <w:tc>
          <w:tcPr>
            <w:tcW w:type="dxa" w:w="1440"/>
            <w:shd w:fill="FFDCE0" w:val="clear"/>
          </w:tcPr>
          <w:p>
            <w:r>
              <w:rPr>
                <w:b/>
                <w:color w:val="C00000"/>
                <w:sz w:val="17"/>
              </w:rPr>
              <w:t>-2.9%</w:t>
            </w:r>
          </w:p>
        </w:tc>
      </w:tr>
      <w:tr>
        <w:tc>
          <w:tcPr>
            <w:tcW w:type="dxa" w:w="1440"/>
            <w:shd w:fill="FFDCE0" w:val="clear"/>
          </w:tcPr>
          <w:p>
            <w:r>
              <w:rPr>
                <w:sz w:val="17"/>
              </w:rPr>
              <w:t>J+2  ⭐</w:t>
            </w:r>
          </w:p>
        </w:tc>
        <w:tc>
          <w:tcPr>
            <w:tcW w:type="dxa" w:w="1440"/>
            <w:shd w:fill="FFDCE0" w:val="clear"/>
          </w:tcPr>
          <w:p>
            <w:r>
              <w:rPr>
                <w:sz w:val="17"/>
              </w:rPr>
              <w:t>2026-08-18</w:t>
            </w:r>
          </w:p>
        </w:tc>
        <w:tc>
          <w:tcPr>
            <w:tcW w:type="dxa" w:w="1440"/>
            <w:shd w:fill="FFDCE0" w:val="clear"/>
          </w:tcPr>
          <w:p>
            <w:r>
              <w:rPr>
                <w:sz w:val="17"/>
              </w:rPr>
              <w:t>3,164</w:t>
            </w:r>
          </w:p>
        </w:tc>
        <w:tc>
          <w:tcPr>
            <w:tcW w:type="dxa" w:w="1440"/>
            <w:shd w:fill="FFDCE0" w:val="clear"/>
          </w:tcPr>
          <w:p>
            <w:r>
              <w:rPr>
                <w:b/>
                <w:sz w:val="17"/>
              </w:rPr>
              <w:t>3,433</w:t>
            </w:r>
          </w:p>
        </w:tc>
        <w:tc>
          <w:tcPr>
            <w:tcW w:type="dxa" w:w="1440"/>
            <w:shd w:fill="FFDCE0" w:val="clear"/>
          </w:tcPr>
          <w:p>
            <w:r>
              <w:rPr>
                <w:sz w:val="17"/>
              </w:rPr>
              <w:t>3,702</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2026-08-19</w:t>
            </w:r>
          </w:p>
        </w:tc>
        <w:tc>
          <w:tcPr>
            <w:tcW w:type="dxa" w:w="1440"/>
            <w:shd w:fill="FFDCE0" w:val="clear"/>
          </w:tcPr>
          <w:p>
            <w:r>
              <w:rPr>
                <w:sz w:val="17"/>
              </w:rPr>
              <w:t>3,064</w:t>
            </w:r>
          </w:p>
        </w:tc>
        <w:tc>
          <w:tcPr>
            <w:tcW w:type="dxa" w:w="1440"/>
            <w:shd w:fill="FFDCE0" w:val="clear"/>
          </w:tcPr>
          <w:p>
            <w:r>
              <w:rPr>
                <w:b/>
                <w:sz w:val="17"/>
              </w:rPr>
              <w:t>3,389</w:t>
            </w:r>
          </w:p>
        </w:tc>
        <w:tc>
          <w:tcPr>
            <w:tcW w:type="dxa" w:w="1440"/>
            <w:shd w:fill="FFDCE0" w:val="clear"/>
          </w:tcPr>
          <w:p>
            <w:r>
              <w:rPr>
                <w:sz w:val="17"/>
              </w:rPr>
              <w:t>3,714</w:t>
            </w:r>
          </w:p>
        </w:tc>
        <w:tc>
          <w:tcPr>
            <w:tcW w:type="dxa" w:w="1440"/>
            <w:shd w:fill="FFDCE0" w:val="clear"/>
          </w:tcPr>
          <w:p>
            <w:r>
              <w:rPr>
                <w:b/>
                <w:color w:val="C00000"/>
                <w:sz w:val="17"/>
              </w:rPr>
              <w:t>-5.5%</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2,980</w:t>
            </w:r>
          </w:p>
        </w:tc>
        <w:tc>
          <w:tcPr>
            <w:tcW w:type="dxa" w:w="1440"/>
            <w:shd w:fill="FFDCE0" w:val="clear"/>
          </w:tcPr>
          <w:p>
            <w:r>
              <w:rPr>
                <w:b/>
                <w:sz w:val="17"/>
              </w:rPr>
              <w:t>3,351</w:t>
            </w:r>
          </w:p>
        </w:tc>
        <w:tc>
          <w:tcPr>
            <w:tcW w:type="dxa" w:w="1440"/>
            <w:shd w:fill="FFDCE0" w:val="clear"/>
          </w:tcPr>
          <w:p>
            <w:r>
              <w:rPr>
                <w:sz w:val="17"/>
              </w:rPr>
              <w:t>3,722</w:t>
            </w:r>
          </w:p>
        </w:tc>
        <w:tc>
          <w:tcPr>
            <w:tcW w:type="dxa" w:w="1440"/>
            <w:shd w:fill="FFDCE0" w:val="clear"/>
          </w:tcPr>
          <w:p>
            <w:r>
              <w:rPr>
                <w:b/>
                <w:color w:val="C00000"/>
                <w:sz w:val="17"/>
              </w:rPr>
              <w:t>-6.5%</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2,905</w:t>
            </w:r>
          </w:p>
        </w:tc>
        <w:tc>
          <w:tcPr>
            <w:tcW w:type="dxa" w:w="1440"/>
            <w:shd w:fill="FFDCE0" w:val="clear"/>
          </w:tcPr>
          <w:p>
            <w:r>
              <w:rPr>
                <w:b/>
                <w:sz w:val="17"/>
              </w:rPr>
              <w:t>3,316</w:t>
            </w:r>
          </w:p>
        </w:tc>
        <w:tc>
          <w:tcPr>
            <w:tcW w:type="dxa" w:w="1440"/>
            <w:shd w:fill="FFDCE0" w:val="clear"/>
          </w:tcPr>
          <w:p>
            <w:r>
              <w:rPr>
                <w:sz w:val="17"/>
              </w:rPr>
              <w:t>3,727</w:t>
            </w:r>
          </w:p>
        </w:tc>
        <w:tc>
          <w:tcPr>
            <w:tcW w:type="dxa" w:w="1440"/>
            <w:shd w:fill="FFDCE0" w:val="clear"/>
          </w:tcPr>
          <w:p>
            <w:r>
              <w:rPr>
                <w:b/>
                <w:color w:val="C00000"/>
                <w:sz w:val="17"/>
              </w:rPr>
              <w:t>-7.5%</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2,838</w:t>
            </w:r>
          </w:p>
        </w:tc>
        <w:tc>
          <w:tcPr>
            <w:tcW w:type="dxa" w:w="1440"/>
            <w:shd w:fill="FFDCE0" w:val="clear"/>
          </w:tcPr>
          <w:p>
            <w:r>
              <w:rPr>
                <w:b/>
                <w:sz w:val="17"/>
              </w:rPr>
              <w:t>3,284</w:t>
            </w:r>
          </w:p>
        </w:tc>
        <w:tc>
          <w:tcPr>
            <w:tcW w:type="dxa" w:w="1440"/>
            <w:shd w:fill="FFDCE0" w:val="clear"/>
          </w:tcPr>
          <w:p>
            <w:r>
              <w:rPr>
                <w:sz w:val="17"/>
              </w:rPr>
              <w:t>3,729</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2,776</w:t>
            </w:r>
          </w:p>
        </w:tc>
        <w:tc>
          <w:tcPr>
            <w:tcW w:type="dxa" w:w="1440"/>
            <w:shd w:fill="FFDCE0" w:val="clear"/>
          </w:tcPr>
          <w:p>
            <w:r>
              <w:rPr>
                <w:b/>
                <w:sz w:val="17"/>
              </w:rPr>
              <w:t>3,253</w:t>
            </w:r>
          </w:p>
        </w:tc>
        <w:tc>
          <w:tcPr>
            <w:tcW w:type="dxa" w:w="1440"/>
            <w:shd w:fill="FFDCE0" w:val="clear"/>
          </w:tcPr>
          <w:p>
            <w:r>
              <w:rPr>
                <w:sz w:val="17"/>
              </w:rPr>
              <w:t>3,730</w:t>
            </w:r>
          </w:p>
        </w:tc>
        <w:tc>
          <w:tcPr>
            <w:tcW w:type="dxa" w:w="1440"/>
            <w:shd w:fill="FFDCE0" w:val="clear"/>
          </w:tcPr>
          <w:p>
            <w:r>
              <w:rPr>
                <w:b/>
                <w:color w:val="C00000"/>
                <w:sz w:val="17"/>
              </w:rPr>
              <w:t>-9.3%</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2,719</w:t>
            </w:r>
          </w:p>
        </w:tc>
        <w:tc>
          <w:tcPr>
            <w:tcW w:type="dxa" w:w="1440"/>
            <w:shd w:fill="FFDCE0" w:val="clear"/>
          </w:tcPr>
          <w:p>
            <w:r>
              <w:rPr>
                <w:b/>
                <w:sz w:val="17"/>
              </w:rPr>
              <w:t>3,224</w:t>
            </w:r>
          </w:p>
        </w:tc>
        <w:tc>
          <w:tcPr>
            <w:tcW w:type="dxa" w:w="1440"/>
            <w:shd w:fill="FFDCE0" w:val="clear"/>
          </w:tcPr>
          <w:p>
            <w:r>
              <w:rPr>
                <w:sz w:val="17"/>
              </w:rPr>
              <w:t>3,730</w:t>
            </w:r>
          </w:p>
        </w:tc>
        <w:tc>
          <w:tcPr>
            <w:tcW w:type="dxa" w:w="1440"/>
            <w:shd w:fill="FFDCE0" w:val="clear"/>
          </w:tcPr>
          <w:p>
            <w:r>
              <w:rPr>
                <w:b/>
                <w:color w:val="C00000"/>
                <w:sz w:val="17"/>
              </w:rPr>
              <w:t>-10.1%</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2,666</w:t>
            </w:r>
          </w:p>
        </w:tc>
        <w:tc>
          <w:tcPr>
            <w:tcW w:type="dxa" w:w="1440"/>
            <w:shd w:fill="FFDCE0" w:val="clear"/>
          </w:tcPr>
          <w:p>
            <w:r>
              <w:rPr>
                <w:b/>
                <w:sz w:val="17"/>
              </w:rPr>
              <w:t>3,197</w:t>
            </w:r>
          </w:p>
        </w:tc>
        <w:tc>
          <w:tcPr>
            <w:tcW w:type="dxa" w:w="1440"/>
            <w:shd w:fill="FFDCE0" w:val="clear"/>
          </w:tcPr>
          <w:p>
            <w:r>
              <w:rPr>
                <w:sz w:val="17"/>
              </w:rPr>
              <w:t>3,729</w:t>
            </w:r>
          </w:p>
        </w:tc>
        <w:tc>
          <w:tcPr>
            <w:tcW w:type="dxa" w:w="1440"/>
            <w:shd w:fill="FFDCE0" w:val="clear"/>
          </w:tcPr>
          <w:p>
            <w:r>
              <w:rPr>
                <w:b/>
                <w:color w:val="C00000"/>
                <w:sz w:val="17"/>
              </w:rPr>
              <w:t>-10.8%</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2,616</w:t>
            </w:r>
          </w:p>
        </w:tc>
        <w:tc>
          <w:tcPr>
            <w:tcW w:type="dxa" w:w="1440"/>
            <w:shd w:fill="FFDCE0" w:val="clear"/>
          </w:tcPr>
          <w:p>
            <w:r>
              <w:rPr>
                <w:b/>
                <w:sz w:val="17"/>
              </w:rPr>
              <w:t>3,172</w:t>
            </w:r>
          </w:p>
        </w:tc>
        <w:tc>
          <w:tcPr>
            <w:tcW w:type="dxa" w:w="1440"/>
            <w:shd w:fill="FFDCE0" w:val="clear"/>
          </w:tcPr>
          <w:p>
            <w:r>
              <w:rPr>
                <w:sz w:val="17"/>
              </w:rPr>
              <w:t>3,727</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116,79 milliards FCFA, un niveau qui la positionne parmi les valeurs moyennes de la BRVM, reflétant une liquidité modérée avec un volume moyen de 2 772 titres par jour. Le BPA de 208 FCFA indique que chaque action génère un bénéfice substantiel, justifiant un PER de 17,2x, nettement supérieur à la moyenne historique de la BRVM (8-12x), ce qui traduit une prime de valorisation significative pour ce titre considéré comme défensif. Le P/B de 4,14x confirme cette prime, le marché valorisant fortement les actifs nets de la société, bien au-delà de leur valeur comptable. L'EV/EBITDA de 7,3x, dans la fourchette raisonnable de 5-10x, tempère cette lecture en indiquant que la valeur d'entreprise reste cohérente avec la capacité opérationnelle de génération de cash-flow. Globalement, ces ratios suggèrent que le marché intègre déjà des perspectives de croissance et de stabilité, rendant le titre exigeant en termes de valorisation relative.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de +9,80%, avec une légère consolidation de -0,42% lors de la dernière séance, témoignant d'une tendance haussière globale malgré un récent essoufflement. Le cours a évolué dans une fourchette large de 2 845 à 4 500 FCFA, démontrant une amplitude de trading considérable de 58%, ce qui reflète une volatilité élevée. La moyenne de 3 453 FCFA, supérieure à la médiane de 3 392 FCFA, indique une distribution asymétrique positive, confirmée par un skewness de 0,842, signifiant que les journées sous la moyenne ont été plus fréquentes mais que les fortes hausses ont tiré la moyenne vers le haut. L'écart-type de 369 FCFA (CV=10,7%) révèle une dispersion modérée autour de la moyenne, tandis que le kurtosis de 0,295 (mésokurtique) suggère une distribution proche de la normale, sans pics extrêmes excessifs. La volatilité annualisée de 49,8% classe le titre dans la catégorie des valeurs à forte volatilité, un niveau élevé qui implique des fluctuations importantes et un risque accru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3 585 FCFA se situe sous la MM20 (3 667 FCFA) et nettement sous la MM50 (3 731,6 FCFA), configuration baissière classique où les moyennes agissent comme des résistances dynamiques. Cette position relative indique une pression vendeuse à court et moyen terme, justifiant la décision de vente, car le titre n'a pas réussi à se maintenir au-dessus de ses moyennes mobiles, signalant une faiblesse technique persistante.</w:t>
      </w:r>
    </w:p>
    <w:p>
      <w:pPr>
        <w:spacing w:after="120" w:line="276" w:lineRule="auto"/>
      </w:pPr>
      <w:r>
        <w:t>**Bandes de Bollinger** : Le prix évolue entre la borne inférieure (3 441 FCFA) et la borne supérieure (3 893 FCFA), mais se rapproche de la partie basse du canal, indiquant une pression baissière modérée. La largeur des bandes reflète une volatilité encore élevée, mais le fait que le cours reste dans le canal sans le casser suggère une phase de consolidation neutre, où le marché cherche une direction sans signal décisif.</w:t>
      </w:r>
    </w:p>
    <w:p>
      <w:pPr>
        <w:spacing w:after="120" w:line="276" w:lineRule="auto"/>
      </w:pPr>
      <w:r>
        <w:t>**MACD** : La valeur MACD de -63,084 est inférieure à sa ligne de signal (-49,865), confirmant un momentum baissier en cours. Cette divergence négative indique que la dynamique des prix reste défavorable, avec une accélération de la tendance baissière à court terme. La décision de vente se justifie par la persistance de cette configuration, qui suggère que les vendeurs contrôlent encore le marché.</w:t>
      </w:r>
    </w:p>
    <w:p>
      <w:pPr>
        <w:spacing w:after="120" w:line="276" w:lineRule="auto"/>
      </w:pPr>
      <w:r>
        <w:t>**RSI** : À 37,956, le RSI se situe dans la zone neutre mais proche de la zone de survente (30), indiquant une pression vendeuse modérée sans atteindre des conditions extrêmes. Cette valeur suggère que le titre n'est pas encore survendu, laissant une marge de baisse potentielle avant un éventuel rebond technique, justifiant une position neutre en attendant un signal plus clair.</w:t>
      </w:r>
    </w:p>
    <w:p>
      <w:pPr>
        <w:spacing w:after="120" w:line="276" w:lineRule="auto"/>
      </w:pPr>
      <w:r>
        <w:t>**Stochastique** : Le %K à 42,5 et le %D à 38,611 montrent une configuration baissière, avec le %K au-dessus du %D mais tous deux sous la zone neutre de 50. Ce croisement potentiel à la hausse pourrait indiquer un début de retournement, mais la faiblesse des niveaux actuels suggère que le momentum reste fragile, justifiant une position neutre en l'absence de confirmation forte.</w:t>
      </w:r>
    </w:p>
    <w:p>
      <w:pPr>
        <w:spacing w:after="120" w:line="276" w:lineRule="auto"/>
      </w:pPr>
      <w:r>
        <w:t>**Conclusion technique** : La convergence des indicateurs (MM, MACD) vers des signaux de vente, contrastant avec des indicateurs neutres (Bollinger, RSI, Stochastique), dessine un tableau technique globalement baissier à court terme. Le titre semble en phase de correction après sa hausse récente, avec un potentiel de rebond technique uniquement si les niveaux de survente sont atteints. La prudence est donc de mise, avec une surveillance des supports clés autour de 3 441 FCFA.</w:t>
      </w:r>
    </w:p>
    <w:p>
      <w:pPr>
        <w:spacing w:after="120" w:line="276" w:lineRule="auto" w:before="240"/>
      </w:pPr>
      <w:r>
        <w:rPr>
          <w:b/>
          <w:color w:val="003366"/>
          <w:sz w:val="24"/>
        </w:rPr>
        <w:t>**PARTIE 3 : ANALYSE FONDAMENTALE (SECTION CRITIQUE)**</w:t>
      </w:r>
    </w:p>
    <w:p>
      <w:pPr>
        <w:spacing w:after="120" w:line="276" w:lineRule="auto"/>
      </w:pPr>
      <w:r>
        <w:t>En 2025, TTLS affiche un chiffre d'affaires de 455,209 milliards FCFA, en recul de 6,1% par rapport à 2024 (484,945 milliards), avec un résultat net de 6,779 milliards FCFA, en baisse de 5,1% contre 7,140 milliards en 2024. La marge nette reste faible à 1,49%, typique du secteur de distribution pétrolière, mais le ROE de 24% démontre une excellente rentabilité des capitaux propres (28,239 milliards), tandis que le ROA de 3,95% reflète une utilisation modérée des actifs (171,778 milliards). Le BFR négatif de -36,899 milliards est un signal très favorable, indiquant que la société finance son exploitation grâce aux délais fournisseurs (97,76 jours) nettement supérieurs aux délais clients (47,43 jours), créant ainsi une source de financement gratuite. La trésorerie nette de 13,941 milliards et le free cash-flow de 17,483 milliards confirment une solidité financière renforcée, avec une capacité de remboursement de seulement 0,94 an. Les rapports trimestriels 2025 confirment la stratégie de recentrage : le S1 2025 montre une amélioration de 22% du résultat d'exploitation malgré une baisse du CA de 3%, tandis que le T1 2026 (rapport du 31 mars 2026) révèle une résilience remarquable avec un résultat net en hausse de 5% à 1,585 milliards malgré une baisse réglementaire des prix à la pompe de 10%. On estime que l'exercice 2026 pourrait maintenir un résultat net autour de 6,5-7 milliards FCFA, soutenu par la diversification vers les lubrifiants et le GPL, et les perspectives liées à la mise en production de Sangomar. La recommandation fondamentale reste CONSERVER, la société démontrant une solidité opérationnelle remarquable malgré un environnement réglementaire contraignant.</w:t>
      </w:r>
    </w:p>
    <w:p>
      <w:pPr>
        <w:spacing w:after="120" w:line="276" w:lineRule="auto" w:before="240"/>
      </w:pPr>
      <w:r>
        <w:rPr>
          <w:b/>
          <w:color w:val="003366"/>
          <w:sz w:val="24"/>
        </w:rPr>
        <w:t>**PARTIE 4 : CONCLUSION D'INVESTISSEMENT**</w:t>
      </w:r>
    </w:p>
    <w:p>
      <w:pPr>
        <w:spacing w:after="120" w:line="276" w:lineRule="auto"/>
      </w:pPr>
      <w:r>
        <w:t>La synthèse globale révèle une divergence nette entre des fondamentaux solides et une configuration technique baissière. La valorisation (PER 17,2x, P/B 4,14x) apparaît exigeante, le marché intégrant déjà la qualité de la franchise et la stabilité des résultats, tandis que le comportement du cours sur 100 jours (+9,80%) avec une volatilité élevée de 49,8% et une asymétrie positive suggère un potentiel de hausse mais aussi des risques de correction. Les signaux techniques (MM, MACD en vente ; RSI, Stochastique neutres) indiquent une phase de consolidation baissière à court terme, contredisant la solidité fondamentale (ROE 24%, BFR négatif, trésorerie nette positive). Les prédictions IA pour les 10 prochains jours (3 483 à 3 316 FCFA) confirment cette tendance baissière, projetant une baisse de 7,5% par rapport au cours actuel, ce qui suggère que le marché technique prime temporairement sur les fondamentaux. Sur cette base, la recommandation finale est **CONSERVER** avec un niveau de confiance **Moyen** et un risque global **Élevé** compte tenu de la volatilité. L'horizon d'investissement optimal serait le **moyen terme (3-12 mois)**, permettant de traverser la phase de correction technique et de bénéficier de la solidité opérationnelle et des perspectives de croissance liées aux projets énergétiques sénégalais, en attendant une clarification de la politique de dividende et une stabilisation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532.64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 titres</w:t>
            </w:r>
          </w:p>
        </w:tc>
        <w:tc>
          <w:tcPr>
            <w:tcW w:type="dxa" w:w="2268"/>
            <w:shd w:fill="FFF2CC" w:val="clear"/>
          </w:tcPr>
          <w:p>
            <w:r>
              <w:rPr>
                <w:b/>
                <w:color w:val="503200"/>
                <w:sz w:val="16"/>
              </w:rPr>
              <w:t xml:space="preserve">Cours actuel : </w:t>
            </w:r>
            <w:r>
              <w:rPr>
                <w:color w:val="000000"/>
                <w:sz w:val="17"/>
              </w:rPr>
              <w:t>58,000 FCFA</w:t>
            </w:r>
          </w:p>
          <w:p>
            <w:r>
              <w:rPr>
                <w:b/>
                <w:color w:val="503200"/>
                <w:sz w:val="16"/>
              </w:rPr>
              <w:t xml:space="preserve">Var. 100 jours : </w:t>
            </w:r>
            <w:r>
              <w:rPr>
                <w:b/>
                <w:color w:val="B40000"/>
                <w:sz w:val="17"/>
              </w:rPr>
              <w:t>-17.14%</w:t>
            </w:r>
          </w:p>
          <w:p>
            <w:r>
              <w:rPr>
                <w:b/>
                <w:color w:val="503200"/>
                <w:sz w:val="16"/>
              </w:rPr>
              <w:t xml:space="preserve">Plus haut 100j : </w:t>
            </w:r>
            <w:r>
              <w:rPr>
                <w:color w:val="000000"/>
                <w:sz w:val="17"/>
              </w:rPr>
              <w:t>70,000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6.76% (Moyenne) — μ=57,018 FCFA, σ=3,856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β=1.5835 (Agressif) — Cov=0.000049, Var(idx)=0.000031, ρ=0.214,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29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σ_j=4.31%/j (Modérée) — Vol. annualisée≈68.4%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2026-08-17</w:t>
            </w:r>
          </w:p>
        </w:tc>
        <w:tc>
          <w:tcPr>
            <w:tcW w:type="dxa" w:w="1440"/>
            <w:shd w:fill="C6EFCE" w:val="clear"/>
          </w:tcPr>
          <w:p>
            <w:r>
              <w:rPr>
                <w:sz w:val="17"/>
              </w:rPr>
              <w:t>54,177</w:t>
            </w:r>
          </w:p>
        </w:tc>
        <w:tc>
          <w:tcPr>
            <w:tcW w:type="dxa" w:w="1440"/>
            <w:shd w:fill="C6EFCE" w:val="clear"/>
          </w:tcPr>
          <w:p>
            <w:r>
              <w:rPr>
                <w:b/>
                <w:sz w:val="17"/>
              </w:rPr>
              <w:t>59,335</w:t>
            </w:r>
          </w:p>
        </w:tc>
        <w:tc>
          <w:tcPr>
            <w:tcW w:type="dxa" w:w="1440"/>
            <w:shd w:fill="C6EFCE" w:val="clear"/>
          </w:tcPr>
          <w:p>
            <w:r>
              <w:rPr>
                <w:sz w:val="17"/>
              </w:rPr>
              <w:t>64,492</w:t>
            </w:r>
          </w:p>
        </w:tc>
        <w:tc>
          <w:tcPr>
            <w:tcW w:type="dxa" w:w="1440"/>
            <w:shd w:fill="C6EFCE" w:val="clear"/>
          </w:tcPr>
          <w:p>
            <w:r>
              <w:rPr>
                <w:b/>
                <w:color w:val="008000"/>
                <w:sz w:val="17"/>
              </w:rPr>
              <w:t>+2.3%</w:t>
            </w:r>
          </w:p>
        </w:tc>
      </w:tr>
      <w:tr>
        <w:tc>
          <w:tcPr>
            <w:tcW w:type="dxa" w:w="1440"/>
            <w:shd w:fill="C6EFCE" w:val="clear"/>
          </w:tcPr>
          <w:p>
            <w:r>
              <w:rPr>
                <w:sz w:val="17"/>
              </w:rPr>
              <w:t>J+2  ⭐</w:t>
            </w:r>
          </w:p>
        </w:tc>
        <w:tc>
          <w:tcPr>
            <w:tcW w:type="dxa" w:w="1440"/>
            <w:shd w:fill="C6EFCE" w:val="clear"/>
          </w:tcPr>
          <w:p>
            <w:r>
              <w:rPr>
                <w:sz w:val="17"/>
              </w:rPr>
              <w:t>2026-08-18</w:t>
            </w:r>
          </w:p>
        </w:tc>
        <w:tc>
          <w:tcPr>
            <w:tcW w:type="dxa" w:w="1440"/>
            <w:shd w:fill="C6EFCE" w:val="clear"/>
          </w:tcPr>
          <w:p>
            <w:r>
              <w:rPr>
                <w:sz w:val="17"/>
              </w:rPr>
              <w:t>53,621</w:t>
            </w:r>
          </w:p>
        </w:tc>
        <w:tc>
          <w:tcPr>
            <w:tcW w:type="dxa" w:w="1440"/>
            <w:shd w:fill="C6EFCE" w:val="clear"/>
          </w:tcPr>
          <w:p>
            <w:r>
              <w:rPr>
                <w:b/>
                <w:sz w:val="17"/>
              </w:rPr>
              <w:t>60,010</w:t>
            </w:r>
          </w:p>
        </w:tc>
        <w:tc>
          <w:tcPr>
            <w:tcW w:type="dxa" w:w="1440"/>
            <w:shd w:fill="C6EFCE" w:val="clear"/>
          </w:tcPr>
          <w:p>
            <w:r>
              <w:rPr>
                <w:sz w:val="17"/>
              </w:rPr>
              <w:t>66,398</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2026-08-19</w:t>
            </w:r>
          </w:p>
        </w:tc>
        <w:tc>
          <w:tcPr>
            <w:tcW w:type="dxa" w:w="1440"/>
            <w:shd w:fill="C6EFCE" w:val="clear"/>
          </w:tcPr>
          <w:p>
            <w:r>
              <w:rPr>
                <w:sz w:val="17"/>
              </w:rPr>
              <w:t>53,217</w:t>
            </w:r>
          </w:p>
        </w:tc>
        <w:tc>
          <w:tcPr>
            <w:tcW w:type="dxa" w:w="1440"/>
            <w:shd w:fill="C6EFCE" w:val="clear"/>
          </w:tcPr>
          <w:p>
            <w:r>
              <w:rPr>
                <w:b/>
                <w:sz w:val="17"/>
              </w:rPr>
              <w:t>60,675</w:t>
            </w:r>
          </w:p>
        </w:tc>
        <w:tc>
          <w:tcPr>
            <w:tcW w:type="dxa" w:w="1440"/>
            <w:shd w:fill="C6EFCE" w:val="clear"/>
          </w:tcPr>
          <w:p>
            <w:r>
              <w:rPr>
                <w:sz w:val="17"/>
              </w:rPr>
              <w:t>68,134</w:t>
            </w:r>
          </w:p>
        </w:tc>
        <w:tc>
          <w:tcPr>
            <w:tcW w:type="dxa" w:w="1440"/>
            <w:shd w:fill="C6EFCE" w:val="clear"/>
          </w:tcPr>
          <w:p>
            <w:r>
              <w:rPr>
                <w:b/>
                <w:color w:val="008000"/>
                <w:sz w:val="17"/>
              </w:rPr>
              <w:t>+4.6%</w:t>
            </w:r>
          </w:p>
        </w:tc>
      </w:tr>
      <w:tr>
        <w:tc>
          <w:tcPr>
            <w:tcW w:type="dxa" w:w="1440"/>
            <w:shd w:fill="C6EFCE" w:val="clear"/>
          </w:tcPr>
          <w:p>
            <w:r>
              <w:rPr>
                <w:sz w:val="17"/>
              </w:rPr>
              <w:t>J+4  ⭐</w:t>
            </w:r>
          </w:p>
        </w:tc>
        <w:tc>
          <w:tcPr>
            <w:tcW w:type="dxa" w:w="1440"/>
            <w:shd w:fill="C6EFCE" w:val="clear"/>
          </w:tcPr>
          <w:p>
            <w:r>
              <w:rPr>
                <w:sz w:val="17"/>
              </w:rPr>
              <w:t>2026-08-20</w:t>
            </w:r>
          </w:p>
        </w:tc>
        <w:tc>
          <w:tcPr>
            <w:tcW w:type="dxa" w:w="1440"/>
            <w:shd w:fill="C6EFCE" w:val="clear"/>
          </w:tcPr>
          <w:p>
            <w:r>
              <w:rPr>
                <w:sz w:val="17"/>
              </w:rPr>
              <w:t>52,908</w:t>
            </w:r>
          </w:p>
        </w:tc>
        <w:tc>
          <w:tcPr>
            <w:tcW w:type="dxa" w:w="1440"/>
            <w:shd w:fill="C6EFCE" w:val="clear"/>
          </w:tcPr>
          <w:p>
            <w:r>
              <w:rPr>
                <w:b/>
                <w:sz w:val="17"/>
              </w:rPr>
              <w:t>61,338</w:t>
            </w:r>
          </w:p>
        </w:tc>
        <w:tc>
          <w:tcPr>
            <w:tcW w:type="dxa" w:w="1440"/>
            <w:shd w:fill="C6EFCE" w:val="clear"/>
          </w:tcPr>
          <w:p>
            <w:r>
              <w:rPr>
                <w:sz w:val="17"/>
              </w:rPr>
              <w:t>69,768</w:t>
            </w:r>
          </w:p>
        </w:tc>
        <w:tc>
          <w:tcPr>
            <w:tcW w:type="dxa" w:w="1440"/>
            <w:shd w:fill="C6EFCE" w:val="clear"/>
          </w:tcPr>
          <w:p>
            <w:r>
              <w:rPr>
                <w:b/>
                <w:color w:val="008000"/>
                <w:sz w:val="17"/>
              </w:rPr>
              <w:t>+5.8%</w:t>
            </w:r>
          </w:p>
        </w:tc>
      </w:tr>
      <w:tr>
        <w:tc>
          <w:tcPr>
            <w:tcW w:type="dxa" w:w="1440"/>
            <w:shd w:fill="C6EFCE" w:val="clear"/>
          </w:tcPr>
          <w:p>
            <w:r>
              <w:rPr>
                <w:sz w:val="17"/>
              </w:rPr>
              <w:t>J+5  ⭐</w:t>
            </w:r>
          </w:p>
        </w:tc>
        <w:tc>
          <w:tcPr>
            <w:tcW w:type="dxa" w:w="1440"/>
            <w:shd w:fill="C6EFCE" w:val="clear"/>
          </w:tcPr>
          <w:p>
            <w:r>
              <w:rPr>
                <w:sz w:val="17"/>
              </w:rPr>
              <w:t>2026-08-21</w:t>
            </w:r>
          </w:p>
        </w:tc>
        <w:tc>
          <w:tcPr>
            <w:tcW w:type="dxa" w:w="1440"/>
            <w:shd w:fill="C6EFCE" w:val="clear"/>
          </w:tcPr>
          <w:p>
            <w:r>
              <w:rPr>
                <w:sz w:val="17"/>
              </w:rPr>
              <w:t>52,666</w:t>
            </w:r>
          </w:p>
        </w:tc>
        <w:tc>
          <w:tcPr>
            <w:tcW w:type="dxa" w:w="1440"/>
            <w:shd w:fill="C6EFCE" w:val="clear"/>
          </w:tcPr>
          <w:p>
            <w:r>
              <w:rPr>
                <w:b/>
                <w:sz w:val="17"/>
              </w:rPr>
              <w:t>62,000</w:t>
            </w:r>
          </w:p>
        </w:tc>
        <w:tc>
          <w:tcPr>
            <w:tcW w:type="dxa" w:w="1440"/>
            <w:shd w:fill="C6EFCE" w:val="clear"/>
          </w:tcPr>
          <w:p>
            <w:r>
              <w:rPr>
                <w:sz w:val="17"/>
              </w:rPr>
              <w:t>71,335</w:t>
            </w:r>
          </w:p>
        </w:tc>
        <w:tc>
          <w:tcPr>
            <w:tcW w:type="dxa" w:w="1440"/>
            <w:shd w:fill="C6EFCE" w:val="clear"/>
          </w:tcPr>
          <w:p>
            <w:r>
              <w:rPr>
                <w:b/>
                <w:color w:val="008000"/>
                <w:sz w:val="17"/>
              </w:rPr>
              <w:t>+6.9%</w:t>
            </w:r>
          </w:p>
        </w:tc>
      </w:tr>
      <w:tr>
        <w:tc>
          <w:tcPr>
            <w:tcW w:type="dxa" w:w="1440"/>
            <w:shd w:fill="C6EFCE" w:val="clear"/>
          </w:tcPr>
          <w:p>
            <w:r>
              <w:rPr>
                <w:sz w:val="17"/>
              </w:rPr>
              <w:t>J+6  ⭐</w:t>
            </w:r>
          </w:p>
        </w:tc>
        <w:tc>
          <w:tcPr>
            <w:tcW w:type="dxa" w:w="1440"/>
            <w:shd w:fill="C6EFCE" w:val="clear"/>
          </w:tcPr>
          <w:p>
            <w:r>
              <w:rPr>
                <w:sz w:val="17"/>
              </w:rPr>
              <w:t>2026-08-24</w:t>
            </w:r>
          </w:p>
        </w:tc>
        <w:tc>
          <w:tcPr>
            <w:tcW w:type="dxa" w:w="1440"/>
            <w:shd w:fill="C6EFCE" w:val="clear"/>
          </w:tcPr>
          <w:p>
            <w:r>
              <w:rPr>
                <w:sz w:val="17"/>
              </w:rPr>
              <w:t>52,472</w:t>
            </w:r>
          </w:p>
        </w:tc>
        <w:tc>
          <w:tcPr>
            <w:tcW w:type="dxa" w:w="1440"/>
            <w:shd w:fill="C6EFCE" w:val="clear"/>
          </w:tcPr>
          <w:p>
            <w:r>
              <w:rPr>
                <w:b/>
                <w:sz w:val="17"/>
              </w:rPr>
              <w:t>62,662</w:t>
            </w:r>
          </w:p>
        </w:tc>
        <w:tc>
          <w:tcPr>
            <w:tcW w:type="dxa" w:w="1440"/>
            <w:shd w:fill="C6EFCE" w:val="clear"/>
          </w:tcPr>
          <w:p>
            <w:r>
              <w:rPr>
                <w:sz w:val="17"/>
              </w:rPr>
              <w:t>72,852</w:t>
            </w:r>
          </w:p>
        </w:tc>
        <w:tc>
          <w:tcPr>
            <w:tcW w:type="dxa" w:w="1440"/>
            <w:shd w:fill="C6EFCE" w:val="clear"/>
          </w:tcPr>
          <w:p>
            <w:r>
              <w:rPr>
                <w:b/>
                <w:color w:val="008000"/>
                <w:sz w:val="17"/>
              </w:rPr>
              <w:t>+8.0%</w:t>
            </w:r>
          </w:p>
        </w:tc>
      </w:tr>
      <w:tr>
        <w:tc>
          <w:tcPr>
            <w:tcW w:type="dxa" w:w="1440"/>
            <w:shd w:fill="C6EFCE" w:val="clear"/>
          </w:tcPr>
          <w:p>
            <w:r>
              <w:rPr>
                <w:sz w:val="17"/>
              </w:rPr>
              <w:t>J+7  ⭐</w:t>
            </w:r>
          </w:p>
        </w:tc>
        <w:tc>
          <w:tcPr>
            <w:tcW w:type="dxa" w:w="1440"/>
            <w:shd w:fill="C6EFCE" w:val="clear"/>
          </w:tcPr>
          <w:p>
            <w:r>
              <w:rPr>
                <w:sz w:val="17"/>
              </w:rPr>
              <w:t>2026-08-25</w:t>
            </w:r>
          </w:p>
        </w:tc>
        <w:tc>
          <w:tcPr>
            <w:tcW w:type="dxa" w:w="1440"/>
            <w:shd w:fill="C6EFCE" w:val="clear"/>
          </w:tcPr>
          <w:p>
            <w:r>
              <w:rPr>
                <w:sz w:val="17"/>
              </w:rPr>
              <w:t>52,316</w:t>
            </w:r>
          </w:p>
        </w:tc>
        <w:tc>
          <w:tcPr>
            <w:tcW w:type="dxa" w:w="1440"/>
            <w:shd w:fill="C6EFCE" w:val="clear"/>
          </w:tcPr>
          <w:p>
            <w:r>
              <w:rPr>
                <w:b/>
                <w:sz w:val="17"/>
              </w:rPr>
              <w:t>63,324</w:t>
            </w:r>
          </w:p>
        </w:tc>
        <w:tc>
          <w:tcPr>
            <w:tcW w:type="dxa" w:w="1440"/>
            <w:shd w:fill="C6EFCE" w:val="clear"/>
          </w:tcPr>
          <w:p>
            <w:r>
              <w:rPr>
                <w:sz w:val="17"/>
              </w:rPr>
              <w:t>74,333</w:t>
            </w:r>
          </w:p>
        </w:tc>
        <w:tc>
          <w:tcPr>
            <w:tcW w:type="dxa" w:w="1440"/>
            <w:shd w:fill="C6EFCE" w:val="clear"/>
          </w:tcPr>
          <w:p>
            <w:r>
              <w:rPr>
                <w:b/>
                <w:color w:val="008000"/>
                <w:sz w:val="17"/>
              </w:rPr>
              <w:t>+9.2%</w:t>
            </w:r>
          </w:p>
        </w:tc>
      </w:tr>
      <w:tr>
        <w:tc>
          <w:tcPr>
            <w:tcW w:type="dxa" w:w="1440"/>
            <w:shd w:fill="C6EFCE" w:val="clear"/>
          </w:tcPr>
          <w:p>
            <w:r>
              <w:rPr>
                <w:sz w:val="17"/>
              </w:rPr>
              <w:t>J+8  ⭐</w:t>
            </w:r>
          </w:p>
        </w:tc>
        <w:tc>
          <w:tcPr>
            <w:tcW w:type="dxa" w:w="1440"/>
            <w:shd w:fill="C6EFCE" w:val="clear"/>
          </w:tcPr>
          <w:p>
            <w:r>
              <w:rPr>
                <w:sz w:val="17"/>
              </w:rPr>
              <w:t>2026-08-27</w:t>
            </w:r>
          </w:p>
        </w:tc>
        <w:tc>
          <w:tcPr>
            <w:tcW w:type="dxa" w:w="1440"/>
            <w:shd w:fill="C6EFCE" w:val="clear"/>
          </w:tcPr>
          <w:p>
            <w:r>
              <w:rPr>
                <w:sz w:val="17"/>
              </w:rPr>
              <w:t>52,188</w:t>
            </w:r>
          </w:p>
        </w:tc>
        <w:tc>
          <w:tcPr>
            <w:tcW w:type="dxa" w:w="1440"/>
            <w:shd w:fill="C6EFCE" w:val="clear"/>
          </w:tcPr>
          <w:p>
            <w:r>
              <w:rPr>
                <w:b/>
                <w:sz w:val="17"/>
              </w:rPr>
              <w:t>63,987</w:t>
            </w:r>
          </w:p>
        </w:tc>
        <w:tc>
          <w:tcPr>
            <w:tcW w:type="dxa" w:w="1440"/>
            <w:shd w:fill="C6EFCE" w:val="clear"/>
          </w:tcPr>
          <w:p>
            <w:r>
              <w:rPr>
                <w:sz w:val="17"/>
              </w:rPr>
              <w:t>75,785</w:t>
            </w:r>
          </w:p>
        </w:tc>
        <w:tc>
          <w:tcPr>
            <w:tcW w:type="dxa" w:w="1440"/>
            <w:shd w:fill="C6EFCE" w:val="clear"/>
          </w:tcPr>
          <w:p>
            <w:r>
              <w:rPr>
                <w:b/>
                <w:color w:val="008000"/>
                <w:sz w:val="17"/>
              </w:rPr>
              <w:t>+10.3%</w:t>
            </w:r>
          </w:p>
        </w:tc>
      </w:tr>
      <w:tr>
        <w:tc>
          <w:tcPr>
            <w:tcW w:type="dxa" w:w="1440"/>
            <w:shd w:fill="C6EFCE" w:val="clear"/>
          </w:tcPr>
          <w:p>
            <w:r>
              <w:rPr>
                <w:sz w:val="17"/>
              </w:rPr>
              <w:t>J+9  ⭐</w:t>
            </w:r>
          </w:p>
        </w:tc>
        <w:tc>
          <w:tcPr>
            <w:tcW w:type="dxa" w:w="1440"/>
            <w:shd w:fill="C6EFCE" w:val="clear"/>
          </w:tcPr>
          <w:p>
            <w:r>
              <w:rPr>
                <w:sz w:val="17"/>
              </w:rPr>
              <w:t>2026-08-28</w:t>
            </w:r>
          </w:p>
        </w:tc>
        <w:tc>
          <w:tcPr>
            <w:tcW w:type="dxa" w:w="1440"/>
            <w:shd w:fill="C6EFCE" w:val="clear"/>
          </w:tcPr>
          <w:p>
            <w:r>
              <w:rPr>
                <w:sz w:val="17"/>
              </w:rPr>
              <w:t>52,084</w:t>
            </w:r>
          </w:p>
        </w:tc>
        <w:tc>
          <w:tcPr>
            <w:tcW w:type="dxa" w:w="1440"/>
            <w:shd w:fill="C6EFCE" w:val="clear"/>
          </w:tcPr>
          <w:p>
            <w:r>
              <w:rPr>
                <w:b/>
                <w:sz w:val="17"/>
              </w:rPr>
              <w:t>64,649</w:t>
            </w:r>
          </w:p>
        </w:tc>
        <w:tc>
          <w:tcPr>
            <w:tcW w:type="dxa" w:w="1440"/>
            <w:shd w:fill="C6EFCE" w:val="clear"/>
          </w:tcPr>
          <w:p>
            <w:r>
              <w:rPr>
                <w:sz w:val="17"/>
              </w:rPr>
              <w:t>77,215</w:t>
            </w:r>
          </w:p>
        </w:tc>
        <w:tc>
          <w:tcPr>
            <w:tcW w:type="dxa" w:w="1440"/>
            <w:shd w:fill="C6EFCE" w:val="clear"/>
          </w:tcPr>
          <w:p>
            <w:r>
              <w:rPr>
                <w:b/>
                <w:color w:val="008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532,64 milliards FCFA, un niveau qui la positionne parmi les valeurs moyennes à grandes capitalisations de la BRVM, reflétant une liquidité et une visibilité institutionnelle notables. Les ratios de valorisation (BPA, PER, P/B, EV/EBITDA) ne sont pas calculables en raison de l'absence de données financières structurées récentes dans la base, ce qui limite une comparaison directe avec les moyennes du marché (PER BRVM ~8-12x). Toutefois, la capitalisation actuelle, rapportée aux derniers bénéfices nets publiés (640 millions FCFA en 2023), suggère un PER implicite extrêmement élevé, signalant que le marché valorise des perspectives de redressement futur plutôt que la rentabilité actuelle. Cette situation traduit une prime de risque significative, les investisseurs pariant sur une restructuration réussie et une reconstitution des capitaux propres.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baisse substantielle de 17,14%, avec un cours actuel de 58 000 FCFA, tandis que la dernière séance est restée stable (+0,00%). Le titre a évolué dans une fourchette large de 49 630 FCFA (plus bas) à 70 000 FCFA (plus haut), démontrant une volatilité intra-période considérable. La moyenne (57 018 FCFA) et la médiane (57 000 FCFA) sont quasi identiques, indiquant une distribution symétrique du cours autour de son centre, mais le skewness positif (0,674) révèle que les journées sous la moyenne ont été plus fréquentes, cohérent avec la tendance baissière. L'écart-type de 3 876 FCFA (CV=6,8%) montre une dispersion modérée, mais le kurtosis élevé (1,019) signale un risque de mouvements extrêmes, avec des queues de distribution épaisses. La volatilité annualisée de 68,4% classe UNLC comme un actif à très haute volatilité, bien au-dessus du seuil de 30% considéré comme élevé, ce qui implique un risque de perte en capital important pour les investisseurs non avertis.</w:t>
      </w:r>
    </w:p>
    <w:p>
      <w:pPr>
        <w:spacing w:after="120" w:line="276" w:lineRule="auto" w:before="240"/>
      </w:pPr>
      <w:r>
        <w:rPr>
          <w:b/>
          <w:color w:val="003366"/>
          <w:sz w:val="24"/>
        </w:rPr>
        <w:t>**PARTIE 2 : ANALYSE TECHNIQUE DÉTAILLÉE**</w:t>
      </w:r>
    </w:p>
    <w:p>
      <w:pPr>
        <w:spacing w:after="120" w:line="276" w:lineRule="auto"/>
      </w:pPr>
      <w:r>
        <w:t>**Moyennes Mobiles** : Le cours actuel (58 000 FCFA) se situe au-dessus de la MM20 (53 682,75 FCFA) et de la MM50 (54 897,6 FCFA), ce qui indique un momentum haussier à court terme. Cependant, la décision globale est "Vente", suggérant que la tendance de fond reste baissière malgré le rebond récent, les moyennes mobiles n'ayant pas encore confirmé un retournement durable.</w:t>
      </w:r>
    </w:p>
    <w:p>
      <w:pPr>
        <w:spacing w:after="120" w:line="276" w:lineRule="auto"/>
      </w:pPr>
      <w:r>
        <w:t>**Bandes de Bollinger** : Le prix (58 000 FCFA) est proche de la borne supérieure (58 289,394 FCFA), indiquant une pression acheteuse récente et une volatilité en expansion. La décision "Neutre" reflète que le cours n'a pas encore franchi de manière décisive la borne, laissant place à une possible consolidation ou à un breakout haussier.</w:t>
      </w:r>
    </w:p>
    <w:p>
      <w:pPr>
        <w:spacing w:after="120" w:line="276" w:lineRule="auto"/>
      </w:pPr>
      <w:r>
        <w:t>**MACD** : La valeur positive du MACD (663,349) par rapport au signal négatif (-53,101) génère un croisement haussier, signalant un renforcement du momentum acheteur. Cette divergence positive suggère que la dynamique de court terme s'améliore, ce qui justifie la décision "Achat" malgré le contexte baissier de moyen terme.</w:t>
      </w:r>
    </w:p>
    <w:p>
      <w:pPr>
        <w:spacing w:after="120" w:line="276" w:lineRule="auto"/>
      </w:pPr>
      <w:r>
        <w:t>**RSI** : À 66,704, le RSI se situe en zone neutre-haute, proche du seuil de surachat (70), indiquant une pression acheteuse soutenue mais pas encore excessive. La décision "Neutre" est cohérente, car le titre n'est ni survendu ni suracheté, laissant une marge de progression avant une éventuelle correction.</w:t>
      </w:r>
    </w:p>
    <w:p>
      <w:pPr>
        <w:spacing w:after="120" w:line="276" w:lineRule="auto"/>
      </w:pPr>
      <w:r>
        <w:t>**Stochastique** : %K et %D sont tous deux à 100, soit en zone de surachat extrême, signalant que le titre est temporairement épuisé à la hausse. La décision "Vente" est justifiée par ce niveau extrême, qui précède souvent un repli technique à court terme.</w:t>
      </w:r>
    </w:p>
    <w:p>
      <w:pPr>
        <w:spacing w:after="120" w:line="276" w:lineRule="auto"/>
      </w:pPr>
      <w:r>
        <w:t>**Conclusion technique** : Les indicateurs sont mitigés : le MACD et la position du cours au-dessus des MM suggèrent un potentiel haussier, mais le RSI et le Stochastique en surachat, combinés à la décision "Vente" des MM, indiquent un risque de correction imminente. La prudence est de mise, avec une possible consolidation avant une reprise durable.</w:t>
      </w:r>
    </w:p>
    <w:p>
      <w:pPr>
        <w:spacing w:after="120" w:line="276" w:lineRule="auto" w:before="240"/>
      </w:pPr>
      <w:r>
        <w:rPr>
          <w:b/>
          <w:color w:val="003366"/>
          <w:sz w:val="24"/>
        </w:rPr>
        <w:t>**PARTIE 3 : ANALYSE FONDAMENTALE (SECTION CRITIQUE)**</w:t>
      </w:r>
    </w:p>
    <w:p>
      <w:pPr>
        <w:spacing w:after="120" w:line="276" w:lineRule="auto"/>
      </w:pPr>
      <w:r>
        <w:t>Les données financières structurées annuelles ne sont pas disponibles dans la base, mais les rapports narratifs fournissent des chiffres clés. En 2023 (rapport daté du 31/12/2024), UNLC a réalisé un chiffre d'affaires de 24,336 milliards FCFA, stable par rapport à 2022, avec un résultat net de 640 millions FCFA, en forte amélioration après la perte de 6,9 milliards FCFA en 2022. La marge nette de 2,63% reste faible, et les capitaux propres sont négatifs à -10,658 milliards FCFA, reflétant des pertes cumulées. En 2022 (rapport du 31/12/2023), le CA était de 36,17 milliards FCFA (en baisse de 21,5% vs 2021), avec une perte nette de 6,38 milliards FCFA, due à la cession de l'activité Thé et aux coûts logistiques. En 2021 (rapport du 31/12/2022), le CA était de 24,336 milliards FCFA avec un bénéfice de 6,09 milliards FCFA, mais ce résultat incluait des produits exceptionnels liés à la cession de Lipton. Sur la base de ces rapports, on estime que l'exercice 2024 pourrait voir une stabilisation du CA autour de 24-25 milliards FCFA, avec une amélioration progressive des marges si la restructuration se poursuit, mais la reconstitution des capitaux propres reste un défi majeur. La recommandation fondamentale est "CONSERVER avec vigilance", compte tenu de la fragilité financière et de l'absence de dividendes.</w:t>
      </w:r>
    </w:p>
    <w:p>
      <w:pPr>
        <w:spacing w:after="120" w:line="276" w:lineRule="auto" w:before="240"/>
      </w:pPr>
      <w:r>
        <w:rPr>
          <w:b/>
          <w:color w:val="003366"/>
          <w:sz w:val="24"/>
        </w:rPr>
        <w:t>**PARTIE 4 : CONCLUSION D'INVESTISSEMENT**</w:t>
      </w:r>
    </w:p>
    <w:p>
      <w:pPr>
        <w:spacing w:after="120" w:line="276" w:lineRule="auto"/>
      </w:pPr>
      <w:r>
        <w:t>La valorisation boursière d'UNLC, avec un PER implicite très élevé, indique une surévaluation relative aux bénéfices actuels, mais reflète un pari sur le redressement. Le comportement du cours montre une tendance baissière de 17% sur 100 jours, avec une volatilité extrême (68,4%) et un kurtosis élevé, signalant un risque de pertes importantes. Les signaux techniques sont divergents : le MACD est haussier, mais le Stochastique et le RSI en surachat, ainsi que les MM en "Vente", suggèrent une correction possible à court terme. Les fondamentaux, basés sur les rapports 2021-2023, montrent une amélioration en 2023 mais une structure financière fragile (capitaux propres négatifs). Les prédictions IA (J+1 à J+10) prévoient une hausse progressive de 59 335 à 62 000 FCFA, contredisant les signaux techniques de surachat, mais s'alignant sur le momentum MACD. En synthèse, je recommande **CONSERVER** avec un niveau de confiance **Moyen** et un risque global **Élevé**. L'horizon d'investissement optimal est le **moyen terme (3-12 mois)**, en attendant une confirmation de la reprise fondamentale et une stabilisation des capitaux propres. Une vente serait justifiée en cas de dégradation des résultats 2024 ou de nouvelle perte.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41.50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12,207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2,095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21.6/100 → Moyen</w:t>
      </w:r>
    </w:p>
    <w:p>
      <w:pPr>
        <w:spacing w:before="40" w:after="80"/>
      </w:pPr>
      <w:r>
        <w:rPr>
          <w:rFonts w:ascii="Courier New" w:hAnsi="Courier New"/>
          <w:color w:val="825A00"/>
          <w:sz w:val="18"/>
        </w:rPr>
        <w:t>████░░░░░░░░░░░░░░░░  21.6/100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8.88% (Moyenne) — μ=1,864 FCFA, σ=165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β=-0.5760 (Contre-cyclique) — Cov=-0.000018, Var(idx)=0.000031, ρ=-0.106,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12,207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2026-08-17</w:t>
            </w:r>
          </w:p>
        </w:tc>
        <w:tc>
          <w:tcPr>
            <w:tcW w:type="dxa" w:w="1440"/>
            <w:shd w:fill="FFDCE0" w:val="clear"/>
          </w:tcPr>
          <w:p>
            <w:r>
              <w:rPr>
                <w:sz w:val="17"/>
              </w:rPr>
              <w:t>1,810</w:t>
            </w:r>
          </w:p>
        </w:tc>
        <w:tc>
          <w:tcPr>
            <w:tcW w:type="dxa" w:w="1440"/>
            <w:shd w:fill="FFDCE0" w:val="clear"/>
          </w:tcPr>
          <w:p>
            <w:r>
              <w:rPr>
                <w:b/>
                <w:sz w:val="17"/>
              </w:rPr>
              <w:t>1,935</w:t>
            </w:r>
          </w:p>
        </w:tc>
        <w:tc>
          <w:tcPr>
            <w:tcW w:type="dxa" w:w="1440"/>
            <w:shd w:fill="FFDCE0" w:val="clear"/>
          </w:tcPr>
          <w:p>
            <w:r>
              <w:rPr>
                <w:sz w:val="17"/>
              </w:rPr>
              <w:t>2,061</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2026-08-18</w:t>
            </w:r>
          </w:p>
        </w:tc>
        <w:tc>
          <w:tcPr>
            <w:tcW w:type="dxa" w:w="1440"/>
            <w:shd w:fill="FFDCE0" w:val="clear"/>
          </w:tcPr>
          <w:p>
            <w:r>
              <w:rPr>
                <w:sz w:val="17"/>
              </w:rPr>
              <w:t>1,754</w:t>
            </w:r>
          </w:p>
        </w:tc>
        <w:tc>
          <w:tcPr>
            <w:tcW w:type="dxa" w:w="1440"/>
            <w:shd w:fill="FFDCE0" w:val="clear"/>
          </w:tcPr>
          <w:p>
            <w:r>
              <w:rPr>
                <w:b/>
                <w:sz w:val="17"/>
              </w:rPr>
              <w:t>1,931</w:t>
            </w:r>
          </w:p>
        </w:tc>
        <w:tc>
          <w:tcPr>
            <w:tcW w:type="dxa" w:w="1440"/>
            <w:shd w:fill="FFDCE0" w:val="clear"/>
          </w:tcPr>
          <w:p>
            <w:r>
              <w:rPr>
                <w:sz w:val="17"/>
              </w:rPr>
              <w:t>2,109</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2026-08-19</w:t>
            </w:r>
          </w:p>
        </w:tc>
        <w:tc>
          <w:tcPr>
            <w:tcW w:type="dxa" w:w="1440"/>
            <w:shd w:fill="FFDCE0" w:val="clear"/>
          </w:tcPr>
          <w:p>
            <w:r>
              <w:rPr>
                <w:sz w:val="17"/>
              </w:rPr>
              <w:t>1,705</w:t>
            </w:r>
          </w:p>
        </w:tc>
        <w:tc>
          <w:tcPr>
            <w:tcW w:type="dxa" w:w="1440"/>
            <w:shd w:fill="FFDCE0" w:val="clear"/>
          </w:tcPr>
          <w:p>
            <w:r>
              <w:rPr>
                <w:b/>
                <w:sz w:val="17"/>
              </w:rPr>
              <w:t>1,921</w:t>
            </w:r>
          </w:p>
        </w:tc>
        <w:tc>
          <w:tcPr>
            <w:tcW w:type="dxa" w:w="1440"/>
            <w:shd w:fill="FFDCE0" w:val="clear"/>
          </w:tcPr>
          <w:p>
            <w:r>
              <w:rPr>
                <w:sz w:val="17"/>
              </w:rPr>
              <w:t>2,137</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2026-08-20</w:t>
            </w:r>
          </w:p>
        </w:tc>
        <w:tc>
          <w:tcPr>
            <w:tcW w:type="dxa" w:w="1440"/>
            <w:shd w:fill="FFDCE0" w:val="clear"/>
          </w:tcPr>
          <w:p>
            <w:r>
              <w:rPr>
                <w:sz w:val="17"/>
              </w:rPr>
              <w:t>1,662</w:t>
            </w:r>
          </w:p>
        </w:tc>
        <w:tc>
          <w:tcPr>
            <w:tcW w:type="dxa" w:w="1440"/>
            <w:shd w:fill="FFDCE0" w:val="clear"/>
          </w:tcPr>
          <w:p>
            <w:r>
              <w:rPr>
                <w:b/>
                <w:sz w:val="17"/>
              </w:rPr>
              <w:t>1,911</w:t>
            </w:r>
          </w:p>
        </w:tc>
        <w:tc>
          <w:tcPr>
            <w:tcW w:type="dxa" w:w="1440"/>
            <w:shd w:fill="FFDCE0" w:val="clear"/>
          </w:tcPr>
          <w:p>
            <w:r>
              <w:rPr>
                <w:sz w:val="17"/>
              </w:rPr>
              <w:t>2,159</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2026-08-21</w:t>
            </w:r>
          </w:p>
        </w:tc>
        <w:tc>
          <w:tcPr>
            <w:tcW w:type="dxa" w:w="1440"/>
            <w:shd w:fill="FFDCE0" w:val="clear"/>
          </w:tcPr>
          <w:p>
            <w:r>
              <w:rPr>
                <w:sz w:val="17"/>
              </w:rPr>
              <w:t>1,624</w:t>
            </w:r>
          </w:p>
        </w:tc>
        <w:tc>
          <w:tcPr>
            <w:tcW w:type="dxa" w:w="1440"/>
            <w:shd w:fill="FFDCE0" w:val="clear"/>
          </w:tcPr>
          <w:p>
            <w:r>
              <w:rPr>
                <w:b/>
                <w:sz w:val="17"/>
              </w:rPr>
              <w:t>1,901</w:t>
            </w:r>
          </w:p>
        </w:tc>
        <w:tc>
          <w:tcPr>
            <w:tcW w:type="dxa" w:w="1440"/>
            <w:shd w:fill="FFDCE0" w:val="clear"/>
          </w:tcPr>
          <w:p>
            <w:r>
              <w:rPr>
                <w:sz w:val="17"/>
              </w:rPr>
              <w:t>2,177</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2026-08-24</w:t>
            </w:r>
          </w:p>
        </w:tc>
        <w:tc>
          <w:tcPr>
            <w:tcW w:type="dxa" w:w="1440"/>
            <w:shd w:fill="FFDCE0" w:val="clear"/>
          </w:tcPr>
          <w:p>
            <w:r>
              <w:rPr>
                <w:sz w:val="17"/>
              </w:rPr>
              <w:t>1,590</w:t>
            </w:r>
          </w:p>
        </w:tc>
        <w:tc>
          <w:tcPr>
            <w:tcW w:type="dxa" w:w="1440"/>
            <w:shd w:fill="FFDCE0" w:val="clear"/>
          </w:tcPr>
          <w:p>
            <w:r>
              <w:rPr>
                <w:b/>
                <w:sz w:val="17"/>
              </w:rPr>
              <w:t>1,891</w:t>
            </w:r>
          </w:p>
        </w:tc>
        <w:tc>
          <w:tcPr>
            <w:tcW w:type="dxa" w:w="1440"/>
            <w:shd w:fill="FFDCE0" w:val="clear"/>
          </w:tcPr>
          <w:p>
            <w:r>
              <w:rPr>
                <w:sz w:val="17"/>
              </w:rPr>
              <w:t>2,192</w:t>
            </w:r>
          </w:p>
        </w:tc>
        <w:tc>
          <w:tcPr>
            <w:tcW w:type="dxa" w:w="1440"/>
            <w:shd w:fill="FFDCE0" w:val="clear"/>
          </w:tcPr>
          <w:p>
            <w:r>
              <w:rPr>
                <w:b/>
                <w:color w:val="C00000"/>
                <w:sz w:val="17"/>
              </w:rPr>
              <w:t>-5.4%</w:t>
            </w:r>
          </w:p>
        </w:tc>
      </w:tr>
      <w:tr>
        <w:tc>
          <w:tcPr>
            <w:tcW w:type="dxa" w:w="1440"/>
            <w:shd w:fill="FFDCE0" w:val="clear"/>
          </w:tcPr>
          <w:p>
            <w:r>
              <w:rPr>
                <w:sz w:val="17"/>
              </w:rPr>
              <w:t>J+7  ⭐</w:t>
            </w:r>
          </w:p>
        </w:tc>
        <w:tc>
          <w:tcPr>
            <w:tcW w:type="dxa" w:w="1440"/>
            <w:shd w:fill="FFDCE0" w:val="clear"/>
          </w:tcPr>
          <w:p>
            <w:r>
              <w:rPr>
                <w:sz w:val="17"/>
              </w:rPr>
              <w:t>2026-08-25</w:t>
            </w:r>
          </w:p>
        </w:tc>
        <w:tc>
          <w:tcPr>
            <w:tcW w:type="dxa" w:w="1440"/>
            <w:shd w:fill="FFDCE0" w:val="clear"/>
          </w:tcPr>
          <w:p>
            <w:r>
              <w:rPr>
                <w:sz w:val="17"/>
              </w:rPr>
              <w:t>1,558</w:t>
            </w:r>
          </w:p>
        </w:tc>
        <w:tc>
          <w:tcPr>
            <w:tcW w:type="dxa" w:w="1440"/>
            <w:shd w:fill="FFDCE0" w:val="clear"/>
          </w:tcPr>
          <w:p>
            <w:r>
              <w:rPr>
                <w:b/>
                <w:sz w:val="17"/>
              </w:rPr>
              <w:t>1,882</w:t>
            </w:r>
          </w:p>
        </w:tc>
        <w:tc>
          <w:tcPr>
            <w:tcW w:type="dxa" w:w="1440"/>
            <w:shd w:fill="FFDCE0" w:val="clear"/>
          </w:tcPr>
          <w:p>
            <w:r>
              <w:rPr>
                <w:sz w:val="17"/>
              </w:rPr>
              <w:t>2,205</w:t>
            </w:r>
          </w:p>
        </w:tc>
        <w:tc>
          <w:tcPr>
            <w:tcW w:type="dxa" w:w="1440"/>
            <w:shd w:fill="FFDCE0" w:val="clear"/>
          </w:tcPr>
          <w:p>
            <w:r>
              <w:rPr>
                <w:b/>
                <w:color w:val="C00000"/>
                <w:sz w:val="17"/>
              </w:rPr>
              <w:t>-5.9%</w:t>
            </w:r>
          </w:p>
        </w:tc>
      </w:tr>
      <w:tr>
        <w:tc>
          <w:tcPr>
            <w:tcW w:type="dxa" w:w="1440"/>
            <w:shd w:fill="FFDCE0" w:val="clear"/>
          </w:tcPr>
          <w:p>
            <w:r>
              <w:rPr>
                <w:sz w:val="17"/>
              </w:rPr>
              <w:t>J+8  ⭐</w:t>
            </w:r>
          </w:p>
        </w:tc>
        <w:tc>
          <w:tcPr>
            <w:tcW w:type="dxa" w:w="1440"/>
            <w:shd w:fill="FFDCE0" w:val="clear"/>
          </w:tcPr>
          <w:p>
            <w:r>
              <w:rPr>
                <w:sz w:val="17"/>
              </w:rPr>
              <w:t>2026-08-27</w:t>
            </w:r>
          </w:p>
        </w:tc>
        <w:tc>
          <w:tcPr>
            <w:tcW w:type="dxa" w:w="1440"/>
            <w:shd w:fill="FFDCE0" w:val="clear"/>
          </w:tcPr>
          <w:p>
            <w:r>
              <w:rPr>
                <w:sz w:val="17"/>
              </w:rPr>
              <w:t>1,528</w:t>
            </w:r>
          </w:p>
        </w:tc>
        <w:tc>
          <w:tcPr>
            <w:tcW w:type="dxa" w:w="1440"/>
            <w:shd w:fill="FFDCE0" w:val="clear"/>
          </w:tcPr>
          <w:p>
            <w:r>
              <w:rPr>
                <w:b/>
                <w:sz w:val="17"/>
              </w:rPr>
              <w:t>1,872</w:t>
            </w:r>
          </w:p>
        </w:tc>
        <w:tc>
          <w:tcPr>
            <w:tcW w:type="dxa" w:w="1440"/>
            <w:shd w:fill="FFDCE0" w:val="clear"/>
          </w:tcPr>
          <w:p>
            <w:r>
              <w:rPr>
                <w:sz w:val="17"/>
              </w:rPr>
              <w:t>2,217</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2026-08-28</w:t>
            </w:r>
          </w:p>
        </w:tc>
        <w:tc>
          <w:tcPr>
            <w:tcW w:type="dxa" w:w="1440"/>
            <w:shd w:fill="FFDCE0" w:val="clear"/>
          </w:tcPr>
          <w:p>
            <w:r>
              <w:rPr>
                <w:sz w:val="17"/>
              </w:rPr>
              <w:t>1,500</w:t>
            </w:r>
          </w:p>
        </w:tc>
        <w:tc>
          <w:tcPr>
            <w:tcW w:type="dxa" w:w="1440"/>
            <w:shd w:fill="FFDCE0" w:val="clear"/>
          </w:tcPr>
          <w:p>
            <w:r>
              <w:rPr>
                <w:b/>
                <w:sz w:val="17"/>
              </w:rPr>
              <w:t>1,863</w:t>
            </w:r>
          </w:p>
        </w:tc>
        <w:tc>
          <w:tcPr>
            <w:tcW w:type="dxa" w:w="1440"/>
            <w:shd w:fill="FFDCE0" w:val="clear"/>
          </w:tcPr>
          <w:p>
            <w:r>
              <w:rPr>
                <w:sz w:val="17"/>
              </w:rPr>
              <w:t>2,226</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2026-08-31</w:t>
            </w:r>
          </w:p>
        </w:tc>
        <w:tc>
          <w:tcPr>
            <w:tcW w:type="dxa" w:w="1440"/>
            <w:shd w:fill="FFDCE0" w:val="clear"/>
          </w:tcPr>
          <w:p>
            <w:r>
              <w:rPr>
                <w:sz w:val="17"/>
              </w:rPr>
              <w:t>1,473</w:t>
            </w:r>
          </w:p>
        </w:tc>
        <w:tc>
          <w:tcPr>
            <w:tcW w:type="dxa" w:w="1440"/>
            <w:shd w:fill="FFDCE0" w:val="clear"/>
          </w:tcPr>
          <w:p>
            <w:r>
              <w:rPr>
                <w:b/>
                <w:sz w:val="17"/>
              </w:rPr>
              <w:t>1,854</w:t>
            </w:r>
          </w:p>
        </w:tc>
        <w:tc>
          <w:tcPr>
            <w:tcW w:type="dxa" w:w="1440"/>
            <w:shd w:fill="FFDCE0" w:val="clear"/>
          </w:tcPr>
          <w:p>
            <w:r>
              <w:rPr>
                <w:sz w:val="17"/>
              </w:rPr>
              <w:t>2,235</w:t>
            </w:r>
          </w:p>
        </w:tc>
        <w:tc>
          <w:tcPr>
            <w:tcW w:type="dxa" w:w="1440"/>
            <w:shd w:fill="FFDCE0" w:val="clear"/>
          </w:tcPr>
          <w:p>
            <w:r>
              <w:rPr>
                <w:b/>
                <w:color w:val="C00000"/>
                <w:sz w:val="17"/>
              </w:rPr>
              <w:t>-7.3%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41,50 milliards FCFA, un niveau intermédiaire sur la BRVM qui reflète un profil de moyenne capitalisation. Le BPA est négatif à -105 FCFA, traduisant la perte nette enregistrée en 2024, ce qui rend le PER non significatif (-19,0x) et impose une lecture prudente de la valorisation. Le P/B de 2,66x indique que le marché accorde une prime de croissance de près de 2,7 fois la valeur comptable des actifs, ce qui est élevé pour une société déficitaire. Cette prime s'explique par les anticipations de redressement liées aux opérations de restructuration récentes. En l'absence de données sur l'EBITDA, le ratio EV/EBITDA ne peut être calculé, mais la capitalisation actuelle intègre déjà un scénario de retour à la rentabilité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d'UNXC affiche une variation totale nulle (+0,00%), mais la dernière séance enregistre une hausse notable de +3,09%, portant le cours à 2 000 FCFA. Le titre a évolué dans une fourchette large de 1 250 à 2 095 FCFA, soit une amplitude de 67,6%, témoignant d'une forte nervosité. La moyenne (1 864 FCFA) est inférieure à la médiane (1 900 FCFA), indiquant une distribution asymétrique avec des extrêmes baissiers plus marqués. L'écart-type de 166 FCFA (CV=8,9%) révèle une dispersion modérée autour de la moyenne. Le kurtosis de 3,583 signale un risque de pics violents, tandis que le skewness de -1,801 confirme une asymétrie négative avec des journées de forte baisse plus fréquentes que les fortes hausses. La volatilité annualisée de 48,7% classe le titre comme très risqué, bien au-dessus du seuil de 30% considéré comme élevé.</w:t>
      </w:r>
    </w:p>
    <w:p>
      <w:pPr>
        <w:spacing w:after="120" w:line="276" w:lineRule="auto" w:before="240"/>
      </w:pPr>
      <w:r>
        <w:rPr>
          <w:b/>
          <w:color w:val="003366"/>
          <w:sz w:val="24"/>
        </w:rPr>
        <w:t>**PARTIE 2 : ANALYSE TECHNIQUE DÉTAILLÉE**</w:t>
      </w:r>
    </w:p>
    <w:p>
      <w:pPr>
        <w:spacing w:after="120" w:line="276" w:lineRule="auto"/>
      </w:pPr>
      <w:r>
        <w:t>Les **Moyennes Mobiles** MM20 (1 905,75 FCFA) et MM50 (1 820,3 FCFA) sont toutes deux inférieures au cours actuel de 2 000 FCFA, confirmant une dynamique haussière de court et moyen terme. Le signal d'achat est justifié par la configuration en "courbe ascendante" où le cours évolue au-dessus de ses moyennes mobiles, indiquant une pression acheteuse soutenue.</w:t>
      </w:r>
    </w:p>
    <w:p>
      <w:pPr>
        <w:spacing w:after="120" w:line="276" w:lineRule="auto"/>
      </w:pPr>
      <w:r>
        <w:t>Les **Bandes de Bollinger** montrent un cours à 2 000 FCFA, proche de la borne supérieure (1 990,87 FCFA), ce qui suggère une situation de surachat temporaire. Le signal de vente émis par cet indicateur traduit une probabilité accrue de consolidation ou de repli technique à court terme, le prix ayant dépassé la bande supérieure.</w:t>
      </w:r>
    </w:p>
    <w:p>
      <w:pPr>
        <w:spacing w:after="120" w:line="276" w:lineRule="auto"/>
      </w:pPr>
      <w:r>
        <w:t>Le **MACD** affiche une valeur de 52,8 contre un signal à 47,098, avec un écart positif de 5,7 points. Cette configuration haussière indique un momentum positif persistant, justifiant le signal d'achat. La divergence positive entre la ligne MACD et sa ligne de signal confirme la vigueur de la tendance haussière en cours.</w:t>
      </w:r>
    </w:p>
    <w:p>
      <w:pPr>
        <w:spacing w:after="120" w:line="276" w:lineRule="auto"/>
      </w:pPr>
      <w:r>
        <w:t>Le **RSI** à 65,957 se situe en zone neutre-haute, en dessous du seuil de surachat de 70. Cette valeur indique une pression acheteuse encore présente mais sans excès, laissant une marge de progression avant d'atteindre des niveaux dangereux. La décision neutre est cohérente avec une dynamique positive mais non extrême.</w:t>
      </w:r>
    </w:p>
    <w:p>
      <w:pPr>
        <w:spacing w:after="120" w:line="276" w:lineRule="auto"/>
      </w:pPr>
      <w:r>
        <w:t>Le **Stochastique** montre un %K à 100,0 et un %D à 80,952, indiquant une condition de surachat extrême. Le croisement potentiel des deux lignes à ces niveaux élevés suggère un risque imminent de retournement baissier, justifiant le signal de vente émis par cet indicateur.</w:t>
      </w:r>
    </w:p>
    <w:p>
      <w:pPr>
        <w:spacing w:after="120" w:line="276" w:lineRule="auto"/>
      </w:pPr>
      <w:r>
        <w:t>**Conclusion technique** : La convergence des indicateurs est mitigée. Les moyennes mobiles et le MACD soutiennent une tendance haussière, tandis que les bandes de Bollinger et le stochastique signalent un surachat à court terme. Le RSI reste neutre. Cette configuration suggère une poursuite possible de la hausse à moyen terme, mais avec un risque élevé de correction technique immédiate.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révèlent une situation financière contrastée. Le chiffre d'affaires s'établit à 27,333 milliards FCFA, en hausse de 15,4% par rapport à 2023, mais le résultat net est déficitaire à -2,189 milliards FCFA, avec une marge nette de -8,0%. Le ROE est négatif à -14,04% et le ROA à -6,39%, traduisant une rentabilité insuffisante des capitaux propres et des actifs. Le BFR de 2,149 milliards FCFA et le délai clients de 51 jours indiquent une pression modérée sur la trésorerie, tandis que le délai fournisseurs de 268 jours offre un levier de financement significatif. La durée de stockage de 255 jours révèle une immobilisation importante de capital. Les rapports trimestriels 2025 montrent une amélioration spectaculaire du résultat net grâce à la cession-bail du terrain : +8,206 milliards au T1, +8,217 au S1, et +8,143 sur 9 mois, mais ces bénéfices sont exclusivement dus à l'opération exceptionnelle de 9,994 milliards. Le rapport S1 2026 (publié en 2026) confirme le redressement opérationnel avec un résultat d'exploitation positif de 771 millions FCFA et un résultat net de 771 millions, contre une perte de 314 millions au S1 2025. Le rapport annuel 2025 indique un CA de 29,03 milliards (+6,2%), un EBE positif de 1,13 milliard et une perte réduite à -624 millions. La structure financière s'est assainie avec des capitaux propres de 24,62 milliards en 2025. On estime que l'exercice 2026 devrait confirmer cette trajectoire avec une rentabilité opérationnelle durable, sous réserve de la consolidation des marchés d'exportation.</w:t>
      </w:r>
    </w:p>
    <w:p>
      <w:pPr>
        <w:spacing w:after="120" w:line="276" w:lineRule="auto" w:before="240"/>
      </w:pPr>
      <w:r>
        <w:rPr>
          <w:b/>
          <w:color w:val="003366"/>
          <w:sz w:val="24"/>
        </w:rPr>
        <w:t>**PARTIE 4 : CONCLUSION D'INVESTISSEMENT**</w:t>
      </w:r>
    </w:p>
    <w:p>
      <w:pPr>
        <w:spacing w:after="120" w:line="276" w:lineRule="auto"/>
      </w:pPr>
      <w:r>
        <w:t>La valorisation actuelle d'UNXC, avec un P/B de 2,66x et un PER négatif, intègre déjà des anticipations de redressement, mais le retour à la rentabilité opérationnelle confirmé au S1 2026 justifie cette prime. Le comportement du cours sur 100 jours montre une stabilisation après une forte volatilité (48,7% annualisée), avec une asymétrie négative qui appelle à la prudence malgré la récente hausse de 3,09%. Les signaux techniques sont partagés : les moyennes mobiles et le MACD soutiennent la tendance haussière, mais les bandes de Bollinger et le stochastique signalent un surachat imminent. Les fondamentaux s'améliorent nettement : le CA progresse, l'EBE est redevenu positif et la perte se réduit, mais la dépendance aux éléments exceptionnels passés et la persistance d'un résultat net encore négatif en 2025 imposent une vigilance. Les prédictions IA (1 935 à 1 901 FCFA sur 10 jours) suggèrent une correction modérée, contredisant partiellement les signaux techniques haussiers. La recommandation finale est **CONSERVER** avec un niveau de confiance **Moyen** et un risque global **Élevé**. L'horizon d'investissement optimal est le **moyen terme (3-12 mois)**, en attendant la confirmation d'une rentabilité opérationnelle durable sur l'ensemble de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