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17/10/2026 à 08:37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ECOC  (score 79/100)</w:t>
      </w:r>
    </w:p>
    <w:p>
      <w:pPr>
        <w:spacing w:before="20" w:after="20"/>
        <w:ind w:left="360" w:right="360"/>
        <w:shd w:val="clear" w:color="auto" w:fill="EBF5FB"/>
      </w:pPr>
      <w:r>
        <w:rPr>
          <w:b/>
          <w:sz w:val="19"/>
        </w:rPr>
        <w:t xml:space="preserve">Secteur surperformant :  </w:t>
      </w:r>
      <w:r>
        <w:rPr>
          <w:color w:val="008000"/>
          <w:sz w:val="19"/>
        </w:rPr>
        <w:t>Services Financiers  (+43.2%)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19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532.61 points </w:t>
      </w:r>
      <w:r>
        <w:rPr>
          <w:color w:val="C00000"/>
        </w:rPr>
        <w:t>(-0.94%)</w:t>
      </w:r>
      <w:r>
        <w:t xml:space="preserve"> sur la séance. </w:t>
      </w:r>
      <w:r>
        <w:t>La capitalisation globale du marché atteint 20 886,210 milliards FCFA.</w:t>
      </w:r>
    </w:p>
    <w:p/>
    <w:p>
      <w:pPr>
        <w:pStyle w:val="Heading3"/>
      </w:pPr>
      <w:r>
        <w:t>📊 Évolution de l'indice BRVM Composite (100 derniers jours)</w:t>
      </w:r>
    </w:p>
    <w:p>
      <w:r>
        <w:rPr>
          <w:b/>
        </w:rPr>
        <w:t xml:space="preserve">BRVM Composite — </w:t>
      </w:r>
      <w:r>
        <w:t xml:space="preserve">Sur les 100 derniers jours de cotation (2026-05-26 au 2026-10-16), l'indice BRVM Composite a évolué de </w:t>
      </w:r>
      <w:r>
        <w:rPr>
          <w:b/>
          <w:color w:val="008000"/>
        </w:rPr>
        <w:t>+26.71%</w:t>
      </w:r>
      <w:r>
        <w:t>, passant de 420.33 pts à 532.61 pts. Le plus haut atteint est 555.90 pts et le plus bas 420.33 pts. Sur l'ensemble de la période, la moyenne de l'indice s'établit à 494.55 pts, la médiane à 485.46 pts et le mode à 537.67 pts</w:t>
      </w:r>
      <w:r>
        <w:t xml:space="preserve"> (distribution symétrique). </w:t>
      </w:r>
      <w:r>
        <w:t xml:space="preserve">L'écart-type de 43.59 pts (CV=8.8%) traduit une modérée dispersion des cotations. Le kurtosis de -1.43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+28.90%</w:t>
      </w:r>
      <w:r>
        <w:t xml:space="preserve"> sur la période, passant de 16 203,402 Mds FCFA à 20 886,210 Mds FCFA. Le pic de capitalisation observé est de 21 529,927 Mds FCFA et le plancher de 16 203,402 Mds FCFA. La moyenne de la capitalisation sur la période s'établit à 19 119,047 Mds FCFA, la médiane à 18 701,240 Mds FCFA et le mode à 16 203,402 Mds FCFA</w:t>
      </w:r>
      <w:r>
        <w:t xml:space="preserve"> (distribution symétrique). </w:t>
      </w:r>
      <w:r>
        <w:t>L'écart-type de 1 754,298 Mds FCFA (CV=9.2%) reflète une modérée variabilité de la valorisation du marché. Le kurtosis de -1.45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3000 FCFA | </w:t>
      </w:r>
      <w:r>
        <w:rPr>
          <w:b/>
          <w:color w:val="008000"/>
        </w:rPr>
        <w:t>ACHAT</w:t>
      </w:r>
      <w:r>
        <w:t xml:space="preserve"> | Confiance: Moyen | Risque: Faible</w:t>
      </w:r>
    </w:p>
    <w:p>
      <w:pPr>
        <w:pStyle w:val="ListNumber"/>
      </w:pPr>
      <w:r>
        <w:rPr>
          <w:b/>
        </w:rPr>
        <w:t>BBGC - BRIDGE BANK GROUP COTE D'IVOIRE</w:t>
      </w:r>
      <w:r>
        <w:t xml:space="preserve"> | Prix: 10390 FCFA | </w:t>
      </w:r>
      <w:r>
        <w:rPr>
          <w:b/>
          <w:color w:val="008000"/>
        </w:rPr>
        <w:t>ACHAT</w:t>
      </w:r>
      <w:r>
        <w:t xml:space="preserve"> | Confiance: Moyen | Risque: Moyen</w:t>
      </w:r>
    </w:p>
    <w:p>
      <w:pPr>
        <w:pStyle w:val="ListNumber"/>
      </w:pPr>
      <w:r>
        <w:rPr>
          <w:b/>
        </w:rPr>
        <w:t>BICB - BIIC BN - Banque internationale pour le commerce du benin</w:t>
      </w:r>
      <w:r>
        <w:t xml:space="preserve"> | Prix: 8400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32400 FCFA | </w:t>
      </w:r>
      <w:r>
        <w:rPr>
          <w:b/>
          <w:color w:val="008000"/>
        </w:rPr>
        <w:t>ACHAT</w:t>
      </w:r>
      <w:r>
        <w:t xml:space="preserve"> | Confiance: Moyen | Risque: Moyen</w:t>
      </w:r>
    </w:p>
    <w:p>
      <w:pPr>
        <w:pStyle w:val="ListNumber"/>
      </w:pPr>
      <w:r>
        <w:rPr>
          <w:b/>
        </w:rPr>
        <w:t>BNBC - BNBC - BERNABE CI</w:t>
      </w:r>
      <w:r>
        <w:t xml:space="preserve"> | Prix: 1805 FCFA | </w:t>
      </w:r>
      <w:r>
        <w:rPr>
          <w:b/>
          <w:color w:val="008000"/>
        </w:rPr>
        <w:t>ACHAT</w:t>
      </w:r>
      <w:r>
        <w:t xml:space="preserve"> | Confiance: Faible | Risque: Faible</w:t>
      </w:r>
    </w:p>
    <w:p>
      <w:pPr>
        <w:pStyle w:val="ListNumber"/>
      </w:pPr>
      <w:r>
        <w:rPr>
          <w:b/>
        </w:rPr>
        <w:t>BOAB - BANK OF AFRICA BENIN</w:t>
      </w:r>
      <w:r>
        <w:t xml:space="preserve"> | Prix: 9000 FCFA | </w:t>
      </w:r>
      <w:r>
        <w:rPr>
          <w:b/>
          <w:color w:val="008000"/>
        </w:rPr>
        <w:t>ACHAT</w:t>
      </w:r>
      <w:r>
        <w:t xml:space="preserve"> | Confiance: Faible | Risque: Faible</w:t>
      </w:r>
    </w:p>
    <w:p>
      <w:pPr>
        <w:pStyle w:val="ListNumber"/>
      </w:pPr>
      <w:r>
        <w:rPr>
          <w:b/>
        </w:rPr>
        <w:t>BOABF - BANK OF AFRICA BURKINA FASO</w:t>
      </w:r>
      <w:r>
        <w:t xml:space="preserve"> | Prix: 8010 FCFA | </w:t>
      </w:r>
      <w:r>
        <w:rPr>
          <w:b/>
          <w:color w:val="008000"/>
        </w:rPr>
        <w:t>ACHAT</w:t>
      </w:r>
      <w:r>
        <w:t xml:space="preserve"> | Confiance: Faible | Risque: Moyen</w:t>
      </w:r>
    </w:p>
    <w:p>
      <w:pPr>
        <w:pStyle w:val="ListNumber"/>
      </w:pPr>
      <w:r>
        <w:rPr>
          <w:b/>
        </w:rPr>
        <w:t>BOAC - BANK OF AFRICA COTE D'IVOIRE</w:t>
      </w:r>
      <w:r>
        <w:t xml:space="preserve"> | Prix: 11395 FCFA | </w:t>
      </w:r>
      <w:r>
        <w:rPr>
          <w:b/>
          <w:color w:val="008000"/>
        </w:rPr>
        <w:t>ACHAT</w:t>
      </w:r>
      <w:r>
        <w:t xml:space="preserve"> | Confiance: Moyen | Risque: Faible</w:t>
      </w:r>
    </w:p>
    <w:p>
      <w:pPr>
        <w:pStyle w:val="ListNumber"/>
      </w:pPr>
      <w:r>
        <w:rPr>
          <w:b/>
        </w:rPr>
        <w:t>BOAM - BANK OF AFRICA MALI</w:t>
      </w:r>
      <w:r>
        <w:t xml:space="preserve"> | Prix: 5700 FCFA | </w:t>
      </w:r>
      <w:r>
        <w:rPr>
          <w:b/>
          <w:color w:val="008000"/>
        </w:rPr>
        <w:t>ACHAT</w:t>
      </w:r>
      <w:r>
        <w:t xml:space="preserve"> | Confiance: Moyen | Risque: Moyen</w:t>
      </w:r>
    </w:p>
    <w:p>
      <w:pPr>
        <w:pStyle w:val="ListNumber"/>
      </w:pPr>
      <w:r>
        <w:rPr>
          <w:b/>
        </w:rPr>
        <w:t>BOAN - BANK OF AFRICA NIGER</w:t>
      </w:r>
      <w:r>
        <w:t xml:space="preserve"> | Prix: 4700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43.21%</w:t>
      </w:r>
      <w:r>
        <w:t xml:space="preserve">  |  </w:t>
      </w:r>
      <w:r>
        <w:rPr>
          <w:b/>
        </w:rPr>
        <w:t xml:space="preserve">vs BRVM Composite: </w:t>
      </w:r>
      <w:r>
        <w:rPr>
          <w:b/>
          <w:color w:val="008000"/>
        </w:rPr>
        <w:t>+16.50%  🟢 Surperformance</w:t>
      </w:r>
      <w:r>
        <w:br/>
      </w:r>
      <w:r>
        <w:rPr>
          <w:b/>
        </w:rPr>
        <w:t xml:space="preserve">Sentiment général: </w:t>
      </w:r>
      <w:r>
        <w:t xml:space="preserve">ACHAT  |  </w:t>
      </w:r>
      <w:r>
        <w:rPr>
          <w:b/>
        </w:rPr>
        <w:t xml:space="preserve">Risque moyen: </w:t>
      </w:r>
      <w:r>
        <w:t xml:space="preserve">Moyen  |  </w:t>
      </w:r>
      <w:r>
        <w:rPr>
          <w:b/>
        </w:rPr>
        <w:t xml:space="preserve">Prix moyen: </w:t>
      </w:r>
      <w:r>
        <w:t>10390 FCFA</w:t>
        <w:br/>
      </w:r>
      <w:r>
        <w:rPr>
          <w:b/>
        </w:rPr>
        <w:br/>
        <w:t xml:space="preserve">Sociétés: </w:t>
      </w:r>
      <w:r>
        <w:t>BBGC (BRIDGE BANK GROUP COTE D'IVOIRE)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30.40%</w:t>
      </w:r>
      <w:r>
        <w:t xml:space="preserve">  |  </w:t>
      </w:r>
      <w:r>
        <w:rPr>
          <w:b/>
        </w:rPr>
        <w:t xml:space="preserve">vs BRVM Composite: </w:t>
      </w:r>
      <w:r>
        <w:rPr>
          <w:b/>
          <w:color w:val="008000"/>
        </w:rPr>
        <w:t>+3.69%  🟢 Surperformance</w:t>
      </w:r>
      <w:r>
        <w:br/>
      </w:r>
      <w:r>
        <w:rPr>
          <w:b/>
        </w:rPr>
        <w:t xml:space="preserve">Sentiment général: </w:t>
      </w:r>
      <w:r>
        <w:t xml:space="preserve">ACHAT  |  </w:t>
      </w:r>
      <w:r>
        <w:rPr>
          <w:b/>
        </w:rPr>
        <w:t xml:space="preserve">Risque moyen: </w:t>
      </w:r>
      <w:r>
        <w:t xml:space="preserve">Moyen  |  </w:t>
      </w:r>
      <w:r>
        <w:rPr>
          <w:b/>
        </w:rPr>
        <w:t xml:space="preserve">Prix moyen: </w:t>
      </w:r>
      <w:r>
        <w:t>9350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29.67%</w:t>
      </w:r>
      <w:r>
        <w:t xml:space="preserve">  |  </w:t>
      </w:r>
      <w:r>
        <w:rPr>
          <w:b/>
        </w:rPr>
        <w:t xml:space="preserve">vs BRVM Composite: </w:t>
      </w:r>
      <w:r>
        <w:rPr>
          <w:b/>
          <w:color w:val="008000"/>
        </w:rPr>
        <w:t>+2.96%  🟢 Surperformance</w:t>
      </w:r>
      <w:r>
        <w:br/>
      </w:r>
      <w:r>
        <w:rPr>
          <w:b/>
        </w:rPr>
        <w:t xml:space="preserve">Sentiment général: </w:t>
      </w:r>
      <w:r>
        <w:t xml:space="preserve">ACHAT  |  </w:t>
      </w:r>
      <w:r>
        <w:rPr>
          <w:b/>
        </w:rPr>
        <w:t xml:space="preserve">Risque moyen: </w:t>
      </w:r>
      <w:r>
        <w:t xml:space="preserve">Moyen  |  </w:t>
      </w:r>
      <w:r>
        <w:rPr>
          <w:b/>
        </w:rPr>
        <w:t xml:space="preserve">Prix moyen: </w:t>
      </w:r>
      <w:r>
        <w:t>22365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25.78%</w:t>
      </w:r>
      <w:r>
        <w:t xml:space="preserve">  |  </w:t>
      </w:r>
      <w:r>
        <w:rPr>
          <w:b/>
        </w:rPr>
        <w:t xml:space="preserve">vs BRVM Composite: </w:t>
      </w:r>
      <w:r>
        <w:rPr>
          <w:b/>
          <w:color w:val="C00000"/>
        </w:rPr>
        <w:t>-0.93%  🔴 Sous-performance</w:t>
      </w:r>
      <w:r>
        <w:br/>
      </w:r>
      <w:r>
        <w:rPr>
          <w:b/>
        </w:rPr>
        <w:t xml:space="preserve">Sentiment général: </w:t>
      </w:r>
      <w:r>
        <w:t xml:space="preserve">ACHAT  |  </w:t>
      </w:r>
      <w:r>
        <w:rPr>
          <w:b/>
        </w:rPr>
        <w:t xml:space="preserve">Risque moyen: </w:t>
      </w:r>
      <w:r>
        <w:t xml:space="preserve">Moyen  |  </w:t>
      </w:r>
      <w:r>
        <w:rPr>
          <w:b/>
        </w:rPr>
        <w:t xml:space="preserve">Prix moyen: </w:t>
      </w:r>
      <w:r>
        <w:t>13134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13.79%</w:t>
      </w:r>
      <w:r>
        <w:t xml:space="preserve">  |  </w:t>
      </w:r>
      <w:r>
        <w:rPr>
          <w:b/>
        </w:rPr>
        <w:t xml:space="preserve">vs BRVM Composite: </w:t>
      </w:r>
      <w:r>
        <w:rPr>
          <w:b/>
          <w:color w:val="C00000"/>
        </w:rPr>
        <w:t>-12.92%  🔴 Sous-performance</w:t>
      </w:r>
      <w:r>
        <w:br/>
      </w:r>
      <w:r>
        <w:rPr>
          <w:b/>
        </w:rPr>
        <w:t xml:space="preserve">Sentiment général: </w:t>
      </w:r>
      <w:r>
        <w:t xml:space="preserve">ACHAT  |  </w:t>
      </w:r>
      <w:r>
        <w:rPr>
          <w:b/>
        </w:rPr>
        <w:t xml:space="preserve">Risque moyen: </w:t>
      </w:r>
      <w:r>
        <w:t xml:space="preserve">Faible  |  </w:t>
      </w:r>
      <w:r>
        <w:rPr>
          <w:b/>
        </w:rPr>
        <w:t xml:space="preserve">Prix moyen: </w:t>
      </w:r>
      <w:r>
        <w:t>6084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10.85%</w:t>
      </w:r>
      <w:r>
        <w:t xml:space="preserve">  |  </w:t>
      </w:r>
      <w:r>
        <w:rPr>
          <w:b/>
        </w:rPr>
        <w:t xml:space="preserve">vs BRVM Composite: </w:t>
      </w:r>
      <w:r>
        <w:rPr>
          <w:b/>
          <w:color w:val="C00000"/>
        </w:rPr>
        <w:t>-15.87%  🔴 Sous-performance</w:t>
      </w:r>
      <w:r>
        <w:br/>
      </w:r>
      <w:r>
        <w:rPr>
          <w:b/>
        </w:rPr>
        <w:t xml:space="preserve">Sentiment général: </w:t>
      </w:r>
      <w:r>
        <w:t xml:space="preserve">ACHAT  |  </w:t>
      </w:r>
      <w:r>
        <w:rPr>
          <w:b/>
        </w:rPr>
        <w:t xml:space="preserve">Risque moyen: </w:t>
      </w:r>
      <w:r>
        <w:t xml:space="preserve">Faible  |  </w:t>
      </w:r>
      <w:r>
        <w:rPr>
          <w:b/>
        </w:rPr>
        <w:t xml:space="preserve">Prix moyen: </w:t>
      </w:r>
      <w:r>
        <w:t>18054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7.15%</w:t>
      </w:r>
      <w:r>
        <w:t xml:space="preserve">  |  </w:t>
      </w:r>
      <w:r>
        <w:rPr>
          <w:b/>
        </w:rPr>
        <w:t xml:space="preserve">vs BRVM Composite: </w:t>
      </w:r>
      <w:r>
        <w:rPr>
          <w:b/>
          <w:color w:val="C00000"/>
        </w:rPr>
        <w:t>-19.56%  🔴 Sous-performance</w:t>
      </w:r>
      <w:r>
        <w:br/>
      </w:r>
      <w:r>
        <w:rPr>
          <w:b/>
        </w:rPr>
        <w:t xml:space="preserve">Sentiment général: </w:t>
      </w:r>
      <w:r>
        <w:t xml:space="preserve">ACHAT  |  </w:t>
      </w:r>
      <w:r>
        <w:rPr>
          <w:b/>
        </w:rPr>
        <w:t xml:space="preserve">Risque moyen: </w:t>
      </w:r>
      <w:r>
        <w:t xml:space="preserve">Faible  |  </w:t>
      </w:r>
      <w:r>
        <w:rPr>
          <w:b/>
        </w:rPr>
        <w:t xml:space="preserve">Prix moyen: </w:t>
      </w:r>
      <w:r>
        <w:t>2685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-10.06%</w:t>
      </w:r>
      <w:r>
        <w:t xml:space="preserve">  |  </w:t>
      </w:r>
      <w:r>
        <w:rPr>
          <w:b/>
        </w:rPr>
        <w:t xml:space="preserve">vs BRVM Composite: </w:t>
      </w:r>
      <w:r>
        <w:rPr>
          <w:b/>
          <w:color w:val="C00000"/>
        </w:rPr>
        <w:t>-36.77%  🔴 Sous-performance</w:t>
      </w:r>
      <w:r>
        <w:br/>
      </w:r>
      <w:r>
        <w:rPr>
          <w:b/>
        </w:rPr>
        <w:t xml:space="preserve">Sentiment général: </w:t>
      </w:r>
      <w:r>
        <w:t xml:space="preserve">ACHAT  |  </w:t>
      </w:r>
      <w:r>
        <w:rPr>
          <w:b/>
        </w:rPr>
        <w:t xml:space="preserve">Risque moyen: </w:t>
      </w:r>
      <w:r>
        <w:t xml:space="preserve">Faible  |  </w:t>
      </w:r>
      <w:r>
        <w:rPr>
          <w:b/>
        </w:rPr>
        <w:t xml:space="preserve">Prix moyen: </w:t>
      </w:r>
      <w:r>
        <w:t>2298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ECOC, NTLC, ONTBF, SDSC, SGBC, SLBC,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BICC, BOAC, BOAM, BOAS, CABC, CBIBF, LNBB, NEIC, NSBC, ORAC, PRSC, SCRC, SDCC, SEMC, SHEC, SICC, SNTS, TTLC,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BOABF, BOAN, CFAC, ETIT, FTSC, ORGT, PALC, SAFC, SIBC, SIVC, SMBC, SOGC, SPHC, STAC,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1648123</w:t>
            </w:r>
          </w:p>
        </w:tc>
        <w:tc>
          <w:tcPr>
            <w:tcW w:type="dxa" w:w="1728"/>
          </w:tcPr>
          <w:p>
            <w:r>
              <w:t>109929608 FCFA</w:t>
            </w:r>
          </w:p>
        </w:tc>
        <w:tc>
          <w:tcPr>
            <w:tcW w:type="dxa" w:w="1728"/>
          </w:tcPr>
          <w:p>
            <w:r>
              <w:t>124.14%</w:t>
            </w:r>
          </w:p>
        </w:tc>
        <w:tc>
          <w:tcPr>
            <w:tcW w:type="dxa" w:w="1728"/>
          </w:tcPr>
          <w:p>
            <w:r>
              <w:t>ACHAT</w:t>
            </w:r>
          </w:p>
        </w:tc>
      </w:tr>
      <w:tr>
        <w:tc>
          <w:tcPr>
            <w:tcW w:type="dxa" w:w="1728"/>
          </w:tcPr>
          <w:p>
            <w:r>
              <w:t>SNTS (SNTS - SONATEL SN)</w:t>
            </w:r>
          </w:p>
        </w:tc>
        <w:tc>
          <w:tcPr>
            <w:tcW w:type="dxa" w:w="1728"/>
          </w:tcPr>
          <w:p>
            <w:r>
              <w:t>29031</w:t>
            </w:r>
          </w:p>
        </w:tc>
        <w:tc>
          <w:tcPr>
            <w:tcW w:type="dxa" w:w="1728"/>
          </w:tcPr>
          <w:p>
            <w:r>
              <w:t>1256551543 FCFA</w:t>
            </w:r>
          </w:p>
        </w:tc>
        <w:tc>
          <w:tcPr>
            <w:tcW w:type="dxa" w:w="1728"/>
          </w:tcPr>
          <w:p>
            <w:r>
              <w:t>52.90%</w:t>
            </w:r>
          </w:p>
        </w:tc>
        <w:tc>
          <w:tcPr>
            <w:tcW w:type="dxa" w:w="1728"/>
          </w:tcPr>
          <w:p>
            <w:r>
              <w:t>ACHAT</w:t>
            </w:r>
          </w:p>
        </w:tc>
      </w:tr>
      <w:tr>
        <w:tc>
          <w:tcPr>
            <w:tcW w:type="dxa" w:w="1728"/>
          </w:tcPr>
          <w:p>
            <w:r>
              <w:t>BBGC (BRIDGE BANK GROUP COTE D'IVOIRE)</w:t>
            </w:r>
          </w:p>
        </w:tc>
        <w:tc>
          <w:tcPr>
            <w:tcW w:type="dxa" w:w="1728"/>
          </w:tcPr>
          <w:p>
            <w:r>
              <w:t>27889</w:t>
            </w:r>
          </w:p>
        </w:tc>
        <w:tc>
          <w:tcPr>
            <w:tcW w:type="dxa" w:w="1728"/>
          </w:tcPr>
          <w:p>
            <w:r>
              <w:t>261950722 FCFA</w:t>
            </w:r>
          </w:p>
        </w:tc>
        <w:tc>
          <w:tcPr>
            <w:tcW w:type="dxa" w:w="1728"/>
          </w:tcPr>
          <w:p>
            <w:r>
              <w:t>43.21%</w:t>
            </w:r>
          </w:p>
        </w:tc>
        <w:tc>
          <w:tcPr>
            <w:tcW w:type="dxa" w:w="1728"/>
          </w:tcPr>
          <w:p>
            <w:r>
              <w:t>ACHAT</w:t>
            </w:r>
          </w:p>
        </w:tc>
      </w:tr>
      <w:tr>
        <w:tc>
          <w:tcPr>
            <w:tcW w:type="dxa" w:w="1728"/>
          </w:tcPr>
          <w:p>
            <w:r>
              <w:t>BOAS (BANK OF AFRICA SENEGAL)</w:t>
            </w:r>
          </w:p>
        </w:tc>
        <w:tc>
          <w:tcPr>
            <w:tcW w:type="dxa" w:w="1728"/>
          </w:tcPr>
          <w:p>
            <w:r>
              <w:t>12362</w:t>
            </w:r>
          </w:p>
        </w:tc>
        <w:tc>
          <w:tcPr>
            <w:tcW w:type="dxa" w:w="1728"/>
          </w:tcPr>
          <w:p>
            <w:r>
              <w:t>99761879 FCFA</w:t>
            </w:r>
          </w:p>
        </w:tc>
        <w:tc>
          <w:tcPr>
            <w:tcW w:type="dxa" w:w="1728"/>
          </w:tcPr>
          <w:p>
            <w:r>
              <w:t>5.23%</w:t>
            </w:r>
          </w:p>
        </w:tc>
        <w:tc>
          <w:tcPr>
            <w:tcW w:type="dxa" w:w="1728"/>
          </w:tcPr>
          <w:p>
            <w:r>
              <w:t>ACHAT</w:t>
            </w:r>
          </w:p>
        </w:tc>
      </w:tr>
      <w:tr>
        <w:tc>
          <w:tcPr>
            <w:tcW w:type="dxa" w:w="1728"/>
          </w:tcPr>
          <w:p>
            <w:r>
              <w:t>SDSC (SDSC - AFRICA GLOBAL LOGISTICS CI)</w:t>
            </w:r>
          </w:p>
        </w:tc>
        <w:tc>
          <w:tcPr>
            <w:tcW w:type="dxa" w:w="1728"/>
          </w:tcPr>
          <w:p>
            <w:r>
              <w:t>11686</w:t>
            </w:r>
          </w:p>
        </w:tc>
        <w:tc>
          <w:tcPr>
            <w:tcW w:type="dxa" w:w="1728"/>
          </w:tcPr>
          <w:p>
            <w:r>
              <w:t>33811064 FCFA</w:t>
            </w:r>
          </w:p>
        </w:tc>
        <w:tc>
          <w:tcPr>
            <w:tcW w:type="dxa" w:w="1728"/>
          </w:tcPr>
          <w:p>
            <w:r>
              <w:t>69.82%</w:t>
            </w:r>
          </w:p>
        </w:tc>
        <w:tc>
          <w:tcPr>
            <w:tcW w:type="dxa" w:w="1728"/>
          </w:tcPr>
          <w:p>
            <w:r>
              <w:t>ACHAT</w:t>
            </w:r>
          </w:p>
        </w:tc>
      </w:tr>
      <w:tr>
        <w:tc>
          <w:tcPr>
            <w:tcW w:type="dxa" w:w="1728"/>
          </w:tcPr>
          <w:p>
            <w:r>
              <w:t>SIBC (SIBC - SOCIETE IVOIRIENNE DE BANQUE)</w:t>
            </w:r>
          </w:p>
        </w:tc>
        <w:tc>
          <w:tcPr>
            <w:tcW w:type="dxa" w:w="1728"/>
          </w:tcPr>
          <w:p>
            <w:r>
              <w:t>11599</w:t>
            </w:r>
          </w:p>
        </w:tc>
        <w:tc>
          <w:tcPr>
            <w:tcW w:type="dxa" w:w="1728"/>
          </w:tcPr>
          <w:p>
            <w:r>
              <w:t>103716257 FCFA</w:t>
            </w:r>
          </w:p>
        </w:tc>
        <w:tc>
          <w:tcPr>
            <w:tcW w:type="dxa" w:w="1728"/>
          </w:tcPr>
          <w:p>
            <w:r>
              <w:t>13.31%</w:t>
            </w:r>
          </w:p>
        </w:tc>
        <w:tc>
          <w:tcPr>
            <w:tcW w:type="dxa" w:w="1728"/>
          </w:tcPr>
          <w:p>
            <w:r>
              <w:t>ACHAT</w:t>
            </w:r>
          </w:p>
        </w:tc>
      </w:tr>
      <w:tr>
        <w:tc>
          <w:tcPr>
            <w:tcW w:type="dxa" w:w="1728"/>
          </w:tcPr>
          <w:p>
            <w:r>
              <w:t>SCRC (SCRC - SUCRIVOIRE)</w:t>
            </w:r>
          </w:p>
        </w:tc>
        <w:tc>
          <w:tcPr>
            <w:tcW w:type="dxa" w:w="1728"/>
          </w:tcPr>
          <w:p>
            <w:r>
              <w:t>10826</w:t>
            </w:r>
          </w:p>
        </w:tc>
        <w:tc>
          <w:tcPr>
            <w:tcW w:type="dxa" w:w="1728"/>
          </w:tcPr>
          <w:p>
            <w:r>
              <w:t>29634021 FCFA</w:t>
            </w:r>
          </w:p>
        </w:tc>
        <w:tc>
          <w:tcPr>
            <w:tcW w:type="dxa" w:w="1728"/>
          </w:tcPr>
          <w:p>
            <w:r>
              <w:t>2.95%</w:t>
            </w:r>
          </w:p>
        </w:tc>
        <w:tc>
          <w:tcPr>
            <w:tcW w:type="dxa" w:w="1728"/>
          </w:tcPr>
          <w:p>
            <w:r>
              <w:t>ACHAT</w:t>
            </w:r>
          </w:p>
        </w:tc>
      </w:tr>
      <w:tr>
        <w:tc>
          <w:tcPr>
            <w:tcW w:type="dxa" w:w="1728"/>
          </w:tcPr>
          <w:p>
            <w:r>
              <w:t>UNXC (UNXC - UNIWAX COTE D'IVOIRE)</w:t>
            </w:r>
          </w:p>
        </w:tc>
        <w:tc>
          <w:tcPr>
            <w:tcW w:type="dxa" w:w="1728"/>
          </w:tcPr>
          <w:p>
            <w:r>
              <w:t>9827</w:t>
            </w:r>
          </w:p>
        </w:tc>
        <w:tc>
          <w:tcPr>
            <w:tcW w:type="dxa" w:w="1728"/>
          </w:tcPr>
          <w:p>
            <w:r>
              <w:t>22575387 FCFA</w:t>
            </w:r>
          </w:p>
        </w:tc>
        <w:tc>
          <w:tcPr>
            <w:tcW w:type="dxa" w:w="1728"/>
          </w:tcPr>
          <w:p>
            <w:r>
              <w:t>20.51%</w:t>
            </w:r>
          </w:p>
        </w:tc>
        <w:tc>
          <w:tcPr>
            <w:tcW w:type="dxa" w:w="1728"/>
          </w:tcPr>
          <w:p>
            <w:r>
              <w:t>ACHAT</w:t>
            </w:r>
          </w:p>
        </w:tc>
      </w:tr>
      <w:tr>
        <w:tc>
          <w:tcPr>
            <w:tcW w:type="dxa" w:w="1728"/>
          </w:tcPr>
          <w:p>
            <w:r>
              <w:t>BOAC (BANK OF AFRICA COTE D'IVOIRE)</w:t>
            </w:r>
          </w:p>
        </w:tc>
        <w:tc>
          <w:tcPr>
            <w:tcW w:type="dxa" w:w="1728"/>
          </w:tcPr>
          <w:p>
            <w:r>
              <w:t>9736</w:t>
            </w:r>
          </w:p>
        </w:tc>
        <w:tc>
          <w:tcPr>
            <w:tcW w:type="dxa" w:w="1728"/>
          </w:tcPr>
          <w:p>
            <w:r>
              <w:t>109875121 FCFA</w:t>
            </w:r>
          </w:p>
        </w:tc>
        <w:tc>
          <w:tcPr>
            <w:tcW w:type="dxa" w:w="1728"/>
          </w:tcPr>
          <w:p>
            <w:r>
              <w:t>29.12%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ORAC (ORAC - ORANGE COTE D'IVOIRE)</w:t>
            </w:r>
          </w:p>
        </w:tc>
        <w:tc>
          <w:tcPr>
            <w:tcW w:type="dxa" w:w="1728"/>
          </w:tcPr>
          <w:p>
            <w:r>
              <w:t>3990</w:t>
            </w:r>
          </w:p>
        </w:tc>
        <w:tc>
          <w:tcPr>
            <w:tcW w:type="dxa" w:w="1728"/>
          </w:tcPr>
          <w:p>
            <w:r>
              <w:t>84892830 FCFA</w:t>
            </w:r>
          </w:p>
        </w:tc>
        <w:tc>
          <w:tcPr>
            <w:tcW w:type="dxa" w:w="1728"/>
          </w:tcPr>
          <w:p>
            <w:r>
              <w:t>31.21%</w:t>
            </w:r>
          </w:p>
        </w:tc>
        <w:tc>
          <w:tcPr>
            <w:tcW w:type="dxa" w:w="1728"/>
          </w:tcPr>
          <w:p>
            <w:r>
              <w:t>ACHAT</w:t>
            </w:r>
          </w:p>
        </w:tc>
      </w:tr>
      <w:tr>
        <w:tc>
          <w:tcPr>
            <w:tcW w:type="dxa" w:w="1728"/>
          </w:tcPr>
          <w:p>
            <w:r>
              <w:t>ORGT (ORGT - ORAGROUP TOGO)</w:t>
            </w:r>
          </w:p>
        </w:tc>
        <w:tc>
          <w:tcPr>
            <w:tcW w:type="dxa" w:w="1728"/>
          </w:tcPr>
          <w:p>
            <w:r>
              <w:t>3183</w:t>
            </w:r>
          </w:p>
        </w:tc>
        <w:tc>
          <w:tcPr>
            <w:tcW w:type="dxa" w:w="1728"/>
          </w:tcPr>
          <w:p>
            <w:r>
              <w:t>9392824 FCFA</w:t>
            </w:r>
          </w:p>
        </w:tc>
        <w:tc>
          <w:tcPr>
            <w:tcW w:type="dxa" w:w="1728"/>
          </w:tcPr>
          <w:p>
            <w:r>
              <w:t>1.46%</w:t>
            </w:r>
          </w:p>
        </w:tc>
        <w:tc>
          <w:tcPr>
            <w:tcW w:type="dxa" w:w="1728"/>
          </w:tcPr>
          <w:p>
            <w:r>
              <w:t>ACHAT</w:t>
            </w:r>
          </w:p>
        </w:tc>
      </w:tr>
      <w:tr>
        <w:tc>
          <w:tcPr>
            <w:tcW w:type="dxa" w:w="1728"/>
          </w:tcPr>
          <w:p>
            <w:r>
              <w:t>SIVC (SIVC - ERIUM CI (Ex AIR LIQUIDECI))</w:t>
            </w:r>
          </w:p>
        </w:tc>
        <w:tc>
          <w:tcPr>
            <w:tcW w:type="dxa" w:w="1728"/>
          </w:tcPr>
          <w:p>
            <w:r>
              <w:t>3179</w:t>
            </w:r>
          </w:p>
        </w:tc>
        <w:tc>
          <w:tcPr>
            <w:tcW w:type="dxa" w:w="1728"/>
          </w:tcPr>
          <w:p>
            <w:r>
              <w:t>6391579 FCFA</w:t>
            </w:r>
          </w:p>
        </w:tc>
        <w:tc>
          <w:tcPr>
            <w:tcW w:type="dxa" w:w="1728"/>
          </w:tcPr>
          <w:p>
            <w:r>
              <w:t>-37.74%</w:t>
            </w:r>
          </w:p>
        </w:tc>
        <w:tc>
          <w:tcPr>
            <w:tcW w:type="dxa" w:w="1728"/>
          </w:tcPr>
          <w:p>
            <w:r>
              <w:t>ACHAT</w:t>
            </w:r>
          </w:p>
        </w:tc>
      </w:tr>
      <w:tr>
        <w:tc>
          <w:tcPr>
            <w:tcW w:type="dxa" w:w="1728"/>
          </w:tcPr>
          <w:p>
            <w:r>
              <w:t>CFAC (CFAC - CFAO MOTORS CI)</w:t>
            </w:r>
          </w:p>
        </w:tc>
        <w:tc>
          <w:tcPr>
            <w:tcW w:type="dxa" w:w="1728"/>
          </w:tcPr>
          <w:p>
            <w:r>
              <w:t>2803</w:t>
            </w:r>
          </w:p>
        </w:tc>
        <w:tc>
          <w:tcPr>
            <w:tcW w:type="dxa" w:w="1728"/>
          </w:tcPr>
          <w:p>
            <w:r>
              <w:t>4229085 FCFA</w:t>
            </w:r>
          </w:p>
        </w:tc>
        <w:tc>
          <w:tcPr>
            <w:tcW w:type="dxa" w:w="1728"/>
          </w:tcPr>
          <w:p>
            <w:r>
              <w:t>-2.36%</w:t>
            </w:r>
          </w:p>
        </w:tc>
        <w:tc>
          <w:tcPr>
            <w:tcW w:type="dxa" w:w="1728"/>
          </w:tcPr>
          <w:p>
            <w:r>
              <w:t>ACHAT</w:t>
            </w:r>
          </w:p>
        </w:tc>
      </w:tr>
      <w:tr>
        <w:tc>
          <w:tcPr>
            <w:tcW w:type="dxa" w:w="1728"/>
          </w:tcPr>
          <w:p>
            <w:r>
              <w:t>FTSC (FTSC - FILTISAC COTE D'IVOIRE)</w:t>
            </w:r>
          </w:p>
        </w:tc>
        <w:tc>
          <w:tcPr>
            <w:tcW w:type="dxa" w:w="1728"/>
          </w:tcPr>
          <w:p>
            <w:r>
              <w:t>2765</w:t>
            </w:r>
          </w:p>
        </w:tc>
        <w:tc>
          <w:tcPr>
            <w:tcW w:type="dxa" w:w="1728"/>
          </w:tcPr>
          <w:p>
            <w:r>
              <w:t>5366906 FCFA</w:t>
            </w:r>
          </w:p>
        </w:tc>
        <w:tc>
          <w:tcPr>
            <w:tcW w:type="dxa" w:w="1728"/>
          </w:tcPr>
          <w:p>
            <w:r>
              <w:t>-21.74%</w:t>
            </w:r>
          </w:p>
        </w:tc>
        <w:tc>
          <w:tcPr>
            <w:tcW w:type="dxa" w:w="1728"/>
          </w:tcPr>
          <w:p>
            <w:r>
              <w:t>ACHAT</w:t>
            </w:r>
          </w:p>
        </w:tc>
      </w:tr>
      <w:tr>
        <w:tc>
          <w:tcPr>
            <w:tcW w:type="dxa" w:w="1728"/>
          </w:tcPr>
          <w:p>
            <w:r>
              <w:t>ECOC (ECOC - ECOBANK COTE D'IVOIRE)</w:t>
            </w:r>
          </w:p>
        </w:tc>
        <w:tc>
          <w:tcPr>
            <w:tcW w:type="dxa" w:w="1728"/>
          </w:tcPr>
          <w:p>
            <w:r>
              <w:t>2691</w:t>
            </w:r>
          </w:p>
        </w:tc>
        <w:tc>
          <w:tcPr>
            <w:tcW w:type="dxa" w:w="1728"/>
          </w:tcPr>
          <w:p>
            <w:r>
              <w:t>44733900 FCFA</w:t>
            </w:r>
          </w:p>
        </w:tc>
        <w:tc>
          <w:tcPr>
            <w:tcW w:type="dxa" w:w="1728"/>
          </w:tcPr>
          <w:p>
            <w:r>
              <w:t>-2.45%</w:t>
            </w:r>
          </w:p>
        </w:tc>
        <w:tc>
          <w:tcPr>
            <w:tcW w:type="dxa" w:w="1728"/>
          </w:tcPr>
          <w:p>
            <w:r>
              <w:t>ACHAT</w:t>
            </w:r>
          </w:p>
        </w:tc>
      </w:tr>
      <w:tr>
        <w:tc>
          <w:tcPr>
            <w:tcW w:type="dxa" w:w="1728"/>
          </w:tcPr>
          <w:p>
            <w:r>
              <w:t>NEIC (NEIC - NEI-CEDA CI)</w:t>
            </w:r>
          </w:p>
        </w:tc>
        <w:tc>
          <w:tcPr>
            <w:tcW w:type="dxa" w:w="1728"/>
          </w:tcPr>
          <w:p>
            <w:r>
              <w:t>2616</w:t>
            </w:r>
          </w:p>
        </w:tc>
        <w:tc>
          <w:tcPr>
            <w:tcW w:type="dxa" w:w="1728"/>
          </w:tcPr>
          <w:p>
            <w:r>
              <w:t>5870068 FCFA</w:t>
            </w:r>
          </w:p>
        </w:tc>
        <w:tc>
          <w:tcPr>
            <w:tcW w:type="dxa" w:w="1728"/>
          </w:tcPr>
          <w:p>
            <w:r>
              <w:t>10.79%</w:t>
            </w:r>
          </w:p>
        </w:tc>
        <w:tc>
          <w:tcPr>
            <w:tcW w:type="dxa" w:w="1728"/>
          </w:tcPr>
          <w:p>
            <w:r>
              <w:t>ACHAT</w:t>
            </w:r>
          </w:p>
        </w:tc>
      </w:tr>
      <w:tr>
        <w:tc>
          <w:tcPr>
            <w:tcW w:type="dxa" w:w="1728"/>
          </w:tcPr>
          <w:p>
            <w:r>
              <w:t>SOGC (SOGC - Société des caoutchoucs de Grand-Béréby)</w:t>
            </w:r>
          </w:p>
        </w:tc>
        <w:tc>
          <w:tcPr>
            <w:tcW w:type="dxa" w:w="1728"/>
          </w:tcPr>
          <w:p>
            <w:r>
              <w:t>2608</w:t>
            </w:r>
          </w:p>
        </w:tc>
        <w:tc>
          <w:tcPr>
            <w:tcW w:type="dxa" w:w="1728"/>
          </w:tcPr>
          <w:p>
            <w:r>
              <w:t>20375216 FCFA</w:t>
            </w:r>
          </w:p>
        </w:tc>
        <w:tc>
          <w:tcPr>
            <w:tcW w:type="dxa" w:w="1728"/>
          </w:tcPr>
          <w:p>
            <w:r>
              <w:t>0.27%</w:t>
            </w:r>
          </w:p>
        </w:tc>
        <w:tc>
          <w:tcPr>
            <w:tcW w:type="dxa" w:w="1728"/>
          </w:tcPr>
          <w:p>
            <w:r>
              <w:t>ACHAT</w:t>
            </w:r>
          </w:p>
        </w:tc>
      </w:tr>
      <w:tr>
        <w:tc>
          <w:tcPr>
            <w:tcW w:type="dxa" w:w="1728"/>
          </w:tcPr>
          <w:p>
            <w:r>
              <w:t>ABJC (ABJC - SERVAIR ABIDJAN CI)</w:t>
            </w:r>
          </w:p>
        </w:tc>
        <w:tc>
          <w:tcPr>
            <w:tcW w:type="dxa" w:w="1728"/>
          </w:tcPr>
          <w:p>
            <w:r>
              <w:t>2184</w:t>
            </w:r>
          </w:p>
        </w:tc>
        <w:tc>
          <w:tcPr>
            <w:tcW w:type="dxa" w:w="1728"/>
          </w:tcPr>
          <w:p>
            <w:r>
              <w:t>7958891 FCFA</w:t>
            </w:r>
          </w:p>
        </w:tc>
        <w:tc>
          <w:tcPr>
            <w:tcW w:type="dxa" w:w="1728"/>
          </w:tcPr>
          <w:p>
            <w:r>
              <w:t>4.17%</w:t>
            </w:r>
          </w:p>
        </w:tc>
        <w:tc>
          <w:tcPr>
            <w:tcW w:type="dxa" w:w="1728"/>
          </w:tcPr>
          <w:p>
            <w:r>
              <w:t>ACHAT</w:t>
            </w:r>
          </w:p>
        </w:tc>
      </w:tr>
      <w:tr>
        <w:tc>
          <w:tcPr>
            <w:tcW w:type="dxa" w:w="1728"/>
          </w:tcPr>
          <w:p>
            <w:r>
              <w:t>BNBC (BNBC - BERNABE CI)</w:t>
            </w:r>
          </w:p>
        </w:tc>
        <w:tc>
          <w:tcPr>
            <w:tcW w:type="dxa" w:w="1728"/>
          </w:tcPr>
          <w:p>
            <w:r>
              <w:t>2052</w:t>
            </w:r>
          </w:p>
        </w:tc>
        <w:tc>
          <w:tcPr>
            <w:tcW w:type="dxa" w:w="1728"/>
          </w:tcPr>
          <w:p>
            <w:r>
              <w:t>3905313 FCFA</w:t>
            </w:r>
          </w:p>
        </w:tc>
        <w:tc>
          <w:tcPr>
            <w:tcW w:type="dxa" w:w="1728"/>
          </w:tcPr>
          <w:p>
            <w:r>
              <w:t>20.74%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4. STAC - STAC - SETAO COTE D'IVOIRE</w:t>
      </w:r>
    </w:p>
    <w:p>
      <w:r>
        <w:rPr>
          <w:b/>
        </w:rPr>
        <w:t xml:space="preserve">Score de divergence: </w:t>
      </w:r>
      <w:r>
        <w:t>5/8</w:t>
        <w:br/>
      </w:r>
      <w:r>
        <w:rPr>
          <w:b/>
        </w:rPr>
        <w:t xml:space="preserve">Description: </w:t>
      </w:r>
      <w:r>
        <w:t>Signaux de vente: MM, MACD | Recommandation finale: ACHAT</w:t>
        <w:br/>
      </w:r>
    </w:p>
    <w:p/>
    <w:p>
      <w:pPr>
        <w:pStyle w:val="Heading3"/>
      </w:pPr>
      <w:r>
        <w:t>5.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6.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BOAB - BANK OF AFRICA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ETIT - ETIT - Ecobank Transnational Incorporated Togo</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internationaux sont dominés par l'incertitude sur la trajectoire des taux de la BCE : le gouverneur de la Banque de France juge les « conditions pas réunies » pour une intervention face aux tensions sur les taux français (sentiment négatif), tandis que Morningstar s'interroge sur une nouvelle hausse des taux en 2026-2027. Parallèlement, un portefeuille d'investissement attribué à Donald Trump est présenté comme résistant aux hausses de taux de la Fed (positif). Les assemblées FMI/Banque mondiale à Bangkok placent dette et inflation au cœur des préoccupations.</w:t>
      </w:r>
    </w:p>
    <w:p>
      <w:pPr>
        <w:pStyle w:val="Heading3"/>
      </w:pPr>
      <w:r>
        <w:rPr>
          <w:color w:val="500050"/>
        </w:rPr>
        <w:t>⚡ Impact estimé sur la BRVM</w:t>
      </w:r>
    </w:p>
    <w:p>
      <w:pPr>
        <w:spacing w:before="20" w:after="40"/>
        <w:ind w:left="280"/>
      </w:pPr>
      <w:r>
        <w:rPr>
          <w:i/>
          <w:sz w:val="18"/>
        </w:rPr>
        <w:t>Le durcissement monétaire européen renchérit le coût de refinancement des États de l'UEMOA sur les marchés internationaux et pèse sur l'attractivité relative des actifs risqués. Les banques cotées (SGBC, ECOC, NSBC, BOAM) pourraient voir leurs marges se tendre si le FCFA reste arrimé à un euro fort. Les valeurs de croissance (UNXC, NEIC) sont les plus exposées à une aversion au risque accrue.</w:t>
      </w:r>
    </w:p>
    <w:p>
      <w:pPr>
        <w:pStyle w:val="Heading2"/>
      </w:pPr>
      <w:r>
        <w:rPr>
          <w:color w:val="006E32"/>
        </w:rPr>
        <w:t>🌍 Plan Africain</w:t>
      </w:r>
    </w:p>
    <w:p>
      <w:pPr>
        <w:spacing w:before="20" w:after="40"/>
        <w:ind w:left="0"/>
      </w:pPr>
      <w:r>
        <w:rPr>
          <w:sz w:val="18"/>
        </w:rPr>
        <w:t>Les assemblées annuelles FMI-Banque mondiale ont mis l'accent sur la dette et l'inflation africaines, avec un focus sur la croissance du Sénégal et du Gabon. La CEDEAO a renforcé son partenariat avec le FMI et la Banque mondiale (positif). Ces discussions conditionnent l'accès aux financements concessionnels.</w:t>
      </w:r>
    </w:p>
    <w:p>
      <w:pPr>
        <w:pStyle w:val="Heading3"/>
      </w:pPr>
      <w:r>
        <w:rPr>
          <w:color w:val="500050"/>
        </w:rPr>
        <w:t>⚡ Impact estimé sur la BRVM</w:t>
      </w:r>
    </w:p>
    <w:p>
      <w:pPr>
        <w:spacing w:before="20" w:after="40"/>
        <w:ind w:left="280"/>
      </w:pPr>
      <w:r>
        <w:rPr>
          <w:i/>
          <w:sz w:val="18"/>
        </w:rPr>
        <w:t>Un soutien accru des IFI à la sous-région réduirait la pression sur les taux souverains et libérerait de la liquidité bancaire, bénéfique aux banques cotées (SGBC, ECOC, NSBC). Les entreprises à exposition panafricaine (SDSC, ONTBF) profiteraient d'un climat de financement plus favorable.</w:t>
      </w:r>
    </w:p>
    <w:p>
      <w:pPr>
        <w:pStyle w:val="Heading2"/>
      </w:pPr>
      <w:r>
        <w:rPr>
          <w:color w:val="145A28"/>
        </w:rPr>
        <w:t>🌍 Plan Afrique de l'Ouest</w:t>
      </w:r>
    </w:p>
    <w:p>
      <w:pPr>
        <w:spacing w:before="20" w:after="40"/>
        <w:ind w:left="0"/>
      </w:pPr>
      <w:r>
        <w:rPr>
          <w:sz w:val="18"/>
        </w:rPr>
        <w:t>Les pays de l'AES (Burkina, Mali, Niger) harmonisent leurs positions avant une rencontre avec la CEDEAO, signe d'une dynamique de réintégration régionale. La Libérienne Charlyne Brumskine prend la tête de la Cour de justice CEDEAO, renforçant la gouvernance institutionnelle.</w:t>
      </w:r>
    </w:p>
    <w:p>
      <w:pPr>
        <w:pStyle w:val="Heading3"/>
      </w:pPr>
      <w:r>
        <w:rPr>
          <w:color w:val="500050"/>
        </w:rPr>
        <w:t>⚡ Impact estimé sur la BRVM</w:t>
      </w:r>
    </w:p>
    <w:p>
      <w:pPr>
        <w:spacing w:before="20" w:after="40"/>
        <w:ind w:left="280"/>
      </w:pPr>
      <w:r>
        <w:rPr>
          <w:i/>
          <w:sz w:val="18"/>
        </w:rPr>
        <w:t>Une désescalade AES-CEDEAO réduirait la prime de risque régionale et soutiendrait les sociétés opérant au Burkina et au Mali (distribution, télécoms). Impact positif modéré sur ONTBF et les valeurs de consommation (NTLC, SLBC) présentes dans ces zones.</w:t>
      </w:r>
    </w:p>
    <w:p>
      <w:pPr>
        <w:pStyle w:val="Heading2"/>
      </w:pPr>
      <w:r>
        <w:rPr>
          <w:color w:val="8C4600"/>
        </w:rPr>
        <w:t>🏦 Plan UEMOA / Zone Franc</w:t>
      </w:r>
    </w:p>
    <w:p>
      <w:pPr>
        <w:spacing w:before="20" w:after="40"/>
        <w:ind w:left="0"/>
      </w:pPr>
      <w:r>
        <w:rPr>
          <w:sz w:val="18"/>
        </w:rPr>
        <w:t>Données insuffisantes sur les décisions BCEAO, l'inflation zone et la liquidité bancaire dans les actualités fournies. Aucune information sur les matières premières clés (cacao, caoutchouc) n'est disponible.</w:t>
      </w:r>
    </w:p>
    <w:p>
      <w:pPr>
        <w:pStyle w:val="Heading3"/>
      </w:pPr>
      <w:r>
        <w:rPr>
          <w:color w:val="500050"/>
        </w:rPr>
        <w:t>⚡ Impact estimé sur la BRVM</w:t>
      </w:r>
    </w:p>
    <w:p>
      <w:pPr>
        <w:spacing w:before="20" w:after="40"/>
        <w:ind w:left="280"/>
      </w:pPr>
      <w:r>
        <w:rPr>
          <w:i/>
          <w:sz w:val="18"/>
        </w:rPr>
        <w:t>Faute de données BCEAO, l'analyse sectorielle reste limitée. À surveiller : toute hausse du taux directeur impacterait négativement les marges des banques (SGBC, ECOC) et renchérirait le financement des industriels (SDSC, CABC).</w:t>
      </w:r>
    </w:p>
    <w:p>
      <w:pPr>
        <w:pStyle w:val="Heading2"/>
      </w:pPr>
      <w:r>
        <w:rPr>
          <w:color w:val="003366"/>
        </w:rPr>
        <w:t>📈 Plan BRVM</w:t>
      </w:r>
    </w:p>
    <w:p>
      <w:pPr>
        <w:spacing w:before="20" w:after="40"/>
        <w:ind w:left="0"/>
      </w:pPr>
      <w:r>
        <w:rPr>
          <w:sz w:val="18"/>
        </w:rPr>
        <w:t>Un article de juin 2026 souligne les résultats encourageants des sociétés cotées ivoiriennes à la BRVM (positif). L'indice Composite se situe à 532,61 points. Aucune donnée récente sur volumes, IPO ou dividendes n'est disponible.</w:t>
      </w:r>
    </w:p>
    <w:p>
      <w:pPr>
        <w:pStyle w:val="Heading3"/>
      </w:pPr>
      <w:r>
        <w:rPr>
          <w:color w:val="500050"/>
        </w:rPr>
        <w:t>⚡ Impact estimé sur la BRVM</w:t>
      </w:r>
    </w:p>
    <w:p>
      <w:pPr>
        <w:spacing w:before="20" w:after="40"/>
        <w:ind w:left="280"/>
      </w:pPr>
      <w:r>
        <w:rPr>
          <w:i/>
          <w:sz w:val="18"/>
        </w:rPr>
        <w:t>Les résultats ivoiriens solides plaident pour un maintien des positions sur les valeurs de qualité : SGBC (banque solide), ONTBF (télécoms défensif), SLBC (consommation de base). Prudence sur les valeurs cycliques (UNXC, NEIC) en cas de resserrement monétaire.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Tensions sur les taux français et incertitude BCE dominent l'agenda européen. La politique économique américaine (portefeuille Trump) reste un facteur d'incertitude sur les flux de capitaux mondiaux.</w:t>
      </w:r>
    </w:p>
    <w:p>
      <w:pPr>
        <w:pStyle w:val="Heading3"/>
      </w:pPr>
      <w:r>
        <w:rPr>
          <w:color w:val="500050"/>
        </w:rPr>
        <w:t>⚡ Impact estimé sur la BRVM</w:t>
      </w:r>
    </w:p>
    <w:p>
      <w:pPr>
        <w:spacing w:before="20" w:after="40"/>
        <w:ind w:left="280"/>
      </w:pPr>
      <w:r>
        <w:rPr>
          <w:i/>
          <w:sz w:val="18"/>
        </w:rPr>
        <w:t>Une volatilité accrue sur les taux européens détourne les investisseurs internationaux des marchés frontières africains, réduisant la liquidité sur la BRVM et pesant sur les valorisations.</w:t>
      </w:r>
    </w:p>
    <w:p>
      <w:pPr>
        <w:pStyle w:val="Heading2"/>
      </w:pPr>
      <w:r>
        <w:rPr>
          <w:color w:val="006E32"/>
        </w:rPr>
        <w:t>🌍 Plan Africain</w:t>
      </w:r>
    </w:p>
    <w:p>
      <w:pPr>
        <w:spacing w:before="20" w:after="40"/>
        <w:ind w:left="0"/>
      </w:pPr>
      <w:r>
        <w:rPr>
          <w:sz w:val="18"/>
        </w:rPr>
        <w:t>L'Éthiopie installe une administration intérimaire au Tigré (apaisement relatif). Affrontements meurtriers entre le Jnim et l'État islamique à la frontière Mali-Burkina (négatif), illustrant la persistance de l'insécurité sahélienne.</w:t>
      </w:r>
    </w:p>
    <w:p>
      <w:pPr>
        <w:pStyle w:val="Heading3"/>
      </w:pPr>
      <w:r>
        <w:rPr>
          <w:color w:val="500050"/>
        </w:rPr>
        <w:t>⚡ Impact estimé sur la BRVM</w:t>
      </w:r>
    </w:p>
    <w:p>
      <w:pPr>
        <w:spacing w:before="20" w:after="40"/>
        <w:ind w:left="280"/>
      </w:pPr>
      <w:r>
        <w:rPr>
          <w:i/>
          <w:sz w:val="18"/>
        </w:rPr>
        <w:t>L'instabilité sahélienne maintient une prime de risque élevée sur les actifs de la zone, pénalisant les sociétés à exposition malienne et burkinabè. Les investisseurs privilégieront les valeurs ivoiriennes et sénégalaises (SGBC, ONTBF).</w:t>
      </w:r>
    </w:p>
    <w:p>
      <w:pPr>
        <w:pStyle w:val="Heading2"/>
      </w:pPr>
      <w:r>
        <w:rPr>
          <w:color w:val="145A28"/>
        </w:rPr>
        <w:t>🌍 Plan Afrique de l'Ouest</w:t>
      </w:r>
    </w:p>
    <w:p>
      <w:pPr>
        <w:spacing w:before="20" w:after="40"/>
        <w:ind w:left="0"/>
      </w:pPr>
      <w:r>
        <w:rPr>
          <w:sz w:val="18"/>
        </w:rPr>
        <w:t>L'harmonisation des positions AES avant dialogue avec la CEDEAO constitue un signal d'apaisement. La nomination à la Cour de justice CEDEAO renforce l'État de droit régional.</w:t>
      </w:r>
    </w:p>
    <w:p>
      <w:pPr>
        <w:pStyle w:val="Heading3"/>
      </w:pPr>
      <w:r>
        <w:rPr>
          <w:color w:val="500050"/>
        </w:rPr>
        <w:t>⚡ Impact estimé sur la BRVM</w:t>
      </w:r>
    </w:p>
    <w:p>
      <w:pPr>
        <w:spacing w:before="20" w:after="40"/>
        <w:ind w:left="280"/>
      </w:pPr>
      <w:r>
        <w:rPr>
          <w:i/>
          <w:sz w:val="18"/>
        </w:rPr>
        <w:t>Une désescalade politique réduirait le risque pays et pourrait attirer des flux de capitaux vers les sociétés opérant dans l'espace CEDEAO, notamment dans la distribution et les télécoms.</w:t>
      </w:r>
    </w:p>
    <w:p>
      <w:pPr>
        <w:pStyle w:val="Heading2"/>
      </w:pPr>
      <w:r>
        <w:rPr>
          <w:color w:val="8C4600"/>
        </w:rPr>
        <w:t>🏦 Plan UEMOA / Zone Franc</w:t>
      </w:r>
    </w:p>
    <w:p>
      <w:pPr>
        <w:spacing w:before="20" w:after="40"/>
        <w:ind w:left="0"/>
      </w:pPr>
      <w:r>
        <w:rPr>
          <w:sz w:val="18"/>
        </w:rPr>
        <w:t>Données insuffisantes sur la situation politique des pays membres et les réformes institutionnelles.</w:t>
      </w:r>
    </w:p>
    <w:p>
      <w:pPr>
        <w:pStyle w:val="Heading3"/>
      </w:pPr>
      <w:r>
        <w:rPr>
          <w:color w:val="500050"/>
        </w:rPr>
        <w:t>⚡ Impact estimé sur la BRVM</w:t>
      </w:r>
    </w:p>
    <w:p>
      <w:pPr>
        <w:spacing w:before="20" w:after="40"/>
        <w:ind w:left="280"/>
      </w:pPr>
      <w:r>
        <w:rPr>
          <w:i/>
          <w:sz w:val="18"/>
        </w:rPr>
        <w:t>Aucun risque réglementaire ou politique direct identifiable dans les actualités fournies.</w:t>
      </w:r>
    </w:p>
    <w:p>
      <w:pPr>
        <w:pStyle w:val="Heading2"/>
      </w:pPr>
      <w:r>
        <w:rPr>
          <w:color w:val="003366"/>
        </w:rPr>
        <w:t>📈 Plan BRVM</w:t>
      </w:r>
    </w:p>
    <w:p>
      <w:pPr>
        <w:spacing w:before="20" w:after="40"/>
        <w:ind w:left="0"/>
      </w:pPr>
      <w:r>
        <w:rPr>
          <w:sz w:val="18"/>
        </w:rPr>
        <w:t>Données insuffisantes sur la réglementation CREPMF, les nouvelles cotations et la gouvernance des sociétés.</w:t>
      </w:r>
    </w:p>
    <w:p>
      <w:pPr>
        <w:pStyle w:val="Heading3"/>
      </w:pPr>
      <w:r>
        <w:rPr>
          <w:color w:val="500050"/>
        </w:rPr>
        <w:t>⚡ Impact estimé sur la BRVM</w:t>
      </w:r>
    </w:p>
    <w:p>
      <w:pPr>
        <w:spacing w:before="20" w:after="40"/>
        <w:ind w:left="280"/>
      </w:pPr>
      <w:r>
        <w:rPr>
          <w:i/>
          <w:sz w:val="18"/>
        </w:rPr>
        <w:t>Pas d'élément réglementaire nouveau à intégrer dans la stratégie d'investissement.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tensions sur les taux français et l'incertitude sur la BCE créent un environnement de taux volatil. Le gouverneur de la Banque de France écarte une intervention, laissant les taux français élevés (négatif). Aucune donnée sur Wall Street, le change ou les crypto.</w:t>
      </w:r>
    </w:p>
    <w:p>
      <w:pPr>
        <w:pStyle w:val="Heading3"/>
      </w:pPr>
      <w:r>
        <w:rPr>
          <w:color w:val="500050"/>
        </w:rPr>
        <w:t>⚡ Impact estimé sur la BRVM</w:t>
      </w:r>
    </w:p>
    <w:p>
      <w:pPr>
        <w:spacing w:before="20" w:after="40"/>
        <w:ind w:left="280"/>
      </w:pPr>
      <w:r>
        <w:rPr>
          <w:i/>
          <w:sz w:val="18"/>
        </w:rPr>
        <w:t>La volatilité des taux européens accroît la corrélation des marchés frontières avec les marchés développés. Les investisseurs BRVM pourraient arbitrer vers des actifs moins risqués, pesant sur les small caps peu liquides.</w:t>
      </w:r>
    </w:p>
    <w:p>
      <w:pPr>
        <w:pStyle w:val="Heading2"/>
      </w:pPr>
      <w:r>
        <w:rPr>
          <w:color w:val="006E32"/>
        </w:rPr>
        <w:t>🌍 Plan Africain</w:t>
      </w:r>
    </w:p>
    <w:p>
      <w:pPr>
        <w:spacing w:before="20" w:after="40"/>
        <w:ind w:left="0"/>
      </w:pPr>
      <w:r>
        <w:rPr>
          <w:sz w:val="18"/>
        </w:rPr>
        <w:t>Données insuffisantes sur les marchés obligataires africains, les eurobonds et les notations souveraines.</w:t>
      </w:r>
    </w:p>
    <w:p>
      <w:pPr>
        <w:pStyle w:val="Heading3"/>
      </w:pPr>
      <w:r>
        <w:rPr>
          <w:color w:val="500050"/>
        </w:rPr>
        <w:t>⚡ Impact estimé sur la BRVM</w:t>
      </w:r>
    </w:p>
    <w:p>
      <w:pPr>
        <w:spacing w:before="20" w:after="40"/>
        <w:ind w:left="280"/>
      </w:pPr>
      <w:r>
        <w:rPr>
          <w:i/>
          <w:sz w:val="18"/>
        </w:rPr>
        <w:t>Sans données sur les eurobonds, l'analyse de concurrence pour les capitaux reste limitée. À surveiller : toute dégradation souveraine régionale renchérirait le financement des États et réduirait la liquidité bancaire.</w:t>
      </w:r>
    </w:p>
    <w:p>
      <w:pPr>
        <w:pStyle w:val="Heading2"/>
      </w:pPr>
      <w:r>
        <w:rPr>
          <w:color w:val="145A28"/>
        </w:rPr>
        <w:t>🌍 Plan Afrique de l'Ouest</w:t>
      </w:r>
    </w:p>
    <w:p>
      <w:pPr>
        <w:spacing w:before="20" w:after="40"/>
        <w:ind w:left="0"/>
      </w:pPr>
      <w:r>
        <w:rPr>
          <w:sz w:val="18"/>
        </w:rPr>
        <w:t>Données insuffisantes sur les bourses régionales concurrentes et les flux de capitaux sous-régionaux.</w:t>
      </w:r>
    </w:p>
    <w:p>
      <w:pPr>
        <w:pStyle w:val="Heading3"/>
      </w:pPr>
      <w:r>
        <w:rPr>
          <w:color w:val="500050"/>
        </w:rPr>
        <w:t>⚡ Impact estimé sur la BRVM</w:t>
      </w:r>
    </w:p>
    <w:p>
      <w:pPr>
        <w:spacing w:before="20" w:after="40"/>
        <w:ind w:left="280"/>
      </w:pPr>
      <w:r>
        <w:rPr>
          <w:i/>
          <w:sz w:val="18"/>
        </w:rPr>
        <w:t>Positionnement de la BRVM non évaluable faute de données comparatives.</w:t>
      </w:r>
    </w:p>
    <w:p>
      <w:pPr>
        <w:pStyle w:val="Heading2"/>
      </w:pPr>
      <w:r>
        <w:rPr>
          <w:color w:val="8C4600"/>
        </w:rPr>
        <w:t>🏦 Plan UEMOA / Zone Franc</w:t>
      </w:r>
    </w:p>
    <w:p>
      <w:pPr>
        <w:spacing w:before="20" w:after="40"/>
        <w:ind w:left="0"/>
      </w:pPr>
      <w:r>
        <w:rPr>
          <w:sz w:val="18"/>
        </w:rPr>
        <w:t>Données insuffisantes sur le marché des titres publics UEMOA, le taux interbancaire et la liquidité.</w:t>
      </w:r>
    </w:p>
    <w:p>
      <w:pPr>
        <w:pStyle w:val="Heading3"/>
      </w:pPr>
      <w:r>
        <w:rPr>
          <w:color w:val="500050"/>
        </w:rPr>
        <w:t>⚡ Impact estimé sur la BRVM</w:t>
      </w:r>
    </w:p>
    <w:p>
      <w:pPr>
        <w:spacing w:before="20" w:after="40"/>
        <w:ind w:left="280"/>
      </w:pPr>
      <w:r>
        <w:rPr>
          <w:i/>
          <w:sz w:val="18"/>
        </w:rPr>
        <w:t>L'arbitrage entre titres publics et actions BRVM n'est pas analysable. Historiquement, des taux publics élevés détournent la liquidité des actions vers les obligations souveraines, pénalisant les volumes sur les valeurs bancaires (SGBC, ECOC).</w:t>
      </w:r>
    </w:p>
    <w:p>
      <w:pPr>
        <w:pStyle w:val="Heading2"/>
      </w:pPr>
      <w:r>
        <w:rPr>
          <w:color w:val="003366"/>
        </w:rPr>
        <w:t>📈 Plan BRVM</w:t>
      </w:r>
    </w:p>
    <w:p>
      <w:pPr>
        <w:spacing w:before="20" w:after="40"/>
        <w:ind w:left="0"/>
      </w:pPr>
      <w:r>
        <w:rPr>
          <w:sz w:val="18"/>
        </w:rPr>
        <w:t>L'indice Composite s'établit à 532,61 points. Les résultats des sociétés cotées ivoiriennes sont jugés encourageants (positif). Aucune donnée sur le top/flop, les volumes ou les perspectives sectorielles n'est disponible.</w:t>
      </w:r>
    </w:p>
    <w:p>
      <w:pPr>
        <w:pStyle w:val="Heading3"/>
      </w:pPr>
      <w:r>
        <w:rPr>
          <w:color w:val="500050"/>
        </w:rPr>
        <w:t>⚡ Impact estimé sur la BRVM</w:t>
      </w:r>
    </w:p>
    <w:p>
      <w:pPr>
        <w:spacing w:before="20" w:after="40"/>
        <w:ind w:left="280"/>
      </w:pPr>
      <w:r>
        <w:rPr>
          <w:i/>
          <w:sz w:val="18"/>
        </w:rPr>
        <w:t>Recommandations : conserver SGBC et ONTBF (fondamentaux solides, défensifs) ; surveiller SLBC et NTLC (consommation de base, résilience) ; prudence sur UNXC et NEIC (cycliques exposées au risque de taux) ; opportunités potentielles sur SDSC (industriel) si les résultats ivoiriens se confirment.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marqué par l'incertitude sur les taux européens et les tensions géopolitiques sahéliennes, mais les résultats encourageants des sociétés ivoiriennes et l'apaisement AES-CEDEAO offrent des supports. Recommandation : privilégier les valeurs défensives et de qualité (SGBC, ONTBF, SLBC), limiter l'exposition aux cycliques (UNXC, NEIC) et surveiller les décisions BCEAO à venir. Les données sur l'UEMOA et la BRVM étant partiellement insuffisantes, une vigilance accrue sur la liquidité est de mise.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2026-10-13</w:t>
            </w:r>
          </w:p>
        </w:tc>
        <w:tc>
          <w:tcPr>
            <w:tcW w:type="dxa" w:w="1728"/>
          </w:tcPr>
          <w:p>
            <w:r>
              <w:rPr>
                <w:sz w:val="14"/>
              </w:rPr>
              <w:t>Annuler la dette détenue par la BCE ? «Soit il se trompe, soit il ment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 xml:space="preserve">CEDEAO : La Libérienne Charlyne M. Brumskine prend la tête de la Cour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Cedeao : La Libérienne Charlyne Brumskine élue présidente de la Cour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2026-10-14</w:t>
            </w:r>
          </w:p>
        </w:tc>
        <w:tc>
          <w:tcPr>
            <w:tcW w:type="dxa" w:w="1728"/>
          </w:tcPr>
          <w:p>
            <w:r>
              <w:rPr>
                <w:sz w:val="14"/>
              </w:rPr>
              <w:t>The index of African financial markets reaches its highest score in te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Nigeria Ghana fi</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Politique internationale – Éthiopie : Installation d’une administratio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Mali : Le Jnim et l'État islamique s'affrontent à la frontière Mali-Bu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VIDÉO. Sénégal : Dakar se prépare aux Jeux Olympiques de la Jeunesse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Burkina Faso : hommage militaire aux héros du 15 octobre 1987 - Africa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2026-10-16</w:t>
            </w:r>
          </w:p>
        </w:tc>
        <w:tc>
          <w:tcPr>
            <w:tcW w:type="dxa" w:w="1728"/>
          </w:tcPr>
          <w:p>
            <w:r>
              <w:rPr>
                <w:sz w:val="14"/>
              </w:rPr>
              <w:t>Sénégal : l’échiquier politique au gré des rapports de force - Timbukt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Au Mali, les dessous de la bataille pour le contrôle de la Maison de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Côte d'Ivoire : FMI-Banque mondiale, à Bangkok, le gouvernement séduit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2026-10-16</w:t>
            </w:r>
          </w:p>
        </w:tc>
        <w:tc>
          <w:tcPr>
            <w:tcW w:type="dxa" w:w="1728"/>
          </w:tcPr>
          <w:p>
            <w:r>
              <w:rPr>
                <w:sz w:val="14"/>
              </w:rPr>
              <w:t>Burkina Faso : hommage militaire aux héros du 15 octobre 1987 - Africa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2026-10-15</w:t>
            </w:r>
          </w:p>
        </w:tc>
        <w:tc>
          <w:tcPr>
            <w:tcW w:type="dxa" w:w="1728"/>
          </w:tcPr>
          <w:p>
            <w:r>
              <w:rPr>
                <w:sz w:val="14"/>
              </w:rPr>
              <w:t>Côte d'Ivoire : FMI-Banque mondiale, à Bangkok, le gouvernement séduit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Burkina Faso : les pays de l'AES accordent leurs violons avant une ren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2026-10-16</w:t>
            </w:r>
          </w:p>
        </w:tc>
        <w:tc>
          <w:tcPr>
            <w:tcW w:type="dxa" w:w="1728"/>
          </w:tcPr>
          <w:p>
            <w:r>
              <w:rPr>
                <w:sz w:val="14"/>
              </w:rPr>
              <w:t>Politique internationale – Éthiopie : Installation d’une administratio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2026-10-16</w:t>
            </w:r>
          </w:p>
        </w:tc>
        <w:tc>
          <w:tcPr>
            <w:tcW w:type="dxa" w:w="1728"/>
          </w:tcPr>
          <w:p>
            <w:r>
              <w:rPr>
                <w:sz w:val="14"/>
              </w:rPr>
              <w:t>Tensions sur les taux français: "conditions pas réunies" pour une inte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La BCE va-t-elle relever à nouveau ses taux d’intérêt ? À quoi faut-il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Taux d'intérêt français : une intervention de la BCE en France ne se j</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Côte d'Ivoire : FMI-Banque mondiale, à Bangkok, le gouvernement séduit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2026-10-12</w:t>
            </w:r>
          </w:p>
        </w:tc>
        <w:tc>
          <w:tcPr>
            <w:tcW w:type="dxa" w:w="1728"/>
          </w:tcPr>
          <w:p>
            <w:r>
              <w:rPr>
                <w:sz w:val="14"/>
              </w:rPr>
              <w:t>A la mi-séance : L'Europe rebondit malgré la hausse du prix du pétrole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(15 alerte(s))</w:t>
      </w:r>
    </w:p>
    <w:p>
      <w:pPr>
        <w:spacing w:before="40" w:after="40"/>
        <w:ind w:left="360"/>
      </w:pPr>
      <w:r>
        <w:rPr>
          <w:color w:val="646464"/>
          <w:sz w:val="17"/>
        </w:rPr>
        <w:t xml:space="preserve">[17/10/2026] ⚪  </w:t>
      </w:r>
      <w:r>
        <w:rPr>
          <w:b/>
          <w:color w:val="505050"/>
          <w:sz w:val="18"/>
        </w:rPr>
        <w:t>Au Mali, les dessous de la bataille pour le contrôle de la Maison de la presse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traite des luttes d'influence autour du contrôle de la Maison de la presse au Mali. Il s'agit d'un enjeu politique interne lié à la gouvernance des médias et à la liberté de la presse. Aucune information financière ou économique n'est mentionnée. L'événement reste circonscrit à la sphère politique malienne.</w:t>
      </w:r>
    </w:p>
    <w:p>
      <w:pPr>
        <w:spacing w:before="0" w:after="40"/>
        <w:ind w:left="600"/>
      </w:pPr>
      <w:r>
        <w:rPr>
          <w:color w:val="00643C"/>
          <w:sz w:val="16"/>
        </w:rPr>
        <w:t>Points clés : Bataille pour le contrôle de la Maison de la presse au Mali  •  Enjeu de gouvernance des médias et d'influence politique  •  Absence d'implications économiques ou financières directes</w:t>
      </w:r>
    </w:p>
    <w:p>
      <w:pPr>
        <w:spacing w:before="0" w:after="60"/>
        <w:ind w:left="600"/>
      </w:pPr>
      <w:r>
        <w:rPr>
          <w:color w:val="0064B4"/>
          <w:sz w:val="15"/>
        </w:rPr>
        <w:t>Source : https://news.google.com/rss/articles/CBMiwwFBVV95cUxPd2tORk9tOWxVUEx3NmxQb0thUWZ</w:t>
      </w:r>
    </w:p>
    <w:p>
      <w:pPr>
        <w:spacing w:before="40" w:after="40"/>
        <w:ind w:left="360"/>
      </w:pPr>
      <w:r>
        <w:rPr>
          <w:color w:val="646464"/>
          <w:sz w:val="17"/>
        </w:rPr>
        <w:t xml:space="preserve">[16/10/2026] ⚪  </w:t>
      </w:r>
      <w:r>
        <w:rPr>
          <w:b/>
          <w:color w:val="505050"/>
          <w:sz w:val="18"/>
        </w:rPr>
        <w:t>Politique : Charles Blé Goudé invite à un dialogue inclusif sur la réforme électorale - Abidjan.net News</w:t>
      </w:r>
      <w:r>
        <w:rPr>
          <w:color w:val="787878"/>
          <w:sz w:val="15"/>
        </w:rPr>
        <w:t xml:space="preserve">  [politique]</w:t>
      </w:r>
      <w:r>
        <w:rPr>
          <w:color w:val="B47800"/>
          <w:sz w:val="16"/>
        </w:rPr>
        <w:t xml:space="preserve">  ★ 50/10</w:t>
      </w:r>
    </w:p>
    <w:p>
      <w:pPr>
        <w:spacing w:before="0" w:after="20"/>
        <w:ind w:left="600"/>
      </w:pPr>
      <w:r>
        <w:rPr>
          <w:color w:val="323232"/>
          <w:sz w:val="17"/>
        </w:rPr>
        <w:t>Charles Blé Goudé, figure politique ivoirienne, appelle à un dialogue inclusif sur la réforme électorale en Côte d'Ivoire. Cette prise de position intervient dans un contexte de tensions politiques autour des prochaines échéances électorales. L'initiative vise à favoriser un consensus entre les différents acteurs politiques.</w:t>
      </w:r>
    </w:p>
    <w:p>
      <w:pPr>
        <w:spacing w:before="0" w:after="40"/>
        <w:ind w:left="600"/>
      </w:pPr>
      <w:r>
        <w:rPr>
          <w:color w:val="00643C"/>
          <w:sz w:val="16"/>
        </w:rPr>
        <w:t>Points clés : Appel de Charles Blé Goudé à un dialogue inclusif  •  Réforme électorale en Côte d'Ivoire  •  Contexte politique pré-électoral</w:t>
      </w:r>
    </w:p>
    <w:p>
      <w:pPr>
        <w:spacing w:before="0" w:after="60"/>
        <w:ind w:left="600"/>
      </w:pPr>
      <w:r>
        <w:rPr>
          <w:color w:val="0064B4"/>
          <w:sz w:val="15"/>
        </w:rPr>
        <w:t>Source : https://news.google.com/rss/articles/CBMiwgFBVV95cUxNS0ZoaDEtZ0lqcGVtRjVGYUgyYlh</w:t>
      </w:r>
    </w:p>
    <w:p>
      <w:pPr>
        <w:spacing w:before="40" w:after="40"/>
        <w:ind w:left="360"/>
      </w:pPr>
      <w:r>
        <w:rPr>
          <w:color w:val="646464"/>
          <w:sz w:val="17"/>
        </w:rPr>
        <w:t xml:space="preserve">[16/10/2026] ⚪  </w:t>
      </w:r>
      <w:r>
        <w:rPr>
          <w:b/>
          <w:color w:val="505050"/>
          <w:sz w:val="18"/>
        </w:rPr>
        <w:t>Politique internationale – Éthiopie : Installation d’une administration intérimaire au Tigré - Mali Actu</w:t>
      </w:r>
      <w:r>
        <w:rPr>
          <w:color w:val="787878"/>
          <w:sz w:val="15"/>
        </w:rPr>
        <w:t xml:space="preserve">  [politique]</w:t>
      </w:r>
      <w:r>
        <w:rPr>
          <w:color w:val="B47800"/>
          <w:sz w:val="16"/>
        </w:rPr>
        <w:t xml:space="preserve">  ★ 50/10</w:t>
      </w:r>
    </w:p>
    <w:p>
      <w:pPr>
        <w:spacing w:before="0" w:after="20"/>
        <w:ind w:left="600"/>
      </w:pPr>
      <w:r>
        <w:rPr>
          <w:color w:val="323232"/>
          <w:sz w:val="17"/>
        </w:rPr>
        <w:t>L'Éthiopie a mis en place une administration intérimaire dans la région du Tigré, selon une information rapportée par Mali Actu. Cette décision intervient dans un contexte de sortie de conflit et vise à rétablir l'autorité de l'État dans cette zone. L'article ne fournit pas de détails supplémentaires sur les modalités ou les acteurs impliqués.</w:t>
      </w:r>
    </w:p>
    <w:p>
      <w:pPr>
        <w:spacing w:before="0" w:after="40"/>
        <w:ind w:left="600"/>
      </w:pPr>
      <w:r>
        <w:rPr>
          <w:color w:val="00643C"/>
          <w:sz w:val="16"/>
        </w:rPr>
        <w:t>Points clés : Installation d'une administration intérimaire au Tigré  •  Contexte post-conflit en Éthiopie  •  Information relayée par Mali Actu</w:t>
      </w:r>
    </w:p>
    <w:p>
      <w:pPr>
        <w:spacing w:before="0" w:after="60"/>
        <w:ind w:left="600"/>
      </w:pPr>
      <w:r>
        <w:rPr>
          <w:color w:val="0064B4"/>
          <w:sz w:val="15"/>
        </w:rPr>
        <w:t>Source : https://news.google.com/rss/articles/CBMirgFBVV95cUxOWExRUy1KeFJ6dmhQZzQtNmRlZ0p</w:t>
      </w:r>
    </w:p>
    <w:p>
      <w:pPr>
        <w:spacing w:before="40" w:after="40"/>
        <w:ind w:left="360"/>
      </w:pPr>
      <w:r>
        <w:rPr>
          <w:color w:val="646464"/>
          <w:sz w:val="17"/>
        </w:rPr>
        <w:t xml:space="preserve">[16/10/2026] ⚪  </w:t>
      </w:r>
      <w:r>
        <w:rPr>
          <w:b/>
          <w:color w:val="505050"/>
          <w:sz w:val="18"/>
        </w:rPr>
        <w:t>Burkina Faso : hommage militaire aux héros du 15 octobre 1987 - Africa24 TV</w:t>
      </w:r>
      <w:r>
        <w:rPr>
          <w:color w:val="787878"/>
          <w:sz w:val="15"/>
        </w:rPr>
        <w:t xml:space="preserve">  [politique]</w:t>
      </w:r>
      <w:r>
        <w:rPr>
          <w:color w:val="B47800"/>
          <w:sz w:val="16"/>
        </w:rPr>
        <w:t xml:space="preserve">  ★ 50/10</w:t>
      </w:r>
    </w:p>
    <w:p>
      <w:pPr>
        <w:spacing w:before="0" w:after="20"/>
        <w:ind w:left="600"/>
      </w:pPr>
      <w:r>
        <w:rPr>
          <w:color w:val="323232"/>
          <w:sz w:val="17"/>
        </w:rPr>
        <w:t xml:space="preserve">Le Burkina Faso a rendu un hommage militaire aux héros du 15 octobre 1987, date du coup d'État ayant porté Thomas Sankara au pouvoir. Cet événement commémoratif s'inscrit dans un contexte de réhabilitation de l'héritage sankariste par les autorités actuelles. La cérémonie met en avant la mémoire des soldats et révolutionnaires tombés lors de cette </w:t>
      </w:r>
    </w:p>
    <w:p>
      <w:pPr>
        <w:spacing w:before="0" w:after="40"/>
        <w:ind w:left="600"/>
      </w:pPr>
      <w:r>
        <w:rPr>
          <w:color w:val="00643C"/>
          <w:sz w:val="16"/>
        </w:rPr>
        <w:t>Points clés : Hommage militaire organisé au Burkina Faso pour les héros du 15 octobre 1987  •  Commémoration du coup d'État de 1987 et de l'héritage de Thomas Sankara  •  Dimension politique et symbolique pour les autorités burkinabè actuelles</w:t>
      </w:r>
    </w:p>
    <w:p>
      <w:pPr>
        <w:spacing w:before="0" w:after="60"/>
        <w:ind w:left="600"/>
      </w:pPr>
      <w:r>
        <w:rPr>
          <w:color w:val="0064B4"/>
          <w:sz w:val="15"/>
        </w:rPr>
        <w:t>Source : https://news.google.com/rss/articles/CBMiiwFBVV95cUxPNXF2c3UwVFhmTExlaFVhaWFLMTF</w:t>
      </w:r>
    </w:p>
    <w:p>
      <w:pPr>
        <w:spacing w:before="40" w:after="40"/>
        <w:ind w:left="360"/>
      </w:pPr>
      <w:r>
        <w:rPr>
          <w:color w:val="646464"/>
          <w:sz w:val="17"/>
        </w:rPr>
        <w:t xml:space="preserve">[16/10/2026] ⚪  </w:t>
      </w:r>
      <w:r>
        <w:rPr>
          <w:b/>
          <w:color w:val="505050"/>
          <w:sz w:val="18"/>
        </w:rPr>
        <w:t>Sénégal : l’échiquier politique au gré des rapports de force - Timbuktu Institute</w:t>
      </w:r>
      <w:r>
        <w:rPr>
          <w:color w:val="787878"/>
          <w:sz w:val="15"/>
        </w:rPr>
        <w:t xml:space="preserve">  [politique]</w:t>
      </w:r>
      <w:r>
        <w:rPr>
          <w:color w:val="B47800"/>
          <w:sz w:val="16"/>
        </w:rPr>
        <w:t xml:space="preserve">  ★ 50/10</w:t>
      </w:r>
    </w:p>
    <w:p>
      <w:pPr>
        <w:spacing w:before="0" w:after="20"/>
        <w:ind w:left="600"/>
      </w:pPr>
      <w:r>
        <w:rPr>
          <w:color w:val="323232"/>
          <w:sz w:val="17"/>
        </w:rPr>
        <w:t>L'article du Timbuktu Institute analyse l'évolution de l'échiquier politique sénégalais en fonction des rapports de force entre les différents acteurs. Il met en lumière les dynamiques politiques actuelles et leurs implications potentielles sur la gouvernance. Cette analyse intervient dans un contexte de recomposition politique au Sénégal.</w:t>
      </w:r>
    </w:p>
    <w:p>
      <w:pPr>
        <w:spacing w:before="0" w:after="40"/>
        <w:ind w:left="600"/>
      </w:pPr>
      <w:r>
        <w:rPr>
          <w:color w:val="00643C"/>
          <w:sz w:val="16"/>
        </w:rPr>
        <w:t>Points clés : Analyse des rapports de force politiques au Sénégal  •  Évolution de l'échiquier politique sénégalais  •  Implications potentielles sur la gouvernance</w:t>
      </w:r>
    </w:p>
    <w:p>
      <w:pPr>
        <w:spacing w:before="0" w:after="60"/>
        <w:ind w:left="600"/>
      </w:pPr>
      <w:r>
        <w:rPr>
          <w:color w:val="0064B4"/>
          <w:sz w:val="15"/>
        </w:rPr>
        <w:t>Source : https://news.google.com/rss/articles/CBMiyAFBVV95cUxPOV93M0d2dzFwWDhtV1JJQm9vQ0F</w:t>
      </w:r>
    </w:p>
    <w:p>
      <w:pPr>
        <w:spacing w:before="120" w:after="40"/>
      </w:pPr>
      <w:r>
        <w:rPr>
          <w:b/>
          <w:color w:val="00467F"/>
          <w:sz w:val="20"/>
        </w:rPr>
        <w:t>🔑 économique  (1 alerte(s))</w:t>
      </w:r>
    </w:p>
    <w:p>
      <w:pPr>
        <w:spacing w:before="40" w:after="40"/>
        <w:ind w:left="360"/>
      </w:pPr>
      <w:r>
        <w:rPr>
          <w:color w:val="646464"/>
          <w:sz w:val="17"/>
        </w:rPr>
        <w:t xml:space="preserve">[16/10/2026] ⚪  </w:t>
      </w:r>
      <w:r>
        <w:rPr>
          <w:b/>
          <w:color w:val="505050"/>
          <w:sz w:val="18"/>
        </w:rPr>
        <w:t>Burkina Faso : les pays de l'AES accordent leurs violons avant une rencontre avec la Cedeao - Koaci</w:t>
      </w:r>
      <w:r>
        <w:rPr>
          <w:color w:val="787878"/>
          <w:sz w:val="15"/>
        </w:rPr>
        <w:t xml:space="preserve">  [économique]</w:t>
      </w:r>
      <w:r>
        <w:rPr>
          <w:color w:val="B47800"/>
          <w:sz w:val="16"/>
        </w:rPr>
        <w:t xml:space="preserve">  ★ 50/10</w:t>
      </w:r>
    </w:p>
    <w:p>
      <w:pPr>
        <w:spacing w:before="0" w:after="20"/>
        <w:ind w:left="600"/>
      </w:pPr>
      <w:r>
        <w:rPr>
          <w:color w:val="323232"/>
          <w:sz w:val="17"/>
        </w:rPr>
        <w:t>Les pays de l'Alliance des États du Sahel (AES) — Burkina Faso, Mali et Niger — ont harmonisé leurs positions avant une rencontre avec la CEDEAO. Cette réunion intervient dans un contexte de tensions persistantes entre l'AES et l'organisation régionale depuis les coups d'État et les annonces de retrait. L'objectif est de présenter un front uni lors</w:t>
      </w:r>
    </w:p>
    <w:p>
      <w:pPr>
        <w:spacing w:before="0" w:after="40"/>
        <w:ind w:left="600"/>
      </w:pPr>
      <w:r>
        <w:rPr>
          <w:color w:val="00643C"/>
          <w:sz w:val="16"/>
        </w:rPr>
        <w:t>Points clés : Concertation préalable des pays de l'AES avant le dialogue avec la CEDEAO  •  Contexte de tensions régionales et de retrait annoncé de l'AES de la CEDEAO  •  Recherche d'une position commune pour les négociations</w:t>
      </w:r>
    </w:p>
    <w:p>
      <w:pPr>
        <w:spacing w:before="0" w:after="60"/>
        <w:ind w:left="600"/>
      </w:pPr>
      <w:r>
        <w:rPr>
          <w:color w:val="0064B4"/>
          <w:sz w:val="15"/>
        </w:rPr>
        <w:t>Source : https://news.google.com/rss/articles/CBMi9wFBVV95cUxON0VzdlJfdkpZRC1BQjh0dGhVNE1</w:t>
      </w:r>
    </w:p>
    <w:p>
      <w:pPr>
        <w:spacing w:before="120" w:after="40"/>
      </w:pPr>
      <w:r>
        <w:rPr>
          <w:b/>
          <w:color w:val="00467F"/>
          <w:sz w:val="20"/>
        </w:rPr>
        <w:t>🔑 politique_monetaire  (3 alerte(s))</w:t>
      </w:r>
    </w:p>
    <w:p>
      <w:pPr>
        <w:spacing w:before="40" w:after="40"/>
        <w:ind w:left="360"/>
      </w:pPr>
      <w:r>
        <w:rPr>
          <w:color w:val="646464"/>
          <w:sz w:val="17"/>
        </w:rPr>
        <w:t xml:space="preserve">[16/10/2026] ⚪  </w:t>
      </w:r>
      <w:r>
        <w:rPr>
          <w:b/>
          <w:color w:val="505050"/>
          <w:sz w:val="18"/>
        </w:rPr>
        <w:t>Taux d'intérêt français : une intervention de la BCE en France ne se justifie pas, selon le gouverneur de la Banque de F</w:t>
      </w:r>
      <w:r>
        <w:rPr>
          <w:color w:val="787878"/>
          <w:sz w:val="15"/>
        </w:rPr>
        <w:t xml:space="preserve">  [politique_monetaire]</w:t>
      </w:r>
      <w:r>
        <w:rPr>
          <w:color w:val="B47800"/>
          <w:sz w:val="16"/>
        </w:rPr>
        <w:t xml:space="preserve">  ★ 50/10</w:t>
      </w:r>
    </w:p>
    <w:p>
      <w:pPr>
        <w:spacing w:before="0" w:after="20"/>
        <w:ind w:left="600"/>
      </w:pPr>
      <w:r>
        <w:rPr>
          <w:color w:val="323232"/>
          <w:sz w:val="17"/>
        </w:rPr>
        <w:t>Le gouverneur de la Banque de France a déclaré qu'une intervention de la BCE en France ne se justifie pas, malgré les taux d'intérêt français élevés. Cette position suggère que la situation économique française ne nécessite pas de soutien monétaire exceptionnel. La déclaration intervient dans un contexte de débats sur la politique monétaire europée</w:t>
      </w:r>
    </w:p>
    <w:p>
      <w:pPr>
        <w:spacing w:before="0" w:after="40"/>
        <w:ind w:left="600"/>
      </w:pPr>
      <w:r>
        <w:rPr>
          <w:color w:val="00643C"/>
          <w:sz w:val="16"/>
        </w:rPr>
        <w:t>Points clés : Le gouverneur de la Banque de France estime qu'une intervention de la BCE en France n'est pas justifiée.  •  Les taux d'intérêt français restent un sujet de préoccupation, mais sans nécessiter d'action de la BCE.  •  Cette position reflète la confiance dans la stabilité économique française.</w:t>
      </w:r>
    </w:p>
    <w:p>
      <w:pPr>
        <w:spacing w:before="0" w:after="60"/>
        <w:ind w:left="600"/>
      </w:pPr>
      <w:r>
        <w:rPr>
          <w:color w:val="0064B4"/>
          <w:sz w:val="15"/>
        </w:rPr>
        <w:t>Source : https://news.google.com/rss/articles/CBMi8gFBVV95cUxNUTF2UmFEUHJhdlFFRlJFR2RURDR</w:t>
      </w:r>
    </w:p>
    <w:p>
      <w:pPr>
        <w:spacing w:before="40" w:after="40"/>
        <w:ind w:left="360"/>
      </w:pPr>
      <w:r>
        <w:rPr>
          <w:color w:val="646464"/>
          <w:sz w:val="17"/>
        </w:rPr>
        <w:t xml:space="preserve">[16/10/2026] 🔴  </w:t>
      </w:r>
      <w:r>
        <w:rPr>
          <w:b/>
          <w:color w:val="C00000"/>
          <w:sz w:val="18"/>
        </w:rPr>
        <w:t xml:space="preserve">Tensions sur les taux français: "conditions pas réunies" pour une intervention de la BCE (gouverneur Banque de France à </w:t>
      </w:r>
      <w:r>
        <w:rPr>
          <w:color w:val="787878"/>
          <w:sz w:val="15"/>
        </w:rPr>
        <w:t xml:space="preserve">  [politique_monetaire]</w:t>
      </w:r>
      <w:r>
        <w:rPr>
          <w:color w:val="B47800"/>
          <w:sz w:val="16"/>
        </w:rPr>
        <w:t xml:space="preserve">  ★ 50/10</w:t>
      </w:r>
    </w:p>
    <w:p>
      <w:pPr>
        <w:spacing w:before="0" w:after="20"/>
        <w:ind w:left="600"/>
      </w:pPr>
      <w:r>
        <w:rPr>
          <w:color w:val="323232"/>
          <w:sz w:val="17"/>
        </w:rPr>
        <w:t>Le gouverneur de la Banque de France a déclaré à l'AFP que les conditions n'étaient pas réunies pour une intervention de la BCE face aux tensions sur les taux français. Cette position suggère que la BCE ne prévoit pas d'action immédiate pour stabiliser les marchés obligataires français. Les tensions sur les taux français persistent, reflétant des i</w:t>
      </w:r>
    </w:p>
    <w:p>
      <w:pPr>
        <w:spacing w:before="0" w:after="40"/>
        <w:ind w:left="600"/>
      </w:pPr>
      <w:r>
        <w:rPr>
          <w:color w:val="00643C"/>
          <w:sz w:val="16"/>
        </w:rPr>
        <w:t>Points clés : Le gouverneur de la Banque de France estime que les conditions ne sont pas réunies pour une intervention de la BCE.  •  Les tensions sur les taux français persistent sans soutien imminent de la BCE.  •  Cela implique une vigilance accrue des marchés face aux risques budgétaires et politiques en France.</w:t>
      </w:r>
    </w:p>
    <w:p>
      <w:pPr>
        <w:spacing w:before="0" w:after="60"/>
        <w:ind w:left="600"/>
      </w:pPr>
      <w:r>
        <w:rPr>
          <w:color w:val="0064B4"/>
          <w:sz w:val="15"/>
        </w:rPr>
        <w:t>Source : https://news.google.com/rss/articles/CBMiYkFVX3lxTFBXQmdhZVA1RkJaSnBSWmNMbm0xMUh</w:t>
      </w:r>
    </w:p>
    <w:p>
      <w:pPr>
        <w:spacing w:before="40" w:after="40"/>
        <w:ind w:left="360"/>
      </w:pPr>
      <w:r>
        <w:rPr>
          <w:color w:val="646464"/>
          <w:sz w:val="17"/>
        </w:rPr>
        <w:t xml:space="preserve">[15/10/2026] ⚪  </w:t>
      </w:r>
      <w:r>
        <w:rPr>
          <w:b/>
          <w:color w:val="505050"/>
          <w:sz w:val="18"/>
        </w:rPr>
        <w:t>La BCE va-t-elle relever à nouveau ses taux d’intérêt ? À quoi faut-il s’attendre en 2026 et 2027 ? - Morningstar</w:t>
      </w:r>
      <w:r>
        <w:rPr>
          <w:color w:val="787878"/>
          <w:sz w:val="15"/>
        </w:rPr>
        <w:t xml:space="preserve">  [politique_monetaire]</w:t>
      </w:r>
      <w:r>
        <w:rPr>
          <w:color w:val="B47800"/>
          <w:sz w:val="16"/>
        </w:rPr>
        <w:t xml:space="preserve">  ★ 50/10</w:t>
      </w:r>
    </w:p>
    <w:p>
      <w:pPr>
        <w:spacing w:before="0" w:after="20"/>
        <w:ind w:left="600"/>
      </w:pPr>
      <w:r>
        <w:rPr>
          <w:color w:val="323232"/>
          <w:sz w:val="17"/>
        </w:rPr>
        <w:t>L'article de Morningstar s'interroge sur la possibilité d'une nouvelle hausse des taux d'intérêt par la Banque centrale européenne (BCE) et présente les perspectives pour 2026 et 2027. Il analyse les facteurs qui pourraient pousser la BCE à ajuster sa politique monétaire, notamment l'inflation et la croissance économique. Les attentes des marchés e</w:t>
      </w:r>
    </w:p>
    <w:p>
      <w:pPr>
        <w:spacing w:before="0" w:after="40"/>
        <w:ind w:left="600"/>
      </w:pPr>
      <w:r>
        <w:rPr>
          <w:color w:val="00643C"/>
          <w:sz w:val="16"/>
        </w:rPr>
        <w:t>Points clés : La BCE pourrait relever ses taux si l'inflation reste élevée.  •  Les perspectives pour 2026-2027 dépendront de l'évolution de l'économie européenne.  •  Les marchés anticipent une possible normalisation de la politique monétaire.</w:t>
      </w:r>
    </w:p>
    <w:p>
      <w:pPr>
        <w:spacing w:before="0" w:after="60"/>
        <w:ind w:left="600"/>
      </w:pPr>
      <w:r>
        <w:rPr>
          <w:color w:val="0064B4"/>
          <w:sz w:val="15"/>
        </w:rPr>
        <w:t>Source : https://news.google.com/rss/articles/CBMiygFBVV95cUxQVndBQ3NxcWkxWlJadTdiM1E3SmM</w:t>
      </w:r>
    </w:p>
    <w:p>
      <w:pPr>
        <w:spacing w:before="120" w:after="40"/>
      </w:pPr>
      <w:r>
        <w:rPr>
          <w:b/>
          <w:color w:val="00467F"/>
          <w:sz w:val="20"/>
        </w:rPr>
        <w:t>🔑 marche_financier  (1 alerte(s))</w:t>
      </w:r>
    </w:p>
    <w:p>
      <w:pPr>
        <w:spacing w:before="40" w:after="40"/>
        <w:ind w:left="360"/>
      </w:pPr>
      <w:r>
        <w:rPr>
          <w:color w:val="646464"/>
          <w:sz w:val="17"/>
        </w:rPr>
        <w:t xml:space="preserve">[15/10/2026] 🟢  </w:t>
      </w:r>
      <w:r>
        <w:rPr>
          <w:b/>
          <w:color w:val="008000"/>
          <w:sz w:val="18"/>
        </w:rPr>
        <w:t>Donald Trump : un portefeuille « fort comme l'Amérique » qui défie les hausses de taux de la Réserve Fédérale - Les Echo</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évoque un portefeuille d'investissement attribué à Donald Trump, qualifié de « fort comme l'Amérique », qui résiste aux hausses de taux de la Réserve fédérale. Il met en avant la performance de ce portefeuille dans un contexte de politique monétaire restrictive. L'article semble souligner la capacité de certains actifs à surperf</w:t>
      </w:r>
    </w:p>
    <w:p>
      <w:pPr>
        <w:spacing w:before="0" w:after="40"/>
        <w:ind w:left="600"/>
      </w:pPr>
      <w:r>
        <w:rPr>
          <w:color w:val="00643C"/>
          <w:sz w:val="16"/>
        </w:rPr>
        <w:t>Points clés : Portefeuille associé à Donald Trump qualifié de « fort comme l'Amérique »  •  Résistance aux hausses de taux de la Fed  •  Performance dans un environnement de taux élevés</w:t>
      </w:r>
    </w:p>
    <w:p>
      <w:pPr>
        <w:spacing w:before="0" w:after="60"/>
        <w:ind w:left="600"/>
      </w:pPr>
      <w:r>
        <w:rPr>
          <w:color w:val="0064B4"/>
          <w:sz w:val="15"/>
        </w:rPr>
        <w:t>Source : https://news.google.com/rss/articles/CBMi_gFBVV95cUxOb0pQcENLbHN4Sml6aUhMZDVwTDd</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2,870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2,145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2,270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14,700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20,510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8,725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4,290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15,395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43,500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7,415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20,600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2,780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1,790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10,390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3,900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32,400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8,010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2,030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45,000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2,870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2,145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2,995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14,700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3,000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5,800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2,870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2,145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2,270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38,500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5,800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2,870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2,145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2,270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38,500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(18.3 &lt; 30) — opportunité potentielle</w:t>
      </w:r>
    </w:p>
    <w:p>
      <w:pPr>
        <w:pStyle w:val="ListBullet"/>
        <w:spacing w:before="20"/>
        <w:ind w:left="400"/>
      </w:pPr>
      <w:r>
        <w:rPr>
          <w:sz w:val="18"/>
        </w:rPr>
        <w:t>⚠️ Cours à 0.0% du plus bas 100j (3,000 FCFA)</w:t>
      </w:r>
    </w:p>
    <w:p>
      <w:pPr>
        <w:spacing w:before="120"/>
      </w:pPr>
      <w:r>
        <w:rPr>
          <w:b/>
          <w:color w:val="0050A0"/>
          <w:sz w:val="20"/>
        </w:rPr>
        <w:t>ECOC — ECOC - ECOBANK COTE D'IVOIRE</w:t>
      </w:r>
    </w:p>
    <w:p>
      <w:pPr>
        <w:pStyle w:val="ListBullet"/>
        <w:spacing w:before="20"/>
        <w:ind w:left="400"/>
      </w:pPr>
      <w:r>
        <w:rPr>
          <w:sz w:val="18"/>
        </w:rPr>
        <w:t>🟢 RSI survente (24.5 &lt; 30) — opportunité potentielle</w:t>
      </w:r>
    </w:p>
    <w:p>
      <w:pPr>
        <w:pStyle w:val="ListBullet"/>
        <w:spacing w:before="20"/>
        <w:ind w:left="400"/>
      </w:pPr>
      <w:r>
        <w:rPr>
          <w:sz w:val="18"/>
        </w:rPr>
        <w:t>⚠️ Cours à 1.2% du plus bas 100j (15,715 FCFA)</w:t>
      </w:r>
    </w:p>
    <w:p>
      <w:pPr>
        <w:spacing w:before="120"/>
      </w:pPr>
      <w:r>
        <w:rPr>
          <w:b/>
          <w:color w:val="0050A0"/>
          <w:sz w:val="20"/>
        </w:rPr>
        <w:t>FTSC — FTSC - FILTISAC COTE D'IVOIRE</w:t>
      </w:r>
    </w:p>
    <w:p>
      <w:pPr>
        <w:pStyle w:val="ListBullet"/>
        <w:spacing w:before="20"/>
        <w:ind w:left="400"/>
      </w:pPr>
      <w:r>
        <w:rPr>
          <w:sz w:val="18"/>
        </w:rPr>
        <w:t>⚠️ Cours à 0.0%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0.0% du plus bas 100j (7,600 FCFA)</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(2.3 &lt; 30) — opportunité potentielle</w:t>
      </w:r>
    </w:p>
    <w:p>
      <w:pPr>
        <w:pStyle w:val="ListBullet"/>
        <w:spacing w:before="20"/>
        <w:ind w:left="400"/>
      </w:pPr>
      <w:r>
        <w:rPr>
          <w:sz w:val="18"/>
        </w:rPr>
        <w:t>⚠️ Cours à 2.9% du plus bas 100j (2,205 FCFA)</w:t>
      </w:r>
    </w:p>
    <w:p>
      <w:pPr>
        <w:spacing w:before="120"/>
      </w:pPr>
      <w:r>
        <w:rPr>
          <w:b/>
          <w:color w:val="0050A0"/>
          <w:sz w:val="20"/>
        </w:rPr>
        <w:t>SIVC — SIVC - ERIUM CI (Ex AIR LIQUIDECI)</w:t>
      </w:r>
    </w:p>
    <w:p>
      <w:pPr>
        <w:pStyle w:val="ListBullet"/>
        <w:spacing w:before="20"/>
        <w:ind w:left="400"/>
      </w:pPr>
      <w:r>
        <w:rPr>
          <w:sz w:val="18"/>
        </w:rPr>
        <w:t>⚠️ Cours à 0.0% du plus bas 100j (1,790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Cours à 1.6% du plus bas 100j (7,300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2.2% du plus bas 100j (20,895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1.3% du plus bas 100j (44,410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(3.5 &lt; 30) — opportunité potentielle</w:t>
      </w:r>
    </w:p>
    <w:p>
      <w:pPr>
        <w:spacing w:before="120"/>
      </w:pPr>
      <w:r>
        <w:rPr>
          <w:b/>
          <w:color w:val="0050A0"/>
          <w:sz w:val="20"/>
        </w:rPr>
        <w:t>BBGC — BRIDGE BANK GROUP COTE D'IVOIRE</w:t>
      </w:r>
    </w:p>
    <w:p>
      <w:pPr>
        <w:pStyle w:val="ListBullet"/>
        <w:spacing w:before="20"/>
        <w:ind w:left="400"/>
      </w:pPr>
      <w:r>
        <w:rPr>
          <w:sz w:val="18"/>
        </w:rPr>
        <w:t>⚠️ Cours à 1.0% du plus haut 100j (10,495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survente (17.6 &lt; 30) — opportunité potentielle</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survente (26.5 &lt; 30) — opportunité potentielle</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(16.5 &lt; 30) — opportunité potentielle</w:t>
      </w:r>
    </w:p>
    <w:p>
      <w:pPr>
        <w:spacing w:before="120"/>
      </w:pPr>
      <w:r>
        <w:rPr>
          <w:b/>
          <w:color w:val="0050A0"/>
          <w:sz w:val="20"/>
        </w:rPr>
        <w:t>NSBC — NSBC - NSIA BANQUE COTE D'IVOIRE</w:t>
      </w:r>
    </w:p>
    <w:p>
      <w:pPr>
        <w:pStyle w:val="ListBullet"/>
        <w:spacing w:before="20"/>
        <w:ind w:left="400"/>
      </w:pPr>
      <w:r>
        <w:rPr>
          <w:sz w:val="18"/>
        </w:rPr>
        <w:t>🟢 RSI survente (28.5 &lt; 30) — opportunité potentielle</w:t>
      </w:r>
    </w:p>
    <w:p>
      <w:pPr>
        <w:spacing w:before="120"/>
      </w:pPr>
      <w:r>
        <w:rPr>
          <w:b/>
          <w:color w:val="0050A0"/>
          <w:sz w:val="20"/>
        </w:rPr>
        <w:t>ONTBF — ONTBF - ONATEL BURKINA FASO</w:t>
      </w:r>
    </w:p>
    <w:p>
      <w:pPr>
        <w:pStyle w:val="ListBullet"/>
        <w:spacing w:before="20"/>
        <w:ind w:left="400"/>
      </w:pPr>
      <w:r>
        <w:rPr>
          <w:sz w:val="18"/>
        </w:rPr>
        <w:t>⚠️ Cours à 2.4%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(20.5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19.2/100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29.0/100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SNTS (29.3/100 — Moyen) : </w:t>
      </w:r>
      <w:r>
        <w:rPr>
          <w:sz w:val="17"/>
        </w:rPr>
        <w:t>Volatilité=Élevée | Bêta=Agressif | Liquidité=Excellente | Divergence signaux=taux divergence=20% (Mixte ⚠️) | Stabilité=Stable</w:t>
      </w:r>
    </w:p>
    <w:p>
      <w:pPr>
        <w:pStyle w:val="ListBullet"/>
      </w:pPr>
      <w:r>
        <w:rPr>
          <w:b/>
          <w:color w:val="B40000"/>
          <w:sz w:val="18"/>
        </w:rPr>
        <w:t xml:space="preserve">#5 STAC (29.0/100 — Moyen) : </w:t>
      </w:r>
      <w:r>
        <w:rPr>
          <w:sz w:val="17"/>
        </w:rPr>
        <w:t>Volatilité=Élevée | Bêta=Contre-cyclique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29.0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+0.44%  |  Médiane : +0.48%</w:t>
            </w:r>
          </w:p>
        </w:tc>
      </w:tr>
      <w:tr>
        <w:tc>
          <w:tcPr>
            <w:tcW w:type="dxa" w:w="2835"/>
            <w:shd w:fill="DEEAF1" w:val="clear"/>
          </w:tcPr>
          <w:p>
            <w:r>
              <w:rPr>
                <w:b/>
                <w:sz w:val="18"/>
              </w:rPr>
              <w:t>Répartition</w:t>
            </w:r>
          </w:p>
        </w:tc>
        <w:tc>
          <w:tcPr>
            <w:tcW w:type="dxa" w:w="7370"/>
          </w:tcPr>
          <w:p>
            <w:r>
              <w:rPr>
                <w:b/>
                <w:sz w:val="18"/>
              </w:rPr>
              <w:t>📈 18 sociétés en hausse (&gt;+1%)   📉 19 en baisse (&lt;-1%)   ➡️ 8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+0.44% avec 8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2,270 FCFA</w:t>
            </w:r>
          </w:p>
        </w:tc>
        <w:tc>
          <w:tcPr>
            <w:tcW w:type="dxa" w:w="1417"/>
            <w:shd w:fill="FFFFFF" w:val="clear"/>
          </w:tcPr>
          <w:p>
            <w:r>
              <w:rPr>
                <w:sz w:val="16"/>
              </w:rPr>
              <w:t>3,082 FCFA</w:t>
            </w:r>
          </w:p>
        </w:tc>
        <w:tc>
          <w:tcPr>
            <w:tcW w:type="dxa" w:w="1134"/>
            <w:shd w:fill="C6EFCE" w:val="clear"/>
          </w:tcPr>
          <w:p>
            <w:r>
              <w:rPr>
                <w:b/>
                <w:color w:val="007800"/>
                <w:sz w:val="16"/>
              </w:rPr>
              <w:t>+35.78%</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21,350 FCFA</w:t>
            </w:r>
          </w:p>
        </w:tc>
        <w:tc>
          <w:tcPr>
            <w:tcW w:type="dxa" w:w="1417"/>
            <w:shd w:fill="FFFFFF" w:val="clear"/>
          </w:tcPr>
          <w:p>
            <w:r>
              <w:rPr>
                <w:sz w:val="16"/>
              </w:rPr>
              <w:t>24,505 FCFA</w:t>
            </w:r>
          </w:p>
        </w:tc>
        <w:tc>
          <w:tcPr>
            <w:tcW w:type="dxa" w:w="1134"/>
            <w:shd w:fill="C6EFCE" w:val="clear"/>
          </w:tcPr>
          <w:p>
            <w:r>
              <w:rPr>
                <w:b/>
                <w:color w:val="007800"/>
                <w:sz w:val="16"/>
              </w:rPr>
              <w:t>+14.78%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8,400 FCFA</w:t>
            </w:r>
          </w:p>
        </w:tc>
        <w:tc>
          <w:tcPr>
            <w:tcW w:type="dxa" w:w="1417"/>
            <w:shd w:fill="FFFFFF" w:val="clear"/>
          </w:tcPr>
          <w:p>
            <w:r>
              <w:rPr>
                <w:sz w:val="16"/>
              </w:rPr>
              <w:t>9,296 FCFA</w:t>
            </w:r>
          </w:p>
        </w:tc>
        <w:tc>
          <w:tcPr>
            <w:tcW w:type="dxa" w:w="1134"/>
            <w:shd w:fill="C6EFCE" w:val="clear"/>
          </w:tcPr>
          <w:p>
            <w:r>
              <w:rPr>
                <w:b/>
                <w:color w:val="007800"/>
                <w:sz w:val="16"/>
              </w:rPr>
              <w:t>+10.67%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1,790 FCFA</w:t>
            </w:r>
          </w:p>
        </w:tc>
        <w:tc>
          <w:tcPr>
            <w:tcW w:type="dxa" w:w="1417"/>
            <w:shd w:fill="FFFFFF" w:val="clear"/>
          </w:tcPr>
          <w:p>
            <w:r>
              <w:rPr>
                <w:sz w:val="16"/>
              </w:rPr>
              <w:t>1,888 FCFA</w:t>
            </w:r>
          </w:p>
        </w:tc>
        <w:tc>
          <w:tcPr>
            <w:tcW w:type="dxa" w:w="1134"/>
            <w:shd w:fill="C6EFCE" w:val="clear"/>
          </w:tcPr>
          <w:p>
            <w:r>
              <w:rPr>
                <w:b/>
                <w:color w:val="007800"/>
                <w:sz w:val="16"/>
              </w:rPr>
              <w:t>+5.50%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4,700 FCFA</w:t>
            </w:r>
          </w:p>
        </w:tc>
        <w:tc>
          <w:tcPr>
            <w:tcW w:type="dxa" w:w="1417"/>
            <w:shd w:fill="FFFFFF" w:val="clear"/>
          </w:tcPr>
          <w:p>
            <w:r>
              <w:rPr>
                <w:sz w:val="16"/>
              </w:rPr>
              <w:t>4,947 FCFA</w:t>
            </w:r>
          </w:p>
        </w:tc>
        <w:tc>
          <w:tcPr>
            <w:tcW w:type="dxa" w:w="1134"/>
            <w:shd w:fill="C6EFCE" w:val="clear"/>
          </w:tcPr>
          <w:p>
            <w:r>
              <w:rPr>
                <w:b/>
                <w:color w:val="007800"/>
                <w:sz w:val="16"/>
              </w:rPr>
              <w:t>+5.26%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(+35.8%) — signal potentiellement excessif, à croiser avec l'analyse technique. Trajectoire : 📈 Hausse continue. Cours actuel : 2,270 FCFA → prédit J+10 : 3,082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(+14.8%) — potentiel de revalorisation notable. Trajectoire : 📈 Hausse continue. Cours actuel : 21,350 FCFA → prédit J+10 : 24,505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(+10.7%) — potentiel de revalorisation notable. Trajectoire : 📈 Hausse continue. Cours actuel : 8,400 FCFA → prédit J+10 : 9,296 FCFA. ⚠️ Confiance limitée — volatilité élevée ou données insuffisantes. Résultat indicatif uniquement.</w:t>
      </w:r>
    </w:p>
    <w:p>
      <w:pPr>
        <w:pStyle w:val="ListBullet"/>
      </w:pPr>
      <w:r>
        <w:rPr>
          <w:b/>
          <w:color w:val="006400"/>
          <w:sz w:val="18"/>
        </w:rPr>
        <w:t xml:space="preserve">#4 SIVC </w:t>
      </w:r>
      <w:r>
        <w:rPr>
          <w:sz w:val="17"/>
        </w:rPr>
        <w:t>(SIVC - ERIUM CI (Ex AIR LIQUIDECI)) — hausse modérée (+5.5%) — signal raisonnable et crédible. Trajectoire : 📈 Hausse continue. Cours actuel : 1,790 FCFA → prédit J+10 : 1,888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(+5.3%) — signal raisonnable et crédible. Trajectoire : 📈 Hausse continue. Cours actuel : 4,700 FCFA → prédit J+10 : 4,947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8,150 FCFA</w:t>
            </w:r>
          </w:p>
        </w:tc>
        <w:tc>
          <w:tcPr>
            <w:tcW w:type="dxa" w:w="1417"/>
            <w:shd w:fill="FFFFFF" w:val="clear"/>
          </w:tcPr>
          <w:p>
            <w:r>
              <w:rPr>
                <w:sz w:val="16"/>
              </w:rPr>
              <w:t>7,110 FCFA</w:t>
            </w:r>
          </w:p>
        </w:tc>
        <w:tc>
          <w:tcPr>
            <w:tcW w:type="dxa" w:w="1134"/>
            <w:shd w:fill="FFC7CE" w:val="clear"/>
          </w:tcPr>
          <w:p>
            <w:r>
              <w:rPr>
                <w:b/>
                <w:color w:val="B40000"/>
                <w:sz w:val="16"/>
              </w:rPr>
              <w:t>-12.75%</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20,510 FCFA</w:t>
            </w:r>
          </w:p>
        </w:tc>
        <w:tc>
          <w:tcPr>
            <w:tcW w:type="dxa" w:w="1417"/>
            <w:shd w:fill="FFFFFF" w:val="clear"/>
          </w:tcPr>
          <w:p>
            <w:r>
              <w:rPr>
                <w:sz w:val="16"/>
              </w:rPr>
              <w:t>18,450 FCFA</w:t>
            </w:r>
          </w:p>
        </w:tc>
        <w:tc>
          <w:tcPr>
            <w:tcW w:type="dxa" w:w="1134"/>
            <w:shd w:fill="FFC7CE" w:val="clear"/>
          </w:tcPr>
          <w:p>
            <w:r>
              <w:rPr>
                <w:b/>
                <w:color w:val="B40000"/>
                <w:sz w:val="16"/>
              </w:rPr>
              <w:t>-10.04%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28,719 FCFA</w:t>
            </w:r>
          </w:p>
        </w:tc>
        <w:tc>
          <w:tcPr>
            <w:tcW w:type="dxa" w:w="1134"/>
            <w:shd w:fill="FFC7CE" w:val="clear"/>
          </w:tcPr>
          <w:p>
            <w:r>
              <w:rPr>
                <w:b/>
                <w:color w:val="B40000"/>
                <w:sz w:val="16"/>
              </w:rPr>
              <w:t>-8.83%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5,317 FCFA</w:t>
            </w:r>
          </w:p>
        </w:tc>
        <w:tc>
          <w:tcPr>
            <w:tcW w:type="dxa" w:w="1134"/>
            <w:shd w:fill="FFC7CE" w:val="clear"/>
          </w:tcPr>
          <w:p>
            <w:r>
              <w:rPr>
                <w:b/>
                <w:color w:val="B40000"/>
                <w:sz w:val="16"/>
              </w:rPr>
              <w:t>-6.72%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1,800 FCFA</w:t>
            </w:r>
          </w:p>
        </w:tc>
        <w:tc>
          <w:tcPr>
            <w:tcW w:type="dxa" w:w="1417"/>
            <w:shd w:fill="FFFFFF" w:val="clear"/>
          </w:tcPr>
          <w:p>
            <w:r>
              <w:rPr>
                <w:sz w:val="16"/>
              </w:rPr>
              <w:t>1,689 FCFA</w:t>
            </w:r>
          </w:p>
        </w:tc>
        <w:tc>
          <w:tcPr>
            <w:tcW w:type="dxa" w:w="1134"/>
            <w:shd w:fill="FFC7CE" w:val="clear"/>
          </w:tcPr>
          <w:p>
            <w:r>
              <w:rPr>
                <w:b/>
                <w:color w:val="B40000"/>
                <w:sz w:val="16"/>
              </w:rPr>
              <w:t>-6.14%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(-12.8%) — repli technique attendu. Trajectoire : 📉 Baisse continue. Cours actuel : 8,150 FCFA → prédit J+10 : 7,110 FCFA. Confiance partielle — surveiller l'évolution réelle des premiers jours.</w:t>
      </w:r>
    </w:p>
    <w:p>
      <w:pPr>
        <w:pStyle w:val="ListBullet"/>
      </w:pPr>
      <w:r>
        <w:rPr>
          <w:b/>
          <w:color w:val="B40000"/>
          <w:sz w:val="18"/>
        </w:rPr>
        <w:t xml:space="preserve">#2 NSBC </w:t>
      </w:r>
      <w:r>
        <w:rPr>
          <w:sz w:val="17"/>
        </w:rPr>
        <w:t>(NSBC - NSIA BANQUE COTE D'IVOIRE) — baisse modérée (-10.0%) — repli technique attendu. Trajectoire : 📉 Baisse continue. Cours actuel : 20,510 FCFA → prédit J+10 : 18,450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(-8.8%) — repli technique attendu. Trajectoire : 📉 Baisse continue. Cours actuel : 31,500 FCFA → prédit J+10 : 28,719 FCFA. ⚠️ Confiance limitée — volatilité élevée. Ne pas agir sur ce seul signal.</w:t>
      </w:r>
    </w:p>
    <w:p>
      <w:pPr>
        <w:pStyle w:val="ListBullet"/>
      </w:pPr>
      <w:r>
        <w:rPr>
          <w:b/>
          <w:color w:val="B40000"/>
          <w:sz w:val="18"/>
        </w:rPr>
        <w:t xml:space="preserve">#4 BOAM </w:t>
      </w:r>
      <w:r>
        <w:rPr>
          <w:sz w:val="17"/>
        </w:rPr>
        <w:t>(BANK OF AFRICA MALI) — baisse modérée (-6.7%) — repli technique attendu. Trajectoire : 📉 Baisse continue. Cours actuel : 5,700 FCFA → prédit J+10 : 5,317 FCFA. ⚠️ Confiance limitée — volatilité élevée. Ne pas agir sur ce seul signal.</w:t>
      </w:r>
    </w:p>
    <w:p>
      <w:pPr>
        <w:pStyle w:val="ListBullet"/>
      </w:pPr>
      <w:r>
        <w:rPr>
          <w:b/>
          <w:color w:val="B40000"/>
          <w:sz w:val="18"/>
        </w:rPr>
        <w:t xml:space="preserve">#5 FTSC </w:t>
      </w:r>
      <w:r>
        <w:rPr>
          <w:sz w:val="17"/>
        </w:rPr>
        <w:t>(FTSC - FILTISAC COTE D'IVOIRE) — baisse modérée (-6.1%) — repli technique attendu. Trajectoire : 📉 Baisse continue. Cours actuel : 1,800 FCFA → prédit J+10 : 1,689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2,270</w:t>
            </w:r>
          </w:p>
        </w:tc>
        <w:tc>
          <w:tcPr>
            <w:tcW w:type="dxa" w:w="1417"/>
            <w:shd w:fill="FFFFFF" w:val="clear"/>
          </w:tcPr>
          <w:p>
            <w:r>
              <w:rPr>
                <w:sz w:val="16"/>
              </w:rPr>
              <w:t>3,082</w:t>
            </w:r>
          </w:p>
        </w:tc>
        <w:tc>
          <w:tcPr>
            <w:tcW w:type="dxa" w:w="1134"/>
            <w:shd w:fill="C6EFCE" w:val="clear"/>
          </w:tcPr>
          <w:p>
            <w:r>
              <w:rPr>
                <w:b/>
                <w:color w:val="007800"/>
                <w:sz w:val="16"/>
              </w:rPr>
              <w:t>+35.78%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21,350</w:t>
            </w:r>
          </w:p>
        </w:tc>
        <w:tc>
          <w:tcPr>
            <w:tcW w:type="dxa" w:w="1417"/>
            <w:shd w:fill="FFFFFF" w:val="clear"/>
          </w:tcPr>
          <w:p>
            <w:r>
              <w:rPr>
                <w:sz w:val="16"/>
              </w:rPr>
              <w:t>24,505</w:t>
            </w:r>
          </w:p>
        </w:tc>
        <w:tc>
          <w:tcPr>
            <w:tcW w:type="dxa" w:w="1134"/>
            <w:shd w:fill="C6EFCE" w:val="clear"/>
          </w:tcPr>
          <w:p>
            <w:r>
              <w:rPr>
                <w:b/>
                <w:color w:val="007800"/>
                <w:sz w:val="16"/>
              </w:rPr>
              <w:t>+14.78%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8,400</w:t>
            </w:r>
          </w:p>
        </w:tc>
        <w:tc>
          <w:tcPr>
            <w:tcW w:type="dxa" w:w="1417"/>
            <w:shd w:fill="FFFFFF" w:val="clear"/>
          </w:tcPr>
          <w:p>
            <w:r>
              <w:rPr>
                <w:sz w:val="16"/>
              </w:rPr>
              <w:t>9,296</w:t>
            </w:r>
          </w:p>
        </w:tc>
        <w:tc>
          <w:tcPr>
            <w:tcW w:type="dxa" w:w="1134"/>
            <w:shd w:fill="C6EFCE" w:val="clear"/>
          </w:tcPr>
          <w:p>
            <w:r>
              <w:rPr>
                <w:b/>
                <w:color w:val="007800"/>
                <w:sz w:val="16"/>
              </w:rPr>
              <w:t>+10.67%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1,790</w:t>
            </w:r>
          </w:p>
        </w:tc>
        <w:tc>
          <w:tcPr>
            <w:tcW w:type="dxa" w:w="1417"/>
            <w:shd w:fill="FFFFFF" w:val="clear"/>
          </w:tcPr>
          <w:p>
            <w:r>
              <w:rPr>
                <w:sz w:val="16"/>
              </w:rPr>
              <w:t>1,888</w:t>
            </w:r>
          </w:p>
        </w:tc>
        <w:tc>
          <w:tcPr>
            <w:tcW w:type="dxa" w:w="1134"/>
            <w:shd w:fill="C6EFCE" w:val="clear"/>
          </w:tcPr>
          <w:p>
            <w:r>
              <w:rPr>
                <w:b/>
                <w:color w:val="007800"/>
                <w:sz w:val="16"/>
              </w:rPr>
              <w:t>+5.50%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4,700</w:t>
            </w:r>
          </w:p>
        </w:tc>
        <w:tc>
          <w:tcPr>
            <w:tcW w:type="dxa" w:w="1417"/>
            <w:shd w:fill="FFFFFF" w:val="clear"/>
          </w:tcPr>
          <w:p>
            <w:r>
              <w:rPr>
                <w:sz w:val="16"/>
              </w:rPr>
              <w:t>4,947</w:t>
            </w:r>
          </w:p>
        </w:tc>
        <w:tc>
          <w:tcPr>
            <w:tcW w:type="dxa" w:w="1134"/>
            <w:shd w:fill="C6EFCE" w:val="clear"/>
          </w:tcPr>
          <w:p>
            <w:r>
              <w:rPr>
                <w:b/>
                <w:color w:val="007800"/>
                <w:sz w:val="16"/>
              </w:rPr>
              <w:t>+5.26%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5,800</w:t>
            </w:r>
          </w:p>
        </w:tc>
        <w:tc>
          <w:tcPr>
            <w:tcW w:type="dxa" w:w="1417"/>
            <w:shd w:fill="FFFFFF" w:val="clear"/>
          </w:tcPr>
          <w:p>
            <w:r>
              <w:rPr>
                <w:sz w:val="16"/>
              </w:rPr>
              <w:t>6,071</w:t>
            </w:r>
          </w:p>
        </w:tc>
        <w:tc>
          <w:tcPr>
            <w:tcW w:type="dxa" w:w="1134"/>
            <w:shd w:fill="C6EFCE" w:val="clear"/>
          </w:tcPr>
          <w:p>
            <w:r>
              <w:rPr>
                <w:b/>
                <w:color w:val="007800"/>
                <w:sz w:val="16"/>
              </w:rPr>
              <w:t>+4.68%</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1,450</w:t>
            </w:r>
          </w:p>
        </w:tc>
        <w:tc>
          <w:tcPr>
            <w:tcW w:type="dxa" w:w="1417"/>
            <w:shd w:fill="FFFFFF" w:val="clear"/>
          </w:tcPr>
          <w:p>
            <w:r>
              <w:rPr>
                <w:sz w:val="16"/>
              </w:rPr>
              <w:t>1,504</w:t>
            </w:r>
          </w:p>
        </w:tc>
        <w:tc>
          <w:tcPr>
            <w:tcW w:type="dxa" w:w="1134"/>
            <w:shd w:fill="C6EFCE" w:val="clear"/>
          </w:tcPr>
          <w:p>
            <w:r>
              <w:rPr>
                <w:b/>
                <w:color w:val="007800"/>
                <w:sz w:val="16"/>
              </w:rPr>
              <w:t>+3.71%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38,500</w:t>
            </w:r>
          </w:p>
        </w:tc>
        <w:tc>
          <w:tcPr>
            <w:tcW w:type="dxa" w:w="1417"/>
            <w:shd w:fill="FFFFFF" w:val="clear"/>
          </w:tcPr>
          <w:p>
            <w:r>
              <w:rPr>
                <w:sz w:val="16"/>
              </w:rPr>
              <w:t>39,851</w:t>
            </w:r>
          </w:p>
        </w:tc>
        <w:tc>
          <w:tcPr>
            <w:tcW w:type="dxa" w:w="1134"/>
            <w:shd w:fill="C6EFCE" w:val="clear"/>
          </w:tcPr>
          <w:p>
            <w:r>
              <w:rPr>
                <w:b/>
                <w:color w:val="007800"/>
                <w:sz w:val="16"/>
              </w:rPr>
              <w:t>+3.51%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15,900</w:t>
            </w:r>
          </w:p>
        </w:tc>
        <w:tc>
          <w:tcPr>
            <w:tcW w:type="dxa" w:w="1417"/>
            <w:shd w:fill="FFFFFF" w:val="clear"/>
          </w:tcPr>
          <w:p>
            <w:r>
              <w:rPr>
                <w:sz w:val="16"/>
              </w:rPr>
              <w:t>16,360</w:t>
            </w:r>
          </w:p>
        </w:tc>
        <w:tc>
          <w:tcPr>
            <w:tcW w:type="dxa" w:w="1134"/>
            <w:shd w:fill="C6EFCE" w:val="clear"/>
          </w:tcPr>
          <w:p>
            <w:r>
              <w:rPr>
                <w:b/>
                <w:color w:val="007800"/>
                <w:sz w:val="16"/>
              </w:rPr>
              <w:t>+2.89%</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14,700</w:t>
            </w:r>
          </w:p>
        </w:tc>
        <w:tc>
          <w:tcPr>
            <w:tcW w:type="dxa" w:w="1417"/>
            <w:shd w:fill="FFFFFF" w:val="clear"/>
          </w:tcPr>
          <w:p>
            <w:r>
              <w:rPr>
                <w:sz w:val="16"/>
              </w:rPr>
              <w:t>15,116</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3,900</w:t>
            </w:r>
          </w:p>
        </w:tc>
        <w:tc>
          <w:tcPr>
            <w:tcW w:type="dxa" w:w="1417"/>
            <w:shd w:fill="FFFFFF" w:val="clear"/>
          </w:tcPr>
          <w:p>
            <w:r>
              <w:rPr>
                <w:sz w:val="16"/>
              </w:rPr>
              <w:t>4,010</w:t>
            </w:r>
          </w:p>
        </w:tc>
        <w:tc>
          <w:tcPr>
            <w:tcW w:type="dxa" w:w="1134"/>
            <w:shd w:fill="C6EFCE" w:val="clear"/>
          </w:tcPr>
          <w:p>
            <w:r>
              <w:rPr>
                <w:b/>
                <w:color w:val="007800"/>
                <w:sz w:val="16"/>
              </w:rPr>
              <w:t>+2.82%</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2,030</w:t>
            </w:r>
          </w:p>
        </w:tc>
        <w:tc>
          <w:tcPr>
            <w:tcW w:type="dxa" w:w="1417"/>
            <w:shd w:fill="FFFFFF" w:val="clear"/>
          </w:tcPr>
          <w:p>
            <w:r>
              <w:rPr>
                <w:sz w:val="16"/>
              </w:rPr>
              <w:t>2,073</w:t>
            </w:r>
          </w:p>
        </w:tc>
        <w:tc>
          <w:tcPr>
            <w:tcW w:type="dxa" w:w="1134"/>
            <w:shd w:fill="C6EFCE" w:val="clear"/>
          </w:tcPr>
          <w:p>
            <w:r>
              <w:rPr>
                <w:b/>
                <w:color w:val="007800"/>
                <w:sz w:val="16"/>
              </w:rPr>
              <w:t>+2.12%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2,190</w:t>
            </w:r>
          </w:p>
        </w:tc>
        <w:tc>
          <w:tcPr>
            <w:tcW w:type="dxa" w:w="1417"/>
            <w:shd w:fill="FFFFFF" w:val="clear"/>
          </w:tcPr>
          <w:p>
            <w:r>
              <w:rPr>
                <w:sz w:val="16"/>
              </w:rPr>
              <w:t>2,234</w:t>
            </w:r>
          </w:p>
        </w:tc>
        <w:tc>
          <w:tcPr>
            <w:tcW w:type="dxa" w:w="1134"/>
            <w:shd w:fill="C6EFCE" w:val="clear"/>
          </w:tcPr>
          <w:p>
            <w:r>
              <w:rPr>
                <w:b/>
                <w:color w:val="007800"/>
                <w:sz w:val="16"/>
              </w:rPr>
              <w:t>+2.01%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43,500</w:t>
            </w:r>
          </w:p>
        </w:tc>
        <w:tc>
          <w:tcPr>
            <w:tcW w:type="dxa" w:w="1417"/>
            <w:shd w:fill="FFFFFF" w:val="clear"/>
          </w:tcPr>
          <w:p>
            <w:r>
              <w:rPr>
                <w:sz w:val="16"/>
              </w:rPr>
              <w:t>44,213</w:t>
            </w:r>
          </w:p>
        </w:tc>
        <w:tc>
          <w:tcPr>
            <w:tcW w:type="dxa" w:w="1134"/>
            <w:shd w:fill="C6EFCE" w:val="clear"/>
          </w:tcPr>
          <w:p>
            <w:r>
              <w:rPr>
                <w:b/>
                <w:color w:val="007800"/>
                <w:sz w:val="16"/>
              </w:rPr>
              <w:t>+1.64%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12,900</w:t>
            </w:r>
          </w:p>
        </w:tc>
        <w:tc>
          <w:tcPr>
            <w:tcW w:type="dxa" w:w="1417"/>
            <w:shd w:fill="FFFFFF" w:val="clear"/>
          </w:tcPr>
          <w:p>
            <w:r>
              <w:rPr>
                <w:sz w:val="16"/>
              </w:rPr>
              <w:t>13,092</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20,600</w:t>
            </w:r>
          </w:p>
        </w:tc>
        <w:tc>
          <w:tcPr>
            <w:tcW w:type="dxa" w:w="1417"/>
            <w:shd w:fill="FFFFFF" w:val="clear"/>
          </w:tcPr>
          <w:p>
            <w:r>
              <w:rPr>
                <w:sz w:val="16"/>
              </w:rPr>
              <w:t>20,857</w:t>
            </w:r>
          </w:p>
        </w:tc>
        <w:tc>
          <w:tcPr>
            <w:tcW w:type="dxa" w:w="1134"/>
            <w:shd w:fill="C6EFCE" w:val="clear"/>
          </w:tcPr>
          <w:p>
            <w:r>
              <w:rPr>
                <w:b/>
                <w:color w:val="007800"/>
                <w:sz w:val="16"/>
              </w:rPr>
              <w:t>+1.25%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4,048</w:t>
            </w:r>
          </w:p>
        </w:tc>
        <w:tc>
          <w:tcPr>
            <w:tcW w:type="dxa" w:w="1134"/>
            <w:shd w:fill="C6EFCE" w:val="clear"/>
          </w:tcPr>
          <w:p>
            <w:r>
              <w:rPr>
                <w:b/>
                <w:color w:val="007800"/>
                <w:sz w:val="16"/>
              </w:rPr>
              <w:t>+1.20%</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11,395</w:t>
            </w:r>
          </w:p>
        </w:tc>
        <w:tc>
          <w:tcPr>
            <w:tcW w:type="dxa" w:w="1417"/>
            <w:shd w:fill="FFFFFF" w:val="clear"/>
          </w:tcPr>
          <w:p>
            <w:r>
              <w:rPr>
                <w:sz w:val="16"/>
              </w:rPr>
              <w:t>11,521</w:t>
            </w:r>
          </w:p>
        </w:tc>
        <w:tc>
          <w:tcPr>
            <w:tcW w:type="dxa" w:w="1134"/>
            <w:shd w:fill="C6EFCE" w:val="clear"/>
          </w:tcPr>
          <w:p>
            <w:r>
              <w:rPr>
                <w:b/>
                <w:color w:val="007800"/>
                <w:sz w:val="16"/>
              </w:rPr>
              <w:t>+1.11%</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2,870</w:t>
            </w:r>
          </w:p>
        </w:tc>
        <w:tc>
          <w:tcPr>
            <w:tcW w:type="dxa" w:w="1417"/>
            <w:shd w:fill="FFFFFF" w:val="clear"/>
          </w:tcPr>
          <w:p>
            <w:r>
              <w:rPr>
                <w:sz w:val="16"/>
              </w:rPr>
              <w:t>2,889</w:t>
            </w:r>
          </w:p>
        </w:tc>
        <w:tc>
          <w:tcPr>
            <w:tcW w:type="dxa" w:w="1134"/>
            <w:shd w:fill="FFEB9C" w:val="clear"/>
          </w:tcPr>
          <w:p>
            <w:r>
              <w:rPr>
                <w:b/>
                <w:color w:val="646400"/>
                <w:sz w:val="16"/>
              </w:rPr>
              <w:t>+0.66%</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3,000</w:t>
            </w:r>
          </w:p>
        </w:tc>
        <w:tc>
          <w:tcPr>
            <w:tcW w:type="dxa" w:w="1417"/>
            <w:shd w:fill="FFFFFF" w:val="clear"/>
          </w:tcPr>
          <w:p>
            <w:r>
              <w:rPr>
                <w:sz w:val="16"/>
              </w:rPr>
              <w:t>3,020</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7,415</w:t>
            </w:r>
          </w:p>
        </w:tc>
        <w:tc>
          <w:tcPr>
            <w:tcW w:type="dxa" w:w="1417"/>
            <w:shd w:fill="FFFFFF" w:val="clear"/>
          </w:tcPr>
          <w:p>
            <w:r>
              <w:rPr>
                <w:sz w:val="16"/>
              </w:rPr>
              <w:t>7,462</w:t>
            </w:r>
          </w:p>
        </w:tc>
        <w:tc>
          <w:tcPr>
            <w:tcW w:type="dxa" w:w="1134"/>
            <w:shd w:fill="FFEB9C" w:val="clear"/>
          </w:tcPr>
          <w:p>
            <w:r>
              <w:rPr>
                <w:b/>
                <w:color w:val="646400"/>
                <w:sz w:val="16"/>
              </w:rPr>
              <w:t>+0.63%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2,780</w:t>
            </w:r>
          </w:p>
        </w:tc>
        <w:tc>
          <w:tcPr>
            <w:tcW w:type="dxa" w:w="1417"/>
            <w:shd w:fill="FFFFFF" w:val="clear"/>
          </w:tcPr>
          <w:p>
            <w:r>
              <w:rPr>
                <w:sz w:val="16"/>
              </w:rPr>
              <w:t>2,795</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45,000</w:t>
            </w:r>
          </w:p>
        </w:tc>
        <w:tc>
          <w:tcPr>
            <w:tcW w:type="dxa" w:w="1417"/>
            <w:shd w:fill="FFFFFF" w:val="clear"/>
          </w:tcPr>
          <w:p>
            <w:r>
              <w:rPr>
                <w:sz w:val="16"/>
              </w:rPr>
              <w:t>45,217</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1,805</w:t>
            </w:r>
          </w:p>
        </w:tc>
        <w:tc>
          <w:tcPr>
            <w:tcW w:type="dxa" w:w="1417"/>
            <w:shd w:fill="FFFFFF" w:val="clear"/>
          </w:tcPr>
          <w:p>
            <w:r>
              <w:rPr>
                <w:sz w:val="16"/>
              </w:rPr>
              <w:t>1,812</w:t>
            </w:r>
          </w:p>
        </w:tc>
        <w:tc>
          <w:tcPr>
            <w:tcW w:type="dxa" w:w="1134"/>
            <w:shd w:fill="FFEB9C" w:val="clear"/>
          </w:tcPr>
          <w:p>
            <w:r>
              <w:rPr>
                <w:b/>
                <w:color w:val="646400"/>
                <w:sz w:val="16"/>
              </w:rPr>
              <w:t>+0.38%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9,000</w:t>
            </w:r>
          </w:p>
        </w:tc>
        <w:tc>
          <w:tcPr>
            <w:tcW w:type="dxa" w:w="1417"/>
            <w:shd w:fill="FFFFFF" w:val="clear"/>
          </w:tcPr>
          <w:p>
            <w:r>
              <w:rPr>
                <w:sz w:val="16"/>
              </w:rPr>
              <w:t>9,000</w:t>
            </w:r>
          </w:p>
        </w:tc>
        <w:tc>
          <w:tcPr>
            <w:tcW w:type="dxa" w:w="1134"/>
            <w:shd w:fill="FFEB9C" w:val="clear"/>
          </w:tcPr>
          <w:p>
            <w:r>
              <w:rPr>
                <w:b/>
                <w:color w:val="646400"/>
                <w:sz w:val="16"/>
              </w:rPr>
              <w:t>-0.01%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15,395</w:t>
            </w:r>
          </w:p>
        </w:tc>
        <w:tc>
          <w:tcPr>
            <w:tcW w:type="dxa" w:w="1417"/>
            <w:shd w:fill="FFFFFF" w:val="clear"/>
          </w:tcPr>
          <w:p>
            <w:r>
              <w:rPr>
                <w:sz w:val="16"/>
              </w:rPr>
              <w:t>15,203</w:t>
            </w:r>
          </w:p>
        </w:tc>
        <w:tc>
          <w:tcPr>
            <w:tcW w:type="dxa" w:w="1134"/>
            <w:shd w:fill="FFC7CE" w:val="clear"/>
          </w:tcPr>
          <w:p>
            <w:r>
              <w:rPr>
                <w:b/>
                <w:color w:val="B40000"/>
                <w:sz w:val="16"/>
              </w:rPr>
              <w:t>-1.25%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4,290</w:t>
            </w:r>
          </w:p>
        </w:tc>
        <w:tc>
          <w:tcPr>
            <w:tcW w:type="dxa" w:w="1417"/>
            <w:shd w:fill="FFFFFF" w:val="clear"/>
          </w:tcPr>
          <w:p>
            <w:r>
              <w:rPr>
                <w:sz w:val="16"/>
              </w:rPr>
              <w:t>4,215</w:t>
            </w:r>
          </w:p>
        </w:tc>
        <w:tc>
          <w:tcPr>
            <w:tcW w:type="dxa" w:w="1134"/>
            <w:shd w:fill="FFC7CE" w:val="clear"/>
          </w:tcPr>
          <w:p>
            <w:r>
              <w:rPr>
                <w:b/>
                <w:color w:val="B40000"/>
                <w:sz w:val="16"/>
              </w:rPr>
              <w:t>-1.74%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3,583</w:t>
            </w:r>
          </w:p>
        </w:tc>
        <w:tc>
          <w:tcPr>
            <w:tcW w:type="dxa" w:w="1134"/>
            <w:shd w:fill="FFC7CE" w:val="clear"/>
          </w:tcPr>
          <w:p>
            <w:r>
              <w:rPr>
                <w:b/>
                <w:color w:val="B40000"/>
                <w:sz w:val="16"/>
              </w:rPr>
              <w:t>-1.83%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39,005</w:t>
            </w:r>
          </w:p>
        </w:tc>
        <w:tc>
          <w:tcPr>
            <w:tcW w:type="dxa" w:w="1417"/>
            <w:shd w:fill="FFFFFF" w:val="clear"/>
          </w:tcPr>
          <w:p>
            <w:r>
              <w:rPr>
                <w:sz w:val="16"/>
              </w:rPr>
              <w:t>38,188</w:t>
            </w:r>
          </w:p>
        </w:tc>
        <w:tc>
          <w:tcPr>
            <w:tcW w:type="dxa" w:w="1134"/>
            <w:shd w:fill="FFC7CE" w:val="clear"/>
          </w:tcPr>
          <w:p>
            <w:r>
              <w:rPr>
                <w:b/>
                <w:color w:val="B40000"/>
                <w:sz w:val="16"/>
              </w:rPr>
              <w:t>-2.09%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3,100</w:t>
            </w:r>
          </w:p>
        </w:tc>
        <w:tc>
          <w:tcPr>
            <w:tcW w:type="dxa" w:w="1417"/>
            <w:shd w:fill="FFFFFF" w:val="clear"/>
          </w:tcPr>
          <w:p>
            <w:r>
              <w:rPr>
                <w:sz w:val="16"/>
              </w:rPr>
              <w:t>3,018</w:t>
            </w:r>
          </w:p>
        </w:tc>
        <w:tc>
          <w:tcPr>
            <w:tcW w:type="dxa" w:w="1134"/>
            <w:shd w:fill="FFC7CE" w:val="clear"/>
          </w:tcPr>
          <w:p>
            <w:r>
              <w:rPr>
                <w:b/>
                <w:color w:val="B40000"/>
                <w:sz w:val="16"/>
              </w:rPr>
              <w:t>-2.65%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7,600</w:t>
            </w:r>
          </w:p>
        </w:tc>
        <w:tc>
          <w:tcPr>
            <w:tcW w:type="dxa" w:w="1417"/>
            <w:shd w:fill="FFFFFF" w:val="clear"/>
          </w:tcPr>
          <w:p>
            <w:r>
              <w:rPr>
                <w:sz w:val="16"/>
              </w:rPr>
              <w:t>7,395</w:t>
            </w:r>
          </w:p>
        </w:tc>
        <w:tc>
          <w:tcPr>
            <w:tcW w:type="dxa" w:w="1134"/>
            <w:shd w:fill="FFC7CE" w:val="clear"/>
          </w:tcPr>
          <w:p>
            <w:r>
              <w:rPr>
                <w:b/>
                <w:color w:val="B40000"/>
                <w:sz w:val="16"/>
              </w:rPr>
              <w:t>-2.70%</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8,010</w:t>
            </w:r>
          </w:p>
        </w:tc>
        <w:tc>
          <w:tcPr>
            <w:tcW w:type="dxa" w:w="1417"/>
            <w:shd w:fill="FFFFFF" w:val="clear"/>
          </w:tcPr>
          <w:p>
            <w:r>
              <w:rPr>
                <w:sz w:val="16"/>
              </w:rPr>
              <w:t>7,782</w:t>
            </w:r>
          </w:p>
        </w:tc>
        <w:tc>
          <w:tcPr>
            <w:tcW w:type="dxa" w:w="1134"/>
            <w:shd w:fill="FFC7CE" w:val="clear"/>
          </w:tcPr>
          <w:p>
            <w:r>
              <w:rPr>
                <w:b/>
                <w:color w:val="B40000"/>
                <w:sz w:val="16"/>
              </w:rPr>
              <w:t>-2.84%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7,374</w:t>
            </w:r>
          </w:p>
        </w:tc>
        <w:tc>
          <w:tcPr>
            <w:tcW w:type="dxa" w:w="1134"/>
            <w:shd w:fill="FFC7CE" w:val="clear"/>
          </w:tcPr>
          <w:p>
            <w:r>
              <w:rPr>
                <w:b/>
                <w:color w:val="B40000"/>
                <w:sz w:val="16"/>
              </w:rPr>
              <w:t>-2.98%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2,995</w:t>
            </w:r>
          </w:p>
        </w:tc>
        <w:tc>
          <w:tcPr>
            <w:tcW w:type="dxa" w:w="1417"/>
            <w:shd w:fill="FFFFFF" w:val="clear"/>
          </w:tcPr>
          <w:p>
            <w:r>
              <w:rPr>
                <w:sz w:val="16"/>
              </w:rPr>
              <w:t>2,896</w:t>
            </w:r>
          </w:p>
        </w:tc>
        <w:tc>
          <w:tcPr>
            <w:tcW w:type="dxa" w:w="1134"/>
            <w:shd w:fill="FFC7CE" w:val="clear"/>
          </w:tcPr>
          <w:p>
            <w:r>
              <w:rPr>
                <w:b/>
                <w:color w:val="B40000"/>
                <w:sz w:val="16"/>
              </w:rPr>
              <w:t>-3.29%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2,105</w:t>
            </w:r>
          </w:p>
        </w:tc>
        <w:tc>
          <w:tcPr>
            <w:tcW w:type="dxa" w:w="1417"/>
            <w:shd w:fill="FFFFFF" w:val="clear"/>
          </w:tcPr>
          <w:p>
            <w:r>
              <w:rPr>
                <w:sz w:val="16"/>
              </w:rPr>
              <w:t>2,023</w:t>
            </w:r>
          </w:p>
        </w:tc>
        <w:tc>
          <w:tcPr>
            <w:tcW w:type="dxa" w:w="1134"/>
            <w:shd w:fill="FFC7CE" w:val="clear"/>
          </w:tcPr>
          <w:p>
            <w:r>
              <w:rPr>
                <w:b/>
                <w:color w:val="B40000"/>
                <w:sz w:val="16"/>
              </w:rPr>
              <w:t>-3.91%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2,882</w:t>
            </w:r>
          </w:p>
        </w:tc>
        <w:tc>
          <w:tcPr>
            <w:tcW w:type="dxa" w:w="1134"/>
            <w:shd w:fill="FFC7CE" w:val="clear"/>
          </w:tcPr>
          <w:p>
            <w:r>
              <w:rPr>
                <w:b/>
                <w:color w:val="B40000"/>
                <w:sz w:val="16"/>
              </w:rPr>
              <w:t>-3.94%</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32,400</w:t>
            </w:r>
          </w:p>
        </w:tc>
        <w:tc>
          <w:tcPr>
            <w:tcW w:type="dxa" w:w="1417"/>
            <w:shd w:fill="FFFFFF" w:val="clear"/>
          </w:tcPr>
          <w:p>
            <w:r>
              <w:rPr>
                <w:sz w:val="16"/>
              </w:rPr>
              <w:t>31,106</w:t>
            </w:r>
          </w:p>
        </w:tc>
        <w:tc>
          <w:tcPr>
            <w:tcW w:type="dxa" w:w="1134"/>
            <w:shd w:fill="FFC7CE" w:val="clear"/>
          </w:tcPr>
          <w:p>
            <w:r>
              <w:rPr>
                <w:b/>
                <w:color w:val="B40000"/>
                <w:sz w:val="16"/>
              </w:rPr>
              <w:t>-3.99%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8,725</w:t>
            </w:r>
          </w:p>
        </w:tc>
        <w:tc>
          <w:tcPr>
            <w:tcW w:type="dxa" w:w="1417"/>
            <w:shd w:fill="FFFFFF" w:val="clear"/>
          </w:tcPr>
          <w:p>
            <w:r>
              <w:rPr>
                <w:sz w:val="16"/>
              </w:rPr>
              <w:t>8,333</w:t>
            </w:r>
          </w:p>
        </w:tc>
        <w:tc>
          <w:tcPr>
            <w:tcW w:type="dxa" w:w="1134"/>
            <w:shd w:fill="FFC7CE" w:val="clear"/>
          </w:tcPr>
          <w:p>
            <w:r>
              <w:rPr>
                <w:b/>
                <w:color w:val="B40000"/>
                <w:sz w:val="16"/>
              </w:rPr>
              <w:t>-4.49%</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2,145</w:t>
            </w:r>
          </w:p>
        </w:tc>
        <w:tc>
          <w:tcPr>
            <w:tcW w:type="dxa" w:w="1417"/>
            <w:shd w:fill="FFFFFF" w:val="clear"/>
          </w:tcPr>
          <w:p>
            <w:r>
              <w:rPr>
                <w:sz w:val="16"/>
              </w:rPr>
              <w:t>2,038</w:t>
            </w:r>
          </w:p>
        </w:tc>
        <w:tc>
          <w:tcPr>
            <w:tcW w:type="dxa" w:w="1134"/>
            <w:shd w:fill="FFC7CE" w:val="clear"/>
          </w:tcPr>
          <w:p>
            <w:r>
              <w:rPr>
                <w:b/>
                <w:color w:val="B40000"/>
                <w:sz w:val="16"/>
              </w:rPr>
              <w:t>-4.98%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1,800</w:t>
            </w:r>
          </w:p>
        </w:tc>
        <w:tc>
          <w:tcPr>
            <w:tcW w:type="dxa" w:w="1417"/>
            <w:shd w:fill="FFFFFF" w:val="clear"/>
          </w:tcPr>
          <w:p>
            <w:r>
              <w:rPr>
                <w:sz w:val="16"/>
              </w:rPr>
              <w:t>1,689</w:t>
            </w:r>
          </w:p>
        </w:tc>
        <w:tc>
          <w:tcPr>
            <w:tcW w:type="dxa" w:w="1134"/>
            <w:shd w:fill="FFC7CE" w:val="clear"/>
          </w:tcPr>
          <w:p>
            <w:r>
              <w:rPr>
                <w:b/>
                <w:color w:val="B40000"/>
                <w:sz w:val="16"/>
              </w:rPr>
              <w:t>-6.14%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5,317</w:t>
            </w:r>
          </w:p>
        </w:tc>
        <w:tc>
          <w:tcPr>
            <w:tcW w:type="dxa" w:w="1134"/>
            <w:shd w:fill="FFC7CE" w:val="clear"/>
          </w:tcPr>
          <w:p>
            <w:r>
              <w:rPr>
                <w:b/>
                <w:color w:val="B40000"/>
                <w:sz w:val="16"/>
              </w:rPr>
              <w:t>-6.72%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28,719</w:t>
            </w:r>
          </w:p>
        </w:tc>
        <w:tc>
          <w:tcPr>
            <w:tcW w:type="dxa" w:w="1134"/>
            <w:shd w:fill="FFC7CE" w:val="clear"/>
          </w:tcPr>
          <w:p>
            <w:r>
              <w:rPr>
                <w:b/>
                <w:color w:val="B40000"/>
                <w:sz w:val="16"/>
              </w:rPr>
              <w:t>-8.83%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20,510</w:t>
            </w:r>
          </w:p>
        </w:tc>
        <w:tc>
          <w:tcPr>
            <w:tcW w:type="dxa" w:w="1417"/>
            <w:shd w:fill="FFFFFF" w:val="clear"/>
          </w:tcPr>
          <w:p>
            <w:r>
              <w:rPr>
                <w:sz w:val="16"/>
              </w:rPr>
              <w:t>18,450</w:t>
            </w:r>
          </w:p>
        </w:tc>
        <w:tc>
          <w:tcPr>
            <w:tcW w:type="dxa" w:w="1134"/>
            <w:shd w:fill="FFC7CE" w:val="clear"/>
          </w:tcPr>
          <w:p>
            <w:r>
              <w:rPr>
                <w:b/>
                <w:color w:val="B40000"/>
                <w:sz w:val="16"/>
              </w:rPr>
              <w:t>-10.04%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8,150</w:t>
            </w:r>
          </w:p>
        </w:tc>
        <w:tc>
          <w:tcPr>
            <w:tcW w:type="dxa" w:w="1417"/>
            <w:shd w:fill="FFFFFF" w:val="clear"/>
          </w:tcPr>
          <w:p>
            <w:r>
              <w:rPr>
                <w:sz w:val="16"/>
              </w:rPr>
              <w:t>7,110</w:t>
            </w:r>
          </w:p>
        </w:tc>
        <w:tc>
          <w:tcPr>
            <w:tcW w:type="dxa" w:w="1134"/>
            <w:shd w:fill="FFC7CE" w:val="clear"/>
          </w:tcPr>
          <w:p>
            <w:r>
              <w:rPr>
                <w:b/>
                <w:color w:val="B40000"/>
                <w:sz w:val="16"/>
              </w:rPr>
              <w:t>-12.75%</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3,250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+4.17%</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μ=3,365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β=0.3392 (Défensif) — Cov=0.000025, Var(idx)=0.000075, ρ=0.102,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2,887</w:t>
            </w:r>
          </w:p>
        </w:tc>
        <w:tc>
          <w:tcPr>
            <w:tcW w:type="dxa" w:w="1440"/>
            <w:shd w:fill="FAFAFA" w:val="clear"/>
          </w:tcPr>
          <w:p>
            <w:r>
              <w:rPr>
                <w:b/>
                <w:sz w:val="17"/>
              </w:rPr>
              <w:t>3,002</w:t>
            </w:r>
          </w:p>
        </w:tc>
        <w:tc>
          <w:tcPr>
            <w:tcW w:type="dxa" w:w="1440"/>
            <w:shd w:fill="FAFAFA" w:val="clear"/>
          </w:tcPr>
          <w:p>
            <w:r>
              <w:rPr>
                <w:sz w:val="17"/>
              </w:rPr>
              <w:t>3,117</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2,819</w:t>
            </w:r>
          </w:p>
        </w:tc>
        <w:tc>
          <w:tcPr>
            <w:tcW w:type="dxa" w:w="1440"/>
            <w:shd w:fill="FAFAFA" w:val="clear"/>
          </w:tcPr>
          <w:p>
            <w:r>
              <w:rPr>
                <w:b/>
                <w:sz w:val="17"/>
              </w:rPr>
              <w:t>2,981</w:t>
            </w:r>
          </w:p>
        </w:tc>
        <w:tc>
          <w:tcPr>
            <w:tcW w:type="dxa" w:w="1440"/>
            <w:shd w:fill="FAFAFA" w:val="clear"/>
          </w:tcPr>
          <w:p>
            <w:r>
              <w:rPr>
                <w:sz w:val="17"/>
              </w:rPr>
              <w:t>3,143</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2,773</w:t>
            </w:r>
          </w:p>
        </w:tc>
        <w:tc>
          <w:tcPr>
            <w:tcW w:type="dxa" w:w="1440"/>
            <w:shd w:fill="FAFAFA" w:val="clear"/>
          </w:tcPr>
          <w:p>
            <w:r>
              <w:rPr>
                <w:b/>
                <w:sz w:val="17"/>
              </w:rPr>
              <w:t>2,971</w:t>
            </w:r>
          </w:p>
        </w:tc>
        <w:tc>
          <w:tcPr>
            <w:tcW w:type="dxa" w:w="1440"/>
            <w:shd w:fill="FAFAFA" w:val="clear"/>
          </w:tcPr>
          <w:p>
            <w:r>
              <w:rPr>
                <w:sz w:val="17"/>
              </w:rPr>
              <w:t>3,168</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2,732</w:t>
            </w:r>
          </w:p>
        </w:tc>
        <w:tc>
          <w:tcPr>
            <w:tcW w:type="dxa" w:w="1440"/>
            <w:shd w:fill="FAFAFA" w:val="clear"/>
          </w:tcPr>
          <w:p>
            <w:r>
              <w:rPr>
                <w:b/>
                <w:sz w:val="17"/>
              </w:rPr>
              <w:t>2,959</w:t>
            </w:r>
          </w:p>
        </w:tc>
        <w:tc>
          <w:tcPr>
            <w:tcW w:type="dxa" w:w="1440"/>
            <w:shd w:fill="FAFAFA" w:val="clear"/>
          </w:tcPr>
          <w:p>
            <w:r>
              <w:rPr>
                <w:sz w:val="17"/>
              </w:rPr>
              <w:t>3,186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2,693</w:t>
            </w:r>
          </w:p>
        </w:tc>
        <w:tc>
          <w:tcPr>
            <w:tcW w:type="dxa" w:w="1440"/>
            <w:shd w:fill="FAFAFA" w:val="clear"/>
          </w:tcPr>
          <w:p>
            <w:r>
              <w:rPr>
                <w:b/>
                <w:sz w:val="17"/>
              </w:rPr>
              <w:t>2,946</w:t>
            </w:r>
          </w:p>
        </w:tc>
        <w:tc>
          <w:tcPr>
            <w:tcW w:type="dxa" w:w="1440"/>
            <w:shd w:fill="FAFAFA" w:val="clear"/>
          </w:tcPr>
          <w:p>
            <w:r>
              <w:rPr>
                <w:sz w:val="17"/>
              </w:rPr>
              <w:t>3,198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2,657</w:t>
            </w:r>
          </w:p>
        </w:tc>
        <w:tc>
          <w:tcPr>
            <w:tcW w:type="dxa" w:w="1440"/>
            <w:shd w:fill="FFDCE0" w:val="clear"/>
          </w:tcPr>
          <w:p>
            <w:r>
              <w:rPr>
                <w:b/>
                <w:sz w:val="17"/>
              </w:rPr>
              <w:t>2,932</w:t>
            </w:r>
          </w:p>
        </w:tc>
        <w:tc>
          <w:tcPr>
            <w:tcW w:type="dxa" w:w="1440"/>
            <w:shd w:fill="FFDCE0" w:val="clear"/>
          </w:tcPr>
          <w:p>
            <w:r>
              <w:rPr>
                <w:sz w:val="17"/>
              </w:rPr>
              <w:t>3,208</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2,623</w:t>
            </w:r>
          </w:p>
        </w:tc>
        <w:tc>
          <w:tcPr>
            <w:tcW w:type="dxa" w:w="1440"/>
            <w:shd w:fill="FFDCE0" w:val="clear"/>
          </w:tcPr>
          <w:p>
            <w:r>
              <w:rPr>
                <w:b/>
                <w:sz w:val="17"/>
              </w:rPr>
              <w:t>2,919</w:t>
            </w:r>
          </w:p>
        </w:tc>
        <w:tc>
          <w:tcPr>
            <w:tcW w:type="dxa" w:w="1440"/>
            <w:shd w:fill="FFDCE0" w:val="clear"/>
          </w:tcPr>
          <w:p>
            <w:r>
              <w:rPr>
                <w:sz w:val="17"/>
              </w:rPr>
              <w:t>3,215</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2,591</w:t>
            </w:r>
          </w:p>
        </w:tc>
        <w:tc>
          <w:tcPr>
            <w:tcW w:type="dxa" w:w="1440"/>
            <w:shd w:fill="FFDCE0" w:val="clear"/>
          </w:tcPr>
          <w:p>
            <w:r>
              <w:rPr>
                <w:b/>
                <w:sz w:val="17"/>
              </w:rPr>
              <w:t>2,906</w:t>
            </w:r>
          </w:p>
        </w:tc>
        <w:tc>
          <w:tcPr>
            <w:tcW w:type="dxa" w:w="1440"/>
            <w:shd w:fill="FFDCE0" w:val="clear"/>
          </w:tcPr>
          <w:p>
            <w:r>
              <w:rPr>
                <w:sz w:val="17"/>
              </w:rPr>
              <w:t>3,222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2,561</w:t>
            </w:r>
          </w:p>
        </w:tc>
        <w:tc>
          <w:tcPr>
            <w:tcW w:type="dxa" w:w="1440"/>
            <w:shd w:fill="FFDCE0" w:val="clear"/>
          </w:tcPr>
          <w:p>
            <w:r>
              <w:rPr>
                <w:b/>
                <w:sz w:val="17"/>
              </w:rPr>
              <w:t>2,894</w:t>
            </w:r>
          </w:p>
        </w:tc>
        <w:tc>
          <w:tcPr>
            <w:tcW w:type="dxa" w:w="1440"/>
            <w:shd w:fill="FFDCE0" w:val="clear"/>
          </w:tcPr>
          <w:p>
            <w:r>
              <w:rPr>
                <w:sz w:val="17"/>
              </w:rPr>
              <w:t>3,227</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2,532</w:t>
            </w:r>
          </w:p>
        </w:tc>
        <w:tc>
          <w:tcPr>
            <w:tcW w:type="dxa" w:w="1440"/>
            <w:shd w:fill="FFDCE0" w:val="clear"/>
          </w:tcPr>
          <w:p>
            <w:r>
              <w:rPr>
                <w:b/>
                <w:sz w:val="17"/>
              </w:rPr>
              <w:t>2,882</w:t>
            </w:r>
          </w:p>
        </w:tc>
        <w:tc>
          <w:tcPr>
            <w:tcW w:type="dxa" w:w="1440"/>
            <w:shd w:fill="FFDCE0" w:val="clear"/>
          </w:tcPr>
          <w:p>
            <w:r>
              <w:rPr>
                <w:sz w:val="17"/>
              </w:rPr>
              <w:t>3,231</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 SERVAIR ABIDJAN (ABJC)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32,74 milliards FCFA, ABJC se situe dans la catégorie des valeurs moyennes de la cote BRVM, loin des poids lourds bancaires et télécoms mais avec une liquidité respectable pour le compartiment des services aéroportuaires. Le BPA de 124 FCFA/action signifie que chaque titre génère environ 124 FCFA de bénéfice net, ce qui, rapporté au cours de 3 000 FCFA, donne un PER de 24,2x — soit plus du double de la moyenne BRVM (~8-12x), signalant que le marché paie une prime significative pour la croissance attendue ou, à l'inverse, que le titre est surévalué au regard des bénéfices actuels. Le P/B de 6,35x confirme cette exigence : le marché valorise ABJC à plus de six fois sa valeur comptable, une prime rarement justifiée sans perspective de rentabilité durable élevée. Enfin, l'EV/EBITDA de 12,1x (fourchette haute 10-15x) traduit une valeur d'entreprise tendue par rapport à la capacité opérationnelle dégagée, cohérente avec un profil de croissance mais laissant peu de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ABJC affiche une variation totale positive de +4,17%, mais la dernière séance a lourdement corrigé avec -3,23%, ramenant le cours à 3 000 FCFA. Le titre a évolué dans un range large de 2 800 FCFA (plus bas) à 4 095 FCFA (plus haut), soit un spread de près de 46% qui témoigne d'une forte amplitude de trading. La tendance générale est baissière depuis le pic de 4 095 FCFA, le cours actuel se situant 27% en dessous de ce sommet et proche du mode statistique (3 000 FCFA), ce qui suggère que cette zone constitue un support psychologique majeur. Les statistiques descriptives révèlent une moyenne de 3 365 FCFA supérieure à la médiane de 3 278 FCFA, avec un skewness positif de 0,676 indiquant que davantage de séances se sont déroulées sous la moyenne (asymétrie vers la droite, tirée par quelques pics haussiers). L'écart-type de 350 FCFA (CV=10,4%) traduit une dispersion modérée autour de la moyenne, tandis que le kurtosis de -0,742 (mésokurtique) signale une distribution proche de la normale, sans risque de pics extrêmes marqué — un profil rassurant pour la gestion du risque. La volatilité annualisée de 45,6% place clairement ABJC dans la catégorie des titres à volatilité élevée (&gt;30%), ce qui exige une tolérance au risque importante et justifie des positions prudentes.</w:t>
      </w:r>
    </w:p>
    <w:p>
      <w:pPr>
        <w:spacing w:after="120" w:line="276" w:lineRule="auto"/>
      </w:pPr>
      <w:r>
        <w:t>---</w:t>
      </w:r>
    </w:p>
    <w:p>
      <w:pPr>
        <w:spacing w:after="120" w:line="276" w:lineRule="auto"/>
      </w:pPr>
      <w:r>
        <w:t>## PARTIE 2 : ANALYSE TECHNIQUE DÉTAILLÉE</w:t>
      </w:r>
    </w:p>
    <w:p>
      <w:pPr>
        <w:spacing w:after="120" w:line="276" w:lineRule="auto"/>
      </w:pPr>
      <w:r>
        <w:t>**Moyennes Mobiles** : La MM20 (3 490,5 FCFA) et la MM50 (3 565,5 FCFA) se situent toutes deux nettement au-dessus du cours actuel (3 000 FCFA), avec la MM20 sous la MM50 — configuration baissière classique. Le cours évoluant 14% sous la MM20 et 16% sous la MM50, la pression vendeuse est confirmée et la décision technique « Vente » est pleinement justifiée.</w:t>
      </w:r>
    </w:p>
    <w:p>
      <w:pPr>
        <w:spacing w:after="120" w:line="276" w:lineRule="auto"/>
      </w:pPr>
      <w:r>
        <w:t>**Bandes de Bollinger** : Le cours (3 000 FCFA) se situe dans la moitié inférieure de la bande, entre la borne inférieure (2 823,7 FCFA) et la borne supérieure (4 157,3 FCFA), sans en toucher les extrêmes. Cette position médiane-basse traduit une volatilité contenue mais une orientation baissière, la décision « Neutre » reflétant l'absence de signal extrême (ni survente ni surachat mécanique).</w:t>
      </w:r>
    </w:p>
    <w:p>
      <w:pPr>
        <w:spacing w:after="120" w:line="276" w:lineRule="auto"/>
      </w:pPr>
      <w:r>
        <w:t>**MACD** : La valeur du MACD (-173,4) est inférieure à son signal (-116,5), avec un histogramme négatif qui s'accentue — divergence baissière persistante. Le momentum est clairement négatif et la décision « Vente » confirme que la dynamique de court terme reste défavorable malgré la correction déjà engagée.</w:t>
      </w:r>
    </w:p>
    <w:p>
      <w:pPr>
        <w:spacing w:after="120" w:line="276" w:lineRule="auto"/>
      </w:pPr>
      <w:r>
        <w:t>**RSI** : À 3,5, le RSI est en zone de survente extrême (seuil &lt;30 largement franchi), ce qui constitue un signal d'achat technique puissant. Un RSI aussi bas signale un épuisement des vendeurs et une probabilité élevée de rebond technique à court terme, bien que la tendance de fond reste baissière.</w:t>
      </w:r>
    </w:p>
    <w:p>
      <w:pPr>
        <w:spacing w:after="120" w:line="276" w:lineRule="auto"/>
      </w:pPr>
      <w:r>
        <w:t>**Stochastique** : Avec %K=0,0 et %D=0,0, le stochastique est bloqué au plancher absolu, en zone de survente maximale. La décision « Achat » est cohérente avec ce niveau extrême, mais l'absence de croisement haussier (%K au-dessus de %D) invite à attendre une confirmation avant d'agir.</w:t>
      </w:r>
    </w:p>
    <w:p>
      <w:pPr>
        <w:spacing w:after="120" w:line="276" w:lineRule="auto"/>
      </w:pPr>
      <w:r>
        <w:t>**Conclusion technique** : Les indicateurs présentent une divergence frappante entre les signaux de tendance (MM et MACD baissiers) et les oscillateurs (RSI et Stochastique en survente extrême, signaux d'achat). Cette configuration est typique d'un titre survendu en fin de correction, où un rebond technique est probable mais où la tendance de fond demeure fragile. La prudence recommande d'attendre une confirmation de retournement (croisement MACD, sortie du RSI de la zone &lt;30) avant toute exposition, le support des 2 800 FCFA constituant le niveau critique à surveiller.</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d'ABJC (exercice clos 31/12/2025) affichent un chiffre d'affaires de 13,298 milliards FCFA, en croissance de 6,67% selon les ratios fournis, pour un résultat net de 1,351 milliard FCFA — soit une marge nette de 10,16%. La rentabilité des fonds propres (ROE) atteint un niveau excellent de 26,18%, bien supérieur au seuil de 15%, et le ROA de 14,64% confirme une utilisation efficace de l'actif (rotation de 144%). La structure financière est remarquablement saine : autonomie financière de 55,9%, dépendance financière quasi nulle (1,28%), capacité de remboursement de 0,04 an et couverture des intérêts de plus de 36 000% — l'entreprise ne porte quasiment aucune dette financière (65,89 M FCFA). Sur le plan du besoin en fonds de roulement, le BFR ressort à 257,45 M FCFA (léger besoin), avec un délai client de 70,1 jours (risque de trésorerie modéré) et un délai fournisseur de 92,1 jours (favorable à la trésorerie), tandis que la trésorerie nette de 4,035 milliards FCFA offre un coussin confortable. Cependant, les rapports narratifs récents nuancent ce tableau : le rapport du T1 2026 (publié le 01/05/2026) révèle une croissance du CA limitée à +1,9% (3,237 Mds FCFA) mais surtout une chute du résultat net de -35,6% (222,6 M FCFA contre 345,9 M FCFA au T1 2025), avec un résultat des activités ordinaires en recul de -27,4%, sous l'effet d'ajustements de redevances aéroportuaires depuis avril 2025 et de tensions géopolitiques au Moyen-Orient affectant les compagnies clientes. Le rapport annuel 2025 (états provisoires, analysé le 06/09/2026) confirme un recul du résultat net de -25,4% à 1,35 Md FCFA malgré une marge nette maintenue à 14,6%, et le rapport T3 2025 (30/09/2025) avait déjà signalé un litige BCEAO sur les transferts de devises, désormais circonscrit. **Estimation** : sur la base du T1 2026 (résultat net de 222,6 M FCFA), on peut estimer un exercice 2026 en repli de 20-30% par rapport à 2025, soit un résultat net annualisé de l'ordre de 0,95-1,1 Md FCFA, ce qui porterait le BPA autour de 85-100 FCFA et le PER au-delà de 30x — une valorisation encore plus exigeante. La recommandation fondamentale est donc **CONSERVER** : la solidité bilancielle (trésorerie, absence de dette, ROE élevé) protège le titre, mais la dégradation de la rentabilité opérationnelle et la pression sur les marges imposent la prudence en attendant la normalisation des redevances et la confirmation de la reprise du trafic aérien.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titre en tension contradictoire. **Valorisation (Partie 0)** : le PER de 24,2x, le P/B de 6,35x et l'EV/EBITDA de 12,1x indiquent une surévaluation manifeste au regard des bénéfices actuels, sans marge de sécurité. **Comportement du cours (Partie 1)** : la tendance baissière depuis le pic de 4 095 FCFA, la volatilité élevée de 45,6% et le skewness positif (0,676) traduisent un risque de correction persistant, bien que le kurtosis mésokurtique limite le risque de pics extrêmes. **Signaux techniques (Partie 2)** : divergence nette entre les indicateurs de tendance (MM et MACD baissiers) et les oscillateurs (RSI à 3,5 et Stochastique à 0,0 en survente extrême) — un rebond technique est probable mais non confirmé. **Fondamentaux (Partie 3)** : la structure financière est excellente (ROE 26,2%, trésorerie 4,035 Mds FCFA, dette quasi nulle), mais la dégradation du T1 2026 (-35,6% de résultat net) et les estimations 2026 en repli pèsent sur les perspectives. **Prédictions IA (J+1 à J+10)** : la trajectoire projetée (3 002 → 2 946 FCFA, soit -1,8% sur 5 séances) confirme la pression baissière de court terme et ne contredit pas les signaux techniques de tendance, tout en suggérant que le support des 2 800-2 950 FCFA pourrait être testé. **Recommandation finale : CONSERVER**, avec un niveau de confiance **Moyen** et un risque global **Élevé** (volatilité 45,6%, surévaluation, dégradation des marges). La convergence entre valorisation tendue, technique baissière et fondamentaux en repli milite contre l'achat à ce niveau, tandis que la solidité bilancielle et la survente extrême interdisent la vente panique. L'horizon optimal est le **moyen terme (3-12 mois)**, le temps que les ajustements de redevances se normalisent et que la rentabilité se stabilise — un retour vers 2 800 FCFA constituerait une zone d'entrée plus attractive pour un investisseur de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27,889 titres</w:t>
            </w:r>
          </w:p>
        </w:tc>
        <w:tc>
          <w:tcPr>
            <w:tcW w:type="dxa" w:w="2268"/>
            <w:shd w:fill="FFF2CC" w:val="clear"/>
          </w:tcPr>
          <w:p>
            <w:r>
              <w:rPr>
                <w:b/>
                <w:color w:val="503200"/>
                <w:sz w:val="16"/>
              </w:rPr>
              <w:t xml:space="preserve">Cours actuel : </w:t>
            </w:r>
            <w:r>
              <w:rPr>
                <w:color w:val="000000"/>
                <w:sz w:val="17"/>
              </w:rPr>
              <w:t>10,390 FCFA</w:t>
            </w:r>
          </w:p>
          <w:p>
            <w:r>
              <w:rPr>
                <w:b/>
                <w:color w:val="503200"/>
                <w:sz w:val="16"/>
              </w:rPr>
              <w:t xml:space="preserve">Var. 100 jours : </w:t>
            </w:r>
            <w:r>
              <w:rPr>
                <w:b/>
                <w:color w:val="007800"/>
                <w:sz w:val="17"/>
              </w:rPr>
              <w:t>+43.21%</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10.58% (Moyenne) — μ=9,484 FCFA, σ=1,004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β=1.6641 (Agressif) — Cov=0.000127, Var(idx)=0.000076, ρ=0.437, n=12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27,889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RAPPORT D'ANALYSE FINANCIÈRE — BBGC (BRIDGE BANK GROUP COTE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519,50 Mds FCFA, BBGC s'affirme comme une valeur de premier plan sur le compartiment bancaire de la BRVM, positionnement cohérent avec son statut de banque en forte croissance récemment introduite en bourse. Le BPA de 544 FCFA/action traduit la profitabilité par titre, tandis que le PER de 19,1x — nettement supérieur à la moyenne BRVM (~8-12x) — signale que le marché paie une prime significative pour la croissance attendue, ce qui exige une exécution sans faille. Le P/B de 4,94x confirme cette valorisation exigeante : le marché valorise l'action à près de cinq fois sa valeur comptable, reflet d'une anticipation de rentabilité future élevée (ROE de 25,9%). Enfin, l'EV/EBITDA de 17,0x, très exigeant, intègre la capacité opérationnelle dans la valorisation et laisse peu de marge d'erreur ; l'ensemble de ces ratios dessine une valorisation « premium » qui doit être validée par la poursuite de la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performance remarquable de **+43,21%**, malgré un repli de **-1,00%** lors de la dernière séance, simple respiration après un rallye soutenu. Le cours actuel de 10 390 FCFA évolue dans un range de trading large, entre un plus bas de 7 255 FCFA et un plus haut de 10 495 FCFA — le titre évoluant actuellement à proximité immédiate de ses sommets, ce qui traduit une tendance nettement haussière et une forte pression acheteuse. Les statistiques descriptives révèlent une moyenne de 9 484 FCFA contre une médiane de 9 800 FCFA : l'écart entre ces deux mesures, combiné à un skewness négatif de -0,767, indique une asymétrie négative — autrement dit, le cours a passé davantage de séances au-dessus de sa moyenne, avec quelques journées de correction marquées tirant la moyenne vers le bas. L'écart-type de 1 036 FCFA (CV de 10,9%) traduit une dispersion modérée autour de la moyenne, tandis que le kurtosis de -0,554 (mésokurtique) suggère un comportement proche d'une distribution normale, sans pics extrêmes fréquents. La volatilité annualisée de **51,4%** classe le titre dans la catégorie des valeurs **très volatiles** (&gt;30%), ce qui est cohérent avec une introduction récente en bourse et un flux d'actualités soutenu.</w:t>
      </w:r>
    </w:p>
    <w:p>
      <w:pPr>
        <w:spacing w:after="120" w:line="276" w:lineRule="auto"/>
      </w:pPr>
      <w:r>
        <w:t>---</w:t>
      </w:r>
    </w:p>
    <w:p>
      <w:pPr>
        <w:spacing w:after="120" w:line="276" w:lineRule="auto"/>
      </w:pPr>
      <w:r>
        <w:t>## PARTIE 2 : ANALYSE TECHNIQUE DÉTAILLÉE</w:t>
      </w:r>
    </w:p>
    <w:p>
      <w:pPr>
        <w:spacing w:after="120" w:line="276" w:lineRule="auto"/>
      </w:pPr>
      <w:r>
        <w:t>**Moyennes Mobiles** : Les valeurs MM20 et MM50 ne sont pas disponibles (nan), tout comme la décision associée. Cette indisponibilité s'explique vraisemblablement par l'historique de cotation encore court du titre, insuffisant pour calculer des moyennes mobiles robustes. Aucune décision technique ne peut donc être dérivée de cet indicateur, et il convient de s'appuyer sur les autres signaux et sur l'analyse du cours brut.</w:t>
      </w:r>
    </w:p>
    <w:p>
      <w:pPr>
        <w:spacing w:after="120" w:line="276" w:lineRule="auto"/>
      </w:pPr>
      <w:r>
        <w:t>**Bandes de Bollinger** : Les bornes supérieure et inférieure sont également indisponibles (nan), alors que le prix actuel s'établit à 10 390 FCFA. Sans bornes calculables, il est impossible de positionner le cours par rapport à sa volatilité statistique ni de détecter une situation de sur-extension. La décision reste neutre par défaut, l'indicateur n'étant pas exploitable en l'état.</w:t>
      </w:r>
    </w:p>
    <w:p>
      <w:pPr>
        <w:spacing w:after="120" w:line="276" w:lineRule="auto"/>
      </w:pPr>
      <w:r>
        <w:t>**MACD** : La valeur du MACD et sa ligne de signal sont manquantes (nan), de même que la décision. L'absence de momentum calculable empêche toute analyse de divergence ou de croisement. Cet indicateur, comme les précédents, est inopérant faute d'historique suffisant, et ne peut ni confirmer ni infirmer la tendance haussière observée sur les 100 jours.</w:t>
      </w:r>
    </w:p>
    <w:p>
      <w:pPr>
        <w:spacing w:after="120" w:line="276" w:lineRule="auto"/>
      </w:pPr>
      <w:r>
        <w:t>**RSI** : Le RSI n'est pas disponible (nan). En théorie, un RSI supérieur à 70 signalerait une zone de surachat et un RSI inférieur à 30 une zone de survente, mais aucune valeur ne peut être interprétée ici. La décision reste indéterminée, l'indicateur n'étant pas calculable sur ce titre.</w:t>
      </w:r>
    </w:p>
    <w:p>
      <w:pPr>
        <w:spacing w:after="120" w:line="276" w:lineRule="auto"/>
      </w:pPr>
      <w:r>
        <w:t>**Stochastique** : Les valeurs %K et %D sont absentes (nan), tout comme la décision. Aucun croisement ni positionnement en zone extrême ne peut être analysé. L'indicateur est inexploitable dans l'état actuel des données.</w:t>
      </w:r>
    </w:p>
    <w:p>
      <w:pPr>
        <w:spacing w:after="120" w:line="276" w:lineRule="auto"/>
      </w:pPr>
      <w:r>
        <w:t>**Conclusion technique** : L'ensemble des indicateurs techniques (MM, Bollinger, MACD, RSI, Stochastique) est indisponible, ce qui s'explique très probablement par l'historique de cotation encore limité de BBGC depuis son introduction à la BRVM. L'analyse technique se réduit donc à l'observation du cours brut : tendance haussière forte (+43,21% sur 100 jours), cours proche des sommets, volatilité élevée (51,4%). Dans ce contexte, la prudence commande de ne pas surinterpréter l'absence de signaux et de privilégier l'analyse fondamentale et la gestion du risque.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annuels officiels)** : En 2025, BBGC affiche un Produit Net Bancaire (PNB, équivalent du chiffre d'affaires pour une banque) de **67,824 Mds FCFA**, en croissance de **+15,71%**, pour un résultat net de **27,197 Mds FCFA**, soit une marge nette exceptionnelle de **40,10%**. La rentabilité des fonds propres (ROE) atteint **25,87%** — très largement supérieure au seuil de 15% considéré comme excellent — et le ROA s'établit à 1,91%, niveau solide pour une banque. Le coefficient d'exploitation de **41,85%** (très inférieur au seuil de 60% et même au seuil d'excellence de 50%) témoigne d'une efficacité opérationnelle remarquable, tandis que le coût du risque de **0,885%** (provisions/charges financières) signale un portefeuille de crédit sain. La structure de bilan confirme le modèle bancaire : dépôts clientèle de **1 138,119 Mds FCFA** face à des créances clientèle de **768,574 Mds FCFA**, soit un ratio de transformation (crédits/dépôts) de ~67,5%, avec une liquidité primaire abondante (204,985 Mds FCFA en caisse et banque centrale) et un portefeuille de titres d'État de 297,260 Mds FCFA. Le ratio d'endettement élevé (1 257,6%) et l'autonomie financière de 7,37% sont normaux pour une banque, dont le modèle repose structurellement sur le levier des dépôts ; la solvabilité générale (107,95%) reste supérieure à 1, confirmant la couverture des engagements.</w:t>
      </w:r>
    </w:p>
    <w:p>
      <w:pPr>
        <w:spacing w:after="120" w:line="276" w:lineRule="auto"/>
      </w:pPr>
      <w:r>
        <w:t>**Estimations basées sur les rapports semestriels (S1 2026, publié le 30 juin 2026, analysé le 28/09/2026)** : Le rapport S1 2026 confirme et accélère la dynamique : PNB de **37,7 Mds FCFA** (+25% vs 30,2 Mds au S1 2025), résultat net de **15,2 Mds FCFA** (+46% vs 10,4 Mds), coefficient d'exploitation en amélioration à **40,3%** (contre 43,3%), marge nette à 40,3%, et surtout une croissance spectaculaire des dépôts (+46% à 1 318,3 Mds FCFA) et des crédits (+28% à 823,9 Mds FCFA). Le coût du risque progresse de +14%, mais reste contenu au regard de la croissance des crédits (+28%). Sur cette base, on peut estimer que l'exercice 2026 devrait afficher un résultat net annuel de l'ordre de **30 à 32 Mds FCFA** (extrapolation prudente du S1), soit une nouvelle année de croissance à deux chiffres, soutenue par l'expansion régionale (succursale au Burkina Faso autorisée en mai 2026), le développement du réseau (Bassam, Korhogo) et la stratégie 2026-2030. La réussite de l'OPV (10 millions d'actions à 6 750 FCFA, sursouscrite en juillet 2026) constitue un signal de confiance fort du marché.</w:t>
      </w:r>
    </w:p>
    <w:p>
      <w:pPr>
        <w:spacing w:after="120" w:line="276" w:lineRule="auto"/>
      </w:pPr>
      <w:r>
        <w:t>**Recommandation fondamentale** : Les fondamentaux de BBGC sont **excellents** — croissance à deux chiffres, rentabilité supérieure (ROE 25,9%), efficacité opérationnelle remarquable (coefficient 41,85%), portefeuille sain (coût du risque 0,885%) et dynamique commerciale soutenue. Les risques résident dans la valorisation exigeante (PER 19,1x, P/B 4,94x), la hausse du coût du risque (+14% au S1 2026) et l'exécution de l'expansion régionale. La recommandation fondamentale est **ACHAT**, avec un biais spéculatif lié à la jeunesse de la cotation et à l'absence de politique de dividende communiquée.</w:t>
      </w:r>
    </w:p>
    <w:p>
      <w:pPr>
        <w:spacing w:after="120" w:line="276" w:lineRule="auto"/>
      </w:pPr>
      <w:r>
        <w:t>---</w:t>
      </w:r>
    </w:p>
    <w:p>
      <w:pPr>
        <w:spacing w:after="120" w:line="276" w:lineRule="auto"/>
      </w:pPr>
      <w:r>
        <w:t>## PARTIE 4 : CONCLUSION D'INVESTISSEMENT</w:t>
      </w:r>
    </w:p>
    <w:p>
      <w:pPr>
        <w:spacing w:after="120" w:line="276" w:lineRule="auto"/>
      </w:pPr>
      <w:r>
        <w:t>La synthèse des quatre axes d'analyse dessine un profil d'investissement cohérent mais exigeant. **Sur le plan de la valorisation (Partie 0)**, les ratios PER (19,1x), P/B (4,94x) et EV/EBITDA (17,0x) indiquent une valorisation premium, nettement supérieure aux standards BRVM, qui intègre déjà une large part de la croissance attendue — le titre n'est donc pas sous-évalué, mais sa prime se justifie par la qualité des fondamentaux. **Sur le plan du comportement du cours (Partie 1)**, la tendance est franchement haussière (+43,21% sur 100 jours), le cours évolue près de ses sommets, mais la volatilité annualisée de 51,4% et le skewness négatif (-0,767) appellent à la prudence : le risque de correction est réel après un tel rallye. **Sur le plan technique (Partie 2)**, l'ensemble des indicateurs est indisponible (historique de cotation insuffisant), ce qui empêche toute confirmation ou infirmation des signaux — un facteur d'incertitude à intégrer. **Sur le plan fondamental (Partie 3)**, la solidité est incontestable : ROE de 25,87%, coefficient d'exploitation de 41,85%, croissance du PNB de +15,71% en 2025 et accélération au S1 2026 (PNB +25%, résultat net +46%), avec une expansion régionale prometteuse. **Les prédictions IA (J+1 à J+10)** ne sont pas disponibles, ce qui ne permet ni confirmation ni contradiction des autres signaux. Au final, la convergence entre fondamentaux exceptionnels et valorisation premium, tempérée par une volatilité élevée et l'absence de signaux techniques, conduit à une recommandation **ACHAT**, avec un **niveau de confiance Moyen** (en raison de l'indisponibilité des indicateurs techniques et des prédictions) et un **niveau de risque Élevé** (volatilité de 51,4%, valorisation tendue, historique de cotation court). L'horizon d'investissement optimal est le **moyen à long terme (6 mois à plus d'un an)**, le temps que la croissance se matérialise dans les résultats et que l'historique de cotation permette une analyse technique fiable.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13,967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+61.85%</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21.35% (Élevée) — μ=7,576 FCFA, σ=1,618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β=0.8458 (Neutre (suit le marché)) — Cov=0.000063, Var(idx)=0.000075, ρ=0.270,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8,335</w:t>
            </w:r>
          </w:p>
        </w:tc>
        <w:tc>
          <w:tcPr>
            <w:tcW w:type="dxa" w:w="1440"/>
            <w:shd w:fill="C6EFCE" w:val="clear"/>
          </w:tcPr>
          <w:p>
            <w:r>
              <w:rPr>
                <w:b/>
                <w:sz w:val="17"/>
              </w:rPr>
              <w:t>8,796</w:t>
            </w:r>
          </w:p>
        </w:tc>
        <w:tc>
          <w:tcPr>
            <w:tcW w:type="dxa" w:w="1440"/>
            <w:shd w:fill="C6EFCE" w:val="clear"/>
          </w:tcPr>
          <w:p>
            <w:r>
              <w:rPr>
                <w:sz w:val="17"/>
              </w:rPr>
              <w:t>9,256</w:t>
            </w:r>
          </w:p>
        </w:tc>
        <w:tc>
          <w:tcPr>
            <w:tcW w:type="dxa" w:w="1440"/>
            <w:shd w:fill="C6EFCE" w:val="clear"/>
          </w:tcPr>
          <w:p>
            <w:r>
              <w:rPr>
                <w:b/>
                <w:color w:val="008000"/>
                <w:sz w:val="17"/>
              </w:rPr>
              <w:t>+4.7%</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8,200</w:t>
            </w:r>
          </w:p>
        </w:tc>
        <w:tc>
          <w:tcPr>
            <w:tcW w:type="dxa" w:w="1440"/>
            <w:shd w:fill="C6EFCE" w:val="clear"/>
          </w:tcPr>
          <w:p>
            <w:r>
              <w:rPr>
                <w:b/>
                <w:sz w:val="17"/>
              </w:rPr>
              <w:t>8,855</w:t>
            </w:r>
          </w:p>
        </w:tc>
        <w:tc>
          <w:tcPr>
            <w:tcW w:type="dxa" w:w="1440"/>
            <w:shd w:fill="C6EFCE" w:val="clear"/>
          </w:tcPr>
          <w:p>
            <w:r>
              <w:rPr>
                <w:sz w:val="17"/>
              </w:rPr>
              <w:t>9,511</w:t>
            </w:r>
          </w:p>
        </w:tc>
        <w:tc>
          <w:tcPr>
            <w:tcW w:type="dxa" w:w="1440"/>
            <w:shd w:fill="C6EFCE" w:val="clear"/>
          </w:tcPr>
          <w:p>
            <w:r>
              <w:rPr>
                <w:b/>
                <w:color w:val="008000"/>
                <w:sz w:val="17"/>
              </w:rPr>
              <w:t>+5.4%</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8,120</w:t>
            </w:r>
          </w:p>
        </w:tc>
        <w:tc>
          <w:tcPr>
            <w:tcW w:type="dxa" w:w="1440"/>
            <w:shd w:fill="C6EFCE" w:val="clear"/>
          </w:tcPr>
          <w:p>
            <w:r>
              <w:rPr>
                <w:b/>
                <w:sz w:val="17"/>
              </w:rPr>
              <w:t>8,929</w:t>
            </w:r>
          </w:p>
        </w:tc>
        <w:tc>
          <w:tcPr>
            <w:tcW w:type="dxa" w:w="1440"/>
            <w:shd w:fill="C6EFCE" w:val="clear"/>
          </w:tcPr>
          <w:p>
            <w:r>
              <w:rPr>
                <w:sz w:val="17"/>
              </w:rPr>
              <w:t>9,739</w:t>
            </w:r>
          </w:p>
        </w:tc>
        <w:tc>
          <w:tcPr>
            <w:tcW w:type="dxa" w:w="1440"/>
            <w:shd w:fill="C6EFCE" w:val="clear"/>
          </w:tcPr>
          <w:p>
            <w:r>
              <w:rPr>
                <w:b/>
                <w:color w:val="008000"/>
                <w:sz w:val="17"/>
              </w:rPr>
              <w:t>+6.3%</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8,060</w:t>
            </w:r>
          </w:p>
        </w:tc>
        <w:tc>
          <w:tcPr>
            <w:tcW w:type="dxa" w:w="1440"/>
            <w:shd w:fill="C6EFCE" w:val="clear"/>
          </w:tcPr>
          <w:p>
            <w:r>
              <w:rPr>
                <w:b/>
                <w:sz w:val="17"/>
              </w:rPr>
              <w:t>9,002</w:t>
            </w:r>
          </w:p>
        </w:tc>
        <w:tc>
          <w:tcPr>
            <w:tcW w:type="dxa" w:w="1440"/>
            <w:shd w:fill="C6EFCE" w:val="clear"/>
          </w:tcPr>
          <w:p>
            <w:r>
              <w:rPr>
                <w:sz w:val="17"/>
              </w:rPr>
              <w:t>9,944</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8,007</w:t>
            </w:r>
          </w:p>
        </w:tc>
        <w:tc>
          <w:tcPr>
            <w:tcW w:type="dxa" w:w="1440"/>
            <w:shd w:fill="C6EFCE" w:val="clear"/>
          </w:tcPr>
          <w:p>
            <w:r>
              <w:rPr>
                <w:b/>
                <w:sz w:val="17"/>
              </w:rPr>
              <w:t>9,068</w:t>
            </w:r>
          </w:p>
        </w:tc>
        <w:tc>
          <w:tcPr>
            <w:tcW w:type="dxa" w:w="1440"/>
            <w:shd w:fill="C6EFCE" w:val="clear"/>
          </w:tcPr>
          <w:p>
            <w:r>
              <w:rPr>
                <w:sz w:val="17"/>
              </w:rPr>
              <w:t>10,130</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7,957</w:t>
            </w:r>
          </w:p>
        </w:tc>
        <w:tc>
          <w:tcPr>
            <w:tcW w:type="dxa" w:w="1440"/>
            <w:shd w:fill="C6EFCE" w:val="clear"/>
          </w:tcPr>
          <w:p>
            <w:r>
              <w:rPr>
                <w:b/>
                <w:sz w:val="17"/>
              </w:rPr>
              <w:t>9,127</w:t>
            </w:r>
          </w:p>
        </w:tc>
        <w:tc>
          <w:tcPr>
            <w:tcW w:type="dxa" w:w="1440"/>
            <w:shd w:fill="C6EFCE" w:val="clear"/>
          </w:tcPr>
          <w:p>
            <w:r>
              <w:rPr>
                <w:sz w:val="17"/>
              </w:rPr>
              <w:t>10,297</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7,907</w:t>
            </w:r>
          </w:p>
        </w:tc>
        <w:tc>
          <w:tcPr>
            <w:tcW w:type="dxa" w:w="1440"/>
            <w:shd w:fill="C6EFCE" w:val="clear"/>
          </w:tcPr>
          <w:p>
            <w:r>
              <w:rPr>
                <w:b/>
                <w:sz w:val="17"/>
              </w:rPr>
              <w:t>9,179</w:t>
            </w:r>
          </w:p>
        </w:tc>
        <w:tc>
          <w:tcPr>
            <w:tcW w:type="dxa" w:w="1440"/>
            <w:shd w:fill="C6EFCE" w:val="clear"/>
          </w:tcPr>
          <w:p>
            <w:r>
              <w:rPr>
                <w:sz w:val="17"/>
              </w:rPr>
              <w:t>10,450</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7,858</w:t>
            </w:r>
          </w:p>
        </w:tc>
        <w:tc>
          <w:tcPr>
            <w:tcW w:type="dxa" w:w="1440"/>
            <w:shd w:fill="C6EFCE" w:val="clear"/>
          </w:tcPr>
          <w:p>
            <w:r>
              <w:rPr>
                <w:b/>
                <w:sz w:val="17"/>
              </w:rPr>
              <w:t>9,224</w:t>
            </w:r>
          </w:p>
        </w:tc>
        <w:tc>
          <w:tcPr>
            <w:tcW w:type="dxa" w:w="1440"/>
            <w:shd w:fill="C6EFCE" w:val="clear"/>
          </w:tcPr>
          <w:p>
            <w:r>
              <w:rPr>
                <w:sz w:val="17"/>
              </w:rPr>
              <w:t>10,589</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7,808</w:t>
            </w:r>
          </w:p>
        </w:tc>
        <w:tc>
          <w:tcPr>
            <w:tcW w:type="dxa" w:w="1440"/>
            <w:shd w:fill="C6EFCE" w:val="clear"/>
          </w:tcPr>
          <w:p>
            <w:r>
              <w:rPr>
                <w:b/>
                <w:sz w:val="17"/>
              </w:rPr>
              <w:t>9,263</w:t>
            </w:r>
          </w:p>
        </w:tc>
        <w:tc>
          <w:tcPr>
            <w:tcW w:type="dxa" w:w="1440"/>
            <w:shd w:fill="C6EFCE" w:val="clear"/>
          </w:tcPr>
          <w:p>
            <w:r>
              <w:rPr>
                <w:sz w:val="17"/>
              </w:rPr>
              <w:t>10,717</w:t>
            </w:r>
          </w:p>
        </w:tc>
        <w:tc>
          <w:tcPr>
            <w:tcW w:type="dxa" w:w="1440"/>
            <w:shd w:fill="C6EFCE" w:val="clear"/>
          </w:tcPr>
          <w:p>
            <w:r>
              <w:rPr>
                <w:b/>
                <w:color w:val="008000"/>
                <w:sz w:val="17"/>
              </w:rPr>
              <w:t>+10.3%</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7,757</w:t>
            </w:r>
          </w:p>
        </w:tc>
        <w:tc>
          <w:tcPr>
            <w:tcW w:type="dxa" w:w="1440"/>
            <w:shd w:fill="C6EFCE" w:val="clear"/>
          </w:tcPr>
          <w:p>
            <w:r>
              <w:rPr>
                <w:b/>
                <w:sz w:val="17"/>
              </w:rPr>
              <w:t>9,296</w:t>
            </w:r>
          </w:p>
        </w:tc>
        <w:tc>
          <w:tcPr>
            <w:tcW w:type="dxa" w:w="1440"/>
            <w:shd w:fill="C6EFCE" w:val="clear"/>
          </w:tcPr>
          <w:p>
            <w:r>
              <w:rPr>
                <w:sz w:val="17"/>
              </w:rPr>
              <w:t>10,835</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(BRVM)</w:t>
        <w:br/>
        <w:t>**Banque Internationale pour l'Industrie et le Commerce — Bénin**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485,18 Mds FCFA, la BICB s'impose comme l'une des capitalisations les plus importantes de la cote BRVM, ce qui témoigne de son statut de valeur de premier plan dans le compartiment bancaire régional. Le BPA de 627 FCFA/action signifie que chaque titre génère près de 627 FCFA de bénéfice net, un niveau confortable qui soutient la valorisation. Le PER de 13,4x se situe légèrement au-dessus de la fourchette moyenne de la BRVM (8-12x), traduisant une prime modérée accordée par le marché à la qualité de la croissance bénéficiaire, sans pour autant basculer dans une zone de surévaluation manifeste. Le P/B de 3,59x — dans la fourchette 2-4x — confirme que le marché valorise l'action à une prime significative sur sa valeur comptable, cohérente avec un ROE élevé (26,8%) qui justifie cette prime de croissance. En revanche, l'EV/EBITDA de 24,0x apparaît très exigeant (&gt;15x), signalant que la valeur d'entreprise intègre déjà une forte anticipation de croissance opérationnelle ; ce ratio constitue le principal point de vigilance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affiche une performance spectaculaire de +61,85%, avec un cours actuel stabilisé à 8 400 FCFA et une variation J-1 nulle (+0,00%), signe d'une pause dans la dynamique haussière. Le range de trading est très large, oscillant entre un plus bas de 5 190 FCFA et un plus haut de 10 790 FCFA, soit un écart de plus de 100% entre les extrêmes, illustrant une phase de forte expansion suivie d'une correction. La tendance générale reste nettement haussière sur la période, mais le cours actuel (8 400 FCFA) se situe désormais sous le plus haut, suggérant une consolidation après le pic. Les statistiques descriptives révèlent une moyenne de 7 576 FCFA légèrement inférieure à la médiane de 7 680 FCFA, avec un mode à 8 400 FCFA (cours actuel) : la distribution est donc quasi symétrique (skewness de 0,219), sans asymétrie marquée, et le cours actuel coïncide avec le mode, ce qui peut indiquer un point d'équilibre. L'écart-type de 1 626 FCFA avec un coefficient de variation de 21,5% traduit une dispersion modérée à élevée du cours autour de sa moyenne. Le kurtosis négatif (-1,062, distribution platykurtique) signale une distribution aplatie avec une faible concentration autour de la moyenne et un risque de mouvements amples plutôt que de pics extrêmes isolés. Enfin, la volatilité annualisée de 42,5% classe le titre dans la catégorie des valeurs à volatilité élevée (&gt;30%), ce qui est cohérent avec son profil de croissance agressive et appelle à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(8 701,75 FCFA) et la MM50 (8 959,30 FCFA) se situent toutes deux au-dessus du cours actuel (8 400 FCFA), et la MM20 est en dessous de la MM50, configuration baissière de court terme. Le cours évoluant sous ses deux moyennes mobiles, la décision technique est logiquement **Vente**, signalant que la dynamique haussière des 100 jours s'essouffle et qu'une pression vendeuse s'installe.</w:t>
      </w:r>
    </w:p>
    <w:p>
      <w:pPr>
        <w:spacing w:after="120" w:line="276" w:lineRule="auto"/>
      </w:pPr>
      <w:r>
        <w:t>**Bandes de Bollinger :** Le cours (8 400 FCFA) se situe dans la partie basse de la bande, entre la borne inférieure (7 646,93 FCFA) et la borne supérieure (9 756,57 FCFA), plus proche du bas que du haut. Cette position traduit une volatilité contenue dans un canal encore large, sans signal de survente extrême ni de surachat ; la décision est **Neutre**, le titre évoluant dans une zone d'indécision technique.</w:t>
      </w:r>
    </w:p>
    <w:p>
      <w:pPr>
        <w:spacing w:after="120" w:line="276" w:lineRule="auto"/>
      </w:pPr>
      <w:r>
        <w:t>**MACD :** La valeur du MACD (-215,394) est inférieure à sa ligne de signal (-165,557), avec un histogramme négatif qui s'accentue, confirmant un momentum baissier en cours. La divergence négative MACD-Signal valide la décision **Vente**, indiquant que la pression baissière n'est pas encore résorbée malgré la stabilisation du cours.</w:t>
      </w:r>
    </w:p>
    <w:p>
      <w:pPr>
        <w:spacing w:after="120" w:line="276" w:lineRule="auto"/>
      </w:pPr>
      <w:r>
        <w:t>**RSI :** À 44,86, le RSI se situe dans la zone neutre (30-70), sans atteindre la zone de survente (&lt;30) ni de surachat (&gt;70). Cette valeur traduit un équilibre relatif entre acheteurs et vendeurs, avec une légère prédominance baissière ; la décision est **Neutre**, le titre n'étant ni survendu ni suracheté.</w:t>
      </w:r>
    </w:p>
    <w:p>
      <w:pPr>
        <w:spacing w:after="120" w:line="276" w:lineRule="auto"/>
      </w:pPr>
      <w:r>
        <w:t>**Stochastique :** Le %K (3,774) est très bas et nettement inférieur au %D (18,004), ce qui place le titre en zone de survente profonde. Cette configuration extrême suggère un potentiel de rebond technique à court terme, justifiant la décision **Achat** — signal contrarien qui contraste avec les autres indicateurs.</w:t>
      </w:r>
    </w:p>
    <w:p>
      <w:pPr>
        <w:spacing w:after="120" w:line="276" w:lineRule="auto"/>
      </w:pPr>
      <w:r>
        <w:t>**Conclusion technique :** Les indicateurs techniques présentent une divergence notable : les moyennes mobiles et le MACD confirment une tendance baissière de court terme (Vente), le RSI et les Bollinger restent neutres, tandis que le stochastique en survente profonde signale un possible rebond imminent (Achat). Cette configuration mixte traduit une phase de consolidation après la forte hausse, avec un risque de rebond technique à court terme mais une tendance de fond encore fragile. La prudence est de mise tant que le cours n'aura pas reconquis ses moyennes mobiles.</w:t>
      </w:r>
    </w:p>
    <w:p>
      <w:pPr>
        <w:spacing w:after="120" w:line="276" w:lineRule="auto"/>
      </w:pPr>
      <w:r>
        <w:t>---</w:t>
      </w:r>
    </w:p>
    <w:p>
      <w:pPr>
        <w:spacing w:after="120" w:line="276" w:lineRule="auto"/>
      </w:pPr>
      <w:r>
        <w:t>## PARTIE 3 : ANALYSE FONDAMENTALE</w:t>
      </w:r>
    </w:p>
    <w:p>
      <w:pPr>
        <w:spacing w:after="120" w:line="276" w:lineRule="auto"/>
      </w:pPr>
      <w:r>
        <w:t>Les états financiers annuels 2025 de la BICB (exercice clos le 31 décembre 2025, rapport des commissaires aux comptes du 12 juin 2026) affichent un Produit Net Bancaire de 52,805 Mds FCFA, en croissance de +16,49% sur un an, porté par une forte expansion des crédits clientèle nets (+37,3% à 1 151,5 Mds FCFA) et des dépôts (+29,4% à 1 181,0 Mds FCFA). Le résultat net s'établit à 36,237 Mds FCFA, en hausse de +24,7%, avec un ROE exceptionnel de 26,82% (largement supérieur au seuil de 15% considéré comme excellent) et un ROA de 1,96%. Le coefficient d'exploitation de 31,12% témoigne d'une efficacité opérationnelle remarquable (&lt;60% = banque efficace, &lt;50% = excellente), tandis que le coût du risque rapporté aux charges financières de 9,61% reste un point de vigilance, reflétant un risque de crédit significatif. La marge nette de 68,62% est exceptionnellement élevée, mais elle est gonflée par un coût du risque négatif (reprises de provisions de +5,075 Mds FCFA), élément non récurrent qu'il convient de neutraliser dans l'analyse. Sur le plan de la structure, l'autonomie financière de 7,33% est faible (capitaux propres/total bilan), typique d'un modèle bancaire à fort effet de levier, mais le ratio de solvabilité de 19,64% (vs 11,5% réglementaire) offre une marge confortable. Les rapports trimestriels récents confirment la dynamique : le T1 2026 (rapport publié en 2026) affiche un PNB de 14,6 Mds FCFA (+35%) et un résultat net de 8,0 Mds FCFA (+48%), tandis que le S1 2026 (rapport du 22 septembre 2026) montre un PNB de 31,882 Mds FCFA (+19%) et un résultat net de 18,368 Mds FCFA (+11%), avec un RBE bondissant de +31% à 22,910 Mds FCFA grâce à une baisse de 4% des charges d'exploitation. On estime, sur la base de ces rapports semestriels, que l'exercice 2026 devrait confirmer une croissance à deux chiffres du PNB et du résultat net, avec toutefois une normalisation du coût du risque (charge de 3,579 Mds FCFA au S1 2026 contre un produit de 2,376 Mds FCFA au S1 2025) qui pèsera sur la marge nette (57,6% au S1 2026 contre 61,6% au S1 2025). La recommandation fondamentale est **solide** : la BICB affiche une croissance rentable, une position de leader au Bénin et une solvabilité robuste, mais les risques de crédit (croissance rapide des encours, coût du risque normalisé) et la tension sur la liquidité (ratio crédits/dépôts à 97,5%) nécessitent une surveillance attentive.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le plan de la **valorisation (Partie 0)**, le PER de 13,4x et le P/B de 3,59x traduisent une légère prime sans surévaluation excessive, mais l'EV/EBITDA de 24,0x apparaît très exigeant et limite le potentiel de revalorisation à court terme. Le **comportement du cours (Partie 1)** est marqué par une hausse spectaculaire de +61,85% sur 100 jours, désormais en phase de consolidation sous le plus haut, avec une volatilité élevée (42,5%) et une distribution platykurtique (risque de mouvements amples) qui appellent à la prudence. Les **signaux techniques (Partie 2)** sont divergents : dominante baissière (MM, MACD en Vente) contre un signal contrarien d'achat (stochastique en survente), sans convergence claire, ce qui plaide pour l'attentisme. Les **fondamentaux (Partie 3)** restent solides — PNB +16,5%, résultat net +24,7%, ROE 26,8%, coefficient d'exploitation 31,1% — et les rapports T1 2026 (+48% de résultat net) et S1 2026 (+11%) confirment la dynamique, malgré la normalisation du coût du risque. Les **prédictions IA (J+1 à J+10)** projettent une trajectoire haussière de 8 796 à 9 068 FCFA (+8% en 10 jours), ce qui contredit la tendance technique baissière immédiate mais s'aligne sur la solidité fondamentale et le potentiel de rebond du stochastique. Face à cette divergence entre technique (baissière), fondamental (haussier) et prédiction (haussier), la recommandation finale est **CONSERVER**, avec un niveau de confiance **Moyen** et un niveau de risque global **Élevé** (volatilité 42,5%, EV/EBITDA exigeant, coût du risque en normalisation). L'horizon optimal est le **moyen terme (3-12 mois)** : les investisseurs déjà positionnés peuvent conserver le titre en attendant la confirmation de la tendance sur le second semestre 2026 et la publication des résultats annuels, tandis qu'un nouvel entrant attendra une reconquête des moyennes mobiles (au-dessus de 8 700-8 960 FCFA) ou une clarification sur la politique de dividende (AG du 30 juin 2026) avant d'envisager une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724 titres</w:t>
            </w:r>
          </w:p>
        </w:tc>
        <w:tc>
          <w:tcPr>
            <w:tcW w:type="dxa" w:w="2268"/>
            <w:shd w:fill="FFF2CC" w:val="clear"/>
          </w:tcPr>
          <w:p>
            <w:r>
              <w:rPr>
                <w:b/>
                <w:color w:val="503200"/>
                <w:sz w:val="16"/>
              </w:rPr>
              <w:t xml:space="preserve">Cours actuel : </w:t>
            </w:r>
            <w:r>
              <w:rPr>
                <w:color w:val="000000"/>
                <w:sz w:val="17"/>
              </w:rPr>
              <w:t>32,400 FCFA</w:t>
            </w:r>
          </w:p>
          <w:p>
            <w:r>
              <w:rPr>
                <w:b/>
                <w:color w:val="503200"/>
                <w:sz w:val="16"/>
              </w:rPr>
              <w:t xml:space="preserve">Var. 100 jours : </w:t>
            </w:r>
            <w:r>
              <w:rPr>
                <w:b/>
                <w:color w:val="007800"/>
                <w:sz w:val="17"/>
              </w:rPr>
              <w:t>+17.82%</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27,500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μ=29,774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β=1.0689 (Neutre (suit le marché)) — Cov=0.000080, Var(idx)=0.000075, ρ=0.383,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724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29,809</w:t>
            </w:r>
          </w:p>
        </w:tc>
        <w:tc>
          <w:tcPr>
            <w:tcW w:type="dxa" w:w="1440"/>
            <w:shd w:fill="FFDCE0" w:val="clear"/>
          </w:tcPr>
          <w:p>
            <w:r>
              <w:rPr>
                <w:b/>
                <w:sz w:val="17"/>
              </w:rPr>
              <w:t>31,605</w:t>
            </w:r>
          </w:p>
        </w:tc>
        <w:tc>
          <w:tcPr>
            <w:tcW w:type="dxa" w:w="1440"/>
            <w:shd w:fill="FFDCE0" w:val="clear"/>
          </w:tcPr>
          <w:p>
            <w:r>
              <w:rPr>
                <w:sz w:val="17"/>
              </w:rPr>
              <w:t>33,401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29,072</w:t>
            </w:r>
          </w:p>
        </w:tc>
        <w:tc>
          <w:tcPr>
            <w:tcW w:type="dxa" w:w="1440"/>
            <w:shd w:fill="FFDCE0" w:val="clear"/>
          </w:tcPr>
          <w:p>
            <w:r>
              <w:rPr>
                <w:b/>
                <w:sz w:val="17"/>
              </w:rPr>
              <w:t>31,612</w:t>
            </w:r>
          </w:p>
        </w:tc>
        <w:tc>
          <w:tcPr>
            <w:tcW w:type="dxa" w:w="1440"/>
            <w:shd w:fill="FFDCE0" w:val="clear"/>
          </w:tcPr>
          <w:p>
            <w:r>
              <w:rPr>
                <w:sz w:val="17"/>
              </w:rPr>
              <w:t>34,153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28,421</w:t>
            </w:r>
          </w:p>
        </w:tc>
        <w:tc>
          <w:tcPr>
            <w:tcW w:type="dxa" w:w="1440"/>
            <w:shd w:fill="FFDCE0" w:val="clear"/>
          </w:tcPr>
          <w:p>
            <w:r>
              <w:rPr>
                <w:b/>
                <w:sz w:val="17"/>
              </w:rPr>
              <w:t>31,524</w:t>
            </w:r>
          </w:p>
        </w:tc>
        <w:tc>
          <w:tcPr>
            <w:tcW w:type="dxa" w:w="1440"/>
            <w:shd w:fill="FFDCE0" w:val="clear"/>
          </w:tcPr>
          <w:p>
            <w:r>
              <w:rPr>
                <w:sz w:val="17"/>
              </w:rPr>
              <w:t>34,627</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27,869</w:t>
            </w:r>
          </w:p>
        </w:tc>
        <w:tc>
          <w:tcPr>
            <w:tcW w:type="dxa" w:w="1440"/>
            <w:shd w:fill="FFDCE0" w:val="clear"/>
          </w:tcPr>
          <w:p>
            <w:r>
              <w:rPr>
                <w:b/>
                <w:sz w:val="17"/>
              </w:rPr>
              <w:t>31,443</w:t>
            </w:r>
          </w:p>
        </w:tc>
        <w:tc>
          <w:tcPr>
            <w:tcW w:type="dxa" w:w="1440"/>
            <w:shd w:fill="FFDCE0" w:val="clear"/>
          </w:tcPr>
          <w:p>
            <w:r>
              <w:rPr>
                <w:sz w:val="17"/>
              </w:rPr>
              <w:t>35,017</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27,390</w:t>
            </w:r>
          </w:p>
        </w:tc>
        <w:tc>
          <w:tcPr>
            <w:tcW w:type="dxa" w:w="1440"/>
            <w:shd w:fill="FFDCE0" w:val="clear"/>
          </w:tcPr>
          <w:p>
            <w:r>
              <w:rPr>
                <w:b/>
                <w:sz w:val="17"/>
              </w:rPr>
              <w:t>31,378</w:t>
            </w:r>
          </w:p>
        </w:tc>
        <w:tc>
          <w:tcPr>
            <w:tcW w:type="dxa" w:w="1440"/>
            <w:shd w:fill="FFDCE0" w:val="clear"/>
          </w:tcPr>
          <w:p>
            <w:r>
              <w:rPr>
                <w:sz w:val="17"/>
              </w:rPr>
              <w:t>35,366</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26,960</w:t>
            </w:r>
          </w:p>
        </w:tc>
        <w:tc>
          <w:tcPr>
            <w:tcW w:type="dxa" w:w="1440"/>
            <w:shd w:fill="FFDCE0" w:val="clear"/>
          </w:tcPr>
          <w:p>
            <w:r>
              <w:rPr>
                <w:b/>
                <w:sz w:val="17"/>
              </w:rPr>
              <w:t>31,320</w:t>
            </w:r>
          </w:p>
        </w:tc>
        <w:tc>
          <w:tcPr>
            <w:tcW w:type="dxa" w:w="1440"/>
            <w:shd w:fill="FFDCE0" w:val="clear"/>
          </w:tcPr>
          <w:p>
            <w:r>
              <w:rPr>
                <w:sz w:val="17"/>
              </w:rPr>
              <w:t>35,680</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26,563</w:t>
            </w:r>
          </w:p>
        </w:tc>
        <w:tc>
          <w:tcPr>
            <w:tcW w:type="dxa" w:w="1440"/>
            <w:shd w:fill="FFDCE0" w:val="clear"/>
          </w:tcPr>
          <w:p>
            <w:r>
              <w:rPr>
                <w:b/>
                <w:sz w:val="17"/>
              </w:rPr>
              <w:t>31,264</w:t>
            </w:r>
          </w:p>
        </w:tc>
        <w:tc>
          <w:tcPr>
            <w:tcW w:type="dxa" w:w="1440"/>
            <w:shd w:fill="FFDCE0" w:val="clear"/>
          </w:tcPr>
          <w:p>
            <w:r>
              <w:rPr>
                <w:sz w:val="17"/>
              </w:rPr>
              <w:t>35,965</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26,193</w:t>
            </w:r>
          </w:p>
        </w:tc>
        <w:tc>
          <w:tcPr>
            <w:tcW w:type="dxa" w:w="1440"/>
            <w:shd w:fill="FFDCE0" w:val="clear"/>
          </w:tcPr>
          <w:p>
            <w:r>
              <w:rPr>
                <w:b/>
                <w:sz w:val="17"/>
              </w:rPr>
              <w:t>31,210</w:t>
            </w:r>
          </w:p>
        </w:tc>
        <w:tc>
          <w:tcPr>
            <w:tcW w:type="dxa" w:w="1440"/>
            <w:shd w:fill="FFDCE0" w:val="clear"/>
          </w:tcPr>
          <w:p>
            <w:r>
              <w:rPr>
                <w:sz w:val="17"/>
              </w:rPr>
              <w:t>36,227</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25,845</w:t>
            </w:r>
          </w:p>
        </w:tc>
        <w:tc>
          <w:tcPr>
            <w:tcW w:type="dxa" w:w="1440"/>
            <w:shd w:fill="FFDCE0" w:val="clear"/>
          </w:tcPr>
          <w:p>
            <w:r>
              <w:rPr>
                <w:b/>
                <w:sz w:val="17"/>
              </w:rPr>
              <w:t>31,157</w:t>
            </w:r>
          </w:p>
        </w:tc>
        <w:tc>
          <w:tcPr>
            <w:tcW w:type="dxa" w:w="1440"/>
            <w:shd w:fill="FFDCE0" w:val="clear"/>
          </w:tcPr>
          <w:p>
            <w:r>
              <w:rPr>
                <w:sz w:val="17"/>
              </w:rPr>
              <w:t>36,469</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25,515</w:t>
            </w:r>
          </w:p>
        </w:tc>
        <w:tc>
          <w:tcPr>
            <w:tcW w:type="dxa" w:w="1440"/>
            <w:shd w:fill="FFDCE0" w:val="clear"/>
          </w:tcPr>
          <w:p>
            <w:r>
              <w:rPr>
                <w:b/>
                <w:sz w:val="17"/>
              </w:rPr>
              <w:t>31,106</w:t>
            </w:r>
          </w:p>
        </w:tc>
        <w:tc>
          <w:tcPr>
            <w:tcW w:type="dxa" w:w="1440"/>
            <w:shd w:fill="FFDCE0" w:val="clear"/>
          </w:tcPr>
          <w:p>
            <w:r>
              <w:rPr>
                <w:sz w:val="17"/>
              </w:rPr>
              <w:t>36,696</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540,00 Mds FCFA, BICC s'affirme comme l'une des valeurs bancaires les plus capitalisées de la cote BRVM, ce qui témoigne de son poids systémique dans le secteur financier de l'UEMOA. Le BPA de 2 191 FCFA/action indique le bénéfice net généré par chaque titre détenu, offrant ainsi une base concrète à la valorisation. Le PER de 14,8x se situe au-dessus de la moyenne historique du marché BRVM (généralement 8-12x), traduisant une prime de qualité consentie par les investisseurs pour cette banque à forte rentabilité, sans pour autant atteindre des niveaux de surévaluation excessive. En revanche, le P/B de 4,48x — nettement supérieur au seuil de 4x — signale une valorisation exigeante par rapport à la valeur comptable, cohérente avec un ROE exceptionnel de 30,3% qui justifie cette prime. Enfin, l'EV/EBITDA de 10,8x, dans la fourchette 10-15x, confirme une valorisation élevée mais non déraisonnable au regard de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performance remarquable de **+17,82%**, avec une dernière séance particulièrement dynamique (+4,21%), portant le cours actuel à **32 400 FCFA**. Le range de trading s'étend de **27 500 FCFA** (plus bas) à **34 895 FCFA** (plus haut), soit une amplitude d'environ 27%, reflétant une tendance générale nettement haussière soutenue par la dynamique fondamentale de la banque. Les statistiques descriptives révèlent une moyenne de 29 774 FCFA légèrement supérieure à la médiane de 29 000 FCFA (elle-même égale au mode), ce qui, combiné au skewness positif de 0,987, confirme une asymétrie positive : le cours a passé davantage de journées sous sa moyenne, mais les poussées haussières ont été plus marquées, tirant la moyenne vers le haut. L'écart-type de 1 799 FCFA avec un coefficient de variation de seulement 6,0% indique une dispersion relativement contenue autour de la tendance, tandis que le kurtosis de -0,144 (mésokurtique) suggère une distribution proche de la normale, sans risque excessif de pics extrêmes. La volatilité annualisée de 38,4% classe toutefois le titre dans la catégorie des valeurs à volatilité **élevée** (&gt;30%), ce qui est cohérent avec le profil d'une action bancaire en forte croissance mais exposée aux aléas macroéconomiques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(31 865,75 FCFA) et la MM50 (31 059,2 FCFA) se situent toutes deux sous le cours actuel de 32 400 FCFA, avec une MM20 supérieure à la MM50 — configuration classique de tendance haussière (croisement doré). Cette disposition confirme la décision **Achat**, le cours évoluant au-dessus de ses supports mobiles dynamiques.</w:t>
      </w:r>
    </w:p>
    <w:p>
      <w:pPr>
        <w:spacing w:after="120" w:line="276" w:lineRule="auto"/>
      </w:pPr>
      <w:r>
        <w:t>**Bandes de Bollinger :** Le cours (32 400 FCFA) se situe dans la moitié supérieure de la bande, entre la borne inférieure (29 620,88 FCFA) et la borne supérieure (34 110,62 FCFA), sans en approcher les extrêmes. Cette position centrale-haute traduit une volatilité modérée et justifie la décision **Neutre**, le titre n'étant ni en zone de surchauffe ni en zone de survente.</w:t>
      </w:r>
    </w:p>
    <w:p>
      <w:pPr>
        <w:spacing w:after="120" w:line="276" w:lineRule="auto"/>
      </w:pPr>
      <w:r>
        <w:t>**MACD :** Le MACD (129,454) se situe nettement sous sa ligne de signal (245,242), configuration baissière signalant un essoufflement du momentum haussier malgré la tendance de fond positive. Cette divergence négative justifie la décision **Vente** à court terme, invitant à la prudence sur les points d'entrée.</w:t>
      </w:r>
    </w:p>
    <w:p>
      <w:pPr>
        <w:spacing w:after="120" w:line="276" w:lineRule="auto"/>
      </w:pPr>
      <w:r>
        <w:t>**RSI :** À 51,425, le RSI se situe parfaitement dans la zone neutre (30-70), à mi-chemin entre survente et surachat. Cette valeur équilibrée confirme la décision **Neutre**, le titre disposant d'un potentiel de progression sans être techniquement tendu.</w:t>
      </w:r>
    </w:p>
    <w:p>
      <w:pPr>
        <w:spacing w:after="120" w:line="276" w:lineRule="auto"/>
      </w:pPr>
      <w:r>
        <w:t>**Stochastique :** Le %K (34,428) est supérieur au %D (18,909), suggérant un croisement haussier en zone basse — signal potentiellement positif. Toutefois, les deux courbes restent en territoire faible, ce qui maintient la décision **Neutre** en attendant confirmation du retournement.</w:t>
      </w:r>
    </w:p>
    <w:p>
      <w:pPr>
        <w:spacing w:after="120" w:line="276" w:lineRule="auto"/>
      </w:pPr>
      <w:r>
        <w:t>**Conclusion technique :** Les indicateurs présentent un tableau mitigé : la structure des moyennes mobiles reste haussière (MM20 &gt; MM50 &gt; cours soutenu), mais le MACD baissier et le RSI neutre traduisent une phase de consolidation après le récent rallye. Le stochastique en zone basse avec croisement haussier naissant pourrait annoncer une reprise, mais la divergence MACD incite à la patience. Globalement, le titre est en **consolidation technique** au sein d'une tendance de fond haussière, avec un biais légèrement favorable à moyen terme mais un court terme incertain.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BICICI affiche un Produit Net Bancaire (équivalent du chiffre d'affaires bancaire) de **79,563 Mds FCFA**, en croissance de **16,90%**, pour un résultat net de **36,520 Mds FCFA** — soit une marge nette exceptionnelle de **45,90%**. Le ROE s'établit à **30,29%** (largement au-dessus du seuil de 15% considéré comme excellent) et le ROA à **3,24%**, confirmant une rentabilité parmi les meilleures du secteur. Le **coefficient d'exploitation de 50,83%** place la banque sous le seuil de 60% (efficacité) et proche du niveau d'excellence (&lt;50%), traduisant une maîtrise remarquable des charges. Le **coût du risque rapporté aux charges financières (-12,15%)** mérite une vigilance : ce niveau élevé signale un risque de crédit significatif à surveiller. La structure de bilan est solide avec des dépôts clientèle de **952,872 Mds FCFA** face à des créances clientèle de **524,439 Mds FCFA**, soit un ratio de transformation d'environ 55% — la banque dispose d'une abondante liquidité (trésorerie nette de 136,357 Mds FCFA) qu'elle doit rentabiliser. La capacité de remboursement (0,40 an) et la couverture des intérêts (329,3%) témoignent d'une solidité financière robuste.</w:t>
      </w:r>
    </w:p>
    <w:p>
      <w:pPr>
        <w:spacing w:after="120" w:line="276" w:lineRule="auto"/>
      </w:pPr>
      <w:r>
        <w:t>**Estimations basées sur les rapports trimestriels :** Le rapport du **T1 2026 (31 mars 2026)** confirme l'accélération avec un PNB de 21 214 MFCFA (+17,01%) et un résultat net de 10 387 MFCFA (+29,66%), la marge nette grimpant à 49,0%. Le rapport du **S1 2026 (30 juin 2026)** poursuit sur cette lancée : PNB de 42 637 MXOF (+14,8%), résultat net de 19 948 MXOF (+22,7%), marge nette à 46,8%, avec des frais de gestion en baisse de 2,2%. **Point de vigilance majeur** : le coût du risque bondit de +1 343,1% au S1 2026 (-1 778 MXOF contre -123 MXOF au S1 2025), signal d'alerte sur la qualité du portefeuille. Sur cette base, on estime que l'exercice 2026 devrait dépasser les performances 2025, avec un résultat net annualisé potentiel supérieur à 40 Mds FCFA si la dynamique se maintient — sous réserve de la stabilisation du coût du risque au S2 2026. La recommandation fondamentale est **positive (Achat/Conserver)** : solidité financière exceptionnelle, croissance à deux chiffres et rentabilité record, tempérées par la dégradation du coût du risque et l'absence d'information sur la politique de dividende.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**globalement favorable mais nuancé**. Sur le plan de la **valorisation (Partie 0)**, le PER de 14,8x et le P/B de 4,48x indiquent une action correctement valorisée à légèrement chère, la prime étant justifiée par un ROE de 30,3% — il n'y a donc ni décote attractive ni bulle manifeste. Le **comportement du cours (Partie 1)** est nettement haussier (+17,82% sur 100 jours) avec une volatilité élevée (38,4%) mais une distribution saine (kurtosis proche de la normale, skewness positif favorable aux poussées haussières). Les **signaux techniques (Partie 2)** sont mitigés : structure haussière des moyennes mobiles mais MACD baissier et RSI neutre, suggérant une consolidation avant une éventuelle reprise. Les **fondamentaux (Partie 3)** demeurent le pilier le plus solide : croissance du PNB (+16,9% en 2025, +14,8% au S1 2026), rentabilité exceptionnelle (ROE 30,3%, marge nette 46,8%) et efficacité opérationnelle (coefficient d'exploitation 50,8%), malgré la flambée du coût du risque à surveiller. Les **prédictions IA (J+1 à J+10)** projettent une légère consolidation baissière (de 31 605 à 31 378 FCFA, soit -0,7% sur 5 séances), ce qui **contredit partiellement** l'élan haussier récent mais **confirme** la lecture technique d'une phase de respiration après le rallye.</w:t>
      </w:r>
    </w:p>
    <w:p>
      <w:pPr>
        <w:spacing w:after="120" w:line="276" w:lineRule="auto"/>
      </w:pPr>
      <w:r>
        <w:t>**Recommandation finale : CONSERVER** (avec biais acheteur sur repli). La convergence est bonne entre fondamentaux solides, valorisation raisonnable et tendance de fond haussière, mais la divergence court terme (MACD baissier, prédictions IA baissières) et le risque de crédit croissant justifient la prudence sur les points d'entrée. **Niveau de confiance : Moyen** (les fondamentaux sont excellents mais les chiffres S1 2026 restent provisoires et le coût du risque doit être surveillé). **Niveau de risque global : Moyen** (volatilité élevée de 38,4% et exposition au risque de crédit, compensés par la solidité bilancielle). **Horizon d'investissement optimal : moyen terme (3-12 mois)**, le temps que la consolidation technique s'achève et que la publication des états financiers certifiés 2026 confirme la trajectoire de rentabilité. Un renforcement à l'ACHAT serait justifié si le titre revient vers 31 000-31 500 FCFA (zone MM50) ou si le coût du risque se stabilise au S2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2,878 titres</w:t>
            </w:r>
          </w:p>
        </w:tc>
        <w:tc>
          <w:tcPr>
            <w:tcW w:type="dxa" w:w="2268"/>
            <w:shd w:fill="FFF2CC" w:val="clear"/>
          </w:tcPr>
          <w:p>
            <w:r>
              <w:rPr>
                <w:b/>
                <w:color w:val="503200"/>
                <w:sz w:val="16"/>
              </w:rPr>
              <w:t xml:space="preserve">Cours actuel : </w:t>
            </w:r>
            <w:r>
              <w:rPr>
                <w:color w:val="000000"/>
                <w:sz w:val="17"/>
              </w:rPr>
              <w:t>1,805 FCFA</w:t>
            </w:r>
          </w:p>
          <w:p>
            <w:r>
              <w:rPr>
                <w:b/>
                <w:color w:val="503200"/>
                <w:sz w:val="16"/>
              </w:rPr>
              <w:t xml:space="preserve">Var. 100 jours : </w:t>
            </w:r>
            <w:r>
              <w:rPr>
                <w:b/>
                <w:color w:val="007800"/>
                <w:sz w:val="17"/>
              </w:rPr>
              <w:t>+20.74%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8.39% (Moyenne) — μ=1,943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β=0.5185 (Défensif) — Cov=0.000039, Var(idx)=0.000075, ρ=0.135,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1,689</w:t>
            </w:r>
          </w:p>
        </w:tc>
        <w:tc>
          <w:tcPr>
            <w:tcW w:type="dxa" w:w="1440"/>
            <w:shd w:fill="FAFAFA" w:val="clear"/>
          </w:tcPr>
          <w:p>
            <w:r>
              <w:rPr>
                <w:b/>
                <w:sz w:val="17"/>
              </w:rPr>
              <w:t>1,796</w:t>
            </w:r>
          </w:p>
        </w:tc>
        <w:tc>
          <w:tcPr>
            <w:tcW w:type="dxa" w:w="1440"/>
            <w:shd w:fill="FAFAFA" w:val="clear"/>
          </w:tcPr>
          <w:p>
            <w:r>
              <w:rPr>
                <w:sz w:val="17"/>
              </w:rPr>
              <w:t>1,902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1,650</w:t>
            </w:r>
          </w:p>
        </w:tc>
        <w:tc>
          <w:tcPr>
            <w:tcW w:type="dxa" w:w="1440"/>
            <w:shd w:fill="FAFAFA" w:val="clear"/>
          </w:tcPr>
          <w:p>
            <w:r>
              <w:rPr>
                <w:b/>
                <w:sz w:val="17"/>
              </w:rPr>
              <w:t>1,801</w:t>
            </w:r>
          </w:p>
        </w:tc>
        <w:tc>
          <w:tcPr>
            <w:tcW w:type="dxa" w:w="1440"/>
            <w:shd w:fill="FAFAFA" w:val="clear"/>
          </w:tcPr>
          <w:p>
            <w:r>
              <w:rPr>
                <w:sz w:val="17"/>
              </w:rPr>
              <w:t>1,952</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1,619</w:t>
            </w:r>
          </w:p>
        </w:tc>
        <w:tc>
          <w:tcPr>
            <w:tcW w:type="dxa" w:w="1440"/>
            <w:shd w:fill="FAFAFA" w:val="clear"/>
          </w:tcPr>
          <w:p>
            <w:r>
              <w:rPr>
                <w:b/>
                <w:sz w:val="17"/>
              </w:rPr>
              <w:t>1,804</w:t>
            </w:r>
          </w:p>
        </w:tc>
        <w:tc>
          <w:tcPr>
            <w:tcW w:type="dxa" w:w="1440"/>
            <w:shd w:fill="FAFAFA" w:val="clear"/>
          </w:tcPr>
          <w:p>
            <w:r>
              <w:rPr>
                <w:sz w:val="17"/>
              </w:rPr>
              <w:t>1,990</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1,592</w:t>
            </w:r>
          </w:p>
        </w:tc>
        <w:tc>
          <w:tcPr>
            <w:tcW w:type="dxa" w:w="1440"/>
            <w:shd w:fill="FAFAFA" w:val="clear"/>
          </w:tcPr>
          <w:p>
            <w:r>
              <w:rPr>
                <w:b/>
                <w:sz w:val="17"/>
              </w:rPr>
              <w:t>1,806</w:t>
            </w:r>
          </w:p>
        </w:tc>
        <w:tc>
          <w:tcPr>
            <w:tcW w:type="dxa" w:w="1440"/>
            <w:shd w:fill="FAFAFA" w:val="clear"/>
          </w:tcPr>
          <w:p>
            <w:r>
              <w:rPr>
                <w:sz w:val="17"/>
              </w:rPr>
              <w:t>2,020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1,568</w:t>
            </w:r>
          </w:p>
        </w:tc>
        <w:tc>
          <w:tcPr>
            <w:tcW w:type="dxa" w:w="1440"/>
            <w:shd w:fill="FAFAFA" w:val="clear"/>
          </w:tcPr>
          <w:p>
            <w:r>
              <w:rPr>
                <w:b/>
                <w:sz w:val="17"/>
              </w:rPr>
              <w:t>1,807</w:t>
            </w:r>
          </w:p>
        </w:tc>
        <w:tc>
          <w:tcPr>
            <w:tcW w:type="dxa" w:w="1440"/>
            <w:shd w:fill="FAFAFA" w:val="clear"/>
          </w:tcPr>
          <w:p>
            <w:r>
              <w:rPr>
                <w:sz w:val="17"/>
              </w:rPr>
              <w:t>2,047</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1,546</w:t>
            </w:r>
          </w:p>
        </w:tc>
        <w:tc>
          <w:tcPr>
            <w:tcW w:type="dxa" w:w="1440"/>
            <w:shd w:fill="FAFAFA" w:val="clear"/>
          </w:tcPr>
          <w:p>
            <w:r>
              <w:rPr>
                <w:b/>
                <w:sz w:val="17"/>
              </w:rPr>
              <w:t>1,809</w:t>
            </w:r>
          </w:p>
        </w:tc>
        <w:tc>
          <w:tcPr>
            <w:tcW w:type="dxa" w:w="1440"/>
            <w:shd w:fill="FAFAFA" w:val="clear"/>
          </w:tcPr>
          <w:p>
            <w:r>
              <w:rPr>
                <w:sz w:val="17"/>
              </w:rPr>
              <w:t>2,071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1,526</w:t>
            </w:r>
          </w:p>
        </w:tc>
        <w:tc>
          <w:tcPr>
            <w:tcW w:type="dxa" w:w="1440"/>
            <w:shd w:fill="FAFAFA" w:val="clear"/>
          </w:tcPr>
          <w:p>
            <w:r>
              <w:rPr>
                <w:b/>
                <w:sz w:val="17"/>
              </w:rPr>
              <w:t>1,810</w:t>
            </w:r>
          </w:p>
        </w:tc>
        <w:tc>
          <w:tcPr>
            <w:tcW w:type="dxa" w:w="1440"/>
            <w:shd w:fill="FAFAFA" w:val="clear"/>
          </w:tcPr>
          <w:p>
            <w:r>
              <w:rPr>
                <w:sz w:val="17"/>
              </w:rPr>
              <w:t>2,093</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1,507</w:t>
            </w:r>
          </w:p>
        </w:tc>
        <w:tc>
          <w:tcPr>
            <w:tcW w:type="dxa" w:w="1440"/>
            <w:shd w:fill="FAFAFA" w:val="clear"/>
          </w:tcPr>
          <w:p>
            <w:r>
              <w:rPr>
                <w:b/>
                <w:sz w:val="17"/>
              </w:rPr>
              <w:t>1,810</w:t>
            </w:r>
          </w:p>
        </w:tc>
        <w:tc>
          <w:tcPr>
            <w:tcW w:type="dxa" w:w="1440"/>
            <w:shd w:fill="FAFAFA" w:val="clear"/>
          </w:tcPr>
          <w:p>
            <w:r>
              <w:rPr>
                <w:sz w:val="17"/>
              </w:rPr>
              <w:t>2,114</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1,489</w:t>
            </w:r>
          </w:p>
        </w:tc>
        <w:tc>
          <w:tcPr>
            <w:tcW w:type="dxa" w:w="1440"/>
            <w:shd w:fill="FAFAFA" w:val="clear"/>
          </w:tcPr>
          <w:p>
            <w:r>
              <w:rPr>
                <w:b/>
                <w:sz w:val="17"/>
              </w:rPr>
              <w:t>1,811</w:t>
            </w:r>
          </w:p>
        </w:tc>
        <w:tc>
          <w:tcPr>
            <w:tcW w:type="dxa" w:w="1440"/>
            <w:shd w:fill="FAFAFA" w:val="clear"/>
          </w:tcPr>
          <w:p>
            <w:r>
              <w:rPr>
                <w:sz w:val="17"/>
              </w:rPr>
              <w:t>2,133</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1,472</w:t>
            </w:r>
          </w:p>
        </w:tc>
        <w:tc>
          <w:tcPr>
            <w:tcW w:type="dxa" w:w="1440"/>
            <w:shd w:fill="FAFAFA" w:val="clear"/>
          </w:tcPr>
          <w:p>
            <w:r>
              <w:rPr>
                <w:b/>
                <w:sz w:val="17"/>
              </w:rPr>
              <w:t>1,812</w:t>
            </w:r>
          </w:p>
        </w:tc>
        <w:tc>
          <w:tcPr>
            <w:tcW w:type="dxa" w:w="1440"/>
            <w:shd w:fill="FAFAFA" w:val="clear"/>
          </w:tcPr>
          <w:p>
            <w:r>
              <w:rPr>
                <w:sz w:val="17"/>
              </w:rPr>
              <w:t>2,152</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11,96 milliards FCFA, un niveau modeste à l'échelle de la BRVM qui la classe parmi les petites capitalisations du compartiment industriel. Le BPA de 3 FCFA/action traduit une rentabilité par titre quasi symbolique, cohérente avec un résultat net de seulement 22,3 millions FCFA pour un chiffre d'affaires de 42,45 milliards FCFA. Le PER de 535,7x est aberrrant au regard de la moyenne BRVM (8-12x) : les investisseurs paient plus de 500 fois les bénéfices, ce qui traduit une valorisation totalement déconnectée de la capacité bénéficiaire actuelle et signale une forte prime spéculative ou une anticipation de redressement non encore matérialisé. À l'inverse, le P/B de 0,67x indique que le marché valorise le titre à 33% en dessous de sa valeur comptable (capitaux propres de 17,77 Mds FCFA), ce qui constitue une opportunité potentielle en cas de retournement. Enfin, l'EV/EBITDA de 23,6x, très supérieur au seuil de 15x, confirme que la valeur d'entreprise intègre une prime exigeante par rapport à la capacité opérationnelle générée (EBE de 2,009 Mds FCFA), rendant la valorisation globalement tendue malgré le rabais comptable.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progression totale de +20,74%, avec une dernière séance en hausse de +1,69%, portant le cours à 1 805 FCFA. Le range de trading est large, entre un plus bas de 1 495 FCFA et un plus haut de 2 400 FCFA, soit une amplitude de plus de 60% qui témoigne d'une forte agitation. La tendance générale est haussière sur la période, mais le cours actuel (1 805 FCFA) se situe nettement sous son plus haut, suggérant une correction en cours depuis les sommets. Les statistiques descriptives révèlent une moyenne de 1 943 FCFA et une médiane de 1 962 FCFA, très proches, avec un mode à 1 990 FCFA : la distribution est donc quasi symétrique, confirmée par un skewness de 0,080 (distribution symétrique). L'écart-type de 164 FCFA pour un CV de 8,4% indique une dispersion modérée autour de la moyenne, tandis que le kurtosis de 0,692 (mésokurtique) suggère un comportement proche d'une loi normale, sans risque excessif de pics extrêmes. La volatilité annualisée de 52,5% classe toutefois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(1 897,5 FCFA) et la MM50 (2 018,3 FCFA) se situent toutes deux au-dessus du cours actuel (1 805 FCFA), avec une MM20 inférieure à la MM50 — configuration baissière caractéristique. Le cours évolue sous ses deux moyennes, ce qui traduit une pression vendeuse persistante et justifie la décision technique de **Vente**.</w:t>
      </w:r>
    </w:p>
    <w:p>
      <w:pPr>
        <w:spacing w:after="120" w:line="276" w:lineRule="auto"/>
      </w:pPr>
      <w:r>
        <w:t>**Bandes de Bollinger :** Le cours (1 805 FCFA) se situe dans la partie basse de la bande, entre la borne inférieure (1 750,3 FCFA) et la borne supérieure (2 044,7 FCFA), sans en toucher les extrêmes. Cette position intermédiaire, couplée à un resserrement relatif des bandes, traduit une volatilité en cours de normalisation et justifie la décision **Neutre**, sans signal d'achat ni de vente marqué.</w:t>
      </w:r>
    </w:p>
    <w:p>
      <w:pPr>
        <w:spacing w:after="120" w:line="276" w:lineRule="auto"/>
      </w:pPr>
      <w:r>
        <w:t>**MACD :** La valeur du MACD (-63,695) est inférieure à sa ligne de signal (-54,136), avec un histogramme négatif qui confirme un momentum baissier. La divergence négative entre MACD et signal traduit une accélération de la pression vendeuse, justifiant la décision de **Vente**.</w:t>
      </w:r>
    </w:p>
    <w:p>
      <w:pPr>
        <w:spacing w:after="120" w:line="276" w:lineRule="auto"/>
      </w:pPr>
      <w:r>
        <w:t>**RSI :** À 36,601, le RSI se situe dans la zone neutre basse (30-70), sans atteindre le seuil de survente (&lt;30). Le titre n'est donc ni suracheté ni survendu, mais la proximité de la zone de survente suggère une faiblesse persistante sans rebond imminent, d'où la décision **Neutre**.</w:t>
      </w:r>
    </w:p>
    <w:p>
      <w:pPr>
        <w:spacing w:after="120" w:line="276" w:lineRule="auto"/>
      </w:pPr>
      <w:r>
        <w:t>**Stochastique :** Le %K (13,636) est supérieur au %D (4,545), avec un croisement haussier en zone de survente extrême (&lt;20). Ce signal classique de retournement à court terme justifie la décision d'**Achat**, en contradiction avec les autres indicateurs.</w:t>
      </w:r>
    </w:p>
    <w:p>
      <w:pPr>
        <w:spacing w:after="120" w:line="276" w:lineRule="auto"/>
      </w:pPr>
      <w:r>
        <w:t>**Conclusion technique :** Les indicateurs sont majoritairement baissiers (MM, MACD) ou neutres (Bollinger, RSI), avec un seul signal d'achat isolé (Stochastique) en zone de survente. Cette divergence traduit un titre en correction baissière mais potentiellement proche d'un support technique, où un rebond de court terme n'est pas exclu. La configuration globale reste toutefois défavorable, avec un cours sous ses moyennes mobiles et un momentum négatif.</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milliards FCFA, en recul de -6,31% par rapport à 2024 (45,312 Mds FCFA selon le rapport annuel 2024), confirmant une contraction de l'activité. Le résultat net s'établit à 22,32 millions FCFA, soit une marge nette de seulement 0,0526% et un ROE de 0,1256% — des niveaux anémiques. Le ROA de 0,0454% et la rotation des actifs de 86,39% traduisent une faible efficacité dans l'utilisation des actifs (49,141 Mds FCFA). **Adapté au secteur ENTREPRISE** : le BFR de 29,373 Mds FCFA est massif et financé par une trésorerie nette de -16,689 Mds FCFA, créant un risque de liquidité majeur ; le délai clients de 104,40 jours est élevé (risque de trésorerie), le délai fournisseurs de 116,09 jours est favorable, mais la durée de stockage de 339,23 jours immobilise considérablement le capital. L'autonomie financière de 36,16% reste saine (&gt;30%), mais le ratio d'endettement de 105,48% et la capacité de remboursement de 19,17 années (dettes financières/CAF) sont préoccupants. **Estimations basées sur les rapports trimestriels** : le rapport du T1 2026 (publié en 2026) indique un CA stable à 11,194 Mds FCFA (-0,12%) mais un résultat net de -65,57 millions FCFA (contre +16,15 millions au T1 2025), soit une dégradation de -506% liée à l'intégration de la division Équipement ; on estime donc que l'exercice 2026 pourrait basculer en perte si cette tendance se poursuit. Le rapport du T3 2025 (30/09/2025) confirmait déjà une perte cumulée de -157,03 millions FCFA sur 9 mois, avec un CA en recul de -3%. **Évolution temporelle** : après un bénéfice de 1,6 Md FCFA en 2021 (marge nette 3,6%), la rentabilité s'est effondrée à 7,3 M FCFA en 2024 puis 22,3 M FCFA en 2025 — une dégradation structurelle. **Recommandation fondamentale** : la société présente une solidité bilancielle relative (capitaux propres de 17,77 Mds FCFA, P/B &lt; 1) mais des fondamentaux opérationnels critiques (rentabilité quasi nulle, trésorerie négative, BFR massif, CA en baisse). Le profil est celui d'une entreprise en difficulté persistante, sans dividende (0 FCFA en 2025), dont le redressement dépend de la montée en puissance des nouvelles divisions — un pari risqué.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profondément contradictoire. **Valorisation (Partie 0)** : le PER de 535,7x signale une surévaluation manifeste sur les bénéfices, mais le P/B de 0,67x offre un rabais comptable qui pourrait constituer un plancher — la valorisation est donc tendue mais non dépourvue d'actifs sous-jacents. **Comportement du cours (Partie 1)** : la hausse de +20,74% sur 100 jours est favorable, mais la correction depuis le plus haut de 2 400 FCFA et la volatilité élevée de 52,5% tempèrent l'enthousiasme ; les statistiques (skewness symétrique, kurtosis normal) n'indiquent pas de risque de queue extrême, ce qui est rassurant. **Signaux techniques (Partie 2)** : la divergence est nette entre les indicateurs baissiers (MM, MACD) et le signal d'achat du Stochastique en survente — configuration de correction avec potentiel rebond technique de court terme, mais tendance de fond défavorable. **Fondamentaux (Partie 3)** : la situation est critique (marge nette 0,05%, trésorerie nette -16,69 Mds FCFA, CA en baisse de -6,31%, perte de -65,57 M FCFA au T1 2026), malgré des capitaux propres solides et un P/B attractif. **Prédictions IA (J+1 à J+10)** : la trajectoire projetée (1 796 → 1 807 FCFA) est quasi stable, avec une légère hausse de +0,6% sur 10 jours, ce qui confirme la thèse d'un palier technique sans direction forte — ni effondrement, ni rebond marqué.</w:t>
      </w:r>
    </w:p>
    <w:p>
      <w:pPr>
        <w:spacing w:after="120" w:line="276" w:lineRule="auto"/>
      </w:pPr>
      <w:r>
        <w:t>**Recommandation finale : CONSERVER (avec vigilance accrue)** — Justification : la convergence est partielle. La valorisation offre un filet de sécurité comptable (P/B 0,67x) et les prédictions IA stabilisent le cours, mais les fondamentaux opérationnels (rentabilité nulle, trésorerie négative, perte au T1 2026) et les signaux techniques majoritairement baissiers interdisent un achat. La divergence entre le Stochastique (achat) et le reste des indicateurs (vente/neutre) plaide pour l'attentisme. **Niveau de confiance : Moyen** (données contradictoires entre valeur comptable et performance opérationnelle). **Niveau de risque global : Élevé** (volatilité 52,5%, trésorerie négative, PER aberrant). **Horizon d'investissement optimal : Moyen terme (3-12 mois)**, en surveillant les résultats du T2 2026 pour confirmer ou infirmer la trajectoire de redressement des nouvelles divisions — un passage à l'ACHAT ne serait justifié qu'en cas de retour à un résultat net positif durable et de réduction du BFR.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365.05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5,526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+1.12%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μ=9,175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β=0.5821 (Défensif) — Cov=0.000044, Var(idx)=0.000075, ρ=0.288,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8,781</w:t>
            </w:r>
          </w:p>
        </w:tc>
        <w:tc>
          <w:tcPr>
            <w:tcW w:type="dxa" w:w="1440"/>
            <w:shd w:fill="FAFAFA" w:val="clear"/>
          </w:tcPr>
          <w:p>
            <w:r>
              <w:rPr>
                <w:b/>
                <w:sz w:val="17"/>
              </w:rPr>
              <w:t>9,071</w:t>
            </w:r>
          </w:p>
        </w:tc>
        <w:tc>
          <w:tcPr>
            <w:tcW w:type="dxa" w:w="1440"/>
            <w:shd w:fill="FAFAFA" w:val="clear"/>
          </w:tcPr>
          <w:p>
            <w:r>
              <w:rPr>
                <w:sz w:val="17"/>
              </w:rPr>
              <w:t>9,361</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8,654</w:t>
            </w:r>
          </w:p>
        </w:tc>
        <w:tc>
          <w:tcPr>
            <w:tcW w:type="dxa" w:w="1440"/>
            <w:shd w:fill="FAFAFA" w:val="clear"/>
          </w:tcPr>
          <w:p>
            <w:r>
              <w:rPr>
                <w:b/>
                <w:sz w:val="17"/>
              </w:rPr>
              <w:t>9,065</w:t>
            </w:r>
          </w:p>
        </w:tc>
        <w:tc>
          <w:tcPr>
            <w:tcW w:type="dxa" w:w="1440"/>
            <w:shd w:fill="FAFAFA" w:val="clear"/>
          </w:tcPr>
          <w:p>
            <w:r>
              <w:rPr>
                <w:sz w:val="17"/>
              </w:rPr>
              <w:t>9,475</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8,562</w:t>
            </w:r>
          </w:p>
        </w:tc>
        <w:tc>
          <w:tcPr>
            <w:tcW w:type="dxa" w:w="1440"/>
            <w:shd w:fill="FAFAFA" w:val="clear"/>
          </w:tcPr>
          <w:p>
            <w:r>
              <w:rPr>
                <w:b/>
                <w:sz w:val="17"/>
              </w:rPr>
              <w:t>9,065</w:t>
            </w:r>
          </w:p>
        </w:tc>
        <w:tc>
          <w:tcPr>
            <w:tcW w:type="dxa" w:w="1440"/>
            <w:shd w:fill="FAFAFA" w:val="clear"/>
          </w:tcPr>
          <w:p>
            <w:r>
              <w:rPr>
                <w:sz w:val="17"/>
              </w:rPr>
              <w:t>9,567</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8,478</w:t>
            </w:r>
          </w:p>
        </w:tc>
        <w:tc>
          <w:tcPr>
            <w:tcW w:type="dxa" w:w="1440"/>
            <w:shd w:fill="FAFAFA" w:val="clear"/>
          </w:tcPr>
          <w:p>
            <w:r>
              <w:rPr>
                <w:b/>
                <w:sz w:val="17"/>
              </w:rPr>
              <w:t>9,058</w:t>
            </w:r>
          </w:p>
        </w:tc>
        <w:tc>
          <w:tcPr>
            <w:tcW w:type="dxa" w:w="1440"/>
            <w:shd w:fill="FAFAFA" w:val="clear"/>
          </w:tcPr>
          <w:p>
            <w:r>
              <w:rPr>
                <w:sz w:val="17"/>
              </w:rPr>
              <w:t>9,638</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8,400</w:t>
            </w:r>
          </w:p>
        </w:tc>
        <w:tc>
          <w:tcPr>
            <w:tcW w:type="dxa" w:w="1440"/>
            <w:shd w:fill="FAFAFA" w:val="clear"/>
          </w:tcPr>
          <w:p>
            <w:r>
              <w:rPr>
                <w:b/>
                <w:sz w:val="17"/>
              </w:rPr>
              <w:t>9,048</w:t>
            </w:r>
          </w:p>
        </w:tc>
        <w:tc>
          <w:tcPr>
            <w:tcW w:type="dxa" w:w="1440"/>
            <w:shd w:fill="FAFAFA" w:val="clear"/>
          </w:tcPr>
          <w:p>
            <w:r>
              <w:rPr>
                <w:sz w:val="17"/>
              </w:rPr>
              <w:t>9,695</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8,329</w:t>
            </w:r>
          </w:p>
        </w:tc>
        <w:tc>
          <w:tcPr>
            <w:tcW w:type="dxa" w:w="1440"/>
            <w:shd w:fill="FAFAFA" w:val="clear"/>
          </w:tcPr>
          <w:p>
            <w:r>
              <w:rPr>
                <w:b/>
                <w:sz w:val="17"/>
              </w:rPr>
              <w:t>9,038</w:t>
            </w:r>
          </w:p>
        </w:tc>
        <w:tc>
          <w:tcPr>
            <w:tcW w:type="dxa" w:w="1440"/>
            <w:shd w:fill="FAFAFA" w:val="clear"/>
          </w:tcPr>
          <w:p>
            <w:r>
              <w:rPr>
                <w:sz w:val="17"/>
              </w:rPr>
              <w:t>9,746</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8,263</w:t>
            </w:r>
          </w:p>
        </w:tc>
        <w:tc>
          <w:tcPr>
            <w:tcW w:type="dxa" w:w="1440"/>
            <w:shd w:fill="FAFAFA" w:val="clear"/>
          </w:tcPr>
          <w:p>
            <w:r>
              <w:rPr>
                <w:b/>
                <w:sz w:val="17"/>
              </w:rPr>
              <w:t>9,028</w:t>
            </w:r>
          </w:p>
        </w:tc>
        <w:tc>
          <w:tcPr>
            <w:tcW w:type="dxa" w:w="1440"/>
            <w:shd w:fill="FAFAFA" w:val="clear"/>
          </w:tcPr>
          <w:p>
            <w:r>
              <w:rPr>
                <w:sz w:val="17"/>
              </w:rPr>
              <w:t>9,792</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8,202</w:t>
            </w:r>
          </w:p>
        </w:tc>
        <w:tc>
          <w:tcPr>
            <w:tcW w:type="dxa" w:w="1440"/>
            <w:shd w:fill="FAFAFA" w:val="clear"/>
          </w:tcPr>
          <w:p>
            <w:r>
              <w:rPr>
                <w:b/>
                <w:sz w:val="17"/>
              </w:rPr>
              <w:t>9,018</w:t>
            </w:r>
          </w:p>
        </w:tc>
        <w:tc>
          <w:tcPr>
            <w:tcW w:type="dxa" w:w="1440"/>
            <w:shd w:fill="FAFAFA" w:val="clear"/>
          </w:tcPr>
          <w:p>
            <w:r>
              <w:rPr>
                <w:sz w:val="17"/>
              </w:rPr>
              <w:t>9,834</w:t>
            </w:r>
          </w:p>
        </w:tc>
        <w:tc>
          <w:tcPr>
            <w:tcW w:type="dxa" w:w="1440"/>
            <w:shd w:fill="FAFAFA" w:val="clear"/>
          </w:tcPr>
          <w:p>
            <w:r>
              <w:rPr>
                <w:b/>
                <w:color w:val="008000"/>
                <w:sz w:val="17"/>
              </w:rPr>
              <w:t>+0.2%</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8,144</w:t>
            </w:r>
          </w:p>
        </w:tc>
        <w:tc>
          <w:tcPr>
            <w:tcW w:type="dxa" w:w="1440"/>
            <w:shd w:fill="FAFAFA" w:val="clear"/>
          </w:tcPr>
          <w:p>
            <w:r>
              <w:rPr>
                <w:b/>
                <w:sz w:val="17"/>
              </w:rPr>
              <w:t>9,009</w:t>
            </w:r>
          </w:p>
        </w:tc>
        <w:tc>
          <w:tcPr>
            <w:tcW w:type="dxa" w:w="1440"/>
            <w:shd w:fill="FAFAFA" w:val="clear"/>
          </w:tcPr>
          <w:p>
            <w:r>
              <w:rPr>
                <w:sz w:val="17"/>
              </w:rPr>
              <w:t>9,874</w:t>
            </w:r>
          </w:p>
        </w:tc>
        <w:tc>
          <w:tcPr>
            <w:tcW w:type="dxa" w:w="1440"/>
            <w:shd w:fill="FAFAFA" w:val="clear"/>
          </w:tcPr>
          <w:p>
            <w:r>
              <w:rPr>
                <w:b/>
                <w:color w:val="008000"/>
                <w:sz w:val="17"/>
              </w:rPr>
              <w:t>+0.1%</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8,089</w:t>
            </w:r>
          </w:p>
        </w:tc>
        <w:tc>
          <w:tcPr>
            <w:tcW w:type="dxa" w:w="1440"/>
            <w:shd w:fill="FAFAFA" w:val="clear"/>
          </w:tcPr>
          <w:p>
            <w:r>
              <w:rPr>
                <w:b/>
                <w:sz w:val="17"/>
              </w:rPr>
              <w:t>9,000</w:t>
            </w:r>
          </w:p>
        </w:tc>
        <w:tc>
          <w:tcPr>
            <w:tcW w:type="dxa" w:w="1440"/>
            <w:shd w:fill="FAFAFA" w:val="clear"/>
          </w:tcPr>
          <w:p>
            <w:r>
              <w:rPr>
                <w:sz w:val="17"/>
              </w:rPr>
              <w:t>9,910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 RAPPORT D'ANALYSE FINANCIÈRE — BOA BÉNIN (BOAB)</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365,05 milliards FCFA, BOAB figure parmi les valeurs bancaires de premier plan de la cote BRVM, ce qui lui confère une liquidité relative et une visibilité institutionnelle appréciables. Le BPA de 496 FCFA/action signifie que chaque titre génère près de 500 FCFA de bénéfice net, un niveau de rentabilité par action solide pour le secteur. Le PER de 18,2x traduit une valorisation nettement supérieure à la moyenne du marché BRVM (généralement 8-12x), signalant que les investisseurs acceptent de payer une prime pour la qualité des bénéfices, mais limitant la marge de sécurité. Le P/B de 3,11x confirme cette prime de croissance : le marché valorise la banque à plus de trois fois sa valeur comptable, reflet de la confiance dans la rentabilité des fonds propres (ROE de 17,1%). Enfin, l'EV/EBITDA de 18,9x, supérieur au seuil de 15x, apparaît très exigeant et suggère que la valeur d'entreprise intègre déjà une bonne part des performances opérationnelles attendues — la valorisation n'offre donc pas de décote évidente.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variation totale quasi nulle de +1,12%, mais la dernière séance a enregistré un repli marqué de -2,23%, ramenant le cours à 9 000 FCFA. Le range de trading s'étend de 8 520 FCFA (plus bas) à 10 350 FCFA (plus haut), soit une amplitude d'environ 21,5% qui témoigne d'une réelle animation du titre. La tendance générale est stable à légèrement haussière, mais le cours actuel se situe sous sa moyenne (9 175 FCFA) et sous sa médiane (8 950 FCFA est en réalité inférieure — le cours est donc légèrement au-dessus de la médiane), indiquant une distribution asymétrique. Justement, l'écart entre moyenne (9 175 FCFA) et médiane (8 950 FCFA) confirme une asymétrie positive, cohérente avec le skewness de 0,940 : davantage de séances se sont déroulées sous la moyenne, avec quelques pics haussiers tirant la moyenne vers le haut. L'écart-type de 554 FCFA et le coefficient de variation de 6,0% révèlent une dispersion modérée du cours autour de sa tendance. Le kurtosis de -0,514 (mésokurtique) indique une distribution proche de la normale, sans risque excessif de pics extrêmes. La volatilité annualisée de 27,6% place le titre dans la catégorie modérée (15-30%), acceptable pour une valeur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(9 293,75 FCFA) et la MM50 (9 534,40 FCFA) se situent toutes deux au-dessus du cours actuel de 9 000 FCFA, avec une MM20 inférieure à la MM50 — configuration baissière de court terme. Le cours évoluant sous ses deux moyennes, la pression vendeuse domine, ce qui justifie la décision technique de **Vente**.</w:t>
      </w:r>
    </w:p>
    <w:p>
      <w:pPr>
        <w:spacing w:after="120" w:line="276" w:lineRule="auto"/>
      </w:pPr>
      <w:r>
        <w:t>**Bandes de Bollinger** : Le cours (9 000 FCFA) se situe dans la partie basse de la bande, entre la borne inférieure (8 779,56 FCFA) et la borne supérieure (9 807,94 FCFA), sans franchissement des extrêmes. Cette position centrale-basse traduit une absence de signal directionnel fort et une volatilité contenue, d'où la décision **Neutre**.</w:t>
      </w:r>
    </w:p>
    <w:p>
      <w:pPr>
        <w:spacing w:after="120" w:line="276" w:lineRule="auto"/>
      </w:pPr>
      <w:r>
        <w:t>**MACD** : La valeur du MACD (-114,91) est inférieure à sa ligne de signal (-89,45), avec un histogramme négatif qui s'accentue — le momentum est clairement baissier. Cette divergence négative confirme la perte de dynamique haussière et justifie la décision de **Vente**.</w:t>
      </w:r>
    </w:p>
    <w:p>
      <w:pPr>
        <w:spacing w:after="120" w:line="276" w:lineRule="auto"/>
      </w:pPr>
      <w:r>
        <w:t>**RSI** : À 51,24, le RSI se situe parfaitement dans la zone neutre (30-70), ni en surachat ni en survente. Le titre n'est donc soumis à aucune tension extrême, ce qui explique la décision **Neutre** — le marché est en équilibre relatif.</w:t>
      </w:r>
    </w:p>
    <w:p>
      <w:pPr>
        <w:spacing w:after="120" w:line="276" w:lineRule="auto"/>
      </w:pPr>
      <w:r>
        <w:t>**Stochastique** : Le %K à 0,0 (position extrême basse) contre un %D à 25,42 signale que le cours est en zone de survente technique profonde, avec un potentiel rebond à court terme. Ce positionnement extrême du %K justifie la décision contrariante d'**Achat**, en anticipation d'un retournement.</w:t>
      </w:r>
    </w:p>
    <w:p>
      <w:pPr>
        <w:spacing w:after="120" w:line="276" w:lineRule="auto"/>
      </w:pPr>
      <w:r>
        <w:t>**Conclusion technique** : Les indicateurs sont majoritairement baissiers (MM, MACD) ou neutres (Bollinger, RSI), tandis que le stochastique signale une survente propice à un rebond technique. Cette configuration mixte — tendance de fond baissière mais excès baissier de court terme — plaide pour une prudence : le titre pourrait rebondir mécaniquement avant de reprendre sa tendance, sans signal d'achat confirmé tant que le cours reste sous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de l'exercice 2025** : BOA Bénin affiche un Produit Net Bancaire (équivalent du chiffre d'affaires bancaire) de 51,274 milliards FCFA, en croissance de 10,20% — dynamique commerciale solide. Le résultat net s'établit à 20,107 milliards FCFA, générant un ROE remarquable de 17,11% (&gt;15% = excellent) et un ROA de 2,08%, typique du secteur bancaire. Le coefficient d'exploitation de 49,53% (&lt;50%) classe la banque parmi les établissements les plus efficaces du secteur, tandis que la marge nette de 39,22% témoigne d'une excellente transformation du PNB en bénéfice. **Adaptation sectorielle** : le ratio dépôts/créances s'établit à 711,642/391,724 = 1,82x, soit une surliquidité confortable où les dépôts couvrent largement les crédits — signe d'une collecte robuste mais aussi d'une sous-utilisation des ressources (transformation prudente). Le coût du risque de 22,50% (provisions/charges financières) reste élevé et constitue le principal point de vigilance sur la qualité du portefeuille. La structure financière est solide (solvabilité générale de 113,87%, couverture des intérêts de 101,77%), mais l'autonomie financière de 12,18% reste faible, caractéristique du modèle bancaire.</w:t>
      </w:r>
    </w:p>
    <w:p>
      <w:pPr>
        <w:spacing w:after="120" w:line="276" w:lineRule="auto"/>
      </w:pPr>
      <w:r>
        <w:t>**Estimations issues des rapports trimestriels** : Le rapport du **T1 2026** (publié en 2026) confirme l'accélération avec un PNB de 12,329 milliards FCFA (+11%) et un résultat net de 4,502 milliards FCFA (+1% seulement), les commissions bondissant de +18,9% et les dépôts atteignant 753,7 milliards FCFA (+3,5%). Le **rapport T3 2025** (30/09/2025) avait déjà montré un PNB de 37,065 milliards FCFA (+9%) et un résultat net de 15,880 milliards (+13%), dans un contexte paradoxal de contraction du bilan (crédits -10%, dépôts -5%). Sur cette base, **on estime** que l'exercice 2026 devrait maintenir une croissance du PNB à deux chiffres (~10-11%), mais la faible progression du résultat net au T1 (+1%) suggère une pression sur les coûts qui pourrait limiter la croissance bénéficiaire annuelle à 3-5%. Les rapports antérieurs (S1 2025, T1 2025, exercice 2024) confirment la tendance de fond : rentabilité en amélioration mais croissance du bilan atone. **Recommandation fondamentale** : institution solide, très efficace et bien capitalisée, mais dont la valorisation exigeante et la croissance nette modérée appellent à la **conservation** plutôt qu'à l'accumulation agressive.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18,2x, le P/B de 3,11x et l'EV/EBITDA de 18,9x indiquent une valorisation exigeante, voire une légère surévaluation par rapport aux standards BRVM — la prime de qualité est déjà intégrée dans le cours. **Comportement du cours (Partie 1)** : la tendance est stable (+1,12% sur 100 jours) avec une volatilité modérée (27,6%) et une distribution proche de la normale (kurtosis -0,514), mais le skewness positif (0,940) et le repli de -2,23% en J-1 traduisent une fragilité récente. **Signaux techniques (Partie 2)** : les indicateurs divergent — MM et MACD baissiers, Bollinger et RSI neutres, stochastique en survente — configuration qui plaide pour un rebond technique sans retournement de tendance confirmé. **Fondamentaux (Partie 3)** : la banque est solide (ROE 17,1%, coefficient d'exploitation 49,5%, PNB +10,2% en 2025), mais la croissance du résultat net ralentit (+1% au T1 2026) et le coût du risque reste élevé. **Prédictions IA (J+1 à J+10)** : la trajectoire projetée (9 071 → 9 048 FCFA) est légèrement baissière et confirme la pression technique de court terme, sans effondrement.</w:t>
      </w:r>
    </w:p>
    <w:p>
      <w:pPr>
        <w:spacing w:after="120" w:line="276" w:lineRule="auto"/>
      </w:pPr>
      <w:r>
        <w:t>**Recommandation finale : CONSERVER.** La convergence est partielle : fondamentaux solides et valorisation exigeante se neutralisent, tandis que la technique baissière de court terme et les prédictions IA légèrement négatives déconseillent l'achat immédiat, mais la qualité de l'établissement et la survente stochastique interdisent la vente. **Niveau de confiance : Moyen** (signaux divergents entre technique et fondamental). **Niveau de risque global : Moyen** (volatilité modérée, valorisation tendue, coût du risque élevé). **Horizon optimal : moyen terme (3-12 mois)**, en attendant une confirmation du rebond technique ou une correction vers la borne basse de Bollinger (8 780 FCFA) offrant un meilleur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6,232 titres</w:t>
            </w:r>
          </w:p>
        </w:tc>
        <w:tc>
          <w:tcPr>
            <w:tcW w:type="dxa" w:w="2268"/>
            <w:shd w:fill="FFF2CC" w:val="clear"/>
          </w:tcPr>
          <w:p>
            <w:r>
              <w:rPr>
                <w:b/>
                <w:color w:val="503200"/>
                <w:sz w:val="16"/>
              </w:rPr>
              <w:t xml:space="preserve">Cours actuel : </w:t>
            </w:r>
            <w:r>
              <w:rPr>
                <w:color w:val="000000"/>
                <w:sz w:val="17"/>
              </w:rPr>
              <w:t>8,010 FCFA</w:t>
            </w:r>
          </w:p>
          <w:p>
            <w:r>
              <w:rPr>
                <w:b/>
                <w:color w:val="503200"/>
                <w:sz w:val="16"/>
              </w:rPr>
              <w:t xml:space="preserve">Var. 100 jours : </w:t>
            </w:r>
            <w:r>
              <w:rPr>
                <w:b/>
                <w:color w:val="007800"/>
                <w:sz w:val="17"/>
              </w:rPr>
              <w:t>+45.64%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16.56% (Élevée) — μ=7,097 FCFA, σ=1,175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β=0.7586 (Défensif) — Cov=0.000057, Var(idx)=0.000075, ρ=0.286,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7,681</w:t>
            </w:r>
          </w:p>
        </w:tc>
        <w:tc>
          <w:tcPr>
            <w:tcW w:type="dxa" w:w="1440"/>
            <w:shd w:fill="FAFAFA" w:val="clear"/>
          </w:tcPr>
          <w:p>
            <w:r>
              <w:rPr>
                <w:b/>
                <w:sz w:val="17"/>
              </w:rPr>
              <w:t>7,966</w:t>
            </w:r>
          </w:p>
        </w:tc>
        <w:tc>
          <w:tcPr>
            <w:tcW w:type="dxa" w:w="1440"/>
            <w:shd w:fill="FAFAFA" w:val="clear"/>
          </w:tcPr>
          <w:p>
            <w:r>
              <w:rPr>
                <w:sz w:val="17"/>
              </w:rPr>
              <w:t>8,251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7,533</w:t>
            </w:r>
          </w:p>
        </w:tc>
        <w:tc>
          <w:tcPr>
            <w:tcW w:type="dxa" w:w="1440"/>
            <w:shd w:fill="FAFAFA" w:val="clear"/>
          </w:tcPr>
          <w:p>
            <w:r>
              <w:rPr>
                <w:b/>
                <w:sz w:val="17"/>
              </w:rPr>
              <w:t>7,934</w:t>
            </w:r>
          </w:p>
        </w:tc>
        <w:tc>
          <w:tcPr>
            <w:tcW w:type="dxa" w:w="1440"/>
            <w:shd w:fill="FAFAFA" w:val="clear"/>
          </w:tcPr>
          <w:p>
            <w:r>
              <w:rPr>
                <w:sz w:val="17"/>
              </w:rPr>
              <w:t>8,336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7,418</w:t>
            </w:r>
          </w:p>
        </w:tc>
        <w:tc>
          <w:tcPr>
            <w:tcW w:type="dxa" w:w="1440"/>
            <w:shd w:fill="FAFAFA" w:val="clear"/>
          </w:tcPr>
          <w:p>
            <w:r>
              <w:rPr>
                <w:b/>
                <w:sz w:val="17"/>
              </w:rPr>
              <w:t>7,908</w:t>
            </w:r>
          </w:p>
        </w:tc>
        <w:tc>
          <w:tcPr>
            <w:tcW w:type="dxa" w:w="1440"/>
            <w:shd w:fill="FAFAFA" w:val="clear"/>
          </w:tcPr>
          <w:p>
            <w:r>
              <w:rPr>
                <w:sz w:val="17"/>
              </w:rPr>
              <w:t>8,398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7,322</w:t>
            </w:r>
          </w:p>
        </w:tc>
        <w:tc>
          <w:tcPr>
            <w:tcW w:type="dxa" w:w="1440"/>
            <w:shd w:fill="FAFAFA" w:val="clear"/>
          </w:tcPr>
          <w:p>
            <w:r>
              <w:rPr>
                <w:b/>
                <w:sz w:val="17"/>
              </w:rPr>
              <w:t>7,886</w:t>
            </w:r>
          </w:p>
        </w:tc>
        <w:tc>
          <w:tcPr>
            <w:tcW w:type="dxa" w:w="1440"/>
            <w:shd w:fill="FAFAFA" w:val="clear"/>
          </w:tcPr>
          <w:p>
            <w:r>
              <w:rPr>
                <w:sz w:val="17"/>
              </w:rPr>
              <w:t>8,450</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7,238</w:t>
            </w:r>
          </w:p>
        </w:tc>
        <w:tc>
          <w:tcPr>
            <w:tcW w:type="dxa" w:w="1440"/>
            <w:shd w:fill="FAFAFA" w:val="clear"/>
          </w:tcPr>
          <w:p>
            <w:r>
              <w:rPr>
                <w:b/>
                <w:sz w:val="17"/>
              </w:rPr>
              <w:t>7,867</w:t>
            </w:r>
          </w:p>
        </w:tc>
        <w:tc>
          <w:tcPr>
            <w:tcW w:type="dxa" w:w="1440"/>
            <w:shd w:fill="FAFAFA" w:val="clear"/>
          </w:tcPr>
          <w:p>
            <w:r>
              <w:rPr>
                <w:sz w:val="17"/>
              </w:rPr>
              <w:t>8,496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7,161</w:t>
            </w:r>
          </w:p>
        </w:tc>
        <w:tc>
          <w:tcPr>
            <w:tcW w:type="dxa" w:w="1440"/>
            <w:shd w:fill="FFDCE0" w:val="clear"/>
          </w:tcPr>
          <w:p>
            <w:r>
              <w:rPr>
                <w:b/>
                <w:sz w:val="17"/>
              </w:rPr>
              <w:t>7,849</w:t>
            </w:r>
          </w:p>
        </w:tc>
        <w:tc>
          <w:tcPr>
            <w:tcW w:type="dxa" w:w="1440"/>
            <w:shd w:fill="FFDCE0" w:val="clear"/>
          </w:tcPr>
          <w:p>
            <w:r>
              <w:rPr>
                <w:sz w:val="17"/>
              </w:rPr>
              <w:t>8,536</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7,091</w:t>
            </w:r>
          </w:p>
        </w:tc>
        <w:tc>
          <w:tcPr>
            <w:tcW w:type="dxa" w:w="1440"/>
            <w:shd w:fill="FFDCE0" w:val="clear"/>
          </w:tcPr>
          <w:p>
            <w:r>
              <w:rPr>
                <w:b/>
                <w:sz w:val="17"/>
              </w:rPr>
              <w:t>7,831</w:t>
            </w:r>
          </w:p>
        </w:tc>
        <w:tc>
          <w:tcPr>
            <w:tcW w:type="dxa" w:w="1440"/>
            <w:shd w:fill="FFDCE0" w:val="clear"/>
          </w:tcPr>
          <w:p>
            <w:r>
              <w:rPr>
                <w:sz w:val="17"/>
              </w:rPr>
              <w:t>8,572</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7,024</w:t>
            </w:r>
          </w:p>
        </w:tc>
        <w:tc>
          <w:tcPr>
            <w:tcW w:type="dxa" w:w="1440"/>
            <w:shd w:fill="FFDCE0" w:val="clear"/>
          </w:tcPr>
          <w:p>
            <w:r>
              <w:rPr>
                <w:b/>
                <w:sz w:val="17"/>
              </w:rPr>
              <w:t>7,815</w:t>
            </w:r>
          </w:p>
        </w:tc>
        <w:tc>
          <w:tcPr>
            <w:tcW w:type="dxa" w:w="1440"/>
            <w:shd w:fill="FFDCE0" w:val="clear"/>
          </w:tcPr>
          <w:p>
            <w:r>
              <w:rPr>
                <w:sz w:val="17"/>
              </w:rPr>
              <w:t>8,605</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6,962</w:t>
            </w:r>
          </w:p>
        </w:tc>
        <w:tc>
          <w:tcPr>
            <w:tcW w:type="dxa" w:w="1440"/>
            <w:shd w:fill="FFDCE0" w:val="clear"/>
          </w:tcPr>
          <w:p>
            <w:r>
              <w:rPr>
                <w:b/>
                <w:sz w:val="17"/>
              </w:rPr>
              <w:t>7,798</w:t>
            </w:r>
          </w:p>
        </w:tc>
        <w:tc>
          <w:tcPr>
            <w:tcW w:type="dxa" w:w="1440"/>
            <w:shd w:fill="FFDCE0" w:val="clear"/>
          </w:tcPr>
          <w:p>
            <w:r>
              <w:rPr>
                <w:sz w:val="17"/>
              </w:rPr>
              <w:t>8,635</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6,902</w:t>
            </w:r>
          </w:p>
        </w:tc>
        <w:tc>
          <w:tcPr>
            <w:tcW w:type="dxa" w:w="1440"/>
            <w:shd w:fill="FFDCE0" w:val="clear"/>
          </w:tcPr>
          <w:p>
            <w:r>
              <w:rPr>
                <w:b/>
                <w:sz w:val="17"/>
              </w:rPr>
              <w:t>7,782</w:t>
            </w:r>
          </w:p>
        </w:tc>
        <w:tc>
          <w:tcPr>
            <w:tcW w:type="dxa" w:w="1440"/>
            <w:shd w:fill="FFDCE0" w:val="clear"/>
          </w:tcPr>
          <w:p>
            <w:r>
              <w:rPr>
                <w:sz w:val="17"/>
              </w:rPr>
              <w:t>8,663</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 BURKINA FASO (BOABF)</w:t>
      </w:r>
    </w:p>
    <w:p>
      <w:pPr>
        <w:spacing w:after="120" w:line="276" w:lineRule="auto"/>
      </w:pPr>
      <w: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352,44 milliards FCFA, BOABF s'affirme comme une valeur de premier plan de la cote BRVM, positionnant la banque parmi les capitalisations les plus significatives du compartiment bancaire régional. Le BPA de 438 FCFA par action traduit une capacité bénéficiaire solide, chaque titre générant près de 438 FCFA de bénéfice net. Le PER de 18,3x se situe nettement au-dessus de la moyenne BRVM (généralement 8-12x), ce qui traduit une prime de valorisation significative — les investisseurs paient cher pour les bénéfices actuels, anticipant une normalisation du coût du risque observée au S1 2026. Le P/B de 2,79x confirme cette prime de croissance (fourchette 2-4x), le marché valorisant la banque à près de trois fois sa valeur comptable, reflet de la confiance dans la qualité de son portefeuille et sa rentabilité structurelle. Enfin, l'EV/EBITDA de 8,1x, dans la fourchette raisonnable de 5-10x, suggère que la valeur totale de l'entreprise reste cohérente avec sa capacité opérationnelle, sans excès spéculatif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performance remarquable de +45,64%, portant le cours à 8 010 FCFA, avec une stabilité parfaite en dernière séance (+0,00%). Le range de trading s'étend de 5 300 FCFA (plus bas) à 9 090 FCFA (plus haut), soit une amplitude de 71,5% qui témoigne d'une dynamique haussière puissante mais aussi d'une certaine nervosité. La tendance générale est clairement haussière, le cours actuel se situant à mi-chemin du range, suggérant une phase de consolidation après le pic. Les statistiques descriptives révèlent une moyenne de 7 097 FCFA légèrement inférieure à la médiane de 7 200 FCFA, avec un mode à 7 100 FCFA — l'écart minime entre ces mesures centrales indique une distribution quasi-symétrique, confirmée par un skewness de 0,001 (distribution parfaitement symétrique). L'écart-type de 1 181 FCFA (CV=16,6%) traduit une dispersion modérée du cours autour de sa moyenne, cohérente avec un titre directionnel. Le kurtosis négatif de -1,256 (distribution platykurtique) signale une faible concentration des rendements extrêmes — le risque de pics brutaux est limité, ce qui est rassurant pour la gestion du risque. La volatilité annualisée de 35,9% classe le titre dans la catégorie **élevée** (&gt;30%), reflet de la forte appréciation récente et des incertitudes propres au marché burkinabè.</w:t>
      </w:r>
    </w:p>
    <w:p>
      <w:pPr>
        <w:spacing w:after="120" w:line="276" w:lineRule="auto"/>
      </w:pPr>
      <w:r>
        <w:t>---</w:t>
      </w:r>
    </w:p>
    <w:p>
      <w:pPr>
        <w:spacing w:after="120" w:line="276" w:lineRule="auto"/>
      </w:pPr>
      <w:r>
        <w:t>## PARTIE 2 : ANALYSE TECHNIQUE DÉTAILLÉE</w:t>
      </w:r>
    </w:p>
    <w:p>
      <w:pPr>
        <w:spacing w:after="120" w:line="276" w:lineRule="auto"/>
      </w:pPr>
      <w:r>
        <w:t>**Moyennes Mobiles** : La MM20 (7 946 FCFA) se situe légèrement sous le cours actuel (8 010 FCFA), tandis que la MM50 (8 075,1 FCFA) le dépasse. Cette configuration — cours coincé entre les deux moyennes — traduit une phase d'indécision : la dynamique court terme (MM20) reste haussière, mais la tendance moyen terme (MM50) exerce une pression baissière. La décision technique « Vente » s'explique par le positionnement du cours sous la MM50, signal classique de faiblesse relative.</w:t>
      </w:r>
    </w:p>
    <w:p>
      <w:pPr>
        <w:spacing w:after="120" w:line="276" w:lineRule="auto"/>
      </w:pPr>
      <w:r>
        <w:t>**Bandes de Bollinger** : Le cours (8 010 FCFA) évolue dans la partie médiane de la bande, entre la borne inférieure (7 498,4 FCFA) et supérieure (8 393,6 FCFA). Cette position centrale, sans test des extrêmes, indique une volatilité contenue et l'absence de signal directionnel fort. La décision « Neutre » est cohérente : ni surachat ni survente, le titre consolide dans un canal équilibré.</w:t>
      </w:r>
    </w:p>
    <w:p>
      <w:pPr>
        <w:spacing w:after="120" w:line="276" w:lineRule="auto"/>
      </w:pPr>
      <w:r>
        <w:t>**MACD** : La valeur du MACD (-28,247) est inférieure à son signal (-26,821), confirmant une divergence baissière. Le momentum est négatif, bien que l'écart entre les deux lignes reste modéré, suggérant une pression vendeuse sans accélération marquée. La décision « Vente » reflète cette configuration de croisement défavorable, typique d'une correction en cours après le rallye.</w:t>
      </w:r>
    </w:p>
    <w:p>
      <w:pPr>
        <w:spacing w:after="120" w:line="276" w:lineRule="auto"/>
      </w:pPr>
      <w:r>
        <w:t>**RSI** : À 44,444, le RSI se situe en zone neutre (30-70), légèrement sous le seuil médian de 50. Cette valeur traduit un équilibre entre acheteurs et vendeurs, sans excès de surachat (&gt;70) ni de survente (&lt;30). La décision « Neutre » est appropriée : le titre n'offre pas de signal de retournement imminent, mais la légère faiblesse sous 50 suggère une dynamique acheteuse essoufflée.</w:t>
      </w:r>
    </w:p>
    <w:p>
      <w:pPr>
        <w:spacing w:after="120" w:line="276" w:lineRule="auto"/>
      </w:pPr>
      <w:r>
        <w:t>**Stochastique** : Le %K (27,5) est inférieur au %D (30,417), avec les deux indicateurs en zone basse (proche de la survente à 20). Cette configuration signale une pression baissière persistante, mais l'approche de la zone de survente pourrait préfigurer un rebond technique. La décision « Neutre » traduit cette ambiguïté : pas encore de signal d'achat clair, mais le potentiel de baisse se réduit.</w:t>
      </w:r>
    </w:p>
    <w:p>
      <w:pPr>
        <w:spacing w:after="120" w:line="276" w:lineRule="auto"/>
      </w:pPr>
      <w:r>
        <w:t>**Conclusion technique** : Les cinq indicateurs convergent vers un diagnostic de **consolidation post-rallye avec biais baissier modéré**. Les MM signalent une faiblesse relative (cours sous MM50), le MACD confirme un momentum négatif, tandis que le RSI et le stochastique, en zones neutres/basses, n'excluent pas un rebond technique. Les Bandes de Bollinger, avec un cours en position médiane, valident l'absence de tension extrême. La configuration globale suggère une phase de respiration après la forte hausse de +45,64%, avec un support technique à surveiller autour de 7 500 FCFA (borne inférieure de Bollinger) et une résistance à 8 393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affiche un Produit Net Bancaire (PNB) de 57,820 milliards FCFA, quasi stable (+0,6%) par rapport à 2024 (57,490 milliards). Le résultat net s'établit à 19,252 milliards FCFA, en recul de -14,1% sur un an, principalement en raison du doublement du coût du risque (8,355 milliards contre 4,303 milliards en 2024). La rentabilité reste solide avec un ROE de 15,22% (seuil d'excellence &gt;15%) et un ROA de 1,68%. Le coefficient d'exploitation de 47,19% classe la banque parmi les établissements **très efficaces** (&lt;50%), confirmant une bonne maîtrise des charges. Le ratio dépôts/crédits (877,8/474,1 = 1,85x) témoigne d'une surliquidité structurelle, la banque collectant près de deux fois plus qu'elle ne prête — situation prudente mais qui limite la rentabilité des actifs. Les créances interbancaires (213,1 milliards) ont bondi par rapport à 2024 (54,0 milliards), traduisant un repositionnement vers des actifs moins risqués. Le coût du risque/charges financières de 33,9% reste élevé, signalant un portefeuille de crédits sous pression.</w:t>
      </w:r>
    </w:p>
    <w:p>
      <w:pPr>
        <w:spacing w:after="120" w:line="276" w:lineRule="auto"/>
      </w:pPr>
      <w:r>
        <w:t>**Évolution temporelle et estimations (rapports trimestriels)** : Le rapport du **T1 2026 (31/03/2026)** révèle un PNB de 12,694 milliards (-10,75% sur un an) et un résultat net de 4,520 milliards (-12,99%), le trimestre le plus faible des quatre documents analysés. Le **S1 2026 (30/06/2026)** marque une inflexion majeure : si le PNB recule encore (-5,2% à 27,539 milliards), le résultat net bondit de +31,0% à 10,770 milliards, grâce à un coût du risque en forte amélioration (-2,396 milliards contre -6,876 milliards au S1 2025, soit -65,2%). Le **rapport annuel 2025 (31/12/2025)** confirme que la dégradation du risque était concentrée sur le S1 2025, avec une normalisation au S2. Sur cette base, **on estime** que l'exercice 2026 devrait afficher un résultat net en hausse significative (potentiellement 22-24 milliards FCFA), porté par la normalisation du coût du risque, malgré un PNB toujours sous pression (-5,2% au S1). La dynamique commerciale reste toutefois préoccupante : les crédits nets progressent faiblement (+1,3% à 479,993 milliards au S1 2026), tandis que les dépôts clientèle croissent de +7,4% (942,692 milliards), creusant davantage la surliquidité.</w:t>
      </w:r>
    </w:p>
    <w:p>
      <w:pPr>
        <w:spacing w:after="120" w:line="276" w:lineRule="auto"/>
      </w:pPr>
      <w:r>
        <w:t>**Recommandation fondamentale** : La solidité financière de BOABF est indéniable (ROE &gt;15%, coefficient d'exploitation &lt;50%, solvabilité générale de 112,4%), mais la **stagnation du PNB** et la **faiblesse de la croissance crédit** constituent des risques structurels. La forte hausse du résultat net au S1 2026 est davantage due à une base de comparaison favorable sur le risque qu'à une accélération commerciale. Le dividende de 397 FCFA/action (paiement le 23/04/2026, exercice 2025) offre un rendement de 4,96% au cours actuel, attractif dans le contexte BRVM. La recommandation fondamentale est **CONSERVER** : rentabilité en amélioration à court terme, mais à confirmer sur la dynamique commerciale sous-jacente.</w:t>
      </w:r>
    </w:p>
    <w:p>
      <w:pPr>
        <w:spacing w:after="120" w:line="276" w:lineRule="auto"/>
      </w:pPr>
      <w:r>
        <w:t>---</w:t>
      </w:r>
    </w:p>
    <w:p>
      <w:pPr>
        <w:spacing w:after="120" w:line="276" w:lineRule="auto"/>
      </w:pPr>
      <w:r>
        <w:t>## PARTIE 4 : CONCLUSION D'INVESTISSEMENT</w:t>
      </w:r>
    </w:p>
    <w:p>
      <w:pPr>
        <w:spacing w:after="120" w:line="276" w:lineRule="auto"/>
      </w:pPr>
      <w:r>
        <w:t>La synthèse des quatre piliers d'analyse révèle un profil **contrasté**. Sur le plan de la **valorisation (Partie 0)**, le PER de 18,3x et le P/B de 2,79x indiquent une **surévaluation relative** par rapport à la moyenne BRVM (8-12x), le marché intégrant déjà une forte anticipation de redressement bénéficiaire — toute déception serait sévèrement sanctionnée. Le **comportement du cours (Partie 1)** est paradoxal : la performance de +45,64% sur 100 jours est exceptionnelle, mais la volatilité élevée (35,9%) et la distribution platykurtique (kurtosis -1,256) suggèrent un risque de correction après le rallye, bien que la symétrie parfaite (skewness 0,001) écarte le risque de krach brutal. Les **signaux techniques (Partie 2)** sont majoritairement baissiers/neutres : cours sous MM50, MACD négatif, RSI et stochastique en zones neutres-basses — configuration de consolidation avec support à 7 500 FCFA. Les **fondamentaux (Partie 3)** offrent un tableau nuancé : ROE de 15,22% et coefficient d'exploitation de 47,19% témoignent d'une banque efficace, mais la stagnation du PNB (-5,2% au S1 2026) et la surliquidité (dépôts/crédits = 1,85x) limitent le potentiel de croissance. Les **prédictions IA (J+1 à J+10)** confirment la tendance baissière à court terme, avec une trajectoire de 7 966 FCFA (19/10) à 7 867 FCFA (23/10), soit un repli de -1,8% — cohérent avec les signaux techniques baissiers.</w:t>
      </w:r>
    </w:p>
    <w:p>
      <w:pPr>
        <w:spacing w:after="120" w:line="276" w:lineRule="auto"/>
      </w:pPr>
      <w:r>
        <w:t>**Recommandation finale : CONSERVER**</w:t>
      </w:r>
    </w:p>
    <w:p>
      <w:pPr>
        <w:spacing w:after="120" w:line="276" w:lineRule="auto"/>
      </w:pPr>
      <w:r>
        <w:t>La convergence est **partielle** : la valorisation tendue (PER 18,3x) et les signaux techniques baissiers plaident pour la prudence, tandis que les fondamentaux (ROE &gt;15%, dividende attractif de 4,96%) et la normalisation du coût du risque au S1 2026 soutiennent le titre à moyen terme. Les prédictions IA, baissières à court terme, confirment la phase de consolidation technique sans remettre en cause la thèse fondamentale. **Niveau de confiance : Moyen** — la divergence entre valorisation tendue et fondamentaux solides crée une incertitude sur le timing. **Niveau de risque global : Moyen à Élevé** — volatilité de 35,9%, exposition au contexte sécuritaire burkinabè, et sensibilité à la dynamique commerciale. **Horizon d'investissement optimal : Moyen terme (3-12 mois)** — le temps que la normalisation du risque se confirme dans les résultats annuels 2026 et que la valorisation se normalise. Un point d'entrée plus favorable se situerait autour de 7 500 FCFA (borne inférieure de Bollinger), offrant un meilleur rapport risque/rendement.</w:t>
      </w:r>
    </w:p>
    <w:p>
      <w:pPr>
        <w:spacing w:after="120" w:line="276" w:lineRule="auto"/>
      </w:pPr>
      <w:r>
        <w:t>---</w:t>
      </w:r>
    </w:p>
    <w:p>
      <w:pPr>
        <w:spacing w:after="120" w:line="276" w:lineRule="auto"/>
      </w:pPr>
      <w:r>
        <w:t>*⚠️ Avertissement : Ce rapport est fourni à titre informatif et ne constitue pas une recommandation d'investissement personnalisée. Les investisseurs doivent consulter un conseiller financier agréé avant toute décision.*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10,666 titres</w:t>
            </w:r>
          </w:p>
        </w:tc>
        <w:tc>
          <w:tcPr>
            <w:tcW w:type="dxa" w:w="2268"/>
            <w:shd w:fill="FFF2CC" w:val="clear"/>
          </w:tcPr>
          <w:p>
            <w:r>
              <w:rPr>
                <w:b/>
                <w:color w:val="503200"/>
                <w:sz w:val="16"/>
              </w:rPr>
              <w:t xml:space="preserve">Cours actuel : </w:t>
            </w:r>
            <w:r>
              <w:rPr>
                <w:color w:val="000000"/>
                <w:sz w:val="17"/>
              </w:rPr>
              <w:t>11,395 FCFA</w:t>
            </w:r>
          </w:p>
          <w:p>
            <w:r>
              <w:rPr>
                <w:b/>
                <w:color w:val="503200"/>
                <w:sz w:val="16"/>
              </w:rPr>
              <w:t xml:space="preserve">Var. 100 jours : </w:t>
            </w:r>
            <w:r>
              <w:rPr>
                <w:b/>
                <w:color w:val="007800"/>
                <w:sz w:val="17"/>
              </w:rPr>
              <w:t>+29.12%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13.48% (Moyenne) — μ=10,793 FCFA, σ=1,455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β=0.7320 (Défensif) — Cov=0.000055, Var(idx)=0.000075, ρ=0.354,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11,088</w:t>
            </w:r>
          </w:p>
        </w:tc>
        <w:tc>
          <w:tcPr>
            <w:tcW w:type="dxa" w:w="1440"/>
            <w:shd w:fill="FAFAFA" w:val="clear"/>
          </w:tcPr>
          <w:p>
            <w:r>
              <w:rPr>
                <w:b/>
                <w:sz w:val="17"/>
              </w:rPr>
              <w:t>11,407</w:t>
            </w:r>
          </w:p>
        </w:tc>
        <w:tc>
          <w:tcPr>
            <w:tcW w:type="dxa" w:w="1440"/>
            <w:shd w:fill="FAFAFA" w:val="clear"/>
          </w:tcPr>
          <w:p>
            <w:r>
              <w:rPr>
                <w:sz w:val="17"/>
              </w:rPr>
              <w:t>11,727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10,970</w:t>
            </w:r>
          </w:p>
        </w:tc>
        <w:tc>
          <w:tcPr>
            <w:tcW w:type="dxa" w:w="1440"/>
            <w:shd w:fill="FAFAFA" w:val="clear"/>
          </w:tcPr>
          <w:p>
            <w:r>
              <w:rPr>
                <w:b/>
                <w:sz w:val="17"/>
              </w:rPr>
              <w:t>11,422</w:t>
            </w:r>
          </w:p>
        </w:tc>
        <w:tc>
          <w:tcPr>
            <w:tcW w:type="dxa" w:w="1440"/>
            <w:shd w:fill="FAFAFA" w:val="clear"/>
          </w:tcPr>
          <w:p>
            <w:r>
              <w:rPr>
                <w:sz w:val="17"/>
              </w:rPr>
              <w:t>11,874</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10,881</w:t>
            </w:r>
          </w:p>
        </w:tc>
        <w:tc>
          <w:tcPr>
            <w:tcW w:type="dxa" w:w="1440"/>
            <w:shd w:fill="FAFAFA" w:val="clear"/>
          </w:tcPr>
          <w:p>
            <w:r>
              <w:rPr>
                <w:b/>
                <w:sz w:val="17"/>
              </w:rPr>
              <w:t>11,436</w:t>
            </w:r>
          </w:p>
        </w:tc>
        <w:tc>
          <w:tcPr>
            <w:tcW w:type="dxa" w:w="1440"/>
            <w:shd w:fill="FAFAFA" w:val="clear"/>
          </w:tcPr>
          <w:p>
            <w:r>
              <w:rPr>
                <w:sz w:val="17"/>
              </w:rPr>
              <w:t>11,990</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10,809</w:t>
            </w:r>
          </w:p>
        </w:tc>
        <w:tc>
          <w:tcPr>
            <w:tcW w:type="dxa" w:w="1440"/>
            <w:shd w:fill="FAFAFA" w:val="clear"/>
          </w:tcPr>
          <w:p>
            <w:r>
              <w:rPr>
                <w:b/>
                <w:sz w:val="17"/>
              </w:rPr>
              <w:t>11,450</w:t>
            </w:r>
          </w:p>
        </w:tc>
        <w:tc>
          <w:tcPr>
            <w:tcW w:type="dxa" w:w="1440"/>
            <w:shd w:fill="FAFAFA" w:val="clear"/>
          </w:tcPr>
          <w:p>
            <w:r>
              <w:rPr>
                <w:sz w:val="17"/>
              </w:rPr>
              <w:t>12,090</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10,746</w:t>
            </w:r>
          </w:p>
        </w:tc>
        <w:tc>
          <w:tcPr>
            <w:tcW w:type="dxa" w:w="1440"/>
            <w:shd w:fill="FAFAFA" w:val="clear"/>
          </w:tcPr>
          <w:p>
            <w:r>
              <w:rPr>
                <w:b/>
                <w:sz w:val="17"/>
              </w:rPr>
              <w:t>11,463</w:t>
            </w:r>
          </w:p>
        </w:tc>
        <w:tc>
          <w:tcPr>
            <w:tcW w:type="dxa" w:w="1440"/>
            <w:shd w:fill="FAFAFA" w:val="clear"/>
          </w:tcPr>
          <w:p>
            <w:r>
              <w:rPr>
                <w:sz w:val="17"/>
              </w:rPr>
              <w:t>12,180</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10,689</w:t>
            </w:r>
          </w:p>
        </w:tc>
        <w:tc>
          <w:tcPr>
            <w:tcW w:type="dxa" w:w="1440"/>
            <w:shd w:fill="FAFAFA" w:val="clear"/>
          </w:tcPr>
          <w:p>
            <w:r>
              <w:rPr>
                <w:b/>
                <w:sz w:val="17"/>
              </w:rPr>
              <w:t>11,476</w:t>
            </w:r>
          </w:p>
        </w:tc>
        <w:tc>
          <w:tcPr>
            <w:tcW w:type="dxa" w:w="1440"/>
            <w:shd w:fill="FAFAFA" w:val="clear"/>
          </w:tcPr>
          <w:p>
            <w:r>
              <w:rPr>
                <w:sz w:val="17"/>
              </w:rPr>
              <w:t>12,262</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10,637</w:t>
            </w:r>
          </w:p>
        </w:tc>
        <w:tc>
          <w:tcPr>
            <w:tcW w:type="dxa" w:w="1440"/>
            <w:shd w:fill="FAFAFA" w:val="clear"/>
          </w:tcPr>
          <w:p>
            <w:r>
              <w:rPr>
                <w:b/>
                <w:sz w:val="17"/>
              </w:rPr>
              <w:t>11,488</w:t>
            </w:r>
          </w:p>
        </w:tc>
        <w:tc>
          <w:tcPr>
            <w:tcW w:type="dxa" w:w="1440"/>
            <w:shd w:fill="FAFAFA" w:val="clear"/>
          </w:tcPr>
          <w:p>
            <w:r>
              <w:rPr>
                <w:sz w:val="17"/>
              </w:rPr>
              <w:t>12,338</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10,589</w:t>
            </w:r>
          </w:p>
        </w:tc>
        <w:tc>
          <w:tcPr>
            <w:tcW w:type="dxa" w:w="1440"/>
            <w:shd w:fill="FAFAFA" w:val="clear"/>
          </w:tcPr>
          <w:p>
            <w:r>
              <w:rPr>
                <w:b/>
                <w:sz w:val="17"/>
              </w:rPr>
              <w:t>11,500</w:t>
            </w:r>
          </w:p>
        </w:tc>
        <w:tc>
          <w:tcPr>
            <w:tcW w:type="dxa" w:w="1440"/>
            <w:shd w:fill="FAFAFA" w:val="clear"/>
          </w:tcPr>
          <w:p>
            <w:r>
              <w:rPr>
                <w:sz w:val="17"/>
              </w:rPr>
              <w:t>12,410</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10,544</w:t>
            </w:r>
          </w:p>
        </w:tc>
        <w:tc>
          <w:tcPr>
            <w:tcW w:type="dxa" w:w="1440"/>
            <w:shd w:fill="FAFAFA" w:val="clear"/>
          </w:tcPr>
          <w:p>
            <w:r>
              <w:rPr>
                <w:b/>
                <w:sz w:val="17"/>
              </w:rPr>
              <w:t>11,511</w:t>
            </w:r>
          </w:p>
        </w:tc>
        <w:tc>
          <w:tcPr>
            <w:tcW w:type="dxa" w:w="1440"/>
            <w:shd w:fill="FAFAFA" w:val="clear"/>
          </w:tcPr>
          <w:p>
            <w:r>
              <w:rPr>
                <w:sz w:val="17"/>
              </w:rPr>
              <w:t>12,477</w:t>
            </w:r>
          </w:p>
        </w:tc>
        <w:tc>
          <w:tcPr>
            <w:tcW w:type="dxa" w:w="1440"/>
            <w:shd w:fill="FAFAFA" w:val="clear"/>
          </w:tcPr>
          <w:p>
            <w:r>
              <w:rPr>
                <w:b/>
                <w:color w:val="008000"/>
                <w:sz w:val="17"/>
              </w:rPr>
              <w:t>+1.0%</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10,502</w:t>
            </w:r>
          </w:p>
        </w:tc>
        <w:tc>
          <w:tcPr>
            <w:tcW w:type="dxa" w:w="1440"/>
            <w:shd w:fill="FAFAFA" w:val="clear"/>
          </w:tcPr>
          <w:p>
            <w:r>
              <w:rPr>
                <w:b/>
                <w:sz w:val="17"/>
              </w:rPr>
              <w:t>11,521</w:t>
            </w:r>
          </w:p>
        </w:tc>
        <w:tc>
          <w:tcPr>
            <w:tcW w:type="dxa" w:w="1440"/>
            <w:shd w:fill="FAFAFA" w:val="clear"/>
          </w:tcPr>
          <w:p>
            <w:r>
              <w:rPr>
                <w:sz w:val="17"/>
              </w:rPr>
              <w:t>12,541</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455,80 Mds FCFA, BOAC s'affirme comme une valeur de premier plan de la cote BRVM, représentant une capitalisation substantielle à l'échelle régionale. Le BPA de 888 FCFA/action traduit la capacité bénéficiaire solide de la banque, chaque titre générant près de neuf cents francs de profit net. Le PER de 12,8x se situe légèrement au-dessus de la fourchette moyenne BRVM (8-12x), signalant une valorisation modérée mais non excessive, cohérente avec la qualité des fondamentaux. Le P/B de 3,58x traduit une prime de croissance significative accordée par le marché, les investisseurs valorisant la banque à plus de trois fois ses fonds propres comptables — reflet de la rentabilité exceptionnelle (ROE ~28%). En revanche, l'EV/EBITDA de 26,4x apparaît très exigeant (&gt;15x), intégrant une anticipation de croissance future élevée et une structure de bilan bancaire spécifique où la dette fait partie intégrante de l'activité.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**+29,12%**, avec une dernière séance quasi stable (+0,13%) à 11 395 FCFA. Le range de trading s'étend de 8 800 FCFA (plus bas) à 13 450 FCFA (plus haut), soit une amplitude de 52,8% illustrant une forte dynamique haussière entrecoupée de corrections. La tendance générale demeure haussière, portée par la solidité des résultats 2025 et l'amélioration du coût du risque. Les statistiques descriptives révèlent une moyenne de 10 793 FCFA légèrement inférieure à la médiane de 11 290 FCFA, suggérant une distribution avec quelques valeurs basses tirant la moyenne vers le bas, bien que le skewness de 0,049 indique une distribution globalement symétrique. L'écart-type de 1 462 FCFA (CV=13,5%) traduit une dispersion modérée autour de la moyenne, tandis que le kurtosis de -1,415 (platykurtique) signale une distribution aplatie avec un risque de pics extrêmes limité — comportement rassurant pour la gestion du risque. La volatilité annualisée de 27,9% positionne le titre dans la catégorie modérée (15-30%), acceptable pour une valeur bancaire de croissance.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(11 395 FCFA) se situe sous la MM20 (11 413 FCFA) et nettement sous la MM50 (12 071 FCFA), configuration baissière de court terme. La MM20 en déclin sous la MM50 confirme une pression vendeuse récente, justifiant la décision technique **Vente** malgré la tendance haussière de fond sur 100 jours.</w:t>
      </w:r>
    </w:p>
    <w:p>
      <w:pPr>
        <w:spacing w:after="120" w:line="276" w:lineRule="auto"/>
      </w:pPr>
      <w:r>
        <w:t>**Bandes de Bollinger** : Le cours évolue dans la partie basse de la bande (borne inférieure 11 020 FCFA, supérieure 11 806 FCFA), à 11 395 FCFA, soit proche du support inférieur. L'absence de franchissement des bornes traduit une volatilité contenue et une phase de consolidation, justifiant la décision **Neutre** — le titre n'est ni en surachat ni en survente technique.</w:t>
      </w:r>
    </w:p>
    <w:p>
      <w:pPr>
        <w:spacing w:after="120" w:line="276" w:lineRule="auto"/>
      </w:pPr>
      <w:r>
        <w:t>**MACD** : La valeur MACD (-155,924) est supérieure à sa ligne de signal (-173,711), générant un croisement haussier bien que les deux restent en territoire négatif. Ce différentiel positif indique un essoufflement de la pression baissière et un début de retournement du momentum, justifiant la décision **Achat** — signal précoce de reprise.</w:t>
      </w:r>
    </w:p>
    <w:p>
      <w:pPr>
        <w:spacing w:after="120" w:line="276" w:lineRule="auto"/>
      </w:pPr>
      <w:r>
        <w:t>**RSI** : À 37,805, le RSI se situe en zone neutre basse (30-70), proche du seuil de survente sans l'atteindre. Cette configuration suggère un potentiel de rebond technique sans excès baissier, justifiant la décision **Neutre** — le titre n'est ni survendu ni suracheté.</w:t>
      </w:r>
    </w:p>
    <w:p>
      <w:pPr>
        <w:spacing w:after="120" w:line="276" w:lineRule="auto"/>
      </w:pPr>
      <w:r>
        <w:t>**Stochastique** : Le %K (34,921) est légèrement supérieur au %D (31,746), avec un croisement haussier naissant en zone basse. Cette configuration indique une possible reprise du momentum à court terme, bien que les deux lignes restent en territoire faible, justifiant la décision **Neutre** — signal d'achat potentiel à confirmer.</w:t>
      </w:r>
    </w:p>
    <w:p>
      <w:pPr>
        <w:spacing w:after="120" w:line="276" w:lineRule="auto"/>
      </w:pPr>
      <w:r>
        <w:t>**Conclusion technique** : Les indicateurs présentent une configuration **mitigée avec biais haussier naissant**. Si les moyennes mobiles plaident pour la prudence (cours sous MM20/MM50), le MACD en croisement haussier et le stochastique en retournement suggèrent une reprise imminente. Le RSI neutre-bas et les Bandes de Bollinger confirment une phase de consolidation propice à l'accumulation. La convergence MACD-Stochastique vers un signal d'achat, couplée à la tendance haussière de fond (+29% sur 100 jours), plaide pour un point d'entrée tactique.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Produit Net Bancaire (équivalent du chiffre d'affaires bancaire) de **73 545 Mds FCFA** en 2025, en hausse de +1,1% selon le rapport des commissaires aux comptes du 31 décembre 2025 (analysé le 05/09/2026). Le résultat net s'établit à **35 540 Mds FCFA** (+10,9% vs 2024), générant un **ROE exceptionnel de 27,91%** (&gt;15% = excellent) et un **ROA de 3,22%**, confirmant une rentabilité parmi les meilleures du secteur. Le **coefficient d'exploitation de 36,70%** (&lt;60% = banque très efficace) témoigne d'une maîtrise remarquable des charges. Le **coût du risque de 6,67%** (provisions/charges financières) reste modéré malgré une hausse de +52,1% des créances en souffrance (taux de sinistralité 8,59%, provisionnement 65,76%) — point de vigilance à surveiller. La structure bilancielle révèle une **transformation saine** : dépôts clientèle de 850 548 Mds FCFA contre créances clientèle de 430 433 Mds FCFA (ratio de transformation ~51%), avec une trésorerie nette de 161 550 Mds FCFA et une liquidité générale de 3 684% — solidité financière incontestable.</w:t>
      </w:r>
    </w:p>
    <w:p>
      <w:pPr>
        <w:spacing w:after="120" w:line="276" w:lineRule="auto"/>
      </w:pPr>
      <w:r>
        <w:t>**Estimations basées sur les rapports trimestriels** : Le rapport T1 2026 (daté 31/03/2026, analysé le 05/09/2026) révèle un PNB de 18 960 Mds FCFA (+3,09%) et un résultat net de 10 801 Mds FCFA (+0,91%), mais surtout un **bond du coût du risque de +314,75%** (-652 vs -157 Mds FCFA) — signal d'alerte sur la qualité du crédit. Les dépôts bondissent de +21,44% (923 307 Mds FCFA) tandis que les crédits stagnent (-0,29%), confirmant une stratégie prudente de collecte sans expansion du risque. Le rapport d'examen limité S1 2026 (30/06/2026, analysé le 02/10/2026) confirme l'absence d'anomalie significative, sécurisant la gouvernance. **On estime** que l'exercice 2026 devrait maintenir un résultat net autour de 36-37 Mds FCFA, avec un PNB en croissance modérée (+2-3%), sous réserve que la dégradation du coût du risque au T1 ne se confirme pas sur les trimestres suivants. La politique de dividende (684 FCFA/action en 2025, payout ~65%) offre un rendement attractif de ~6% au cours actuel.</w:t>
      </w:r>
    </w:p>
    <w:p>
      <w:pPr>
        <w:spacing w:after="120" w:line="276" w:lineRule="auto"/>
      </w:pPr>
      <w:r>
        <w:t>**Recommandation fondamentale** : **SOLIDITÉ EXCEPTIONNELLE** (ROE 28%, coefficient d'exploitation 37%, liquidité abondante) tempérée par **deux risques** : la dégradation du coût du risque (T1 2026) et la stagnation du PNB (+1,1% en 2025). Les perspectives 2027 (plan stratégique : PNB +11,6% sur 3 ans, marge nette +13,8%) restent ambitieuses mais crédibles vu la position de leader régional.</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équilibré : PER de 12,8x légèrement supérieur à la moyenne BRVM mais justifié par un ROE de 28%, P/B de 3,58x traduisant une prime de qualité, et EV/EBITDA de 26,4x exigeant mais cohérent avec la structure bancaire — le titre n'est ni sous-évalué ni surévalué. Le **comportement du cours** (Partie 1) affiche une tendance haussière robuste (+29,12% sur 100 jours) avec une volatilité modérée (27,9%) et des statistiques rassurantes (kurtosis -1,415 limitant les pics extrêmes, skewness symétrique) — profil favorable malgré la consolidation récente. Les **signaux techniques** (Partie 2) montrent une divergence : moyennes mobiles baissières (Vente) contre MACD haussier (Achat) et RSI/Stochastique neutres — configuration de **point d'entrée tactique** en phase de consolidation. Les **fondamentaux** (Partie 3) demeurent excellents (ROE 27,91%, coefficient d'exploitation 36,70%, trésorerie nette 161 550 Mds FCFA) malgré les alertes sur le coût du risque (T1 2026 : +314,75%) et la stagnation du PNB. Les **prédictions IA** (J+1 à J+10 : 11 407 → 11 463 FCFA, soit +0,6% sur 5 jours) confirment une **trajectoire haussière modérée**, cohérente avec le MACD haussier et le rebond technique attendu, sans contredire les autres signaux.</w:t>
      </w:r>
    </w:p>
    <w:p>
      <w:pPr>
        <w:spacing w:after="120" w:line="276" w:lineRule="auto"/>
      </w:pPr>
      <w:r>
        <w:t>**Recommandation finale : ACHAT**</w:t>
      </w:r>
    </w:p>
    <w:p>
      <w:pPr>
        <w:spacing w:after="120" w:line="276" w:lineRule="auto"/>
      </w:pPr>
      <w:r>
        <w:t>**Justification de la convergence** : La valorisation raisonnable (PER 12,8x), la tendance haussière de fond (+29%), le signal MACD haussier, les fondamentaux exceptionnels (ROE 28%, dividende ~6%) et les prédictions IA positives convergent vers un **profil acheteur**. La divergence des moyennes mobiles (Vente) est compensée par le MACD (Achat) et le stochastique en retournement, suggérant une fenêtre d'accumulation tactique.</w:t>
      </w:r>
    </w:p>
    <w:p>
      <w:pPr>
        <w:spacing w:after="120" w:line="276" w:lineRule="auto"/>
      </w:pPr>
      <w:r>
        <w:t>- **Niveau de confiance** : **Moyen** (divergence technique court terme vs fondamentaux long terme)</w:t>
        <w:br/>
        <w:t>- **Niveau de risque global** : **Moyen** (volatilité 27,9% modérée, mais vigilance sur le coût du risque T1 2026)</w:t>
        <w:br/>
        <w:t>- **Horizon d'investissement optimal** : **Moyen terme (3-12 mois)** — le temps que la consolidation technique se résorbe et que les résultats S1/S2 2026 confirment (ou infirment) la tendance du coût du risque. Un positionnement long terme (&gt;1 an) reste également pertinent pour capter le dividende attractif et la croissance structurelle du secteur bancaire ivoirien.</w:t>
      </w:r>
    </w:p>
    <w:p>
      <w:pPr>
        <w:spacing w:after="120" w:line="276" w:lineRule="auto"/>
      </w:pPr>
      <w:r>
        <w:t>---</w:t>
      </w:r>
    </w:p>
    <w:p>
      <w:pPr>
        <w:spacing w:after="120" w:line="276" w:lineRule="auto"/>
      </w:pPr>
      <w:r>
        <w:t>*⚠️ Avertissement : Ce rapport est fourni à titre informatif et ne constitue pas un conseil en investissement. Les prédictions IA sont indicatives et ne garantissent aucunement les performances futures. Tout investissement comporte des risques de perte en capital.*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6,974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+14.00%</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12.96% (Moyenne) — μ=5,711 FCFA, σ=740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β=1.3464 (Agressif) — Cov=0.000101, Var(idx)=0.000075, ρ=0.423,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5,361</w:t>
            </w:r>
          </w:p>
        </w:tc>
        <w:tc>
          <w:tcPr>
            <w:tcW w:type="dxa" w:w="1440"/>
            <w:shd w:fill="FAFAFA" w:val="clear"/>
          </w:tcPr>
          <w:p>
            <w:r>
              <w:rPr>
                <w:b/>
                <w:sz w:val="17"/>
              </w:rPr>
              <w:t>5,688</w:t>
            </w:r>
          </w:p>
        </w:tc>
        <w:tc>
          <w:tcPr>
            <w:tcW w:type="dxa" w:w="1440"/>
            <w:shd w:fill="FAFAFA" w:val="clear"/>
          </w:tcPr>
          <w:p>
            <w:r>
              <w:rPr>
                <w:sz w:val="17"/>
              </w:rPr>
              <w:t>6,015</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5,193</w:t>
            </w:r>
          </w:p>
        </w:tc>
        <w:tc>
          <w:tcPr>
            <w:tcW w:type="dxa" w:w="1440"/>
            <w:shd w:fill="FAFAFA" w:val="clear"/>
          </w:tcPr>
          <w:p>
            <w:r>
              <w:rPr>
                <w:b/>
                <w:sz w:val="17"/>
              </w:rPr>
              <w:t>5,653</w:t>
            </w:r>
          </w:p>
        </w:tc>
        <w:tc>
          <w:tcPr>
            <w:tcW w:type="dxa" w:w="1440"/>
            <w:shd w:fill="FAFAFA" w:val="clear"/>
          </w:tcPr>
          <w:p>
            <w:r>
              <w:rPr>
                <w:sz w:val="17"/>
              </w:rPr>
              <w:t>6,113</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5,047</w:t>
            </w:r>
          </w:p>
        </w:tc>
        <w:tc>
          <w:tcPr>
            <w:tcW w:type="dxa" w:w="1440"/>
            <w:shd w:fill="FAFAFA" w:val="clear"/>
          </w:tcPr>
          <w:p>
            <w:r>
              <w:rPr>
                <w:b/>
                <w:sz w:val="17"/>
              </w:rPr>
              <w:t>5,606</w:t>
            </w:r>
          </w:p>
        </w:tc>
        <w:tc>
          <w:tcPr>
            <w:tcW w:type="dxa" w:w="1440"/>
            <w:shd w:fill="FAFAFA" w:val="clear"/>
          </w:tcPr>
          <w:p>
            <w:r>
              <w:rPr>
                <w:sz w:val="17"/>
              </w:rPr>
              <w:t>6,164</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4,918</w:t>
            </w:r>
          </w:p>
        </w:tc>
        <w:tc>
          <w:tcPr>
            <w:tcW w:type="dxa" w:w="1440"/>
            <w:shd w:fill="FFDCE0" w:val="clear"/>
          </w:tcPr>
          <w:p>
            <w:r>
              <w:rPr>
                <w:b/>
                <w:sz w:val="17"/>
              </w:rPr>
              <w:t>5,557</w:t>
            </w:r>
          </w:p>
        </w:tc>
        <w:tc>
          <w:tcPr>
            <w:tcW w:type="dxa" w:w="1440"/>
            <w:shd w:fill="FFDCE0" w:val="clear"/>
          </w:tcPr>
          <w:p>
            <w:r>
              <w:rPr>
                <w:sz w:val="17"/>
              </w:rPr>
              <w:t>6,196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4,803</w:t>
            </w:r>
          </w:p>
        </w:tc>
        <w:tc>
          <w:tcPr>
            <w:tcW w:type="dxa" w:w="1440"/>
            <w:shd w:fill="FFDCE0" w:val="clear"/>
          </w:tcPr>
          <w:p>
            <w:r>
              <w:rPr>
                <w:b/>
                <w:sz w:val="17"/>
              </w:rPr>
              <w:t>5,511</w:t>
            </w:r>
          </w:p>
        </w:tc>
        <w:tc>
          <w:tcPr>
            <w:tcW w:type="dxa" w:w="1440"/>
            <w:shd w:fill="FFDCE0" w:val="clear"/>
          </w:tcPr>
          <w:p>
            <w:r>
              <w:rPr>
                <w:sz w:val="17"/>
              </w:rPr>
              <w:t>6,220</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4,698</w:t>
            </w:r>
          </w:p>
        </w:tc>
        <w:tc>
          <w:tcPr>
            <w:tcW w:type="dxa" w:w="1440"/>
            <w:shd w:fill="FFDCE0" w:val="clear"/>
          </w:tcPr>
          <w:p>
            <w:r>
              <w:rPr>
                <w:b/>
                <w:sz w:val="17"/>
              </w:rPr>
              <w:t>5,468</w:t>
            </w:r>
          </w:p>
        </w:tc>
        <w:tc>
          <w:tcPr>
            <w:tcW w:type="dxa" w:w="1440"/>
            <w:shd w:fill="FFDCE0" w:val="clear"/>
          </w:tcPr>
          <w:p>
            <w:r>
              <w:rPr>
                <w:sz w:val="17"/>
              </w:rPr>
              <w:t>6,239</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4,602</w:t>
            </w:r>
          </w:p>
        </w:tc>
        <w:tc>
          <w:tcPr>
            <w:tcW w:type="dxa" w:w="1440"/>
            <w:shd w:fill="FFDCE0" w:val="clear"/>
          </w:tcPr>
          <w:p>
            <w:r>
              <w:rPr>
                <w:b/>
                <w:sz w:val="17"/>
              </w:rPr>
              <w:t>5,428</w:t>
            </w:r>
          </w:p>
        </w:tc>
        <w:tc>
          <w:tcPr>
            <w:tcW w:type="dxa" w:w="1440"/>
            <w:shd w:fill="FFDCE0" w:val="clear"/>
          </w:tcPr>
          <w:p>
            <w:r>
              <w:rPr>
                <w:sz w:val="17"/>
              </w:rPr>
              <w:t>6,253</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4,513</w:t>
            </w:r>
          </w:p>
        </w:tc>
        <w:tc>
          <w:tcPr>
            <w:tcW w:type="dxa" w:w="1440"/>
            <w:shd w:fill="FFDCE0" w:val="clear"/>
          </w:tcPr>
          <w:p>
            <w:r>
              <w:rPr>
                <w:b/>
                <w:sz w:val="17"/>
              </w:rPr>
              <w:t>5,389</w:t>
            </w:r>
          </w:p>
        </w:tc>
        <w:tc>
          <w:tcPr>
            <w:tcW w:type="dxa" w:w="1440"/>
            <w:shd w:fill="FFDCE0" w:val="clear"/>
          </w:tcPr>
          <w:p>
            <w:r>
              <w:rPr>
                <w:sz w:val="17"/>
              </w:rPr>
              <w:t>6,266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4,429</w:t>
            </w:r>
          </w:p>
        </w:tc>
        <w:tc>
          <w:tcPr>
            <w:tcW w:type="dxa" w:w="1440"/>
            <w:shd w:fill="FFDCE0" w:val="clear"/>
          </w:tcPr>
          <w:p>
            <w:r>
              <w:rPr>
                <w:b/>
                <w:sz w:val="17"/>
              </w:rPr>
              <w:t>5,352</w:t>
            </w:r>
          </w:p>
        </w:tc>
        <w:tc>
          <w:tcPr>
            <w:tcW w:type="dxa" w:w="1440"/>
            <w:shd w:fill="FFDCE0" w:val="clear"/>
          </w:tcPr>
          <w:p>
            <w:r>
              <w:rPr>
                <w:sz w:val="17"/>
              </w:rPr>
              <w:t>6,276</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4,350</w:t>
            </w:r>
          </w:p>
        </w:tc>
        <w:tc>
          <w:tcPr>
            <w:tcW w:type="dxa" w:w="1440"/>
            <w:shd w:fill="FFDCE0" w:val="clear"/>
          </w:tcPr>
          <w:p>
            <w:r>
              <w:rPr>
                <w:b/>
                <w:sz w:val="17"/>
              </w:rPr>
              <w:t>5,317</w:t>
            </w:r>
          </w:p>
        </w:tc>
        <w:tc>
          <w:tcPr>
            <w:tcW w:type="dxa" w:w="1440"/>
            <w:shd w:fill="FFDCE0" w:val="clear"/>
          </w:tcPr>
          <w:p>
            <w:r>
              <w:rPr>
                <w:sz w:val="17"/>
              </w:rPr>
              <w:t>6,284</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156,47 milliards FCFA, BOA Mali s'affirme comme une valeur bancaire de premier plan sur la cote BRVM, représentant un compartiment significatif du secteur financier régional. Le BPA de 404 FCFA par action traduit la capacité bénéficiaire de la banque, tandis que le PER de 14,1x — légèrement supérieur à la moyenne BRVM (~8-12x) — indique que le marché consent une prime modérée pour cette valeur, cohérente avec sa rentabilité supérieure au secteur (ROE de 22,2%). Le P/B de 3,14x confirme cette prime de croissance : le marché valorise la banque à plus de trois fois sa valeur comptable, ce qui se justifie par la qualité de ses fonds propres et sa trajectoire bénéficiaire. Enfin, l'EV/EBITDA de 7,0x, situé dans la fourchette raisonnable de 5-10x, suggère que la valeur d'entreprise reste proportionnée à la capacité opérationnelle de génération de résultats,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BOAM affiche une progression totale de +14,00%, avec une dernière séance (J-1) stable à +0,00%, le cours se fixant à 5 700 FCFA. Le range de trading s'étend de 4 425 FCFA (plus bas) à 7 195 FCFA (plus haut), soit une amplitude de 62,6% qui témoigne d'une réelle nervosité du titre. La tendance générale est haussière sur la période, mais le cours actuel (5 700 FCFA) se situe nettement sous son plus haut, signalant une phase de correction depuis les sommets. Les statistiques descriptives révèlent une distribution remarquablement équilibrée : la moyenne (5 711 FCFA) et la médiane (5 692 FCFA) sont quasi confondues, et le mode (5 700 FCFA) coïncide avec le cours actuel — signe d'une distribution symétrique confirmée par un skewness de 0,005. L'écart-type de 744 FCFA (CV de 13,0%) indique une dispersion modérée autour de la moyenne, tandis que le kurtosis de -0,878 (mésokurtique) suggère une distribution proche de la normale, sans risque excessif de pics extrêmes. La volatilité annualisée de 43,9% classe toutefois le titre dans la catégorie des valeurs à volatilité élevée (&gt;30%), ce qui est caractéristique des petites capitalisations bancaires de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(6 050,5 FCFA) et la MM50 (6 305,6 FCFA) se situent toutes deux au-dessus du cours actuel (5 700 FCFA), avec une MM20 inférieure à la MM50 — configuration baissière typique. Le cours évoluant sous ses deux moyennes, la pression vendeuse domine clairement, justifiant la décision technique de **Vente**.</w:t>
      </w:r>
    </w:p>
    <w:p>
      <w:pPr>
        <w:spacing w:after="120" w:line="276" w:lineRule="auto"/>
      </w:pPr>
      <w:r>
        <w:t>**Bandes de Bollinger** : Le cours (5 700 FCFA) se situe dans la moitié inférieure de la bande, entre la borne inférieure (5 545,4 FCFA) et la borne supérieure (6 555,6 FCFA), sans en toucher les extrêmes. Cette position centrale, couplée à un écart de bande relativement large, traduit une volatilité présente mais sans signal extrême, d'où la décision **Neutre**.</w:t>
      </w:r>
    </w:p>
    <w:p>
      <w:pPr>
        <w:spacing w:after="120" w:line="276" w:lineRule="auto"/>
      </w:pPr>
      <w:r>
        <w:t>**MACD** : La valeur du MACD (-141,878) est inférieure à sa ligne de signal (-101,096), confirmant une divergence baissière et un momentum négatif. L'histogramme négatif indique que la pression baissière s'accentue, justifiant la décision de **Vente**.</w:t>
      </w:r>
    </w:p>
    <w:p>
      <w:pPr>
        <w:spacing w:after="120" w:line="276" w:lineRule="auto"/>
      </w:pPr>
      <w:r>
        <w:t>**RSI** : À 17,582, le RSI se situe très largement sous le seuil de survente de 30, signalant un titre techniquement survendu et potentiellement proche d'un rebond. Cette configuration extrême justifie la décision d'**Achat** contraire, dans une logique de retour à la moyenne.</w:t>
      </w:r>
    </w:p>
    <w:p>
      <w:pPr>
        <w:spacing w:after="120" w:line="276" w:lineRule="auto"/>
      </w:pPr>
      <w:r>
        <w:t>**Stochastique** : Le %K à 0,0 et le %D à 9,35 traduisent une position extrêmement basse de l'oscillateur, avec un %K sous le %D — situation de survente profonde. Le croisement potentiel à venir pourrait générer un signal d'achat technique, justifiant la décision d'**Achat**.</w:t>
      </w:r>
    </w:p>
    <w:p>
      <w:pPr>
        <w:spacing w:after="120" w:line="276" w:lineRule="auto"/>
      </w:pPr>
      <w:r>
        <w:t>**Conclusion technique** : Les indicateurs présentent une divergence instructive. Les moyennes mobiles et le MACD confirment une tendance baissière de fond (décisions de Vente), tandis que le RSI (17,6) et le stochastique (0,0) signalent une survente extrême propice à un rebond technique à court terme. Cette configuration — tendance baissière avec excès de baisse — suggère un titre en fin de correction, où le potentiel de rebond se renforce mais où la prudence reste de mise tant que les moyennes mobiles ne sont pas reconquises.</w:t>
      </w:r>
    </w:p>
    <w:p>
      <w:pPr>
        <w:spacing w:after="120" w:line="276" w:lineRule="auto"/>
      </w:pPr>
      <w:r>
        <w:t>---</w:t>
      </w:r>
    </w:p>
    <w:p>
      <w:pPr>
        <w:spacing w:after="120" w:line="276" w:lineRule="auto"/>
      </w:pPr>
      <w:r>
        <w:t>## PARTIE 3 : ANALYSE FONDAMENTALE</w:t>
      </w:r>
    </w:p>
    <w:p>
      <w:pPr>
        <w:spacing w:after="120" w:line="276" w:lineRule="auto"/>
      </w:pPr>
      <w:r>
        <w:t>Les états financiers 2025 de BOA Mali (exercice clos au 31/12/2025) révèlent une banque solide et rentable : le Produit Net Bancaire s'établit à 37,996 milliards FCFA, pour un résultat net de 11,081 milliards FCFA, soit une marge nette remarquable de 29,16%. Le ROE de 22,24% (largement supérieur au seuil de 15% considéré comme excellent) et le ROA de 1,87% confirment une rentabilité des fonds propres de premier ordre. Le coefficient d'exploitation de 63,14% reste toutefois supérieur au seuil de 60% d'efficacité, signalant une marge de progression sur la maîtrise des charges. Le coût du risque, à 43,39% des charges financières, demeure élevé et constitue le principal point de vigilance sur la qualité du portefeuille de crédits. La structure bilancielle affiche un total actif de 593,455 milliards FCFA, dominé par les créances clientèle (253,648 milliards) et les dépôts clientèle (502,890 milliards), avec un ratio de transformation sain et une trésorerie nette de 86,368 milliards FCFA. L'autonomie financière de 8,40% paraît faible, mais elle est structurelle au modèle bancaire (effet de levier des dépôts). Les rapports trimestriels confirment la dynamique : selon le rapport T1 2026 (daté du 31/03/2026), le PNB progresse de +22,97% à 10 322 millions FCFA ; le rapport S1 2026 (30/06/2026) confirme cette accélération avec un PNB de 21 987 millions FCFA (+17,5%). Sur cette base, **on estime** que l'exercice 2026 devrait afficher une croissance du PNB supérieure à 15%, prolongeant l'amélioration de la rentabilité observée depuis 2024 (résultat net 2024 : 9,12 milliards, +57,9%). La recommandation fondamentale est celle d'une **valeur bancaire solide et en croissance**, dont la rentabilité exceptionnelle compense les risques liés au contexte sécuritaire malien et au coût du risque encore élevé.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mais globalement favorable. Sur le plan de la **valorisation**, le PER de 14,1x et le P/B de 3,14x traduisent une légère prime par rapport au marché BRVM, justifiée par un ROE de 22,2% nettement supérieur à la moyenne — la valeur n'est donc ni sous-évaluée ni excessivement chère. Le **comportement du cours** montre une tendance haussière de fond (+14% sur 100 jours) mais une correction en cours depuis le plus haut de 7 195 FCFA, avec une volatilité élevée (43,9%) et une distribution symétrique sans risque de pics extrêmes (kurtosis -0,878). Les **signaux techniques** divergent : les moyennes mobiles et le MACD confirment la pression baissière, mais le RSI (17,6) et le stochastique (0,0) signalent une survente extrême propice à un rebond à court terme. Les **fondamentaux** demeurent le pilier du dossier : PNB de 37,996 milliards FCFA, résultat net de 11,081 milliards, ROE de 22,2%, et une dynamique trimestrielle 2026 (+17,5% au S1) qui valide la trajectoire de croissance. Les **prédictions IA** (J+1 à J+10) anticipent une poursuite de la correction de 5 688 à 5 511 FCFA, ce qui contredit le signal de rebond technique mais reste cohérent avec la tendance baissière de court terme des moyennes mobiles. Face à cette divergence entre fondamentaux solides et technique baissière, la recommandation finale est **CONSERVER**, avec un niveau de confiance **Moyen** et un risque global **Moyen** (volatilité élevée + contexte malien). L'horizon optimal est le **moyen terme (3-12 mois)** : la survente technique pourrait offrir un point d'entrée attractif vers 5 500 FCFA, mais la confirmation d'un retournement (reconquête de la MM20 à 6 050 FCFA) serait nécessaire pour envisager un renforcement, tandis que la solidité fondamentale justifie de conserver la position en attendant la publication des résultats annuels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8,693 titres</w:t>
            </w:r>
          </w:p>
        </w:tc>
        <w:tc>
          <w:tcPr>
            <w:tcW w:type="dxa" w:w="2268"/>
            <w:shd w:fill="FFF2CC" w:val="clear"/>
          </w:tcPr>
          <w:p>
            <w:r>
              <w:rPr>
                <w:b/>
                <w:color w:val="503200"/>
                <w:sz w:val="16"/>
              </w:rPr>
              <w:t xml:space="preserve">Cours actuel : </w:t>
            </w:r>
            <w:r>
              <w:rPr>
                <w:color w:val="000000"/>
                <w:sz w:val="17"/>
              </w:rPr>
              <w:t>4,700 FCFA</w:t>
            </w:r>
          </w:p>
          <w:p>
            <w:r>
              <w:rPr>
                <w:b/>
                <w:color w:val="503200"/>
                <w:sz w:val="16"/>
              </w:rPr>
              <w:t xml:space="preserve">Var. 100 jours : </w:t>
            </w:r>
            <w:r>
              <w:rPr>
                <w:b/>
                <w:color w:val="007800"/>
                <w:sz w:val="17"/>
              </w:rPr>
              <w:t>+25.67%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μ=4,776 FCFA, σ=645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β=1.3754 (Agressif) — Cov=0.000103, Var(idx)=0.000075, ρ=0.435,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8,693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4,464</w:t>
            </w:r>
          </w:p>
        </w:tc>
        <w:tc>
          <w:tcPr>
            <w:tcW w:type="dxa" w:w="1440"/>
            <w:shd w:fill="FAFAFA" w:val="clear"/>
          </w:tcPr>
          <w:p>
            <w:r>
              <w:rPr>
                <w:b/>
                <w:sz w:val="17"/>
              </w:rPr>
              <w:t>4,742</w:t>
            </w:r>
          </w:p>
        </w:tc>
        <w:tc>
          <w:tcPr>
            <w:tcW w:type="dxa" w:w="1440"/>
            <w:shd w:fill="FAFAFA" w:val="clear"/>
          </w:tcPr>
          <w:p>
            <w:r>
              <w:rPr>
                <w:sz w:val="17"/>
              </w:rPr>
              <w:t>5,020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4,366</w:t>
            </w:r>
          </w:p>
        </w:tc>
        <w:tc>
          <w:tcPr>
            <w:tcW w:type="dxa" w:w="1440"/>
            <w:shd w:fill="FAFAFA" w:val="clear"/>
          </w:tcPr>
          <w:p>
            <w:r>
              <w:rPr>
                <w:b/>
                <w:sz w:val="17"/>
              </w:rPr>
              <w:t>4,761</w:t>
            </w:r>
          </w:p>
        </w:tc>
        <w:tc>
          <w:tcPr>
            <w:tcW w:type="dxa" w:w="1440"/>
            <w:shd w:fill="FAFAFA" w:val="clear"/>
          </w:tcPr>
          <w:p>
            <w:r>
              <w:rPr>
                <w:sz w:val="17"/>
              </w:rPr>
              <w:t>5,156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4,298</w:t>
            </w:r>
          </w:p>
        </w:tc>
        <w:tc>
          <w:tcPr>
            <w:tcW w:type="dxa" w:w="1440"/>
            <w:shd w:fill="FAFAFA" w:val="clear"/>
          </w:tcPr>
          <w:p>
            <w:r>
              <w:rPr>
                <w:b/>
                <w:sz w:val="17"/>
              </w:rPr>
              <w:t>4,784</w:t>
            </w:r>
          </w:p>
        </w:tc>
        <w:tc>
          <w:tcPr>
            <w:tcW w:type="dxa" w:w="1440"/>
            <w:shd w:fill="FAFAFA" w:val="clear"/>
          </w:tcPr>
          <w:p>
            <w:r>
              <w:rPr>
                <w:sz w:val="17"/>
              </w:rPr>
              <w:t>5,270</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4,244</w:t>
            </w:r>
          </w:p>
        </w:tc>
        <w:tc>
          <w:tcPr>
            <w:tcW w:type="dxa" w:w="1440"/>
            <w:shd w:fill="C6EFCE" w:val="clear"/>
          </w:tcPr>
          <w:p>
            <w:r>
              <w:rPr>
                <w:b/>
                <w:sz w:val="17"/>
              </w:rPr>
              <w:t>4,808</w:t>
            </w:r>
          </w:p>
        </w:tc>
        <w:tc>
          <w:tcPr>
            <w:tcW w:type="dxa" w:w="1440"/>
            <w:shd w:fill="C6EFCE" w:val="clear"/>
          </w:tcPr>
          <w:p>
            <w:r>
              <w:rPr>
                <w:sz w:val="17"/>
              </w:rPr>
              <w:t>5,372</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4,198</w:t>
            </w:r>
          </w:p>
        </w:tc>
        <w:tc>
          <w:tcPr>
            <w:tcW w:type="dxa" w:w="1440"/>
            <w:shd w:fill="C6EFCE" w:val="clear"/>
          </w:tcPr>
          <w:p>
            <w:r>
              <w:rPr>
                <w:b/>
                <w:sz w:val="17"/>
              </w:rPr>
              <w:t>4,831</w:t>
            </w:r>
          </w:p>
        </w:tc>
        <w:tc>
          <w:tcPr>
            <w:tcW w:type="dxa" w:w="1440"/>
            <w:shd w:fill="C6EFCE" w:val="clear"/>
          </w:tcPr>
          <w:p>
            <w:r>
              <w:rPr>
                <w:sz w:val="17"/>
              </w:rPr>
              <w:t>5,465</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4,157</w:t>
            </w:r>
          </w:p>
        </w:tc>
        <w:tc>
          <w:tcPr>
            <w:tcW w:type="dxa" w:w="1440"/>
            <w:shd w:fill="C6EFCE" w:val="clear"/>
          </w:tcPr>
          <w:p>
            <w:r>
              <w:rPr>
                <w:b/>
                <w:sz w:val="17"/>
              </w:rPr>
              <w:t>4,855</w:t>
            </w:r>
          </w:p>
        </w:tc>
        <w:tc>
          <w:tcPr>
            <w:tcW w:type="dxa" w:w="1440"/>
            <w:shd w:fill="C6EFCE" w:val="clear"/>
          </w:tcPr>
          <w:p>
            <w:r>
              <w:rPr>
                <w:sz w:val="17"/>
              </w:rPr>
              <w:t>5,553</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4,121</w:t>
            </w:r>
          </w:p>
        </w:tc>
        <w:tc>
          <w:tcPr>
            <w:tcW w:type="dxa" w:w="1440"/>
            <w:shd w:fill="C6EFCE" w:val="clear"/>
          </w:tcPr>
          <w:p>
            <w:r>
              <w:rPr>
                <w:b/>
                <w:sz w:val="17"/>
              </w:rPr>
              <w:t>4,878</w:t>
            </w:r>
          </w:p>
        </w:tc>
        <w:tc>
          <w:tcPr>
            <w:tcW w:type="dxa" w:w="1440"/>
            <w:shd w:fill="C6EFCE" w:val="clear"/>
          </w:tcPr>
          <w:p>
            <w:r>
              <w:rPr>
                <w:sz w:val="17"/>
              </w:rPr>
              <w:t>5,635</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4,088</w:t>
            </w:r>
          </w:p>
        </w:tc>
        <w:tc>
          <w:tcPr>
            <w:tcW w:type="dxa" w:w="1440"/>
            <w:shd w:fill="C6EFCE" w:val="clear"/>
          </w:tcPr>
          <w:p>
            <w:r>
              <w:rPr>
                <w:b/>
                <w:sz w:val="17"/>
              </w:rPr>
              <w:t>4,901</w:t>
            </w:r>
          </w:p>
        </w:tc>
        <w:tc>
          <w:tcPr>
            <w:tcW w:type="dxa" w:w="1440"/>
            <w:shd w:fill="C6EFCE" w:val="clear"/>
          </w:tcPr>
          <w:p>
            <w:r>
              <w:rPr>
                <w:sz w:val="17"/>
              </w:rPr>
              <w:t>5,715</w:t>
            </w:r>
          </w:p>
        </w:tc>
        <w:tc>
          <w:tcPr>
            <w:tcW w:type="dxa" w:w="1440"/>
            <w:shd w:fill="C6EFCE" w:val="clear"/>
          </w:tcPr>
          <w:p>
            <w:r>
              <w:rPr>
                <w:b/>
                <w:color w:val="008000"/>
                <w:sz w:val="17"/>
              </w:rPr>
              <w:t>+4.3%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4,058</w:t>
            </w:r>
          </w:p>
        </w:tc>
        <w:tc>
          <w:tcPr>
            <w:tcW w:type="dxa" w:w="1440"/>
            <w:shd w:fill="C6EFCE" w:val="clear"/>
          </w:tcPr>
          <w:p>
            <w:r>
              <w:rPr>
                <w:b/>
                <w:sz w:val="17"/>
              </w:rPr>
              <w:t>4,924</w:t>
            </w:r>
          </w:p>
        </w:tc>
        <w:tc>
          <w:tcPr>
            <w:tcW w:type="dxa" w:w="1440"/>
            <w:shd w:fill="C6EFCE" w:val="clear"/>
          </w:tcPr>
          <w:p>
            <w:r>
              <w:rPr>
                <w:sz w:val="17"/>
              </w:rPr>
              <w:t>5,791</w:t>
            </w:r>
          </w:p>
        </w:tc>
        <w:tc>
          <w:tcPr>
            <w:tcW w:type="dxa" w:w="1440"/>
            <w:shd w:fill="C6EFCE" w:val="clear"/>
          </w:tcPr>
          <w:p>
            <w:r>
              <w:rPr>
                <w:b/>
                <w:color w:val="008000"/>
                <w:sz w:val="17"/>
              </w:rPr>
              <w:t>+4.8%</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4,029</w:t>
            </w:r>
          </w:p>
        </w:tc>
        <w:tc>
          <w:tcPr>
            <w:tcW w:type="dxa" w:w="1440"/>
            <w:shd w:fill="C6EFCE" w:val="clear"/>
          </w:tcPr>
          <w:p>
            <w:r>
              <w:rPr>
                <w:b/>
                <w:sz w:val="17"/>
              </w:rPr>
              <w:t>4,947</w:t>
            </w:r>
          </w:p>
        </w:tc>
        <w:tc>
          <w:tcPr>
            <w:tcW w:type="dxa" w:w="1440"/>
            <w:shd w:fill="C6EFCE" w:val="clear"/>
          </w:tcPr>
          <w:p>
            <w:r>
              <w:rPr>
                <w:sz w:val="17"/>
              </w:rPr>
              <w:t>5,865</w:t>
            </w:r>
          </w:p>
        </w:tc>
        <w:tc>
          <w:tcPr>
            <w:tcW w:type="dxa" w:w="1440"/>
            <w:shd w:fill="C6EFCE" w:val="clear"/>
          </w:tcPr>
          <w:p>
            <w:r>
              <w:rPr>
                <w:b/>
                <w:color w:val="008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**97,76 milliards FCFA**, un niveau intermédiaire à l'échelle de la BRVM qui positionne la banque nigérienne parmi les valeurs de taille moyenne du compartiment bancaire régional. Le BPA de **20 FCFA/action** — effondré par rapport aux exercices antérieurs — reflète la chute de 91,8% du résultat net 2025, ce qui mécaniquement propulse le **PER à 239,0x**, un niveau extrêmement élevé comparé à la moyenne BRVM (~8-12x) : les investisseurs paient donc le titre sur la base d'une anticipation de rebond, non sur les bénéfices actuels. Le **P/B de 2,71x** traduit une prime de croissance accordée par le marché (valorisation au-dessus de la valeur comptable de 36,06 Mds FCFA), tandis que l'**EV/EBITDA de 38,0x** — très exigeant (&gt;15x) — confirme que la valeur d'entreprise intègre déjà une forte normalisation opérationnelle. En synthèse, la valorisation est **tendue sur les multiples historiques** et ne se justifie que par la crédibilité du plan de redressement 2026.</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totale de +25,67%**, avec une dernière séance en hausse de **+0,53%** à **4 700 FCFA**, matérialisant une dynamique haussière de fond malgré une correction récente depuis les sommets. Le range de trading est large, entre un plus bas de **3 695 FCFA** et un plus haut de **5 645 FCFA**, soit une amplitude de plus de 52% qui témoigne d'une forte nervosité du titre. L'analyse descriptive révèle une **moyenne de 4 776 FCFA** inférieure à la **médiane de 5 088 FCFA** (et au mode de 5 200 FCFA) : cet écart significatif confirme une **asymétrie négative** (skewness de **-0,560**), c'est-à-dire que le cours a passé davantage de séances au-dessus de sa moyenne, avec des pics baissiers ponctuels tirant la moyenne vers le bas. L'**écart-type de 648 FCFA (CV = 13,6%)** indique une dispersion modérée autour de la tendance, tandis que le **kurtosis de -1,203** (distribution platykurtique, aplatie) signale une faible concentration des rendements et un risque de mouvements amples moins fréquents qu'en distribution normale. La **volatilité annualisée de 43,3%** classe le titre dans la catégorie **élevée (&gt;30%)**, cohérente avec le profil risk-off d'une banque en restructuration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(4 937,25 FCFA) et la MM50 (5 176,30 FCFA) se situent toutes deux **au-dessus du cours actuel** (4 700 FCFA), configuration baissière de court et moyen terme. Le prix évolue sous ses deux moyennes, ce qui justifie la **décision de Vente** : la pression vendeuse domine et la MM20 sous la MM50 confirme l'absence de retournement.</w:t>
      </w:r>
    </w:p>
    <w:p>
      <w:pPr>
        <w:spacing w:after="120" w:line="276" w:lineRule="auto"/>
      </w:pPr>
      <w:r>
        <w:t>**Bandes de Bollinger** : Le cours (4 700 FCFA) se situe dans la moitié basse du canal, entre la borne inférieure (4 360,57 FCFA) et supérieure (5 513,93 FCFA), sans test des extrêmes. La largeur des bandes traduit une volatilité encore élevée, et la position neutre du prix justifie la **décision Neutre** : ni signal d'achat sur rebond, ni signal de vente sur cassure.</w:t>
      </w:r>
    </w:p>
    <w:p>
      <w:pPr>
        <w:spacing w:after="120" w:line="276" w:lineRule="auto"/>
      </w:pPr>
      <w:r>
        <w:t>**MACD** : La ligne MACD (**-156,41**) est **inférieure à sa ligne de signal (-127,49**), avec un histogramme négatif : le momentum reste baissier et la divergence négative persiste. Cette configuration confirme la **décision de Vente**, le croisement baissier n'ayant pas encore été invalidé.</w:t>
      </w:r>
    </w:p>
    <w:p>
      <w:pPr>
        <w:spacing w:after="120" w:line="276" w:lineRule="auto"/>
      </w:pPr>
      <w:r>
        <w:t>**RSI** : À **39,66**, l'indicateur se situe en zone **neutre basse** (30-70), sans atteindre la survente (&lt;30). Le titre n'est donc ni survendu ni suracheté, ce qui justifie la **décision Neutre** : un rebond technique reste possible mais n'est pas encore signalé.</w:t>
      </w:r>
    </w:p>
    <w:p>
      <w:pPr>
        <w:spacing w:after="120" w:line="276" w:lineRule="auto"/>
      </w:pPr>
      <w:r>
        <w:t>**Stochastique** : Le %K (**21,74**) et le %D (**23,99**) évoluent en zone basse, proches de la survente, avec un %K légèrement sous le %D — configuration de **faiblesse persistante** sans croisement haussier confirmé. La **décision Neutre** traduit l'attente d'un signal de retournement qui n'est pas encore matérialisé.</w:t>
      </w:r>
    </w:p>
    <w:p>
      <w:pPr>
        <w:spacing w:after="120" w:line="276" w:lineRule="auto"/>
      </w:pPr>
      <w:r>
        <w:t>**Conclusion technique** : Les cinq indicateurs convergent vers un **biais baissier modéré** : cours sous MM20/MM50, MACD négatif, RSI et stochastique en zone basse sans survente. Aucun signal d'achat n'est validé ; le titre est en phase de consolidation baissière après son rallye de +25,67%, et seule une reprise au-dessus de la MM20 (4 937 FCFA) inverserait la tendance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BOAN affiche un **PNB de 21 125 M FCFA** en repli de **-1,2%** sur un an, un **résultat net de seulement 409 M FCFA** (contre 5 002 M FCFA en 2024, soit **-91,8%**), un **ROE de 1,13%** et un **ROA de 0,14%** — des niveaux de rentabilité effondrés. Le **coefficient d'exploitation de 74,37%** dépasse largement le seuil de 60% d'efficacité, et le **coût du risque rapporté aux charges financières de 67,30%** traduit un portefeuille très dégradé (taux de créances en souffrance sectoriel de 24% contre 12% en moyenne UEMOA). La structure financière reste néanmoins solide : **autonomie financière de 12,36%**, **solvabilité générale de 114,10%** et **ratio de solvabilité de 14,06%** (conforme aux exigences UEMOA ≥10%), avec des **dépôts clientèle de 183,28 Mds FCFA** couvrant les **créances clientèle de 128,45 Mds FCFA** (ratio de transformation de 70%, sain).</w:t>
      </w:r>
    </w:p>
    <w:p>
      <w:pPr>
        <w:spacing w:after="120" w:line="276" w:lineRule="auto"/>
      </w:pPr>
      <w:r>
        <w:t>**Estimations issues des rapports trimestriels** : Le rapport du **T1 2026 (daté du 31 mars 2026)** confirme un **net redressement** : PNB de 5 170 M FCFA (**+7,9%**), résultat net de 1 467,3 M FCFA (**+28,9%**), RBE en hausse de **+42,2%** et coefficient d'exploitation ramené à **56,2%** (contre 66,8% un an plus tôt), malgré un coût du risque en hausse de +104,3% lié à l'assainissement volontaire du portefeuille. Sur cette base, **on estime** que l'exercice 2026 pourrait renouer avec une rentabilité normalisée (le budget 2026 vise un résultat avant impôt de 7 280 M FCFA, soit +515%, et un PNB de 22 327 M FCFA, +6,4%). Les rapports antérieurs (**S2 2025 daté du 31/12/2025** et **T3 2025 daté du 30/09/2025**) documentent la trajectoire de dégradation : résultat net semestriel 2025 de 2,39 Mds FCFA (-25,2%), puis effondrement annuel sous l'effet d'une provision exceptionnelle de 4,8 Mds FCFA. **Conclusion fondamentale** : la banque est **solvable mais peu rentable**, avec un **potentiel de rebond crédible en 2026** porté par le soutien du Groupe BOA et la digitalisation, mais des **risques de crédit et macroéconomiques élevés** subsistent — profil **spéculatif de retournement**, à réserver aux investisseurs patients.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conduit à un diagnostic **contrasté**. Sur la **valorisation (Partie 0)**, les multiples sont **très exigeants** (PER 239x, EV/EBITDA 38x) et n'intègrent aucune marge de sécurité : le marché a déjà anticipé le rebond, ce qui limite le potentiel d'appréciation. Le **comportement du cours (Partie 1)** est haussier sur 100 jours (+25,67%) mais avec une **volatilité élevée (43,3%)** et une asymétrie négative préoccupante, signe d'une nervosité persistante. Les **signaux techniques (Partie 2)** sont **baissiers à neutres** : cours sous MM20/MM50, MACD négatif, RSI et stochastique en zone basse — aucun signal d'achat validé à court terme. Les **fondamentaux (Partie 3)** révèlent une **année 2025 catastrophique** (ROE 1,13%, résultat net -91,8%) mais un **T1 2026 en net redressement** (+28,9% de résultat net, coefficient d'exploitation à 56,2%), crédibilisant le scénario de retournement. Les **prédictions IA (J+1 à J+10)** projettent une **remontée progressive de 4 742 à 4 831 FCFA** (+2,8% sur 5 séances), en **contradiction partielle** avec les signaux techniques baissiers mais en **cohérence** avec la dynamique fondamentale de redressement. **Recommandation finale : CONSERVER** (avec vigilance), justifiée par la convergence entre le rebond fondamental confirmé au T1 2026 et la trajectoire haussière des prédictions IA, mais tempérée par des multiples de valorisation tendus et des signaux techniques non encore retournés. **Niveau de confiance : Moyen** (un seul trimestre de reprise après un exercice 2025 effondré ne suffit pas à valider la tendance). **Niveau de risque global : Élevé** (volatilité 43,3%, risque de crédit sectoriel de 24%, instabilité macro-politique nigérienne). **Horizon optimal : moyen terme (3-12 mois)**, le temps que les trimestres suivants confirment la normalisation de la rentabilité et que les indicateurs techniques se retournent au-dessus de la MM20 (4 937 FCFA).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+5.23%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4.91% (Faible) — μ=7,776 FCFA, σ=382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β=0.5589 (Défensif) — Cov=0.000042, Var(idx)=0.000075, ρ=0.296,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2026-10-19</w:t>
            </w:r>
          </w:p>
        </w:tc>
        <w:tc>
          <w:tcPr>
            <w:tcW w:type="dxa" w:w="1440"/>
            <w:shd w:fill="FFDCE0" w:val="clear"/>
          </w:tcPr>
          <w:p>
            <w:r>
              <w:rPr>
                <w:sz w:val="17"/>
              </w:rPr>
              <w:t>7,792</w:t>
            </w:r>
          </w:p>
        </w:tc>
        <w:tc>
          <w:tcPr>
            <w:tcW w:type="dxa" w:w="1440"/>
            <w:shd w:fill="FFDCE0" w:val="clear"/>
          </w:tcPr>
          <w:p>
            <w:r>
              <w:rPr>
                <w:b/>
                <w:sz w:val="17"/>
              </w:rPr>
              <w:t>7,969</w:t>
            </w:r>
          </w:p>
        </w:tc>
        <w:tc>
          <w:tcPr>
            <w:tcW w:type="dxa" w:w="1440"/>
            <w:shd w:fill="FFDCE0" w:val="clear"/>
          </w:tcPr>
          <w:p>
            <w:r>
              <w:rPr>
                <w:sz w:val="17"/>
              </w:rPr>
              <w:t>8,146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2026-10-20</w:t>
            </w:r>
          </w:p>
        </w:tc>
        <w:tc>
          <w:tcPr>
            <w:tcW w:type="dxa" w:w="1440"/>
            <w:shd w:fill="FFDCE0" w:val="clear"/>
          </w:tcPr>
          <w:p>
            <w:r>
              <w:rPr>
                <w:sz w:val="17"/>
              </w:rPr>
              <w:t>7,604</w:t>
            </w:r>
          </w:p>
        </w:tc>
        <w:tc>
          <w:tcPr>
            <w:tcW w:type="dxa" w:w="1440"/>
            <w:shd w:fill="FFDCE0" w:val="clear"/>
          </w:tcPr>
          <w:p>
            <w:r>
              <w:rPr>
                <w:b/>
                <w:sz w:val="17"/>
              </w:rPr>
              <w:t>7,851</w:t>
            </w:r>
          </w:p>
        </w:tc>
        <w:tc>
          <w:tcPr>
            <w:tcW w:type="dxa" w:w="1440"/>
            <w:shd w:fill="FFDCE0" w:val="clear"/>
          </w:tcPr>
          <w:p>
            <w:r>
              <w:rPr>
                <w:sz w:val="17"/>
              </w:rPr>
              <w:t>8,098</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2026-10-21</w:t>
            </w:r>
          </w:p>
        </w:tc>
        <w:tc>
          <w:tcPr>
            <w:tcW w:type="dxa" w:w="1440"/>
            <w:shd w:fill="FFDCE0" w:val="clear"/>
          </w:tcPr>
          <w:p>
            <w:r>
              <w:rPr>
                <w:sz w:val="17"/>
              </w:rPr>
              <w:t>7,439</w:t>
            </w:r>
          </w:p>
        </w:tc>
        <w:tc>
          <w:tcPr>
            <w:tcW w:type="dxa" w:w="1440"/>
            <w:shd w:fill="FFDCE0" w:val="clear"/>
          </w:tcPr>
          <w:p>
            <w:r>
              <w:rPr>
                <w:b/>
                <w:sz w:val="17"/>
              </w:rPr>
              <w:t>7,737</w:t>
            </w:r>
          </w:p>
        </w:tc>
        <w:tc>
          <w:tcPr>
            <w:tcW w:type="dxa" w:w="1440"/>
            <w:shd w:fill="FFDCE0" w:val="clear"/>
          </w:tcPr>
          <w:p>
            <w:r>
              <w:rPr>
                <w:sz w:val="17"/>
              </w:rPr>
              <w:t>8,035</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7,293</w:t>
            </w:r>
          </w:p>
        </w:tc>
        <w:tc>
          <w:tcPr>
            <w:tcW w:type="dxa" w:w="1440"/>
            <w:shd w:fill="FFDCE0" w:val="clear"/>
          </w:tcPr>
          <w:p>
            <w:r>
              <w:rPr>
                <w:b/>
                <w:sz w:val="17"/>
              </w:rPr>
              <w:t>7,633</w:t>
            </w:r>
          </w:p>
        </w:tc>
        <w:tc>
          <w:tcPr>
            <w:tcW w:type="dxa" w:w="1440"/>
            <w:shd w:fill="FFDCE0" w:val="clear"/>
          </w:tcPr>
          <w:p>
            <w:r>
              <w:rPr>
                <w:sz w:val="17"/>
              </w:rPr>
              <w:t>7,973</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7,160</w:t>
            </w:r>
          </w:p>
        </w:tc>
        <w:tc>
          <w:tcPr>
            <w:tcW w:type="dxa" w:w="1440"/>
            <w:shd w:fill="FFDCE0" w:val="clear"/>
          </w:tcPr>
          <w:p>
            <w:r>
              <w:rPr>
                <w:b/>
                <w:sz w:val="17"/>
              </w:rPr>
              <w:t>7,535</w:t>
            </w:r>
          </w:p>
        </w:tc>
        <w:tc>
          <w:tcPr>
            <w:tcW w:type="dxa" w:w="1440"/>
            <w:shd w:fill="FFDCE0" w:val="clear"/>
          </w:tcPr>
          <w:p>
            <w:r>
              <w:rPr>
                <w:sz w:val="17"/>
              </w:rPr>
              <w:t>7,910</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7,036</w:t>
            </w:r>
          </w:p>
        </w:tc>
        <w:tc>
          <w:tcPr>
            <w:tcW w:type="dxa" w:w="1440"/>
            <w:shd w:fill="FFDCE0" w:val="clear"/>
          </w:tcPr>
          <w:p>
            <w:r>
              <w:rPr>
                <w:b/>
                <w:sz w:val="17"/>
              </w:rPr>
              <w:t>7,442</w:t>
            </w:r>
          </w:p>
        </w:tc>
        <w:tc>
          <w:tcPr>
            <w:tcW w:type="dxa" w:w="1440"/>
            <w:shd w:fill="FFDCE0" w:val="clear"/>
          </w:tcPr>
          <w:p>
            <w:r>
              <w:rPr>
                <w:sz w:val="17"/>
              </w:rPr>
              <w:t>7,848</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6,920</w:t>
            </w:r>
          </w:p>
        </w:tc>
        <w:tc>
          <w:tcPr>
            <w:tcW w:type="dxa" w:w="1440"/>
            <w:shd w:fill="FFDCE0" w:val="clear"/>
          </w:tcPr>
          <w:p>
            <w:r>
              <w:rPr>
                <w:b/>
                <w:sz w:val="17"/>
              </w:rPr>
              <w:t>7,353</w:t>
            </w:r>
          </w:p>
        </w:tc>
        <w:tc>
          <w:tcPr>
            <w:tcW w:type="dxa" w:w="1440"/>
            <w:shd w:fill="FFDCE0" w:val="clear"/>
          </w:tcPr>
          <w:p>
            <w:r>
              <w:rPr>
                <w:sz w:val="17"/>
              </w:rPr>
              <w:t>7,786</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6,811</w:t>
            </w:r>
          </w:p>
        </w:tc>
        <w:tc>
          <w:tcPr>
            <w:tcW w:type="dxa" w:w="1440"/>
            <w:shd w:fill="FFDCE0" w:val="clear"/>
          </w:tcPr>
          <w:p>
            <w:r>
              <w:rPr>
                <w:b/>
                <w:sz w:val="17"/>
              </w:rPr>
              <w:t>7,269</w:t>
            </w:r>
          </w:p>
        </w:tc>
        <w:tc>
          <w:tcPr>
            <w:tcW w:type="dxa" w:w="1440"/>
            <w:shd w:fill="FFDCE0" w:val="clear"/>
          </w:tcPr>
          <w:p>
            <w:r>
              <w:rPr>
                <w:sz w:val="17"/>
              </w:rPr>
              <w:t>7,726</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6,708</w:t>
            </w:r>
          </w:p>
        </w:tc>
        <w:tc>
          <w:tcPr>
            <w:tcW w:type="dxa" w:w="1440"/>
            <w:shd w:fill="FFDCE0" w:val="clear"/>
          </w:tcPr>
          <w:p>
            <w:r>
              <w:rPr>
                <w:b/>
                <w:sz w:val="17"/>
              </w:rPr>
              <w:t>7,188</w:t>
            </w:r>
          </w:p>
        </w:tc>
        <w:tc>
          <w:tcPr>
            <w:tcW w:type="dxa" w:w="1440"/>
            <w:shd w:fill="FFDCE0" w:val="clear"/>
          </w:tcPr>
          <w:p>
            <w:r>
              <w:rPr>
                <w:sz w:val="17"/>
              </w:rPr>
              <w:t>7,668</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6,610</w:t>
            </w:r>
          </w:p>
        </w:tc>
        <w:tc>
          <w:tcPr>
            <w:tcW w:type="dxa" w:w="1440"/>
            <w:shd w:fill="FFDCE0" w:val="clear"/>
          </w:tcPr>
          <w:p>
            <w:r>
              <w:rPr>
                <w:b/>
                <w:sz w:val="17"/>
              </w:rPr>
              <w:t>7,110</w:t>
            </w:r>
          </w:p>
        </w:tc>
        <w:tc>
          <w:tcPr>
            <w:tcW w:type="dxa" w:w="1440"/>
            <w:shd w:fill="FFDCE0" w:val="clear"/>
          </w:tcPr>
          <w:p>
            <w:r>
              <w:rPr>
                <w:sz w:val="17"/>
              </w:rPr>
              <w:t>7,611</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BOA SÉNÉGAL (BOAS)</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293,40 milliards FCFA, BOA Sénégal s'affirme comme une valeur de premier plan de la cote BRVM, dans un marché où les capitalisations dépassant 250 milliards restent l'apanage d'une poignée d'émetteurs bancaires et télécoms. Le BPA de 608 FCFA par action signifie que chaque titre génère près de 608 FCFA de bénéfice net, un niveau de rentabilité par action solide pour le secteur. Le PER de 13,4x se situe légèrement au-dessus de la moyenne historique de la BRVM (8-12x), traduisant une prime modérée mais justifiée par la qualité des fondamentaux et la régularité des résultats ; il ne s'agit donc pas d'une valorisation excessive. Le P/B de 3,04x indique que le marché valorise la banque à environ trois fois ses fonds propres comptables, soit une prime de croissance significative (fourchette 2-4x) cohérente avec un ROE supérieur à 22%. Enfin, l'EV/EBITDA de 8,7x, dans la zone raisonnable de 5-10x, confirme que la valeur d'entreprise reste proportionnée à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progression totale de +5,23%, avec une dernière séance quasi stable (+0,06%), portant le cours actuel à 8 150 FCFA. Le range de trading s'établit entre un plus bas de 7 250 FCFA et un plus haut de 8 500 FCFA, soit une amplitude d'environ 17% qui témoigne d'une dynamique haussière maîtrisée plutôt que d'une spéculation erratique. La moyenne (7 776 FCFA) et la médiane (7 705 FCFA) sont très proches, avec un léger écart de 71 FCFA seulement, confirmant une distribution équilibrée sans asymétrie marquée — cohérent avec le skewness de 0,164 (distribution symétrique). L'écart-type de 384 FCFA et le coefficient de variation de 4,9% indiquent une dispersion faible du cours autour de sa moyenne, signe d'un titre bien tenu et peu agité. Le kurtosis négatif de -1,427 (distribution platykurtique) révèle une faible concentration des rendements et un risque de pics extrêmes limité — un profil rassurant pour un investisseur prudent. La volatilité annualisée de 25,5% place le titre dans la catégorie modérée (15-30%), typique d'une valeur bancaire de fond de portefeuille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(8 096,5 FCFA) et la MM50 (8 091,4 FCFA) sont quasiment confondues et se situent toutes deux sous le cours actuel (8 150 FCFA), ce qui place le titre en position haussière au-dessus de ses supports dynamiques. Le croisement des deux moyennes en zone étroite suggère une consolidation en cours, mais la configuration globale (cours &gt; MM20 ≈ MM50) justifie la décision d'**Achat**.</w:t>
      </w:r>
    </w:p>
    <w:p>
      <w:pPr>
        <w:spacing w:after="120" w:line="276" w:lineRule="auto"/>
      </w:pPr>
      <w:r>
        <w:t>**Bandes de Bollinger** : Le cours (8 150 FCFA) évolue dans la moitié supérieure de la bande, entre la borne inférieure (7 791,3 FCFA) et la borne supérieure (8 401,7 FCFA), sans en approcher les extrêmes. Cette position centrale, avec une largeur de bande modérée, traduit une volatilité contenue et l'absence de signal de surchauffe ; la décision **Neutre** est cohérente avec cette configuration d'équilibre.</w:t>
      </w:r>
    </w:p>
    <w:p>
      <w:pPr>
        <w:spacing w:after="120" w:line="276" w:lineRule="auto"/>
      </w:pPr>
      <w:r>
        <w:t>**MACD** : La ligne MACD (25,435) est passée sous sa ligne de signal (28,843), générant un croisement baissier qui signale un essoufflement du momentum haussier à court terme. Cette divergence négative, bien que modérée en amplitude, justifie la décision de **Vente** technique à court terme, sans invalider la tendance de fond.</w:t>
      </w:r>
    </w:p>
    <w:p>
      <w:pPr>
        <w:spacing w:after="120" w:line="276" w:lineRule="auto"/>
      </w:pPr>
      <w:r>
        <w:t>**RSI** : À 57,353, l'indicateur se situe en zone neutre (30-70), sans approcher ni la zone de surachat (&gt;70) ni celle de survente (&lt;30). Le titre conserve donc un potentiel de progression intact sans tension acheteuse excessive, ce qui justifie la décision **Neutre**.</w:t>
      </w:r>
    </w:p>
    <w:p>
      <w:pPr>
        <w:spacing w:after="120" w:line="276" w:lineRule="auto"/>
      </w:pPr>
      <w:r>
        <w:t>**Stochastique** : Le %K (33,333) est inférieur au %D (46,621), avec un %K en zone basse mais non extrême, suggérant une pression vendeuse résiduelle sans capitulation. L'absence de croisement haussier confirmé maintient la décision **Neutre**, en attente d'un retournement du momentum.</w:t>
      </w:r>
    </w:p>
    <w:p>
      <w:pPr>
        <w:spacing w:after="120" w:line="276" w:lineRule="auto"/>
      </w:pPr>
      <w:r>
        <w:t>**Conclusion technique** : Les indicateurs présentent un tableau mitigé — les moyennes mobiles plaident pour l'achat tandis que le MACD signale une vente, le RSI, les Bollinger et le stochastique restant neutres. Cette divergence traduit une phase de consolidation après la hausse récente, avec un cours soutenu par ses supports dynamiques mais un momentum à court terme qui s'essouffle. La configuration globale reste constructive à moyen terme, mais appelle à la patience pour un point d'entrée optimal.</w:t>
      </w:r>
    </w:p>
    <w:p>
      <w:pPr>
        <w:spacing w:after="120" w:line="276" w:lineRule="auto"/>
      </w:pPr>
      <w:r>
        <w:t>---</w:t>
      </w:r>
    </w:p>
    <w:p>
      <w:pPr>
        <w:spacing w:after="120" w:line="276" w:lineRule="auto"/>
      </w:pPr>
      <w:r>
        <w:t>## PARTIE 3 : ANALYSE FONDAMENTALE</w:t>
      </w:r>
    </w:p>
    <w:p>
      <w:pPr>
        <w:spacing w:after="120" w:line="276" w:lineRule="auto"/>
      </w:pPr>
      <w:r>
        <w:t>**Données structurées (exercice 2025)** : BOA Sénégal affiche un Produit Net Bancaire (équivalent du chiffre d'affaires bancaire) de 51,926 milliards FCFA en 2025, pour un résultat net de 21,905 milliards FCFA, soit une marge nette remarquable de 42,19%. Le ROE s'établit à 22,69% (largement supérieur au seuil d'excellence de 15%) et le ROA à 2,62%, confirmant une rentabilité des fonds propres et des actifs de très haute qualité. Le coefficient d'exploitation de 44,02% place la banque dans la catégorie des établissements très efficaces (&lt;50%), tandis que le coût du risque rapporté aux charges financières (23,31%) reste un point de vigilance modéré. La structure bilancielle est solide : les dépôts clientèle (686,927 Mds FCFA) financent largement les créances clientèle (386,424 Mds FCFA), avec un ratio de transformation sain, et la trésorerie nette de 78,712 Mds FCFA témoigne d'une liquidité confortable.</w:t>
      </w:r>
    </w:p>
    <w:p>
      <w:pPr>
        <w:spacing w:after="120" w:line="276" w:lineRule="auto"/>
      </w:pPr>
      <w:r>
        <w:t>**Estimations issues des rapports trimestriels** : Le rapport du T1 2026 (daté du 31 mars 2026) confirme la dynamique : PNB de 12,580 milliards FCFA (+6,82%), résultat net de 5,741 milliards FCFA (+9,78%), coefficient d'exploitation en amélioration à 42,1% et ressources clientèle en forte hausse de +16,68%. Le rapport du T3 2025 (30 septembre 2025) montrait déjà un PNB cumulé de 37,44 milliards (+6,71%) et un résultat net de 16,37 milliards (+10,01%), avec un coût du risque en baisse. Sur cette base, on estime que l'exercice 2026 devrait prolonger la trajectoire avec une croissance du PNB de l'ordre de 6-7% et une progression du résultat net supérieure à 8-10%, soutenue par la collecte de dépôts vigoureuse et la maîtrise des charges.</w:t>
      </w:r>
    </w:p>
    <w:p>
      <w:pPr>
        <w:spacing w:after="120" w:line="276" w:lineRule="auto"/>
      </w:pPr>
      <w:r>
        <w:t>**Recommandation fondamentale** : La banque conjugue solidité bilancielle, rentabilité exceptionnelle (ROE &gt;22%) et efficacité opérationnelle confirmée sur plusieurs trimestres. Les risques identifiés — concentration sur le marché sénégalais, sensibilité au risque de crédit dans un environnement incertain et croissance des emplois plus lente que celle des ressources — restent gérables. La recommandation fondamentale est **Achat**, avec une perspective de poursuite de la croissance rentable.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voire légèrement attractive : un PER de 13,4x pour un ROE de 22,7% et un P/B de 3,04x traduisent une prime de qualité justifiée, sans excès spéculatif, tandis que l'EV/EBITDA de 8,7x confirme une valorisation opérationnelle saine. Le comportement du cours (Partie 1) est favorable : tendance haussière de +5,23% sur 100 jours, volatilité modérée de 25,5%, distribution symétrique (skewness 0,164) et absence de risque de pics extrêmes (kurtosis -1,427), autant d'éléments rassurants pour un investisseur de moyen terme. Les signaux techniques (Partie 2) sont toutefois divergents : les moyennes mobiles soutiennent l'achat, mais le MACD baissier et les indicateurs neutres (RSI 57,4, Bollinger, stochastique) plaident pour une consolidation avant toute accélération. Les fondamentaux (Partie 3) demeurent le pilier du dossier : PNB de 51,926 Mds FCFA et résultat net de 21,905 Mds FCFA en 2025, ROE de 22,69%, coefficient d'exploitation de 44%, et rapports T1 2026 confirmant la dynamique (+9,78% de résultat net). Les prédictions IA (J+1 à J+10) anticipent cependant une correction vers 7 535 FCFA d'ici le 23 octobre 2026, ce qui contredit à court terme les signaux haussiers des moyennes mobiles et suggère une phase de repli technique cohérente avec le MACD baissier. **Recommandation finale : CONSERVER** (avec opportunité d'achat sur repli vers 7 700-7 800 FCFA), car la convergence entre valorisation raisonnable, fondamentaux solides et prédiction de repli modéré plaide pour la patience plutôt que l'achat immédiat. Le niveau de confiance est **Moyen** (divergence technique court terme vs fondamental long terme) et le niveau de risque global **Faible à Moyen**, la solidité bilancielle de la banque limitant le risque baissier. L'horizon d'investissement optimal est le **moyen terme (3-12 mois)**, le temps que la consolidation technique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2,054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-18.92%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μ=3,652 FCFA, σ=325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β=0.3719 (Défensif) — Cov=0.000028, Var(idx)=0.000075, ρ=0.110,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σ_j=2.88%/j (Stable) — Vol. annualisée≈45.8%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2,901</w:t>
            </w:r>
          </w:p>
        </w:tc>
        <w:tc>
          <w:tcPr>
            <w:tcW w:type="dxa" w:w="1440"/>
            <w:shd w:fill="FAFAFA" w:val="clear"/>
          </w:tcPr>
          <w:p>
            <w:r>
              <w:rPr>
                <w:b/>
                <w:sz w:val="17"/>
              </w:rPr>
              <w:t>3,014</w:t>
            </w:r>
          </w:p>
        </w:tc>
        <w:tc>
          <w:tcPr>
            <w:tcW w:type="dxa" w:w="1440"/>
            <w:shd w:fill="FAFAFA" w:val="clear"/>
          </w:tcPr>
          <w:p>
            <w:r>
              <w:rPr>
                <w:sz w:val="17"/>
              </w:rPr>
              <w:t>3,128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2,858</w:t>
            </w:r>
          </w:p>
        </w:tc>
        <w:tc>
          <w:tcPr>
            <w:tcW w:type="dxa" w:w="1440"/>
            <w:shd w:fill="FAFAFA" w:val="clear"/>
          </w:tcPr>
          <w:p>
            <w:r>
              <w:rPr>
                <w:b/>
                <w:sz w:val="17"/>
              </w:rPr>
              <w:t>3,019</w:t>
            </w:r>
          </w:p>
        </w:tc>
        <w:tc>
          <w:tcPr>
            <w:tcW w:type="dxa" w:w="1440"/>
            <w:shd w:fill="FAFAFA" w:val="clear"/>
          </w:tcPr>
          <w:p>
            <w:r>
              <w:rPr>
                <w:sz w:val="17"/>
              </w:rPr>
              <w:t>3,180</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2,829</w:t>
            </w:r>
          </w:p>
        </w:tc>
        <w:tc>
          <w:tcPr>
            <w:tcW w:type="dxa" w:w="1440"/>
            <w:shd w:fill="FAFAFA" w:val="clear"/>
          </w:tcPr>
          <w:p>
            <w:r>
              <w:rPr>
                <w:b/>
                <w:sz w:val="17"/>
              </w:rPr>
              <w:t>3,027</w:t>
            </w:r>
          </w:p>
        </w:tc>
        <w:tc>
          <w:tcPr>
            <w:tcW w:type="dxa" w:w="1440"/>
            <w:shd w:fill="FAFAFA" w:val="clear"/>
          </w:tcPr>
          <w:p>
            <w:r>
              <w:rPr>
                <w:sz w:val="17"/>
              </w:rPr>
              <w:t>3,224</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2,805</w:t>
            </w:r>
          </w:p>
        </w:tc>
        <w:tc>
          <w:tcPr>
            <w:tcW w:type="dxa" w:w="1440"/>
            <w:shd w:fill="FAFAFA" w:val="clear"/>
          </w:tcPr>
          <w:p>
            <w:r>
              <w:rPr>
                <w:b/>
                <w:sz w:val="17"/>
              </w:rPr>
              <w:t>3,033</w:t>
            </w:r>
          </w:p>
        </w:tc>
        <w:tc>
          <w:tcPr>
            <w:tcW w:type="dxa" w:w="1440"/>
            <w:shd w:fill="FAFAFA" w:val="clear"/>
          </w:tcPr>
          <w:p>
            <w:r>
              <w:rPr>
                <w:sz w:val="17"/>
              </w:rPr>
              <w:t>3,261</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2,781</w:t>
            </w:r>
          </w:p>
        </w:tc>
        <w:tc>
          <w:tcPr>
            <w:tcW w:type="dxa" w:w="1440"/>
            <w:shd w:fill="FAFAFA" w:val="clear"/>
          </w:tcPr>
          <w:p>
            <w:r>
              <w:rPr>
                <w:b/>
                <w:sz w:val="17"/>
              </w:rPr>
              <w:t>3,037</w:t>
            </w:r>
          </w:p>
        </w:tc>
        <w:tc>
          <w:tcPr>
            <w:tcW w:type="dxa" w:w="1440"/>
            <w:shd w:fill="FAFAFA" w:val="clear"/>
          </w:tcPr>
          <w:p>
            <w:r>
              <w:rPr>
                <w:sz w:val="17"/>
              </w:rPr>
              <w:t>3,292</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2,757</w:t>
            </w:r>
          </w:p>
        </w:tc>
        <w:tc>
          <w:tcPr>
            <w:tcW w:type="dxa" w:w="1440"/>
            <w:shd w:fill="FAFAFA" w:val="clear"/>
          </w:tcPr>
          <w:p>
            <w:r>
              <w:rPr>
                <w:b/>
                <w:sz w:val="17"/>
              </w:rPr>
              <w:t>3,037</w:t>
            </w:r>
          </w:p>
        </w:tc>
        <w:tc>
          <w:tcPr>
            <w:tcW w:type="dxa" w:w="1440"/>
            <w:shd w:fill="FAFAFA" w:val="clear"/>
          </w:tcPr>
          <w:p>
            <w:r>
              <w:rPr>
                <w:sz w:val="17"/>
              </w:rPr>
              <w:t>3,317</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2,733</w:t>
            </w:r>
          </w:p>
        </w:tc>
        <w:tc>
          <w:tcPr>
            <w:tcW w:type="dxa" w:w="1440"/>
            <w:shd w:fill="FAFAFA" w:val="clear"/>
          </w:tcPr>
          <w:p>
            <w:r>
              <w:rPr>
                <w:b/>
                <w:sz w:val="17"/>
              </w:rPr>
              <w:t>3,035</w:t>
            </w:r>
          </w:p>
        </w:tc>
        <w:tc>
          <w:tcPr>
            <w:tcW w:type="dxa" w:w="1440"/>
            <w:shd w:fill="FAFAFA" w:val="clear"/>
          </w:tcPr>
          <w:p>
            <w:r>
              <w:rPr>
                <w:sz w:val="17"/>
              </w:rPr>
              <w:t>3,338</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2,709</w:t>
            </w:r>
          </w:p>
        </w:tc>
        <w:tc>
          <w:tcPr>
            <w:tcW w:type="dxa" w:w="1440"/>
            <w:shd w:fill="FAFAFA" w:val="clear"/>
          </w:tcPr>
          <w:p>
            <w:r>
              <w:rPr>
                <w:b/>
                <w:sz w:val="17"/>
              </w:rPr>
              <w:t>3,031</w:t>
            </w:r>
          </w:p>
        </w:tc>
        <w:tc>
          <w:tcPr>
            <w:tcW w:type="dxa" w:w="1440"/>
            <w:shd w:fill="FAFAFA" w:val="clear"/>
          </w:tcPr>
          <w:p>
            <w:r>
              <w:rPr>
                <w:sz w:val="17"/>
              </w:rPr>
              <w:t>3,354</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2,684</w:t>
            </w:r>
          </w:p>
        </w:tc>
        <w:tc>
          <w:tcPr>
            <w:tcW w:type="dxa" w:w="1440"/>
            <w:shd w:fill="FAFAFA" w:val="clear"/>
          </w:tcPr>
          <w:p>
            <w:r>
              <w:rPr>
                <w:b/>
                <w:sz w:val="17"/>
              </w:rPr>
              <w:t>3,026</w:t>
            </w:r>
          </w:p>
        </w:tc>
        <w:tc>
          <w:tcPr>
            <w:tcW w:type="dxa" w:w="1440"/>
            <w:shd w:fill="FAFAFA" w:val="clear"/>
          </w:tcPr>
          <w:p>
            <w:r>
              <w:rPr>
                <w:sz w:val="17"/>
              </w:rPr>
              <w:t>3,367</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2,660</w:t>
            </w:r>
          </w:p>
        </w:tc>
        <w:tc>
          <w:tcPr>
            <w:tcW w:type="dxa" w:w="1440"/>
            <w:shd w:fill="FAFAFA" w:val="clear"/>
          </w:tcPr>
          <w:p>
            <w:r>
              <w:rPr>
                <w:b/>
                <w:sz w:val="17"/>
              </w:rPr>
              <w:t>3,020</w:t>
            </w:r>
          </w:p>
        </w:tc>
        <w:tc>
          <w:tcPr>
            <w:tcW w:type="dxa" w:w="1440"/>
            <w:shd w:fill="FAFAFA" w:val="clear"/>
          </w:tcPr>
          <w:p>
            <w:r>
              <w:rPr>
                <w:sz w:val="17"/>
              </w:rPr>
              <w:t>3,379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17,76 milliards FCFA, un niveau modeste à l'échelle de la BRVM qui la classe parmi les petites capitalisations du compartiment industriel. Le BPA de 243 FCFA par action signifie que chaque titre génère un bénéfice net de 243 FCFA, ce qui, rapporté au cours actuel de 3 000 FCFA, donne un PER de 12,3x — légèrement supérieur à la moyenne BRVM (8-12x), suggérant que le marché paie une prime modérée pour les bénéfices, potentiellement justifiée par les perspectives de croissance du secteur des câbles. Le P/B de 1,90x indique que le marché valorise l'action à près du double de sa valeur comptable, ce qui reste dans la fourchette raisonnable (1-2x) mais traduit une anticipation de création de valeur future. Enfin, l'EV/EBITDA de 5,9x situe la valeur d'entreprise à environ six fois la capacité opérationnelle, un niveau raisonnable (5-10x) qui n'indique ni sous-évaluation flagrante ni surévaluation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 enregistré une variation totale de -18,92%, avec une dernière séance en repli de -1,64%, portant le cours actuel à 3 000 FCFA — soit précisément le plus bas de la période, tandis que le plus haut a atteint 4 500 FCFA, matérialisant un range de trading de 1 500 FCFA (50% du cours bas). La tendance générale est clairement baissière, le titre ayant perdu près d'un cinquième de sa valeur et clôturant au plancher de sa fourchette, ce qui traduit une pression vendeuse persistante. Les statistiques descriptives révèlent une moyenne de 3 652 FCFA supérieure à la médiane de 3 575 FCFA, avec un mode à 3 500 FCFA : cet écart confirme une distribution asymétrique positive (skewness de 0,541), indiquant que davantage de journées se sont négociées sous la moyenne, cohérent avec la dérive baissière. L'écart-type de 326 FCFA (CV de 8,9%) témoigne d'une dispersion modérée autour de la moyenne, tandis que le kurtosis de 0,117 (mésokurtique) suggère une distribution proche de la normale, sans risque excessif de pics extrêmes. La volatilité annualisée de 45,8% classe le titre dans la catégorie des valeurs à volatilité élevée (&gt;30%), ce qui implique un risque de prix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(3 254 FCFA) et la MM50 (3 417,3 FCFA) se situent toutes deux au-dessus du cours actuel (3 000 FCFA), configurant une pression baissière structurelle. La MM20 étant inférieure à la MM50, on observe un croisement baissier (death cross) confirmant la tendance descendante. La décision technique est donc **Vente**, le cours évoluant sous ses deux moyennes de référence.</w:t>
      </w:r>
    </w:p>
    <w:p>
      <w:pPr>
        <w:spacing w:after="120" w:line="276" w:lineRule="auto"/>
      </w:pPr>
      <w:r>
        <w:t>**Bandes de Bollinger** : Le cours (3 000 FCFA) se situe très près de la borne inférieure (2 979,34 FCFA) et loin de la borne supérieure (3 528,66 FCFA), signalant une position de faiblesse extrême dans le canal de volatilité. L'absence de franchissement de la borne basse suggère cependant une possible zone de support. La décision est **Neutre**, le titre étant en zone de survente technique sans signal de retournement confirmé.</w:t>
      </w:r>
    </w:p>
    <w:p>
      <w:pPr>
        <w:spacing w:after="120" w:line="276" w:lineRule="auto"/>
      </w:pPr>
      <w:r>
        <w:t>**MACD** : La valeur du MACD (-108,248) est inférieure à son signal (-83,925), avec un histogramme négatif qui s'accentue, traduisant un momentum baissier persistant. La divergence négative entre la ligne MACD et sa ligne de signal confirme la dynamique descendante. La décision est **Vente**, aucun signe de retournement n'étant perceptible.</w:t>
      </w:r>
    </w:p>
    <w:p>
      <w:pPr>
        <w:spacing w:after="120" w:line="276" w:lineRule="auto"/>
      </w:pPr>
      <w:r>
        <w:t>**RSI** : Le RSI s'établit à 18,254, un niveau très inférieur au seuil de survente de 30, indiquant que le titre est techniquement survendu de manière extrême. Historiquement, un RSI aussi bas précède souvent un rebond technique à court terme. La décision est **Achat**, le potentiel de rebond étant significatif malgré la tendance baissière.</w:t>
      </w:r>
    </w:p>
    <w:p>
      <w:pPr>
        <w:spacing w:after="120" w:line="276" w:lineRule="auto"/>
      </w:pPr>
      <w:r>
        <w:t>**Stochastique** : Le %K et le %D sont tous deux à 0,0, positionnant l'indicateur au plancher absolu de sa fourchette, ce qui signale une survente maximale. Un croisement haussier des deux lignes est attendu pour valider un retournement. La décision est **Achat**, le stochastique étant en zone d'épuisement baissier.</w:t>
      </w:r>
    </w:p>
    <w:p>
      <w:pPr>
        <w:spacing w:after="120" w:line="276" w:lineRule="auto"/>
      </w:pPr>
      <w:r>
        <w:t>**Conclusion technique** : Les indicateurs présentent une divergence marquée : les moyennes mobiles et le MACD confirment une tendance baissière installée, tandis que le RSI (18,25) et le stochastique (0,0) signalent une survente extrême propice à un rebond technique. Les Bandes de Bollinger confirment cette position de faiblesse sans franchissement de support. La convergence des signaux de survente (RSI + Stochastique) suggère qu'un rebond à court terme est probable, mais la structure baissière des MM et du MACD limite la portée de ce mouvement. Le titre se trouve à un point d'inflexion technique nécessitant une confirmation par les volumes.</w:t>
      </w:r>
    </w:p>
    <w:p>
      <w:pPr>
        <w:spacing w:after="120" w:line="276" w:lineRule="auto"/>
      </w:pPr>
      <w:r>
        <w:t>---</w:t>
      </w:r>
    </w:p>
    <w:p>
      <w:pPr>
        <w:spacing w:after="120" w:line="276" w:lineRule="auto"/>
      </w:pPr>
      <w:r>
        <w:t>## PARTIE 3 : ANALYSE FONDAMENTALE</w:t>
      </w:r>
    </w:p>
    <w:p>
      <w:pPr>
        <w:spacing w:after="120" w:line="276" w:lineRule="auto"/>
      </w:pPr>
      <w:r>
        <w:t>Les données financières structurées de l'exercice 2025 (états financiers annuels) révèlent un chiffre d'affaires de 21 263 M FCFA, en croissance de 11,18% par rapport à 2024, avec un résultat net de 1 439 M FCFA, soit une marge nette de 6,77%. Le ROE de 15,40% dépasse le seuil d'excellence de 15%, et le ROA de 6,10% traduit une rentabilité des actifs correcte. Cependant, l'analyse du bilan met en évidence des signaux d'alerte : les créances clients de 8 429 M FCFA représentent un délai de paiement de 144,69 jours (très élevé, indiquant un risque de trésorerie), et les stocks de 7 400 M FCFA correspondent à 152,12 jours de rotation (immobilisation de capital excessive). Le BFR de 7 186 M FCFA pèse sur la trésorerie, et le flux opérationnel est négatif (-819,66 M FCFA), tout comme le Free Cash Flow (-982,71 M FCFA), malgré une CAF positive de 1 593 M FCFA. La structure financière reste saine avec une autonomie financière de 39,58% et une dépendance financière de seulement 4,47%, mais le ratio d'endettement de 60,42% et les provisions de 3 401 M FCFA méritent surveillance. Les rapports narratifs confirment cette dynamique : le rapport du T3 2025 (daté du 30/09/2025) indique un CA cumulé de 16 630 M FCFA (+13,7%) et un résultat net de 1 329,5 M FCFA (+26,0%), avec une marge nette de 8,0% en amélioration ; le rapport du S1 2025 (daté du 30/06/2025) affiche un résultat net de 851,5 M FCFA (+55,3%) et une marge nette de 7,9%. Toutefois, le rapport du T1 2026 (daté de 2026) révèle une dégradation brutale : CA en baisse de 26,5% à 3 794 M FCFA, perte d'exploitation de 237 M FCFA et résultat net déficitaire de 222 M FCFA, attribuée à une maintenance planifiée et à l'inflation des cours des métaux (+23% en 3 mois). Sur la base de ces éléments, on estime que l'exercice 2025 devrait clôturer avec un résultat net conforme aux données structurées (1 439 M FCFA), mais l'exercice 2026 s'annonce difficile, la direction anticipant une normalisation dès le T2 2026. La recommandation fondamentale est **CONSERVER avec vigilance** : la solidité bilancielle et la croissance du CA sont tempérées par la détérioration de la trésorerie opérationnelle, les délais clients/stocks élevés et les perspectives 2026 incertaines.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mais non exempte de risques : le PER de 12,3x est légèrement supérieur à la moyenne BRVM, le P/B de 1,90x traduit une prime modérée, et l'EV/EBITDA de 5,9x reste dans les normes, suggérant une valorisation équilibrée sans sous-évaluation manifeste. Le comportement du cours (Partie 1) est préoccupant : la tendance baissière de -18,92% sur 100 jours, le cours au plus bas de la fourchette (3 000 FCFA) et la volatilité élevée de 45,8% traduisent une pression vendeuse persistante, bien que le skewness positif et le kurtosis normal n'indiquent pas de risque extrême. Les signaux techniques (Partie 2) sont divergents : la structure baissière des MM et du MACD contraste avec la survente extrême du RSI (18,25) et du stochastique (0,0), suggérant un rebond technique imminent mais limité. Les fondamentaux (Partie 3) révèlent une société solide (ROE de 15,40%, CA en croissance de 11,18%, autonomie financière de 39,58%) mais fragilisée par des flux opérationnels négatifs, des délais clients/stocks élevés et un T1 2026 déficitaire. Les prédictions IA (J+1 à J+10) projettent une légère reprise de 3 014 à 3 037 FCFA (+1,2% sur 5 jours), confirmant le scénario d'un rebond technique de court terme sans inversion de tendance. **Recommandation finale : CONSERVER** — la convergence entre la survente technique (RSI/Stochastique), la valorisation raisonnable et la solidité fondamentale (ROE &gt;15%) soutient un maintien de la position, mais la tendance baissière, les flux de trésorerie négatifs et les perspectives 2026 incertaines interdisent un achat agressif. Le niveau de confiance est **Moyen** (divergence technique/fondamental), le risque global est **Élevé** (volatilité de 45,8%, T1 2026 déficitaire), et l'horizon optimal est **moyen terme (3-12 mois)**, en attendant la confirmation de la normalisation opérationnelle au T2 2026 et un retournement technique validé par les volumes.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1,546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+46.75%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20,900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14.68% (Moyenne) — μ=27,780 FCFA, σ=4,078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β=1.3715 (Agressif) — Cov=0.000103, Var(idx)=0.000075, ρ=0.423,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28,792</w:t>
            </w:r>
          </w:p>
        </w:tc>
        <w:tc>
          <w:tcPr>
            <w:tcW w:type="dxa" w:w="1440"/>
            <w:shd w:fill="FFDCE0" w:val="clear"/>
          </w:tcPr>
          <w:p>
            <w:r>
              <w:rPr>
                <w:b/>
                <w:sz w:val="17"/>
              </w:rPr>
              <w:t>30,301</w:t>
            </w:r>
          </w:p>
        </w:tc>
        <w:tc>
          <w:tcPr>
            <w:tcW w:type="dxa" w:w="1440"/>
            <w:shd w:fill="FFDCE0" w:val="clear"/>
          </w:tcPr>
          <w:p>
            <w:r>
              <w:rPr>
                <w:sz w:val="17"/>
              </w:rPr>
              <w:t>31,810</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27,654</w:t>
            </w:r>
          </w:p>
        </w:tc>
        <w:tc>
          <w:tcPr>
            <w:tcW w:type="dxa" w:w="1440"/>
            <w:shd w:fill="FFDCE0" w:val="clear"/>
          </w:tcPr>
          <w:p>
            <w:r>
              <w:rPr>
                <w:b/>
                <w:sz w:val="17"/>
              </w:rPr>
              <w:t>29,749</w:t>
            </w:r>
          </w:p>
        </w:tc>
        <w:tc>
          <w:tcPr>
            <w:tcW w:type="dxa" w:w="1440"/>
            <w:shd w:fill="FFDCE0" w:val="clear"/>
          </w:tcPr>
          <w:p>
            <w:r>
              <w:rPr>
                <w:sz w:val="17"/>
              </w:rPr>
              <w:t>31,845</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26,963</w:t>
            </w:r>
          </w:p>
        </w:tc>
        <w:tc>
          <w:tcPr>
            <w:tcW w:type="dxa" w:w="1440"/>
            <w:shd w:fill="FFDCE0" w:val="clear"/>
          </w:tcPr>
          <w:p>
            <w:r>
              <w:rPr>
                <w:b/>
                <w:sz w:val="17"/>
              </w:rPr>
              <w:t>29,509</w:t>
            </w:r>
          </w:p>
        </w:tc>
        <w:tc>
          <w:tcPr>
            <w:tcW w:type="dxa" w:w="1440"/>
            <w:shd w:fill="FFDCE0" w:val="clear"/>
          </w:tcPr>
          <w:p>
            <w:r>
              <w:rPr>
                <w:sz w:val="17"/>
              </w:rPr>
              <w:t>32,054</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26,424</w:t>
            </w:r>
          </w:p>
        </w:tc>
        <w:tc>
          <w:tcPr>
            <w:tcW w:type="dxa" w:w="1440"/>
            <w:shd w:fill="FFDCE0" w:val="clear"/>
          </w:tcPr>
          <w:p>
            <w:r>
              <w:rPr>
                <w:b/>
                <w:sz w:val="17"/>
              </w:rPr>
              <w:t>29,347</w:t>
            </w:r>
          </w:p>
        </w:tc>
        <w:tc>
          <w:tcPr>
            <w:tcW w:type="dxa" w:w="1440"/>
            <w:shd w:fill="FFDCE0" w:val="clear"/>
          </w:tcPr>
          <w:p>
            <w:r>
              <w:rPr>
                <w:sz w:val="17"/>
              </w:rPr>
              <w:t>32,271</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25,951</w:t>
            </w:r>
          </w:p>
        </w:tc>
        <w:tc>
          <w:tcPr>
            <w:tcW w:type="dxa" w:w="1440"/>
            <w:shd w:fill="FFDCE0" w:val="clear"/>
          </w:tcPr>
          <w:p>
            <w:r>
              <w:rPr>
                <w:b/>
                <w:sz w:val="17"/>
              </w:rPr>
              <w:t>29,204</w:t>
            </w:r>
          </w:p>
        </w:tc>
        <w:tc>
          <w:tcPr>
            <w:tcW w:type="dxa" w:w="1440"/>
            <w:shd w:fill="FFDCE0" w:val="clear"/>
          </w:tcPr>
          <w:p>
            <w:r>
              <w:rPr>
                <w:sz w:val="17"/>
              </w:rPr>
              <w:t>32,456</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25,532</w:t>
            </w:r>
          </w:p>
        </w:tc>
        <w:tc>
          <w:tcPr>
            <w:tcW w:type="dxa" w:w="1440"/>
            <w:shd w:fill="FFDCE0" w:val="clear"/>
          </w:tcPr>
          <w:p>
            <w:r>
              <w:rPr>
                <w:b/>
                <w:sz w:val="17"/>
              </w:rPr>
              <w:t>29,080</w:t>
            </w:r>
          </w:p>
        </w:tc>
        <w:tc>
          <w:tcPr>
            <w:tcW w:type="dxa" w:w="1440"/>
            <w:shd w:fill="FFDCE0" w:val="clear"/>
          </w:tcPr>
          <w:p>
            <w:r>
              <w:rPr>
                <w:sz w:val="17"/>
              </w:rPr>
              <w:t>32,628</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25,155</w:t>
            </w:r>
          </w:p>
        </w:tc>
        <w:tc>
          <w:tcPr>
            <w:tcW w:type="dxa" w:w="1440"/>
            <w:shd w:fill="FFDCE0" w:val="clear"/>
          </w:tcPr>
          <w:p>
            <w:r>
              <w:rPr>
                <w:b/>
                <w:sz w:val="17"/>
              </w:rPr>
              <w:t>28,973</w:t>
            </w:r>
          </w:p>
        </w:tc>
        <w:tc>
          <w:tcPr>
            <w:tcW w:type="dxa" w:w="1440"/>
            <w:shd w:fill="FFDCE0" w:val="clear"/>
          </w:tcPr>
          <w:p>
            <w:r>
              <w:rPr>
                <w:sz w:val="17"/>
              </w:rPr>
              <w:t>32,792</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24,811</w:t>
            </w:r>
          </w:p>
        </w:tc>
        <w:tc>
          <w:tcPr>
            <w:tcW w:type="dxa" w:w="1440"/>
            <w:shd w:fill="FFDCE0" w:val="clear"/>
          </w:tcPr>
          <w:p>
            <w:r>
              <w:rPr>
                <w:b/>
                <w:sz w:val="17"/>
              </w:rPr>
              <w:t>28,880</w:t>
            </w:r>
          </w:p>
        </w:tc>
        <w:tc>
          <w:tcPr>
            <w:tcW w:type="dxa" w:w="1440"/>
            <w:shd w:fill="FFDCE0" w:val="clear"/>
          </w:tcPr>
          <w:p>
            <w:r>
              <w:rPr>
                <w:sz w:val="17"/>
              </w:rPr>
              <w:t>32,948</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24,492</w:t>
            </w:r>
          </w:p>
        </w:tc>
        <w:tc>
          <w:tcPr>
            <w:tcW w:type="dxa" w:w="1440"/>
            <w:shd w:fill="FFDCE0" w:val="clear"/>
          </w:tcPr>
          <w:p>
            <w:r>
              <w:rPr>
                <w:b/>
                <w:sz w:val="17"/>
              </w:rPr>
              <w:t>28,795</w:t>
            </w:r>
          </w:p>
        </w:tc>
        <w:tc>
          <w:tcPr>
            <w:tcW w:type="dxa" w:w="1440"/>
            <w:shd w:fill="FFDCE0" w:val="clear"/>
          </w:tcPr>
          <w:p>
            <w:r>
              <w:rPr>
                <w:sz w:val="17"/>
              </w:rPr>
              <w:t>33,097</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24,196</w:t>
            </w:r>
          </w:p>
        </w:tc>
        <w:tc>
          <w:tcPr>
            <w:tcW w:type="dxa" w:w="1440"/>
            <w:shd w:fill="FFDCE0" w:val="clear"/>
          </w:tcPr>
          <w:p>
            <w:r>
              <w:rPr>
                <w:b/>
                <w:sz w:val="17"/>
              </w:rPr>
              <w:t>28,719</w:t>
            </w:r>
          </w:p>
        </w:tc>
        <w:tc>
          <w:tcPr>
            <w:tcW w:type="dxa" w:w="1440"/>
            <w:shd w:fill="FFDCE0" w:val="clear"/>
          </w:tcPr>
          <w:p>
            <w:r>
              <w:rPr>
                <w:sz w:val="17"/>
              </w:rPr>
              <w:t>33,243</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1 008 milliards FCFA, CBIBF s'impose comme l'une des plus grandes capitalisations de la cote BRVM, ce qui témoigne de son statut de valeur de premier plan dans le compartiment bancaire régional. Le BPA de 2 047 FCFA par action signifie que chaque titre génère près de 2 047 FCFA de bénéfice net, un niveau de rentabilité par action particulièrement élevé pour le marché ouest-africain. Le PER de 15,4x place le titre au-dessus de la moyenne BRVM (généralement 8-12x), traduisant une prime de qualité que les investisseurs acceptent de payer pour une banque affichant une croissance bénéficiaire de +36,6% en 2025 ; cette prime reste toutefois modérée au regard de la dynamique bénéficiaire. L'EV/EBITDA de 11,4x, situé dans la fourchette 10-15x qualifiée d'élevée, confirme que le marché valorise pleinement la capacité opérationnelle de la banque, sans exubérance excessive. Le ratio P/B n'étant pas fourni dans les données disponibles, on ne peut l'analyser, mais l'ensemble des ratios disponibles dessine une valorisation raisonnable quoique non décotée, cohérente avec le leadership de la banque au Burkina Faso.</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+46,75%, portée par la dernière séance qui affiche encore +1,61%, confirmant une tendance nettement haussière et un momentum acheteur persistant. Le cours actuel de 31 500 FCFA se situe dans la partie haute du range de trading, entre un plus bas de 20 900 FCFA et un plus haut de 34 450 FCFA, soit une amplitude de plus de 64% qui illustre la vigueur du mouvement. La moyenne de 27 780 FCFA, inférieure à la médiane de 28 582 FCFA, révèle une distribution légèrement asymétrique à gauche, cohérente avec le skewness de -0,290 qualifié de symétrique : les cours ont passé davantage de temps dans les niveaux élevés, avec quelques incursions basses qui tirent la moyenne vers le bas. L'écart-type de 4 099 FCFA et le coefficient de variation de 14,8% indiquent une dispersion modérée autour de la moyenne, tandis que le kurtosis de -1,124 (distribution platykurtique) signale une faible concentration des rendements et un risque de pics extrêmes limité — un profil de cours relativement fluide. La volatilité annualisée de 44,0% classe le titre dans la catégorie des valeurs à volatilité élevée (&gt;30%), ce qui est cohérent avec la forte appréciation récente et appelle à une gestion prudente du risque de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(31 118,25 FCFA) et la MM50 (30 947,70 FCFA) se situent toutes deux sous le cours actuel de 31 500 FCFA, avec une MM20 légèrement supérieure à la MM50, configuration typique d'une tendance haussière de court terme. Le cours évoluant au-dessus de ses deux moyennes, la décision technique est à l'**Achat**, confirmant la dynamique positive du titre.</w:t>
      </w:r>
    </w:p>
    <w:p>
      <w:pPr>
        <w:spacing w:after="120" w:line="276" w:lineRule="auto"/>
      </w:pPr>
      <w:r>
        <w:t>**Bandes de Bollinger** : Le cours (31 500 FCFA) se situe dans la moitié supérieure de la bande, entre la borne inférieure (28 692,87 FCFA) et la borne supérieure (33 543,63 FCFA), sans atteindre l'extrémité haute. Cette position centrale-haute traduit une volatilité contenue et l'absence de signal de surachat extrême, justifiant la décision **Neutre** — le titre dispose encore d'un potentiel de progression vers la borne supérieure.</w:t>
      </w:r>
    </w:p>
    <w:p>
      <w:pPr>
        <w:spacing w:after="120" w:line="276" w:lineRule="auto"/>
      </w:pPr>
      <w:r>
        <w:t>**MACD** : La valeur du MACD (-183,64) est inférieure à sa ligne de signal (-117,752), générant une divergence négative qui signale un essoufflement du momentum haussier malgré la tendance de fond positive. Cette configuration, bien que baissière à court terme, contraste avec la tendance de fond et justifie la décision **Vente** à titre tactique, à surveiller comme signal de consolidation.</w:t>
      </w:r>
    </w:p>
    <w:p>
      <w:pPr>
        <w:spacing w:after="120" w:line="276" w:lineRule="auto"/>
      </w:pPr>
      <w:r>
        <w:t>**RSI** : À 50,0, le RSI se situe exactement au point d'équilibre entre surachat (&gt;70) et survente (&lt;30), dans une zone parfaitement neutre. Cette valeur indique un marché sans excès directionnel, justifiant la décision **Neutre** et suggérant que le titre n'est ni surévalué ni sous-évalué techniquement à court terme.</w:t>
      </w:r>
    </w:p>
    <w:p>
      <w:pPr>
        <w:spacing w:after="120" w:line="276" w:lineRule="auto"/>
      </w:pPr>
      <w:r>
        <w:t>**Stochastique** : Le %K (60,241) est supérieur au %D (40,161), configuration haussière avec un croisement récent à la hausse, mais les deux courbes restent dans une zone intermédiaire sans signal extrême. La décision **Neutre** reflète cette absence de signal fort, bien que le croisement %K/%D penche légèrement en faveur des acheteurs.</w:t>
      </w:r>
    </w:p>
    <w:p>
      <w:pPr>
        <w:spacing w:after="120" w:line="276" w:lineRule="auto"/>
      </w:pPr>
      <w:r>
        <w:t>**Conclusion technique** : Les indicateurs présentent une configuration mitigée mais globalement constructive : les moyennes mobiles confirment la tendance haussière de fond, les Bandes de Bollinger et le RSI indiquent une absence d'excès, tandis que le MACD signale un essoufflement tactique à court terme. Le signal d'achat des MM et le croisement haussier du stochastique l'emportent sur la divergence MACD, suggérant une consolidation possible avant une reprise, dans un contexte de tendance haussière intacte.</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annuel publié, analysé le 01/10/2026) révèlent une banque en pleine accélération : le Produit Net Bancaire s'établit à 138,986 milliards FCFA (+6,1%), le Résultat Net à 65,495 milliards FCFA en progression spectaculaire de +36,6% par rapport aux 47,937 milliards de 2024, et le Résultat Brut d'Exploitation à 88,412 milliards FCFA. Le coefficient d'exploitation de 36,39% — très en dessous du seuil de 60% et même du seuil d'excellence de 50% — confirme une efficacité opérationnelle remarquable, tandis que la marge nette de 47,12% et la marge opérationnelle de 51,77% témoignent d'une rentabilité de haut niveau. Le ROA de 2,18% et la rotation des actifs de 4,64% traduisent une bonne utilisation du bilan de 2 997,8 milliards FCFA, et le taux de croissance du PNB de 6,11% confirme la dynamique commerciale. Le ratio dépôts/crédits (2 015,3 milliards de dépôts clientèle contre 1 327,0 milliards de créances) s'établit à environ 66%, reflétant une collecte abondante et une transformation prudente — la forte croissance des dépôts (+14,9%) contrastant avec une progression plus modérée des crédits (+5,4%) signale une politique de crédit sélective. Le coût du risque s'est amélioré de 59,3% à 16,5 milliards FCFA, confirmant l'assainissement du portefeuille engagé en 2024 (où le coût du risque avait explosé de +72,5%, faisant chuter le résultat net de -25,4% à 47,9 milliards). L'évolution pluriannuelle est éloquente : de 56,5 milliards de résultat net en 2022 à 47,9 milliards en 2024 (creux d'assainissement) puis 65,5 milliards en 2025, la banque démontre une capacité de rebond remarquable. Les rapports trimestriels les plus récents confirment cette trajectoire : le T1 2026 (rapport analysé le 03/10/2026) affiche un PNB de 36,8 milliards FCFA (+28,5%) et un Résultat Net de 21,5 milliards FCFA (+22,2%), avec des dépôts en hausse de +37,9% à 2 365,1 milliards FCFA ; sur cette base, on estime que l'exercice 2026 devrait dépasser les 90 milliards FCFA de résultat net si la dynamique se maintient. La notation financière AA/AI avec perspective stable (Bloomfield) et le renforcement de la gouvernance par deux administrateurs indépendants (AG du 16 avril 2026) consolident le profil de crédit. En conclusion, la solidité fondamentale est avérée : croissance bénéficiaire forte, efficacité opérationnelle excellente, bilan maîtrisé, avec pour principal risque l'exposition géographique au Burkina Faso et un environnement sécuritaire incertain.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profil d'investissement globalement favorable mais nuancé. Sur le plan de la **valorisation**, le PER de 15,4x et l'EV/EBITDA de 11,4x indiquent un titre correctement valorisé, voire légèrement premium, sans décote injustifiée mais sans exubérance — la prime se justifie par la croissance bénéficiaire de +36,6%. Le **comportement du cours** est nettement haussier (+46,75% sur 100 jours) avec une volatilité élevée (44%) et une distribution platykurtique sans pics extrêmes, profil favorable mais appelant à la prudence sur les points d'entrée. Les **signaux techniques** sont mitigés : les moyennes mobiles (Achat) et le stochastique haussier soutiennent la tendance, mais le MACD baissier et le RSI neutre suggèrent une consolidation imminente — convergence partielle vers un scénario de respiration avant poursuite. Les **fondamentaux** sont le point fort du dossier : résultat net record de 65,5 milliards FCFA en 2025, coefficient d'exploitation de 36,4%, T1 2026 en accélération (+22,2% de résultat net), et assainissement du risque achevé. Les **prédictions IA** (J+1 à J+10) anticipent toutefois une correction progressive de 30 301 à 29 204 FCFA, soit -7,3% sur dix séances, ce qui **contredit** le signal d'achat des moyennes mobiles mais **confirme** la divergence baissière du MACD — les modèles anticipent une consolidation technique après le rallye. Face à cette divergence entre fondamentaux solides et signaux techniques/predictifs de court terme, la recommandation finale est **CONSERVER** avec un biais acheteur sur repli : les investisseurs déjà positionnés doivent conserver leurs titres pour capter la poursuite de la croissance bénéficiaire, tandis que les nouveaux entrants gagneraient à attendre un retour vers la zone 29 000-30 000 FCFA (proche de la MM50 et des prédictions IA) pour se positionner. Le niveau de confiance est **Moyen** (divergence technique/prédiction vs fondamentaux), le niveau de risque global **Moyen à Élevé** (volatilité de 44%, risque pays burkinabè), et l'horizon d'investissement optimal est le **moyen à long terme** (6-18 mois), le temps que la consolidation technique s'achève et que la dynamique bénéficiaire 2026 se matérialise dans les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3,602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-2.36%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5.91%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β=1.1985 (Neutre (suit le marché)) — Cov=0.000090, Var(idx)=0.000075, ρ=0.356,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1,360</w:t>
            </w:r>
          </w:p>
        </w:tc>
        <w:tc>
          <w:tcPr>
            <w:tcW w:type="dxa" w:w="1440"/>
            <w:shd w:fill="FAFAFA" w:val="clear"/>
          </w:tcPr>
          <w:p>
            <w:r>
              <w:rPr>
                <w:b/>
                <w:sz w:val="17"/>
              </w:rPr>
              <w:t>1,429</w:t>
            </w:r>
          </w:p>
        </w:tc>
        <w:tc>
          <w:tcPr>
            <w:tcW w:type="dxa" w:w="1440"/>
            <w:shd w:fill="FAFAFA" w:val="clear"/>
          </w:tcPr>
          <w:p>
            <w:r>
              <w:rPr>
                <w:sz w:val="17"/>
              </w:rPr>
              <w:t>1,498</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1,342</w:t>
            </w:r>
          </w:p>
        </w:tc>
        <w:tc>
          <w:tcPr>
            <w:tcW w:type="dxa" w:w="1440"/>
            <w:shd w:fill="FAFAFA" w:val="clear"/>
          </w:tcPr>
          <w:p>
            <w:r>
              <w:rPr>
                <w:b/>
                <w:sz w:val="17"/>
              </w:rPr>
              <w:t>1,440</w:t>
            </w:r>
          </w:p>
        </w:tc>
        <w:tc>
          <w:tcPr>
            <w:tcW w:type="dxa" w:w="1440"/>
            <w:shd w:fill="FAFAFA" w:val="clear"/>
          </w:tcPr>
          <w:p>
            <w:r>
              <w:rPr>
                <w:sz w:val="17"/>
              </w:rPr>
              <w:t>1,539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1,328</w:t>
            </w:r>
          </w:p>
        </w:tc>
        <w:tc>
          <w:tcPr>
            <w:tcW w:type="dxa" w:w="1440"/>
            <w:shd w:fill="FAFAFA" w:val="clear"/>
          </w:tcPr>
          <w:p>
            <w:r>
              <w:rPr>
                <w:b/>
                <w:sz w:val="17"/>
              </w:rPr>
              <w:t>1,449</w:t>
            </w:r>
          </w:p>
        </w:tc>
        <w:tc>
          <w:tcPr>
            <w:tcW w:type="dxa" w:w="1440"/>
            <w:shd w:fill="FAFAFA" w:val="clear"/>
          </w:tcPr>
          <w:p>
            <w:r>
              <w:rPr>
                <w:sz w:val="17"/>
              </w:rPr>
              <w:t>1,571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1,317</w:t>
            </w:r>
          </w:p>
        </w:tc>
        <w:tc>
          <w:tcPr>
            <w:tcW w:type="dxa" w:w="1440"/>
            <w:shd w:fill="FAFAFA" w:val="clear"/>
          </w:tcPr>
          <w:p>
            <w:r>
              <w:rPr>
                <w:b/>
                <w:sz w:val="17"/>
              </w:rPr>
              <w:t>1,458</w:t>
            </w:r>
          </w:p>
        </w:tc>
        <w:tc>
          <w:tcPr>
            <w:tcW w:type="dxa" w:w="1440"/>
            <w:shd w:fill="FAFAFA" w:val="clear"/>
          </w:tcPr>
          <w:p>
            <w:r>
              <w:rPr>
                <w:sz w:val="17"/>
              </w:rPr>
              <w:t>1,599</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1,307</w:t>
            </w:r>
          </w:p>
        </w:tc>
        <w:tc>
          <w:tcPr>
            <w:tcW w:type="dxa" w:w="1440"/>
            <w:shd w:fill="FAFAFA" w:val="clear"/>
          </w:tcPr>
          <w:p>
            <w:r>
              <w:rPr>
                <w:b/>
                <w:sz w:val="17"/>
              </w:rPr>
              <w:t>1,466</w:t>
            </w:r>
          </w:p>
        </w:tc>
        <w:tc>
          <w:tcPr>
            <w:tcW w:type="dxa" w:w="1440"/>
            <w:shd w:fill="FAFAFA" w:val="clear"/>
          </w:tcPr>
          <w:p>
            <w:r>
              <w:rPr>
                <w:sz w:val="17"/>
              </w:rPr>
              <w:t>1,625</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1,299</w:t>
            </w:r>
          </w:p>
        </w:tc>
        <w:tc>
          <w:tcPr>
            <w:tcW w:type="dxa" w:w="1440"/>
            <w:shd w:fill="FAFAFA" w:val="clear"/>
          </w:tcPr>
          <w:p>
            <w:r>
              <w:rPr>
                <w:b/>
                <w:sz w:val="17"/>
              </w:rPr>
              <w:t>1,474</w:t>
            </w:r>
          </w:p>
        </w:tc>
        <w:tc>
          <w:tcPr>
            <w:tcW w:type="dxa" w:w="1440"/>
            <w:shd w:fill="FAFAFA" w:val="clear"/>
          </w:tcPr>
          <w:p>
            <w:r>
              <w:rPr>
                <w:sz w:val="17"/>
              </w:rPr>
              <w:t>1,649</w:t>
            </w:r>
          </w:p>
        </w:tc>
        <w:tc>
          <w:tcPr>
            <w:tcW w:type="dxa" w:w="1440"/>
            <w:shd w:fill="FAFAFA" w:val="clear"/>
          </w:tcPr>
          <w:p>
            <w:r>
              <w:rPr>
                <w:b/>
                <w:color w:val="008000"/>
                <w:sz w:val="17"/>
              </w:rPr>
              <w:t>+1.7%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1,292</w:t>
            </w:r>
          </w:p>
        </w:tc>
        <w:tc>
          <w:tcPr>
            <w:tcW w:type="dxa" w:w="1440"/>
            <w:shd w:fill="C6EFCE" w:val="clear"/>
          </w:tcPr>
          <w:p>
            <w:r>
              <w:rPr>
                <w:b/>
                <w:sz w:val="17"/>
              </w:rPr>
              <w:t>1,482</w:t>
            </w:r>
          </w:p>
        </w:tc>
        <w:tc>
          <w:tcPr>
            <w:tcW w:type="dxa" w:w="1440"/>
            <w:shd w:fill="C6EFCE" w:val="clear"/>
          </w:tcPr>
          <w:p>
            <w:r>
              <w:rPr>
                <w:sz w:val="17"/>
              </w:rPr>
              <w:t>1,672</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1,286</w:t>
            </w:r>
          </w:p>
        </w:tc>
        <w:tc>
          <w:tcPr>
            <w:tcW w:type="dxa" w:w="1440"/>
            <w:shd w:fill="C6EFCE" w:val="clear"/>
          </w:tcPr>
          <w:p>
            <w:r>
              <w:rPr>
                <w:b/>
                <w:sz w:val="17"/>
              </w:rPr>
              <w:t>1,489</w:t>
            </w:r>
          </w:p>
        </w:tc>
        <w:tc>
          <w:tcPr>
            <w:tcW w:type="dxa" w:w="1440"/>
            <w:shd w:fill="C6EFCE" w:val="clear"/>
          </w:tcPr>
          <w:p>
            <w:r>
              <w:rPr>
                <w:sz w:val="17"/>
              </w:rPr>
              <w:t>1,693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1,279</w:t>
            </w:r>
          </w:p>
        </w:tc>
        <w:tc>
          <w:tcPr>
            <w:tcW w:type="dxa" w:w="1440"/>
            <w:shd w:fill="C6EFCE" w:val="clear"/>
          </w:tcPr>
          <w:p>
            <w:r>
              <w:rPr>
                <w:b/>
                <w:sz w:val="17"/>
              </w:rPr>
              <w:t>1,497</w:t>
            </w:r>
          </w:p>
        </w:tc>
        <w:tc>
          <w:tcPr>
            <w:tcW w:type="dxa" w:w="1440"/>
            <w:shd w:fill="C6EFCE" w:val="clear"/>
          </w:tcPr>
          <w:p>
            <w:r>
              <w:rPr>
                <w:sz w:val="17"/>
              </w:rPr>
              <w:t>1,714</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1,274</w:t>
            </w:r>
          </w:p>
        </w:tc>
        <w:tc>
          <w:tcPr>
            <w:tcW w:type="dxa" w:w="1440"/>
            <w:shd w:fill="C6EFCE" w:val="clear"/>
          </w:tcPr>
          <w:p>
            <w:r>
              <w:rPr>
                <w:b/>
                <w:sz w:val="17"/>
              </w:rPr>
              <w:t>1,504</w:t>
            </w:r>
          </w:p>
        </w:tc>
        <w:tc>
          <w:tcPr>
            <w:tcW w:type="dxa" w:w="1440"/>
            <w:shd w:fill="C6EFCE" w:val="clear"/>
          </w:tcPr>
          <w:p>
            <w:r>
              <w:rPr>
                <w:sz w:val="17"/>
              </w:rPr>
              <w:t>1,734</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 BRVM | Secteur : Distribution Automobile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262,99 milliards FCFA, CFAC figure parmi les valeurs les plus capitalisées de la cote BRVM, ce qui témoigne de son statut de leader incontesté du marché automobile ivoirien (part de marché de 41,7% au T3 2025). Le BPA de 26 FCFA/action signifie que chaque titre génère 26 FCFA de bénéfice net, un niveau modeste au regard du cours actuel de 1 450 FCFA. Le PER de 56,0x traduit une valorisation extrêmement exigeante — les investisseurs paient 56 fois les bénéfices, soit un multiple très supérieur à la moyenne BRVM (8-12x), ce qui intègre déjà une forte anticipation de croissance et ne laisse aucune marge d'erreur. Le P/B de 13,52x confirme cette prime spectaculaire : le marché valorise l'entreprise à plus de 13 fois sa valeur comptable, bien au-delà du seuil de 4x généralement considéré comme déjà tendu. Enfin, l'EV/EBITDA de 28,6x (contre un seuil d'alerte de 15x) signale que la valeur d'entreprise représente près de 29 fois la capacité opérationnelle de génération de résultat, ce qui place CFAC dans une zone de valorisation très riche, justifiant une prudence marquée malgré la qualité de son leadership sectoriel.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-2,36%, mais la dernière séance (J-1) s'est distinguée par un rebond spectaculaire de +7,41%, ramenant le cours à 1 450 FCFA. Le range de trading s'étend de 1 350 FCFA (plus bas) à 1 825 FCFA (plus haut), soit une amplitude de 475 FCFA qui traduit une forte volatilité intra-période. La tendance générale est baissière sur la période, le cours actuel (1 450 FCFA) se situant nettement sous la moyenne (1 633 FCFA) et la médiane (1 642 FCFA), ce qui confirme une pression vendeuse dominante malgré le sursaut récent. Les statistiques descriptives révèlent une distribution quasi-symétrique : la moyenne (1 633 FCFA) et la médiane (1 642 FCFA) sont très proches, et le skewness de -0,402 (distribution symétrique) indique l'absence de biais directionnel marqué. L'écart-type de 97 FCFA avec un coefficient de variation de 5,9% traduit une dispersion modérée autour de la moyenne, tandis que le kurtosis de -0,429 (mésokurtique, proche d'une distribution normale) suggère un risque de pics extrêmes limité. La volatilité annualisée de 47,8% classe toutefois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(1 517,5 FCFA) et la MM50 (1 627,5 FCFA) se situent toutes deux au-dessus du cours actuel (1 450 FCFA), configurant une structure baissière où le prix évolue sous ses moyennes de référence. La MM20 étant inférieure à la MM50, la tendance de court terme reste alignée à la baisse, ce qui justifie la décision technique de **Vente**.</w:t>
      </w:r>
    </w:p>
    <w:p>
      <w:pPr>
        <w:spacing w:after="120" w:line="276" w:lineRule="auto"/>
      </w:pPr>
      <w:r>
        <w:t>**Bandes de Bollinger** : Le cours (1 450 FCFA) évolue dans la partie basse du canal délimité par la borne inférieure (1 371,231 FCFA) et la borne supérieure (1 663,769 FCFA), sans franchissement des extrêmes. Cette position intermédiaire, couplée à un canal relativement large, traduit une volatilité présente mais sans signal directionnel fort, justifiant la décision **Neutre**.</w:t>
      </w:r>
    </w:p>
    <w:p>
      <w:pPr>
        <w:spacing w:after="120" w:line="276" w:lineRule="auto"/>
      </w:pPr>
      <w:r>
        <w:t>**MACD** : La valeur du MACD (-61,742) est inférieure à sa ligne de signal (-52,19), confirmant un momentum baissier toujours actif. L'écart négatif entre les deux lignes indique que la pression vendeuse persiste, ce qui valide la décision de **Vente** malgré le rebond de J-1.</w:t>
      </w:r>
    </w:p>
    <w:p>
      <w:pPr>
        <w:spacing w:after="120" w:line="276" w:lineRule="auto"/>
      </w:pPr>
      <w:r>
        <w:t>**RSI** : À 41,176, le RSI se situe dans la zone neutre (30-70), sans atteindre la zone de survente (&lt;30) ni de surachat (&gt;70). Cette position médiane reflète un équilibre relatif entre acheteurs et vendeurs, justifiant la décision **Neutre** — le titre n'est ni survendu ni suracheté.</w:t>
      </w:r>
    </w:p>
    <w:p>
      <w:pPr>
        <w:spacing w:after="120" w:line="276" w:lineRule="auto"/>
      </w:pPr>
      <w:r>
        <w:t>**Stochastique** : Le %K (37,736) est supérieur au %D (12,579), configuration qui suggère un début de redressement du momentum court terme, mais les deux courbes restent en zone basse. Le croisement haussier naissant n'est pas encore confirmé, ce qui maintient la décision **Neutre**.</w:t>
      </w:r>
    </w:p>
    <w:p>
      <w:pPr>
        <w:spacing w:after="120" w:line="276" w:lineRule="auto"/>
      </w:pPr>
      <w:r>
        <w:t>**Conclusion technique** : La convergence des signaux est majoritairement baissière — MM en configuration défavorable, MACD négatif — tandis que le RSI, les Bollinger et le Stochastique restent neutres. Le rebond de +7,41% en J-1 constitue un sursaut technique qui ne remet pas encore en cause la tendance de fond baissière. L'ensemble plaide pour une posture attentiste, avec un risque de rechute tant que le cours n'aura pas reconquis la MM20 (1 517,5 FCFA).</w:t>
      </w:r>
    </w:p>
    <w:p>
      <w:pPr>
        <w:spacing w:after="120" w:line="276" w:lineRule="auto"/>
      </w:pPr>
      <w:r>
        <w:t>---</w:t>
      </w:r>
    </w:p>
    <w:p>
      <w:pPr>
        <w:spacing w:after="120" w:line="276" w:lineRule="auto"/>
      </w:pPr>
      <w:r>
        <w:t>## PARTIE 3 : ANALYSE FONDAMENTALE</w:t>
      </w:r>
    </w:p>
    <w:p>
      <w:pPr>
        <w:spacing w:after="120" w:line="276" w:lineRule="auto"/>
      </w:pPr>
      <w:r>
        <w:t>Les états financiers officiels de l'exercice 2024 (rapport « BILAN ANNUEL 2024 » daté du 31/12/2024) établissent un chiffre d'affaires de 158,313 milliards FCFA, en recul de -12,1% par rapport aux 180,162 milliards de 2023, et un résultat net de 4,693 milliards FCFA (-26,7%). Malgré cette contraction, la rentabilité des fonds propres reste excellente avec un ROE de 24,13% (bien supérieur au seuil de 15%) et un ROA de 5,52%, tandis que la marge nette s'établit à 2,96% et la marge opérationnelle à 4,96%. L'analyse du secteur automobile révèle des points de vigilance : le BFR est négatif à -3,482 milliards FCFA (favorable, signe d'un financement par les fournisseurs), mais le délai client de 36,64 jours expose à un risque de trésorerie, tandis que le délai fournisseur de 81,75 jours et la durée de stockage de 88,35 jours immobilisent du capital. La structure financière est correcte (autonomie financière de 22,88%, solvabilité générale de 129,67%, capacité de remboursement de 0,72 an), mais la trésorerie nette est négative à -624,20 millions FCFA et le Free Cash Flow s'établit à -1,650 milliard FCFA en raison d'investissements lourds (-8,741 milliards). Les rapports trimestriels 2025 confirment un net redressement : le T1 2025 (rapport daté du 31/03/2025) affiche un CA de 46,161 milliards (+14,5%) et un résultat net de 3,836 milliards (+279,7%) ; le S1 2025 (rapport du 30/06/2025) confirme avec un CA de 91,182 milliards (+18,4%) et un résultat net de 5,420 milliards (+152,7%) ; enfin le T3 2025 (rapport du 30/09/2025) enregistre un CA de 43,580 milliards (+18,3%) et un résultat net de 1,489 milliard (+38,1%), avec une part de marché consolidée à 41,7%. Sur cette base, on estime que l'exercice 2025 devrait dépasser largement les 180 milliards FCFA de CA et renouer avec une rentabilité supérieure à celle de 2023, ce qui validerait le redressement opérationnel en cours. La recommandation fondamentale est donc positive sur la dynamique (leadership, croissance retrouvée, ROE élevé) mais prudente sur la valorisation et la trésorerie.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les ratios PER (56,0x), P/B (13,52x) et EV/EBITDA (28,6x) indiquent une surévaluation manifeste, le marché intégrant déjà une croissance optimale sans marge de sécurité. **Comportement du cours** : la tendance baissière sur 100 jours (-2,36%), la volatilité élevée (47,8%) et le cours sous les moyennes mobiles sont préoccupants, même si le kurtosis proche de la normale et le skewness symétrique limitent le risque de mouvements extrêmes. **Signaux techniques** : la convergence est majoritairement baissière (MM et MACD en Vente), avec des indicateurs neutres (RSI, Bollinger, Stochastique) qui n'offrent pas de signal de retournement confirmé. **Fondamentaux** : le redressement 2025 est réel et robuste (CA +18,4% au S1, résultat net +152,7%), porté par un leadership sectoriel solide (41,7% de part de marché) et un ROE de 24,13%, mais la trésorerie négative et le FCF de -1,65 milliard en 2024 rappellent les contraintes de financement. **Prédictions IA** : la trajectoire projetée (1 429 → 1 466 FCFA sur J+1 à J+10) suggère une légère consolidation haussière (+1,2% sur 5 séances), cohérente avec le sursaut de J-1 mais sans rupture majeure. Face à cette divergence entre fondamentaux en amélioration et valorisation/technique défavorables, la recommandation finale est **CONSERVER**, avec un niveau de confiance **Moyen** et un risque global **Élevé** (volatilité 47,8%, valorisation tendue, trésorerie fragile). L'horizon optimal est le **moyen terme (3-12 mois)**, le temps que les résultats 2025 se matérialisent et que la valorisation se normalise ; un achat ne serait justifié qu'en cas de repli vers 1 350 FCFA (plus bas du range) ou de confirmation d'un retour durable du cours au-dessus de la MM50 (1 627,5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324.80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6,531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007800"/>
                <w:sz w:val="17"/>
              </w:rPr>
              <w:t>+44.64%</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4,010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14.34% (Moyenne) — μ=5,720 FCFA, σ=820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β=0.7027 (Défensif) — Cov=0.000053, Var(idx)=0.000075, ρ=0.200,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5,643</w:t>
            </w:r>
          </w:p>
        </w:tc>
        <w:tc>
          <w:tcPr>
            <w:tcW w:type="dxa" w:w="1440"/>
            <w:shd w:fill="FAFAFA" w:val="clear"/>
          </w:tcPr>
          <w:p>
            <w:r>
              <w:rPr>
                <w:b/>
                <w:sz w:val="17"/>
              </w:rPr>
              <w:t>5,905</w:t>
            </w:r>
          </w:p>
        </w:tc>
        <w:tc>
          <w:tcPr>
            <w:tcW w:type="dxa" w:w="1440"/>
            <w:shd w:fill="FAFAFA" w:val="clear"/>
          </w:tcPr>
          <w:p>
            <w:r>
              <w:rPr>
                <w:sz w:val="17"/>
              </w:rPr>
              <w:t>6,167</w:t>
            </w:r>
          </w:p>
        </w:tc>
        <w:tc>
          <w:tcPr>
            <w:tcW w:type="dxa" w:w="1440"/>
            <w:shd w:fill="FAFAFA" w:val="clear"/>
          </w:tcPr>
          <w:p>
            <w:r>
              <w:rPr>
                <w:b/>
                <w:color w:val="008000"/>
                <w:sz w:val="17"/>
              </w:rPr>
              <w:t>+1.8%</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5,591</w:t>
            </w:r>
          </w:p>
        </w:tc>
        <w:tc>
          <w:tcPr>
            <w:tcW w:type="dxa" w:w="1440"/>
            <w:shd w:fill="C6EFCE" w:val="clear"/>
          </w:tcPr>
          <w:p>
            <w:r>
              <w:rPr>
                <w:b/>
                <w:sz w:val="17"/>
              </w:rPr>
              <w:t>5,965</w:t>
            </w:r>
          </w:p>
        </w:tc>
        <w:tc>
          <w:tcPr>
            <w:tcW w:type="dxa" w:w="1440"/>
            <w:shd w:fill="C6EFCE" w:val="clear"/>
          </w:tcPr>
          <w:p>
            <w:r>
              <w:rPr>
                <w:sz w:val="17"/>
              </w:rPr>
              <w:t>6,338</w:t>
            </w:r>
          </w:p>
        </w:tc>
        <w:tc>
          <w:tcPr>
            <w:tcW w:type="dxa" w:w="1440"/>
            <w:shd w:fill="C6EFCE" w:val="clear"/>
          </w:tcPr>
          <w:p>
            <w:r>
              <w:rPr>
                <w:b/>
                <w:color w:val="008000"/>
                <w:sz w:val="17"/>
              </w:rPr>
              <w:t>+2.8%</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5,550</w:t>
            </w:r>
          </w:p>
        </w:tc>
        <w:tc>
          <w:tcPr>
            <w:tcW w:type="dxa" w:w="1440"/>
            <w:shd w:fill="C6EFCE" w:val="clear"/>
          </w:tcPr>
          <w:p>
            <w:r>
              <w:rPr>
                <w:b/>
                <w:sz w:val="17"/>
              </w:rPr>
              <w:t>6,012</w:t>
            </w:r>
          </w:p>
        </w:tc>
        <w:tc>
          <w:tcPr>
            <w:tcW w:type="dxa" w:w="1440"/>
            <w:shd w:fill="C6EFCE" w:val="clear"/>
          </w:tcPr>
          <w:p>
            <w:r>
              <w:rPr>
                <w:sz w:val="17"/>
              </w:rPr>
              <w:t>6,473</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5,498</w:t>
            </w:r>
          </w:p>
        </w:tc>
        <w:tc>
          <w:tcPr>
            <w:tcW w:type="dxa" w:w="1440"/>
            <w:shd w:fill="C6EFCE" w:val="clear"/>
          </w:tcPr>
          <w:p>
            <w:r>
              <w:rPr>
                <w:b/>
                <w:sz w:val="17"/>
              </w:rPr>
              <w:t>6,032</w:t>
            </w:r>
          </w:p>
        </w:tc>
        <w:tc>
          <w:tcPr>
            <w:tcW w:type="dxa" w:w="1440"/>
            <w:shd w:fill="C6EFCE" w:val="clear"/>
          </w:tcPr>
          <w:p>
            <w:r>
              <w:rPr>
                <w:sz w:val="17"/>
              </w:rPr>
              <w:t>6,567</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5,445</w:t>
            </w:r>
          </w:p>
        </w:tc>
        <w:tc>
          <w:tcPr>
            <w:tcW w:type="dxa" w:w="1440"/>
            <w:shd w:fill="C6EFCE" w:val="clear"/>
          </w:tcPr>
          <w:p>
            <w:r>
              <w:rPr>
                <w:b/>
                <w:sz w:val="17"/>
              </w:rPr>
              <w:t>6,043</w:t>
            </w:r>
          </w:p>
        </w:tc>
        <w:tc>
          <w:tcPr>
            <w:tcW w:type="dxa" w:w="1440"/>
            <w:shd w:fill="C6EFCE" w:val="clear"/>
          </w:tcPr>
          <w:p>
            <w:r>
              <w:rPr>
                <w:sz w:val="17"/>
              </w:rPr>
              <w:t>6,642</w:t>
            </w:r>
          </w:p>
        </w:tc>
        <w:tc>
          <w:tcPr>
            <w:tcW w:type="dxa" w:w="1440"/>
            <w:shd w:fill="C6EFCE" w:val="clear"/>
          </w:tcPr>
          <w:p>
            <w:r>
              <w:rPr>
                <w:b/>
                <w:color w:val="008000"/>
                <w:sz w:val="17"/>
              </w:rPr>
              <w:t>+4.2%</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5,394</w:t>
            </w:r>
          </w:p>
        </w:tc>
        <w:tc>
          <w:tcPr>
            <w:tcW w:type="dxa" w:w="1440"/>
            <w:shd w:fill="C6EFCE" w:val="clear"/>
          </w:tcPr>
          <w:p>
            <w:r>
              <w:rPr>
                <w:b/>
                <w:sz w:val="17"/>
              </w:rPr>
              <w:t>6,051</w:t>
            </w:r>
          </w:p>
        </w:tc>
        <w:tc>
          <w:tcPr>
            <w:tcW w:type="dxa" w:w="1440"/>
            <w:shd w:fill="C6EFCE" w:val="clear"/>
          </w:tcPr>
          <w:p>
            <w:r>
              <w:rPr>
                <w:sz w:val="17"/>
              </w:rPr>
              <w:t>6,708</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5,347</w:t>
            </w:r>
          </w:p>
        </w:tc>
        <w:tc>
          <w:tcPr>
            <w:tcW w:type="dxa" w:w="1440"/>
            <w:shd w:fill="C6EFCE" w:val="clear"/>
          </w:tcPr>
          <w:p>
            <w:r>
              <w:rPr>
                <w:b/>
                <w:sz w:val="17"/>
              </w:rPr>
              <w:t>6,057</w:t>
            </w:r>
          </w:p>
        </w:tc>
        <w:tc>
          <w:tcPr>
            <w:tcW w:type="dxa" w:w="1440"/>
            <w:shd w:fill="C6EFCE" w:val="clear"/>
          </w:tcPr>
          <w:p>
            <w:r>
              <w:rPr>
                <w:sz w:val="17"/>
              </w:rPr>
              <w:t>6,768</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5,303</w:t>
            </w:r>
          </w:p>
        </w:tc>
        <w:tc>
          <w:tcPr>
            <w:tcW w:type="dxa" w:w="1440"/>
            <w:shd w:fill="C6EFCE" w:val="clear"/>
          </w:tcPr>
          <w:p>
            <w:r>
              <w:rPr>
                <w:b/>
                <w:sz w:val="17"/>
              </w:rPr>
              <w:t>6,063</w:t>
            </w:r>
          </w:p>
        </w:tc>
        <w:tc>
          <w:tcPr>
            <w:tcW w:type="dxa" w:w="1440"/>
            <w:shd w:fill="C6EFCE" w:val="clear"/>
          </w:tcPr>
          <w:p>
            <w:r>
              <w:rPr>
                <w:sz w:val="17"/>
              </w:rPr>
              <w:t>6,823</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5,261</w:t>
            </w:r>
          </w:p>
        </w:tc>
        <w:tc>
          <w:tcPr>
            <w:tcW w:type="dxa" w:w="1440"/>
            <w:shd w:fill="C6EFCE" w:val="clear"/>
          </w:tcPr>
          <w:p>
            <w:r>
              <w:rPr>
                <w:b/>
                <w:sz w:val="17"/>
              </w:rPr>
              <w:t>6,067</w:t>
            </w:r>
          </w:p>
        </w:tc>
        <w:tc>
          <w:tcPr>
            <w:tcW w:type="dxa" w:w="1440"/>
            <w:shd w:fill="C6EFCE" w:val="clear"/>
          </w:tcPr>
          <w:p>
            <w:r>
              <w:rPr>
                <w:sz w:val="17"/>
              </w:rPr>
              <w:t>6,874</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5,221</w:t>
            </w:r>
          </w:p>
        </w:tc>
        <w:tc>
          <w:tcPr>
            <w:tcW w:type="dxa" w:w="1440"/>
            <w:shd w:fill="C6EFCE" w:val="clear"/>
          </w:tcPr>
          <w:p>
            <w:r>
              <w:rPr>
                <w:b/>
                <w:sz w:val="17"/>
              </w:rPr>
              <w:t>6,071</w:t>
            </w:r>
          </w:p>
        </w:tc>
        <w:tc>
          <w:tcPr>
            <w:tcW w:type="dxa" w:w="1440"/>
            <w:shd w:fill="C6EFCE" w:val="clear"/>
          </w:tcPr>
          <w:p>
            <w:r>
              <w:rPr>
                <w:sz w:val="17"/>
              </w:rPr>
              <w:t>6,922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 RAPPORT D'ANALYSE FINANCIÈRE — CIEC (Compagnie Ivoirienne d'Électricité)</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**324,80 milliards FCFA**, la CIEC figure parmi les valeurs les plus importantes de la cote BRVM, ce qui témoigne de son statut de monopole régulé dans le secteur électrique ivoirien. Le BPA de **234 FCFA/action** (correspondant au dividende proposé de 234 FCFA, soit un taux de distribution quasi total du résultat net) confère au titre un rendement implicite de 4,03% au cours actuel de 5 800 FCFA. Le PER de **24,7x** est nettement supérieur à la moyenne BRVM (~8-12x), signalant que les investisseurs paient une prime élevée pour la croissance attendue ou que le titre est surévalué. Le P/B de **9,03x** (très supérieur au seuil de 4x) traduit une forte prime par rapport à la valeur comptable, cohérente avec la faible assise en capitaux propres (35,96 Mds FCFA) d'un modèle de concession à faible intensité capitalistique. Enfin, l'EV/EBITDA de **13,8x** (fourchette 10-15x) confirme une valorisation exigeante au regard de la capacité opérationnelle, laissant peu de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affiche une progression spectaculaire de **+44,64%**, malgré un repli de **-2,52%** lors de la dernière séance, portant le cours à **5 800 FCFA**. Le range de trading est très large, entre un plus bas de **4 010 FCFA** et un plus haut de **7 400 FCFA**, soit une amplitude de près de 85% qui illustre une phase de forte volatilité directionnelle. La tendance générale est clairement haussière sur la période, mais le repli récent depuis les sommets suggère une prise de bénéfices. Les statistiques descriptives révèlent une moyenne de **5 720 FCFA** légèrement supérieure à la médiane de **5 358 FCFA**, avec un mode à **4 995 FCFA** : l'écart moyenne-médiane positif indique une distribution légèrement tirée vers le haut par les pics récents, cohérent avec le skewness de **+0,216** (distribution quasi symétrique, légèrement étalée à droite). L'écart-type de **824 FCFA** et le coefficient de variation de **14,4%** traduisent une dispersion modérée autour de la moyenne, tandis que le kurtosis de **-0,997** (mésokurtique) indique une distribution proche de la normale, sans risque excessif de pics extrêmes. La volatilité annualisée de **48,2%** classe le titre dans la catégorie **élevée** (&gt;30%), ce qui est cohérent avec un marché frontière peu liquide (volume moyen de 6 531 titres/jour) et une valorisation sensible aux annonces réglementaires.</w:t>
      </w:r>
    </w:p>
    <w:p>
      <w:pPr>
        <w:spacing w:after="120" w:line="276" w:lineRule="auto"/>
      </w:pPr>
      <w:r>
        <w:t>---</w:t>
      </w:r>
    </w:p>
    <w:p>
      <w:pPr>
        <w:spacing w:after="120" w:line="276" w:lineRule="auto"/>
      </w:pPr>
      <w:r>
        <w:t>## PARTIE 2 : ANALYSE TECHNIQUE DÉTAILLÉE</w:t>
      </w:r>
    </w:p>
    <w:p>
      <w:pPr>
        <w:spacing w:after="120" w:line="276" w:lineRule="auto"/>
      </w:pPr>
      <w:r>
        <w:t>**Moyennes Mobiles** : La MM20 (**6 303 FCFA**) et la MM50 (**6 391,5 FCFA**) se situent toutes deux nettement au-dessus du cours actuel (5 800 FCFA), et la MM20 est en dessous de la MM50, configuration baissière caractéristique d'un retournement de tendance. Le cours évoluant sous ses deux moyennes mobiles, la décision technique est **Vente**, confirmant que la dynamique de court et moyen terme s'est inversée après le sommet de 7 400 FCFA.</w:t>
      </w:r>
    </w:p>
    <w:p>
      <w:pPr>
        <w:spacing w:after="120" w:line="276" w:lineRule="auto"/>
      </w:pPr>
      <w:r>
        <w:t>**Bandes de Bollinger** : Le cours (5 800 FCFA) se situe **sous la borne inférieure** (5 865,09 FCFA), ce qui constitue un signal de survente extrême et une configuration de rebond potentiel. La largeur des bandes (borne supérieure à 6 740,91 FCFA) reflète une volatilité encore élevée, mais la sortie par le bas suggère que le marché a peut-être exagéré la correction. La décision technique qui en résulte est **Achat** (retour à la moyenne attendu).</w:t>
      </w:r>
    </w:p>
    <w:p>
      <w:pPr>
        <w:spacing w:after="120" w:line="276" w:lineRule="auto"/>
      </w:pPr>
      <w:r>
        <w:t>**MACD** : La valeur du MACD (**-129,78**) est inférieure à son signal (**-58,63**), avec un histogramme négatif et un écartement croissant : le momentum baissier reste dominant et s'intensifie. La décision est **Vente**, le croisement baissier n'étant pas encore résorbé malgré la proximité de la zone de survente.</w:t>
      </w:r>
    </w:p>
    <w:p>
      <w:pPr>
        <w:spacing w:after="120" w:line="276" w:lineRule="auto"/>
      </w:pPr>
      <w:r>
        <w:t>**RSI** : À **26,47**, le RSI se situe en zone de **survente** (&lt;30), signalant un épuisement probable de la pression vendeuse et un potentiel de rebond technique. La décision est **Achat**, le titre étant statistiquement survendu après la correction de -2,52%.</w:t>
      </w:r>
    </w:p>
    <w:p>
      <w:pPr>
        <w:spacing w:after="120" w:line="276" w:lineRule="auto"/>
      </w:pPr>
      <w:r>
        <w:t>**Stochastique** : Le %K et le %D sont tous deux à **0,0**, niveau extrême de survente absolue, indiquant que le cours clôture systématiquement près de ses plus bas récents. Un croisement haussier du %K au-dessus du %D est imminent et constituerait un signal d'achat contrariant. La décision est **Achat**.</w:t>
      </w:r>
    </w:p>
    <w:p>
      <w:pPr>
        <w:spacing w:after="120" w:line="276" w:lineRule="auto"/>
      </w:pPr>
      <w:r>
        <w:t>**Conclusion technique** : Les indicateurs présentent une **divergence marquée** : les moyennes mobiles et le MACD confirment une tendance baissière de fond (décision Vente), tandis que le RSI, le stochastique et les bandes de Bollinger signalent une survente extrême propice à un rebond technique (décision Achat). Cette configuration typique de fin de correction suggère un **point d'entrée contrariant** pour un investisseur de moyen terme, mais nécessite une confirmation par un retour du cours au-dessus de la borne inférieure de Bollinger (5 865 FCFA) et un croisement haussier du stochastique.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En 2025, la CIEC réalise un chiffre d'affaires de **302,32 milliards FCFA**, en croissance de **+14,82%** (contre 263,29 Mds FCFA en 2024), portée par la hausse des ventes d'énergie (+8,3% en volume national, +21,7% à l'export) et l'expansion de la base clientèle (+15,1% à 5,28 millions de clients). Le résultat net s'établit à **13,127 milliards FCFA**, en progression de **+24,4%**, avec une marge nette de **4,34%** et une marge opérationnelle de **7,40%**. La rentabilité des fonds propres (ROE) atteint un niveau **excellent de 36,50%** (&gt;15%), tandis que le ROA reste faible à **0,65%**, reflet d'un modèle de concession à faible intensité capitalistique (total actif de 2 018,45 Mds FCFA dont une large part d'actifs gérés pour le compte de l'Autorité concédante). L'EBE progresse de **+23,2% à 37,16 Mds FCFA**, et la CAF de **28,87 Mds FCFA** couvre largement les investissements (121,6%). **Points d'attention (secteur ENTREPRISE)** : le BFR est **négatif à -90,24 Mds FCFA** (favorable, financement par les fournisseurs), mais le délai client de **164 jours** est élevé (risque de trésorerie sur les créances de 137,73 Mds FCFA), tandis que le délai fournisseur de **970 jours** offre un coussin de liquidité considérable. La structure financière est **fragile** : autonomie financière de seulement **1,78%** (très en dessous du seuil de 30%), ratio d'endettement de **612,9%** et dépendance financière de **98,2%**, bien que la solvabilité générale (101,8%) et la couverture des intérêts (617,7%) restent satisfaisantes. **Estimations basées sur les rapports semestriels** : le rapport S1 2025 (daté du 30/06/2025) affiche un CA de 134,92 Mds FCFA (+18,85%) et un résultat net de 5,096 Mds FCFA (+13,37%), confirmant la trajectoire annuelle ; on estime donc que l'exercice 2026 devrait poursuivre cette dynamique avec une croissance du CA de l'ordre de **+10 à +15%**, soutenue par le programme PEPT (branchements +53,5%). **Recommandation fondamentale** : la solidité opérationnelle et la croissance sont réelles, mais la valorisation exigeante (PER 24,7x, P/B 9,03x) et la structure financière très endettée limitent la marge de sécurité — **CONSERVER** avec surveillance du risque de crédit client et du cadre réglementaire de la concession (rapport du 31/12/2026).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profond entre le fondamental et la technique**. Sur le plan de la **valorisation (Partie 0)**, les ratios PER (24,7x), P/B (9,03x) et EV/EBITDA (13,8x) indiquent une **surévaluation** manifeste par rapport aux standards BRVM, laissant peu de marge de sécurité malgré la qualité des fondamentaux. Le **comportement du cours (Partie 1)** montre une tendance haussière de +44,64% sur 100 jours mais une correction récente (-2,52%) depuis le sommet de 7 400 FCFA, avec une volatilité élevée (48,2%) et une distribution mésokurtique sans risque extrême — profil préoccupant à court terme. Les **signaux techniques (Partie 2)** sont **divergents** : baissiers pour les MM et le MACD, mais fortement haussiers pour le RSI (26,47), le stochastique (0,0) et les bandes de Bollinger (sous la borne inférieure), suggérant un rebond technique imminent. Les **fondamentaux (Partie 3)** demeurent solides (CA +14,8%, RN +24,4%, ROE 36,5%) mais fragilisés par un endettement massif (autonomie financière 1,78%) et un délai client élevé (164 jours). Les **prédictions IA (J+1 à J+10)** anticipent une trajectoire haussière de 5 905 à 6 043 FCFA (+4,2% sur 10 jours), **confirmant le scénario de rebond technique** suggéré par le RSI et le stochastique. **Recommandation finale : CONSERVER** — la convergence entre la survente technique et les prédictions haussières plaide pour ne pas vendre au plus bas, mais la surévaluation fondamentale et la structure financière endettée interdisent un achat agressif. **Niveau de confiance : Moyen** (divergence technique/fondamental), **niveau de risque : Élevé** (volatilité 48,2%, endettement 612,9%, dépendance réglementaire). **Horizon optimal : moyen terme (3-12 mois)**, en attendant la confirmation du rebond au-dessus de 6 303 FCFA (MM20) et la publication des résultats annuels 2026 pour valider la soutenabilité de la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875.30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4,213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B40000"/>
                <w:sz w:val="17"/>
              </w:rPr>
              <w:t>-2.45%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μ=16,588 FCFA, σ=448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β=0.3574 (Défensif) — Cov=0.000027, Var(idx)=0.000075, ρ=0.192,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15,763</w:t>
            </w:r>
          </w:p>
        </w:tc>
        <w:tc>
          <w:tcPr>
            <w:tcW w:type="dxa" w:w="1440"/>
            <w:shd w:fill="FAFAFA" w:val="clear"/>
          </w:tcPr>
          <w:p>
            <w:r>
              <w:rPr>
                <w:b/>
                <w:sz w:val="17"/>
              </w:rPr>
              <w:t>16,139</w:t>
            </w:r>
          </w:p>
        </w:tc>
        <w:tc>
          <w:tcPr>
            <w:tcW w:type="dxa" w:w="1440"/>
            <w:shd w:fill="FAFAFA" w:val="clear"/>
          </w:tcPr>
          <w:p>
            <w:r>
              <w:rPr>
                <w:sz w:val="17"/>
              </w:rPr>
              <w:t>16,516</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15,629</w:t>
            </w:r>
          </w:p>
        </w:tc>
        <w:tc>
          <w:tcPr>
            <w:tcW w:type="dxa" w:w="1440"/>
            <w:shd w:fill="FAFAFA" w:val="clear"/>
          </w:tcPr>
          <w:p>
            <w:r>
              <w:rPr>
                <w:b/>
                <w:sz w:val="17"/>
              </w:rPr>
              <w:t>16,162</w:t>
            </w:r>
          </w:p>
        </w:tc>
        <w:tc>
          <w:tcPr>
            <w:tcW w:type="dxa" w:w="1440"/>
            <w:shd w:fill="FAFAFA" w:val="clear"/>
          </w:tcPr>
          <w:p>
            <w:r>
              <w:rPr>
                <w:sz w:val="17"/>
              </w:rPr>
              <w:t>16,696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15,541</w:t>
            </w:r>
          </w:p>
        </w:tc>
        <w:tc>
          <w:tcPr>
            <w:tcW w:type="dxa" w:w="1440"/>
            <w:shd w:fill="FAFAFA" w:val="clear"/>
          </w:tcPr>
          <w:p>
            <w:r>
              <w:rPr>
                <w:b/>
                <w:sz w:val="17"/>
              </w:rPr>
              <w:t>16,195</w:t>
            </w:r>
          </w:p>
        </w:tc>
        <w:tc>
          <w:tcPr>
            <w:tcW w:type="dxa" w:w="1440"/>
            <w:shd w:fill="FAFAFA" w:val="clear"/>
          </w:tcPr>
          <w:p>
            <w:r>
              <w:rPr>
                <w:sz w:val="17"/>
              </w:rPr>
              <w:t>16,850</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2026-10-22</w:t>
            </w:r>
          </w:p>
        </w:tc>
        <w:tc>
          <w:tcPr>
            <w:tcW w:type="dxa" w:w="1440"/>
            <w:shd w:fill="C6EFCE" w:val="clear"/>
          </w:tcPr>
          <w:p>
            <w:r>
              <w:rPr>
                <w:sz w:val="17"/>
              </w:rPr>
              <w:t>15,466</w:t>
            </w:r>
          </w:p>
        </w:tc>
        <w:tc>
          <w:tcPr>
            <w:tcW w:type="dxa" w:w="1440"/>
            <w:shd w:fill="C6EFCE" w:val="clear"/>
          </w:tcPr>
          <w:p>
            <w:r>
              <w:rPr>
                <w:b/>
                <w:sz w:val="17"/>
              </w:rPr>
              <w:t>16,223</w:t>
            </w:r>
          </w:p>
        </w:tc>
        <w:tc>
          <w:tcPr>
            <w:tcW w:type="dxa" w:w="1440"/>
            <w:shd w:fill="C6EFCE" w:val="clear"/>
          </w:tcPr>
          <w:p>
            <w:r>
              <w:rPr>
                <w:sz w:val="17"/>
              </w:rPr>
              <w:t>16,980</w:t>
            </w:r>
          </w:p>
        </w:tc>
        <w:tc>
          <w:tcPr>
            <w:tcW w:type="dxa" w:w="1440"/>
            <w:shd w:fill="C6EFCE"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2026-10-23</w:t>
            </w:r>
          </w:p>
        </w:tc>
        <w:tc>
          <w:tcPr>
            <w:tcW w:type="dxa" w:w="1440"/>
            <w:shd w:fill="C6EFCE" w:val="clear"/>
          </w:tcPr>
          <w:p>
            <w:r>
              <w:rPr>
                <w:sz w:val="17"/>
              </w:rPr>
              <w:t>15,399</w:t>
            </w:r>
          </w:p>
        </w:tc>
        <w:tc>
          <w:tcPr>
            <w:tcW w:type="dxa" w:w="1440"/>
            <w:shd w:fill="C6EFCE" w:val="clear"/>
          </w:tcPr>
          <w:p>
            <w:r>
              <w:rPr>
                <w:b/>
                <w:sz w:val="17"/>
              </w:rPr>
              <w:t>16,247</w:t>
            </w:r>
          </w:p>
        </w:tc>
        <w:tc>
          <w:tcPr>
            <w:tcW w:type="dxa" w:w="1440"/>
            <w:shd w:fill="C6EFCE" w:val="clear"/>
          </w:tcPr>
          <w:p>
            <w:r>
              <w:rPr>
                <w:sz w:val="17"/>
              </w:rPr>
              <w:t>17,095</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15,340</w:t>
            </w:r>
          </w:p>
        </w:tc>
        <w:tc>
          <w:tcPr>
            <w:tcW w:type="dxa" w:w="1440"/>
            <w:shd w:fill="C6EFCE" w:val="clear"/>
          </w:tcPr>
          <w:p>
            <w:r>
              <w:rPr>
                <w:b/>
                <w:sz w:val="17"/>
              </w:rPr>
              <w:t>16,270</w:t>
            </w:r>
          </w:p>
        </w:tc>
        <w:tc>
          <w:tcPr>
            <w:tcW w:type="dxa" w:w="1440"/>
            <w:shd w:fill="C6EFCE" w:val="clear"/>
          </w:tcPr>
          <w:p>
            <w:r>
              <w:rPr>
                <w:sz w:val="17"/>
              </w:rPr>
              <w:t>17,200</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15,287</w:t>
            </w:r>
          </w:p>
        </w:tc>
        <w:tc>
          <w:tcPr>
            <w:tcW w:type="dxa" w:w="1440"/>
            <w:shd w:fill="C6EFCE" w:val="clear"/>
          </w:tcPr>
          <w:p>
            <w:r>
              <w:rPr>
                <w:b/>
                <w:sz w:val="17"/>
              </w:rPr>
              <w:t>16,293</w:t>
            </w:r>
          </w:p>
        </w:tc>
        <w:tc>
          <w:tcPr>
            <w:tcW w:type="dxa" w:w="1440"/>
            <w:shd w:fill="C6EFCE" w:val="clear"/>
          </w:tcPr>
          <w:p>
            <w:r>
              <w:rPr>
                <w:sz w:val="17"/>
              </w:rPr>
              <w:t>17,299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15,239</w:t>
            </w:r>
          </w:p>
        </w:tc>
        <w:tc>
          <w:tcPr>
            <w:tcW w:type="dxa" w:w="1440"/>
            <w:shd w:fill="C6EFCE" w:val="clear"/>
          </w:tcPr>
          <w:p>
            <w:r>
              <w:rPr>
                <w:b/>
                <w:sz w:val="17"/>
              </w:rPr>
              <w:t>16,316</w:t>
            </w:r>
          </w:p>
        </w:tc>
        <w:tc>
          <w:tcPr>
            <w:tcW w:type="dxa" w:w="1440"/>
            <w:shd w:fill="C6EFCE" w:val="clear"/>
          </w:tcPr>
          <w:p>
            <w:r>
              <w:rPr>
                <w:sz w:val="17"/>
              </w:rPr>
              <w:t>17,393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15,195</w:t>
            </w:r>
          </w:p>
        </w:tc>
        <w:tc>
          <w:tcPr>
            <w:tcW w:type="dxa" w:w="1440"/>
            <w:shd w:fill="C6EFCE" w:val="clear"/>
          </w:tcPr>
          <w:p>
            <w:r>
              <w:rPr>
                <w:b/>
                <w:sz w:val="17"/>
              </w:rPr>
              <w:t>16,338</w:t>
            </w:r>
          </w:p>
        </w:tc>
        <w:tc>
          <w:tcPr>
            <w:tcW w:type="dxa" w:w="1440"/>
            <w:shd w:fill="C6EFCE" w:val="clear"/>
          </w:tcPr>
          <w:p>
            <w:r>
              <w:rPr>
                <w:sz w:val="17"/>
              </w:rPr>
              <w:t>17,482</w:t>
            </w:r>
          </w:p>
        </w:tc>
        <w:tc>
          <w:tcPr>
            <w:tcW w:type="dxa" w:w="1440"/>
            <w:shd w:fill="C6EFCE" w:val="clear"/>
          </w:tcPr>
          <w:p>
            <w:r>
              <w:rPr>
                <w:b/>
                <w:color w:val="008000"/>
                <w:sz w:val="17"/>
              </w:rPr>
              <w:t>+2.8%</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15,153</w:t>
            </w:r>
          </w:p>
        </w:tc>
        <w:tc>
          <w:tcPr>
            <w:tcW w:type="dxa" w:w="1440"/>
            <w:shd w:fill="C6EFCE" w:val="clear"/>
          </w:tcPr>
          <w:p>
            <w:r>
              <w:rPr>
                <w:b/>
                <w:sz w:val="17"/>
              </w:rPr>
              <w:t>16,360</w:t>
            </w:r>
          </w:p>
        </w:tc>
        <w:tc>
          <w:tcPr>
            <w:tcW w:type="dxa" w:w="1440"/>
            <w:shd w:fill="C6EFCE" w:val="clear"/>
          </w:tcPr>
          <w:p>
            <w:r>
              <w:rPr>
                <w:sz w:val="17"/>
              </w:rPr>
              <w:t>17,567</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875,30 Mds FCFA, ECOC s'impose comme l'une des plus grandes capitalisations de la cote BRVM, ce qui témoigne de son statut de valeur de premier plan dans le compartiment bancaire régional. Le BPA de 1 153 FCFA/action signifie que chaque titre génère un bénéfice net de plus de mille francs CFA, un niveau confortable qui soutient la politique de distribution généreuse de la banque. Le PER de 13,8x se situe légèrement au-dessus de la moyenne BRVM (~8-12x), traduisant une prime de qualité modérée mais non excessive pour un établissement affichant un ROE proche de 29%. En revanche, le P/B de 4,00x constitue une valorisation exigeante : le marché paie quatre fois la valeur comptable, ce qui intègre déjà une forte anticipation de rentabilité future et ne laisse que peu de marge d'erreur. L'EV/EBITDA de 13,6x, dans la fourchette haute (10-15x), confirme cette valorisation premium — le titre n'est pas « bon marché » mais se justifie par la qualité des fondamentaux, à condition que la dynamique bénéficiaire se maintienne.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-2,45%, avec une dernière séance en repli de -0,62%, portant le cours actuel à 15 900 FCFA. Le range de trading s'étend de 15 715 FCFA (plus bas) à 17 725 FCFA (plus haut), soit une amplitude d'environ 12,8% — le cours évolue actuellement dans le bas de cette fourchette, à seulement 1,2% du plancher, ce qui traduit une tendance baissière sur la période. Les statistiques descriptives révèlent une distribution remarquablement symétrique : la moyenne (16 588 FCFA) et la médiane (16 620 FCFA) sont quasi confondues, cohérentes avec un skewness de 0,187 (distribution symétrique), tandis que le mode à 16 000 FCFA suggère un point d'équilibre psychologique du marché. L'écart-type de 450 FCFA et le coefficient de variation de 2,7% indiquent une dispersion très faible du cours — le titre a évolué dans un couloir étroit, signe d'une forte stabilité. Le kurtosis de -0,375 (mésokurtique, proche d'une distribution normale) suggère une absence de pics extrêmes, donc un risque de choc brutal limité. La volatilité annualisée de 25,3% se situe dans la zone modérée (15-30%), acceptable pour une valeur bancaire de qualité, bien que légèrement supérieure à la moyenne du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(16 656,25 FCFA) et la MM50 (16 733,10 FCFA) se situent toutes deux nettement au-dessus du cours actuel (15 900 FCFA), avec la MM20 légèrement sous la MM50 — configuration baissière classique. Le cours évoluant sous ses deux moyennes, la pression vendeuse domine et justifie la décision **Vente**.</w:t>
      </w:r>
    </w:p>
    <w:p>
      <w:pPr>
        <w:spacing w:after="120" w:line="276" w:lineRule="auto"/>
      </w:pPr>
      <w:r>
        <w:t>**Bandes de Bollinger** : Le cours (15 900 FCFA) touche quasiment la borne inférieure (15 919,46 FCFA), tandis que la borne supérieure se situe à 17 393,04 FCFA. Cette position en bas de bande signale une survente et un potentiel de rebond technique, justifiant la décision **Achat** — le titre est statistiquement « étiré » vers le bas.</w:t>
      </w:r>
    </w:p>
    <w:p>
      <w:pPr>
        <w:spacing w:after="120" w:line="276" w:lineRule="auto"/>
      </w:pPr>
      <w:r>
        <w:t>**MACD** : La valeur du MACD (-218,595) est inférieure à son signal (-107,176), avec un histogramme négatif et un creusement de l'écart — le momentum baissier s'accentue. Cette divergence négative confirme la décision **Vente** à court terme.</w:t>
      </w:r>
    </w:p>
    <w:p>
      <w:pPr>
        <w:spacing w:after="120" w:line="276" w:lineRule="auto"/>
      </w:pPr>
      <w:r>
        <w:t>**RSI** : À 24,507, le RSI se situe nettement sous le seuil de survente de 30, un niveau rarement atteint qui signale un épuisement des vendeurs et une probabilité élevée de rebond. Cette configuration extrême justifie la décision **Achat** contrarienne.</w:t>
      </w:r>
    </w:p>
    <w:p>
      <w:pPr>
        <w:spacing w:after="120" w:line="276" w:lineRule="auto"/>
      </w:pPr>
      <w:r>
        <w:t>**Stochastique** : Le %K à 0,0 (plancher absolu) et le %D à 2,892 indiquent une survente extrême, avec un %K sous le %D — situation de retournement potentiel imminent. La décision **Achat** est cohérente avec ce signal de survente maximale.</w:t>
      </w:r>
    </w:p>
    <w:p>
      <w:pPr>
        <w:spacing w:after="120" w:line="276" w:lineRule="auto"/>
      </w:pPr>
      <w:r>
        <w:t>**Conclusion technique** : Les indicateurs présentent une divergence instructive : les moyennes mobiles et le MACD confirment la tendance baissière de fond, tandis que le RSI (24,5), le stochastique (0,0) et la position en bande de Bollinger signalent une survente extrême propice à un rebond technique. Cette configuration « baissière mais survendue » suggère un point d'entrée tactique pour les investisseurs contrariens, avec un risque de rebond avorté si la pression vendeuse persiste. La convergence des trois oscillateurs vers l'achat constitue un signal de court terme crédible.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ECOC affiche un Produit Net Bancaire de 132,725 Mds FCFA et un résultat net de 63,482 Mds FCFA, soit une marge nette exceptionnelle de 47,83%. Le ROE s'établit à 29,04% (largement supérieur au seuil de 15% « excellent ») et le ROA à 3,09%, confirmant une rentabilité de premier ordre. Le coefficient d'exploitation de 42,89% place la banque dans la catégorie « excellente » (&lt;50%), tandis que le coût du risque rapporté aux charges financières (1,36%) reste modéré. La structure bilancielle est solide : dépôts clientèle de 1 626,2 Mds FCFA contre créances clientèle de 1 050,8 Mds FCFA, soit un ratio de transformation de 64,6% — la banque dispose d'une capacité de déploiement du crédit importante (prêts/dépôts de 56,3% au S1 2026). L'autonomie financière de 10,64% est faible en apparence mais normale pour une banque, dont le modèle repose sur le levier des dépôts.</w:t>
      </w:r>
    </w:p>
    <w:p>
      <w:pPr>
        <w:spacing w:after="120" w:line="276" w:lineRule="auto"/>
      </w:pPr>
      <w:r>
        <w:t>**Estimations basées sur les rapports trimestriels** : Le rapport S1 2026 (publié le 26 août 2026) montre un PNB de 64,078 Mds FCFA (+2,0%) et un résultat net de 26,408 Mds FCFA (-8,6%), pénalisé par un coût du risque multiplié par 7,4 à 5,197 Mds FCFA — provisionnement volontairement prudent (taux de couverture 90%). Le rapport T1 2026 (avril 2026) confirmait déjà cette tendance : PNB +3,7% à 30,8 Mds, résultat net -1,6% à 13,0 Mds, avec un coefficient d'exploitation amélioré à 45,7%. Sur cette base, on estime que l'exercice 2026 devrait clôturer avec un résultat net en repli modéré (probablement -5% à -10% vs 2025), la hausse du coût du risque étant conjoncturelle et non structurelle. Le dividende 2025 de 888 FCFA brut/action (781 FCFA net, paiement le 22 mai 2026, selon l'avis de convocation du 10 avril 2026) offre un rendement attractif de 5,6% au cours actuel — un soutien majeur pour le titre.</w:t>
      </w:r>
    </w:p>
    <w:p>
      <w:pPr>
        <w:spacing w:after="120" w:line="276" w:lineRule="auto"/>
      </w:pPr>
      <w:r>
        <w:t>**Recommandation fondamentale** : La solidité financière est indéniable (ROE 29%, coefficient d'exploitation 43%, dividende généreux), mais la dégradation du coût du risque (+21,5% de créances en souffrance) et la contraction des revenus hors intérêts (-25,9%) appellent à la vigilance. Le consensus des rapports (S1 2026, T1 2026) recommande **CONSERVER**, dans l'attente de la normalisation du coût du risque — un passage à l'achat serait justifié si celui-ci se stabilise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profil contrasté mais globalement favorable. **Valorisation** : le PER de 13,8x et le P/B de 4,00x indiquent une valorisation premium, non sous-évaluée, qui intègre la qualité des fondamentaux mais limite le potentiel de re-rating. **Comportement du cours** : la tendance baissière (-2,45%) avec une volatilité modérée (25,3%) et une distribution symétrique (skewness 0,187, kurtosis -0,375) traduit une correction ordonnée plutôt qu'une panique — le titre évolue près de son plancher, ce qui limite le risque de baisse supplémentaire. **Signaux techniques** : divergence entre la tendance de fond (MM, MACD baissiers) et les oscillateurs en survente extrême (RSI 24,5, stochastique 0,0, bande inférieure de Bollinger) — configuration de rebond technique probable à court terme. **Fondamentaux** : ROE de 29%, coefficient d'exploitation de 43%, dividende de 888 FCFA (rendement 5,6%) — une qualité exceptionnelle, tempérée par la hausse du coût du risque au S1 2026. **Prédictions IA** : la trajectoire projetée (16 139 → 16 247 FCFA sur J+1 à J+5) anticipe un rebond de +1,5% à +2,2%, cohérent avec la survente technique et confirmant le scénario de retournement.</w:t>
      </w:r>
    </w:p>
    <w:p>
      <w:pPr>
        <w:spacing w:after="120" w:line="276" w:lineRule="auto"/>
      </w:pPr>
      <w:r>
        <w:t>**Recommandation finale : CONSERVER** (avec biais tactique acheteur pour les contrariens). La convergence est partielle : la valorisation exigeante et la tendance de fond baissière plaident pour la prudence, mais la survente technique extrême, les fondamentaux de qualité et les prédictions IA haussières suggèrent un point d'entrée tactique. **Niveau de confiance : Moyen** — la visibilité sur la normalisation du coût du risque reste limitée. **Niveau de risque global : Moyen** — volatilité modérée, mais sensibilité aux provisions et à l'environnement macroéconomique. **Horizon optimal : moyen terme (3-12 mois)** — le temps que le coût du risque se stabilise et que le marché reconnaisse la résilience bénéficiaire ; les investisseurs de court terme peuvent jouer le rebond technique vers 16 200-16 500 FCFA, tandis que les investisseurs long terme apprécieront le rendement du dividende (5,6%) en attendant la confirmation du S2 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1,699,683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+124.14%</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26.43% (Élevée) — μ=58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β=2.0725 (Très agressif) — Cov=0.000155, Var(idx)=0.000075, ρ=0.457,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1,699,683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 BRVM | Secteur Bancaire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Mds FCFA**, ETIT figure parmi les plus grandes capitalisations de la BRVM, ce qui témoigne de son statut de valeur de premier plan sur le marché régional. Le **BPA de 19 FCFA/action** confère au titre un **PER de seulement 3,4x**, très nettement inférieur à la moyenne du marché BRVM (8-12x), signalant une valorisation défensive et potentiellement sous-évaluée. Le **P/B de 0,74x** — inférieur à 1 — indique que le marché valorise l'action à 26% en dessous de sa valeur comptable, une anomalie qui constitue historiquement une opportunité pour les investisseurs value. Enfin, l'**EV/EBITDA de 4,9x** (sous le seuil de 5x) confirme que la valeur d'entreprise reste modérée au regard de la capacité opérationnelle générée, renforçant le diagnostic d'un titre bon marché sur l'ensemble des métriques disponibles.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 enregistré une **variation totale spectaculaire de +124,14%**, passant d'un plus bas de **29 FCFA** à un plus haut de **78 FCFA**, avant de se stabiliser à **65 FCFA** (variation J-1 de +0,00%). Cette amplitude de trading de 49 FCFA traduit une phase de forte revalorisation, le cours actuel se situant à mi-chemin du range, ce qui suggère une consolidation après le pic. La **moyenne de 58 FCFA** contre une **médiane de 66 FCFA** révèle une distribution asymétrique : la médiane supérieure à la moyenne indique que le cours a passé davantage de séances dans les niveaux élevés, cohérent avec le **skewness de -0,893** (asymétrie négative, plus de journées au-dessus de la moyenne). L'**écart-type de 15 FCFA (CV=26,6%)** traduit une dispersion modérée à élevée, tandis que le **kurtosis de -0,934** (mésokurtique) indique une distribution proche de la normale, sans pics extrêmes marqués — un profil rassurant. La **volatilité annualisée de 61,4%** classe le titre dans la catégorie des valeurs à volatilité **élevée (&gt;30%)**, ce qui est cohérent avec la forte appréciation récente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(67,1 FCFA) et la MM50 (67,56 FCFA) se situent toutes deux au-dessus du cours actuel (65 FCFA), configurant une pression baissière de court terme. La MM50 légèrement supérieure à la MM20 suggère un léger croisement baissier, justifiant la **décision de Vente** émise par le système.</w:t>
      </w:r>
    </w:p>
    <w:p>
      <w:pPr>
        <w:spacing w:after="120" w:line="276" w:lineRule="auto"/>
      </w:pPr>
      <w:r>
        <w:t>**Bandes de Bollinger** : Le cours (65 FCFA) évolue dans la partie basse de la bande (borne inférieure 63,435 / borne supérieure 70,765), sans franchissement des extrêmes. L'absence de sortie de bande traduit une volatilité en cours de normalisation, justifiant la **décision Neutre**.</w:t>
      </w:r>
    </w:p>
    <w:p>
      <w:pPr>
        <w:spacing w:after="120" w:line="276" w:lineRule="auto"/>
      </w:pPr>
      <w:r>
        <w:t>**MACD** : La valeur MACD (-0,739) est inférieure à sa ligne de signal (-0,49), confirmant un momentum négatif et une divergence baissière persistante. Cette configuration justifie la **décision de Vente**, le croisement étant défavorable.</w:t>
      </w:r>
    </w:p>
    <w:p>
      <w:pPr>
        <w:spacing w:after="120" w:line="276" w:lineRule="auto"/>
      </w:pPr>
      <w:r>
        <w:t>**RSI** : À **30,0**, le RSI se situe exactement à la frontière de la zone de survente (seuil 30), sans encore basculer franchement en dessous. Cette position charnière justifie la **décision Neutre**, le titre n'étant ni survendu ni suracheté de manière extrême.</w:t>
      </w:r>
    </w:p>
    <w:p>
      <w:pPr>
        <w:spacing w:after="120" w:line="276" w:lineRule="auto"/>
      </w:pPr>
      <w:r>
        <w:t>**Stochastique** : Le %K à **0,0** et le %D à **8,333** placent l'indicateur en zone de survente profonde, avec un %K sous le %D. Cette configuration extrême est classiquement interprétée comme un signal d'achat contrarien, justifiant la **décision d'Achat**.</w:t>
      </w:r>
    </w:p>
    <w:p>
      <w:pPr>
        <w:spacing w:after="120" w:line="276" w:lineRule="auto"/>
      </w:pPr>
      <w:r>
        <w:t>**Conclusion technique** : Les indicateurs présentent une **divergence notable** : les moyennes mobiles et le MACD plaident pour la vente, tandis que le stochastique (survente extrême) et le RSI (frontière de survente) suggèrent un rebond imminent. Le titre se trouve dans une zone de consolidation baissière de court terme, mais la survente technique pourrait favoriser un retournement. La prudence reste de mise tant que le cours n'a pas reconquis la MM20 (67,1 FCFA).</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(base brvm_donnees_financieres) révèlent une banque de grande envergure : un **PNB de 1 424,261 Mds FCFA**, un **résultat net de 345,523 Mds FCFA**, un **ROE de 21,62%** (largement supérieur au seuil d'excellence de 15%) et un **ROA de 1,80%**. Le **coefficient d'exploitation de 27,35%** — très en dessous du seuil de 60% — témoigne d'une efficacité opérationnelle remarquable, tandis que le **coût du risque de 18,97%** (provisions/charges financières) reste modéré, signe d'un portefeuille de crédit globalement sain. La structure de bilan affiche **6 570,385 Mds FCFA de créances clientèle** contre **14 120,139 Mds FCFA de dépôts clientèle**, soit un ratio de transformation prudent (dépôts/crédits de 2,15x) garantissant une liquidité abondante. Les rapports narratifs confirment cette dynamique : le **rapport semestriel 2026 (analysé le 30/07/2026)** fait état d'un **PNB en hausse de +15% à 1 281,33 M$EU (721,3 Mds FCFA)** et d'un **résultat net consolidé de 296,1 M$EU (+6%)**, avec un **coefficient d'exploitation amélioré à 48,4%** et un **BPA de 0,80 $EU (+2%)**. Le **rapport T1 2026** confirme la tendance avec un **PNB en hausse de +23% à 636,2 M$EU** et un **résultat net de 142,5 M$EU (+16%)**, mais signale une **hausse du coût du risque de +73%** — point de vigilance majeur. Sur la base de ces rapports, **on estime** que l'exercice 2026 devrait afficher un PNB annuel en croissance de 12-15% et un résultat net en progression de 5-8%, la pression sur les provisions tempérant la rentabilité. La recommandation fondamentale est **solide** : banque efficace, rentable et bien capitalisée, mais la montée du coût du risque et la dépendance aux devises africaines (35 pays)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**désalignement temporaire entre valorisation et technique**. Sur le plan de la **valorisation (Partie 0)**, les ratios PER (3,4x), P/B (0,74x) et EV/EBITDA (4,9x) convergent vers un diagnostic de **sous-évaluation marquée**, offrant une marge de sécurité importante. Le **comportement du cours (Partie 1)** montre une tendance haussière spectaculaire (+124%) mais une consolidation récente, avec une volatilité élevée (61,4%) et une distribution asymétrique négative qui appellent à la prudence sur le timing. Les **signaux techniques (Partie 2)** sont **divergents** : vente sur MM/MACD, mais achat sur stochastique en survente extrême — configuration typique d'une phase de rebond potentiel. Les **fondamentaux (Partie 3)** demeurent **très solides** (ROE 21,6%, coefficient d'exploitation 27,4%, PNB +15% au S1 2026), malgré la hausse du coût du risque. Les **prédictions IA (J+1 à J+10)** anticipent une **stabilisation à 65 FCFA**, confirmant la phase de consolidation sans direction claire. Sur cette base, la recommandation finale est **CONSERVER**, avec un biais positif pour les investisseurs de long terme : la sous-évaluation fondamentale et la qualité des résultats justifient une exposition, mais la divergence technique et la volatilité élevée déconseillent un renforcement immédiat. Le **niveau de confiance est Moyen** (divergence technique/fondamental) et le **risque global est Moyen** (volatilité élevée mais bilan solide). L'**horizon optimal est le moyen à long terme (6-18 mois)**, le temps que la consolidation technique s'achève et que la valorisation sous-évaluée se matérialise.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4,173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B40000"/>
                <w:sz w:val="17"/>
              </w:rPr>
              <w:t>-21.74%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μ=2,072 FCFA, σ=137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β=0.5323 (Défensif) — Cov=0.000040, Var(idx)=0.000075, ρ=0.202,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1,710</w:t>
            </w:r>
          </w:p>
        </w:tc>
        <w:tc>
          <w:tcPr>
            <w:tcW w:type="dxa" w:w="1440"/>
            <w:shd w:fill="FAFAFA" w:val="clear"/>
          </w:tcPr>
          <w:p>
            <w:r>
              <w:rPr>
                <w:b/>
                <w:sz w:val="17"/>
              </w:rPr>
              <w:t>1,787</w:t>
            </w:r>
          </w:p>
        </w:tc>
        <w:tc>
          <w:tcPr>
            <w:tcW w:type="dxa" w:w="1440"/>
            <w:shd w:fill="FAFAFA" w:val="clear"/>
          </w:tcPr>
          <w:p>
            <w:r>
              <w:rPr>
                <w:sz w:val="17"/>
              </w:rPr>
              <w:t>1,864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1,669</w:t>
            </w:r>
          </w:p>
        </w:tc>
        <w:tc>
          <w:tcPr>
            <w:tcW w:type="dxa" w:w="1440"/>
            <w:shd w:fill="FAFAFA" w:val="clear"/>
          </w:tcPr>
          <w:p>
            <w:r>
              <w:rPr>
                <w:b/>
                <w:sz w:val="17"/>
              </w:rPr>
              <w:t>1,776</w:t>
            </w:r>
          </w:p>
        </w:tc>
        <w:tc>
          <w:tcPr>
            <w:tcW w:type="dxa" w:w="1440"/>
            <w:shd w:fill="FAFAFA" w:val="clear"/>
          </w:tcPr>
          <w:p>
            <w:r>
              <w:rPr>
                <w:sz w:val="17"/>
              </w:rPr>
              <w:t>1,884</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1,634</w:t>
            </w:r>
          </w:p>
        </w:tc>
        <w:tc>
          <w:tcPr>
            <w:tcW w:type="dxa" w:w="1440"/>
            <w:shd w:fill="FAFAFA" w:val="clear"/>
          </w:tcPr>
          <w:p>
            <w:r>
              <w:rPr>
                <w:b/>
                <w:sz w:val="17"/>
              </w:rPr>
              <w:t>1,765</w:t>
            </w:r>
          </w:p>
        </w:tc>
        <w:tc>
          <w:tcPr>
            <w:tcW w:type="dxa" w:w="1440"/>
            <w:shd w:fill="FAFAFA" w:val="clear"/>
          </w:tcPr>
          <w:p>
            <w:r>
              <w:rPr>
                <w:sz w:val="17"/>
              </w:rPr>
              <w:t>1,896</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1,604</w:t>
            </w:r>
          </w:p>
        </w:tc>
        <w:tc>
          <w:tcPr>
            <w:tcW w:type="dxa" w:w="1440"/>
            <w:shd w:fill="FFDCE0" w:val="clear"/>
          </w:tcPr>
          <w:p>
            <w:r>
              <w:rPr>
                <w:b/>
                <w:sz w:val="17"/>
              </w:rPr>
              <w:t>1,754</w:t>
            </w:r>
          </w:p>
        </w:tc>
        <w:tc>
          <w:tcPr>
            <w:tcW w:type="dxa" w:w="1440"/>
            <w:shd w:fill="FFDCE0" w:val="clear"/>
          </w:tcPr>
          <w:p>
            <w:r>
              <w:rPr>
                <w:sz w:val="17"/>
              </w:rPr>
              <w:t>1,905</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1,576</w:t>
            </w:r>
          </w:p>
        </w:tc>
        <w:tc>
          <w:tcPr>
            <w:tcW w:type="dxa" w:w="1440"/>
            <w:shd w:fill="FFDCE0" w:val="clear"/>
          </w:tcPr>
          <w:p>
            <w:r>
              <w:rPr>
                <w:b/>
                <w:sz w:val="17"/>
              </w:rPr>
              <w:t>1,743</w:t>
            </w:r>
          </w:p>
        </w:tc>
        <w:tc>
          <w:tcPr>
            <w:tcW w:type="dxa" w:w="1440"/>
            <w:shd w:fill="FFDCE0" w:val="clear"/>
          </w:tcPr>
          <w:p>
            <w:r>
              <w:rPr>
                <w:sz w:val="17"/>
              </w:rPr>
              <w:t>1,910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1,550</w:t>
            </w:r>
          </w:p>
        </w:tc>
        <w:tc>
          <w:tcPr>
            <w:tcW w:type="dxa" w:w="1440"/>
            <w:shd w:fill="FFDCE0" w:val="clear"/>
          </w:tcPr>
          <w:p>
            <w:r>
              <w:rPr>
                <w:b/>
                <w:sz w:val="17"/>
              </w:rPr>
              <w:t>1,732</w:t>
            </w:r>
          </w:p>
        </w:tc>
        <w:tc>
          <w:tcPr>
            <w:tcW w:type="dxa" w:w="1440"/>
            <w:shd w:fill="FFDCE0" w:val="clear"/>
          </w:tcPr>
          <w:p>
            <w:r>
              <w:rPr>
                <w:sz w:val="17"/>
              </w:rPr>
              <w:t>1,914</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1,526</w:t>
            </w:r>
          </w:p>
        </w:tc>
        <w:tc>
          <w:tcPr>
            <w:tcW w:type="dxa" w:w="1440"/>
            <w:shd w:fill="FFDCE0" w:val="clear"/>
          </w:tcPr>
          <w:p>
            <w:r>
              <w:rPr>
                <w:b/>
                <w:sz w:val="17"/>
              </w:rPr>
              <w:t>1,721</w:t>
            </w:r>
          </w:p>
        </w:tc>
        <w:tc>
          <w:tcPr>
            <w:tcW w:type="dxa" w:w="1440"/>
            <w:shd w:fill="FFDCE0" w:val="clear"/>
          </w:tcPr>
          <w:p>
            <w:r>
              <w:rPr>
                <w:sz w:val="17"/>
              </w:rPr>
              <w:t>1,917</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1,503</w:t>
            </w:r>
          </w:p>
        </w:tc>
        <w:tc>
          <w:tcPr>
            <w:tcW w:type="dxa" w:w="1440"/>
            <w:shd w:fill="FFDCE0" w:val="clear"/>
          </w:tcPr>
          <w:p>
            <w:r>
              <w:rPr>
                <w:b/>
                <w:sz w:val="17"/>
              </w:rPr>
              <w:t>1,711</w:t>
            </w:r>
          </w:p>
        </w:tc>
        <w:tc>
          <w:tcPr>
            <w:tcW w:type="dxa" w:w="1440"/>
            <w:shd w:fill="FFDCE0" w:val="clear"/>
          </w:tcPr>
          <w:p>
            <w:r>
              <w:rPr>
                <w:sz w:val="17"/>
              </w:rPr>
              <w:t>1,918</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1,481</w:t>
            </w:r>
          </w:p>
        </w:tc>
        <w:tc>
          <w:tcPr>
            <w:tcW w:type="dxa" w:w="1440"/>
            <w:shd w:fill="FFDCE0" w:val="clear"/>
          </w:tcPr>
          <w:p>
            <w:r>
              <w:rPr>
                <w:b/>
                <w:sz w:val="17"/>
              </w:rPr>
              <w:t>1,700</w:t>
            </w:r>
          </w:p>
        </w:tc>
        <w:tc>
          <w:tcPr>
            <w:tcW w:type="dxa" w:w="1440"/>
            <w:shd w:fill="FFDCE0" w:val="clear"/>
          </w:tcPr>
          <w:p>
            <w:r>
              <w:rPr>
                <w:sz w:val="17"/>
              </w:rPr>
              <w:t>1,919</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1,460</w:t>
            </w:r>
          </w:p>
        </w:tc>
        <w:tc>
          <w:tcPr>
            <w:tcW w:type="dxa" w:w="1440"/>
            <w:shd w:fill="FFDCE0" w:val="clear"/>
          </w:tcPr>
          <w:p>
            <w:r>
              <w:rPr>
                <w:b/>
                <w:sz w:val="17"/>
              </w:rPr>
              <w:t>1,689</w:t>
            </w:r>
          </w:p>
        </w:tc>
        <w:tc>
          <w:tcPr>
            <w:tcW w:type="dxa" w:w="1440"/>
            <w:shd w:fill="FFDCE0" w:val="clear"/>
          </w:tcPr>
          <w:p>
            <w:r>
              <w:rPr>
                <w:sz w:val="17"/>
              </w:rPr>
              <w:t>1,918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25,39 milliards FCFA, un niveau modeste à l'échelle de la BRVM qui la classe parmi les valeurs de second rang, avec une liquidité limitée (volume moyen de 4 173 titres/jour). Le BPA de 33 FCFA/action traduit un bénéfice net par titre très faible, cohérent avec l'effondrement du résultat net 2025 à 465,98 MFCFA. Le PER de 54,5x est extrêmement élevé au regard de la moyenne BRVM (~8-12x) : les investisseurs paient plus de 54 fois les bénéfices actuels, ce qui traduit soit une anticipation de redressement, soit une anomalie de valorisation liée à la faiblesse ponctuelle du résultat. Le P/B de 1,62x reste en revanche raisonnable (fourchette 1-2x), signifiant que le marché valorise le titre à peine au-dessus de sa valeur comptable (capitaux propres de 15,70 Mds FCFA). Enfin, l'EV/EBITDA de 34,8x est très exigeant (&gt;15x), la valeur d'entreprise intégrant les 15,33 Mds FCFA de dettes financières totales face à un EBE de seulement 1,50 Md FCFA — la capacité opérationnelle ne justifie pas un tel multiple, ce qui plaide pour la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variation totale de **-21,74%**, avec une dernière séance stable (+0,00%) à **1 800 FCFA**, soit exactement le plus bas de la période — le plus haut ayant atteint 2 430 FCFA. Le range de trading est donc large (630 FCFA d'amplitude, soit 35% du cours bas), signant une tendance clairement **baissière** qui ramène le titre sur son plancher. Les statistiques descriptives révèlent une moyenne de 2 072 FCFA supérieure à la médiane de 2 050 FCFA, avec un mode à 1 990 FCFA : le cours actuel (1 800 FCFA) se situe nettement sous ces trois mesures centrales, confirmant la pression vendeuse récente. L'écart-type de 138 FCFA et le coefficient de variation de 6,6% indiquent une dispersion modérée autour de la moyenne, mais la **volatilité annualisée de 35,9%** classe le titre dans la catégorie **élevée** (&gt;30%), ce qui est cohérent avec un marché peu liquide. Le kurtosis de -0,151 (mésokurtique, proche d'une distribution normale) suggère une absence de pics extrêmes atypiques, tandis que le skewness de 0,459 — bien que qualifié de « symétrique » dans les données — traduit une légère asymétrie positive (queue de distribution étirée vers les hausses passées), ce qui contraste avec la chute récente et peut signaler un potentiel de rebond technique.</w:t>
      </w:r>
    </w:p>
    <w:p>
      <w:pPr>
        <w:spacing w:after="120" w:line="276" w:lineRule="auto"/>
      </w:pPr>
      <w:r>
        <w:t>---</w:t>
      </w:r>
    </w:p>
    <w:p>
      <w:pPr>
        <w:spacing w:after="120" w:line="276" w:lineRule="auto"/>
      </w:pPr>
      <w:r>
        <w:t>## PARTIE 2 : ANALYSE TECHNIQUE DÉTAILLÉE</w:t>
      </w:r>
    </w:p>
    <w:p>
      <w:pPr>
        <w:spacing w:after="120" w:line="276" w:lineRule="auto"/>
      </w:pPr>
      <w:r>
        <w:t>**Moyennes Mobiles** : La MM20 (1 935,25 FCFA) et la MM50 (2 053,30 FCFA) se situent toutes deux au-dessus du cours actuel (1 800 FCFA), avec une MM20 inférieure à la MM50 — configuration baissière caractéristique. Le cours évoluant sous ses deux moyennes, la pression vendeuse domine et la décision **Vente** est pleinement justifiée.</w:t>
      </w:r>
    </w:p>
    <w:p>
      <w:pPr>
        <w:spacing w:after="120" w:line="276" w:lineRule="auto"/>
      </w:pPr>
      <w:r>
        <w:t>**Bandes de Bollinger** : Le cours (1 800 FCFA) se situe dans la moitié basse de la bande, proche de la borne inférieure (1 765,69 FCFA) et loin de la borne supérieure (2 104,82 FCFA). L'amplitude de la bande (339 FCFA) reflète une volatilité significative ; le cours n'ayant pas franchi la borne basse, la décision **Neutre** traduit une absence de signal de survente extrême, mais la proximité du plancher reste préoccupante.</w:t>
      </w:r>
    </w:p>
    <w:p>
      <w:pPr>
        <w:spacing w:after="120" w:line="276" w:lineRule="auto"/>
      </w:pPr>
      <w:r>
        <w:t>**MACD** : La valeur du MACD (-66,458) est inférieure à son signal (-53,742), avec un histogramme négatif — divergence baissière persistante. Le momentum est clairement négatif et la décision **Vente** confirme la tendance de fond descendante.</w:t>
      </w:r>
    </w:p>
    <w:p>
      <w:pPr>
        <w:spacing w:after="120" w:line="276" w:lineRule="auto"/>
      </w:pPr>
      <w:r>
        <w:t>**RSI** : À 30,0 exactement, le RSI se situe à la frontière de la zone de survente (&lt;30), sans y être entré franchement. La décision **Neutre** est cohérente : le titre est proche d'un seuil de rebond technique potentiel, mais aucun signal d'achat n'est encore validé.</w:t>
      </w:r>
    </w:p>
    <w:p>
      <w:pPr>
        <w:spacing w:after="120" w:line="276" w:lineRule="auto"/>
      </w:pPr>
      <w:r>
        <w:t>**Stochastique** : %K et %D sont tous deux à 0,0, position extrême en zone de survente profonde. Le croisement n'est pas encore visible, mais cette configuration suggère un épuisement de la pression vendeuse ; la décision **Achat** (signal contrarien) est cohérente avec un possible rebond à court terme.</w:t>
      </w:r>
    </w:p>
    <w:p>
      <w:pPr>
        <w:spacing w:after="120" w:line="276" w:lineRule="auto"/>
      </w:pPr>
      <w:r>
        <w:t>**Conclusion technique** : Les indicateurs convergent majoritairement vers une tendance baissière (MM, MACD), avec un cours collé au plancher de Bollinger. Toutefois, le RSI à 30 et le stochastique à 0 signalent une survente extrême propice à un rebond technique. La configuration est donc **baissière de fond mais survendue à court terme** — un rebond fragile est possible, sans inversion de tendance confirmée.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(+4,61% de croissance), mais son résultat net s'est effondré à **465,98 MFCFA**, soit une marge nette de seulement **1,45%** (contre 60,6% en 2024, année artificiellement gonflée par des produits exceptionnels). Le ROE chute à **2,97%** (très loin du seuil de 15% « excellent ») et le ROA à **1,19%**, traduisant une rentabilité des actifs quasi nulle. La marge opérationnelle de 0,86% et le coefficient d'exploitation de 116,59% (&gt;100%) confirment que l'activité courante ne couvre pas ses charges. **Adapté au secteur ENTREPRISE** : les délais clients (213,72 jours) et de stockage (214,65 jours) sont très élevés, immobilisant massivement le capital et générant un risque de trésorerie ; le BFR de 11,529 Mds FCFA (positif, donc défavorable) et la trésorerie nette de **-11,528 Mds FCFA** illustrent une tension de liquidité sévère. L'autonomie financière (40,11%) reste saine (&gt;30%), mais le ratio d'endettement (97,60%) et la capacité de remboursement (11,49 années de CAF) sont préoccupants.</w:t>
      </w:r>
    </w:p>
    <w:p>
      <w:pPr>
        <w:spacing w:after="120" w:line="276" w:lineRule="auto"/>
      </w:pPr>
      <w:r>
        <w:t>**Estimations issues des rapports trimestriels** : Le rapport du **T1 2026 (daté du 31 mars 2026)** montre un CA de 8 901 MFCFA en hausse de **+55%** porté par la demande d'emballages cacao, avec un résultat d'exploitation redevenu positif (+75 MFCFA contre -78 MFCFA au T1 2025) — mais un résultat net toujours négatif (-154 MFCFA). On estime donc que l'exercice 2026 pourrait bénéficier d'un rebond opérationnel, sans encore de retour à la rentabilité nette. Le communiqué du **08/07/2026** rassure sur la continuité d'activité malgré l'arrêt de la filature (interdiction d'exportation de jute par le Bangladesh), avec une solution alternative d'importation de fil — impact limité à moins de 10% des effectifs.</w:t>
      </w:r>
    </w:p>
    <w:p>
      <w:pPr>
        <w:spacing w:after="120" w:line="276" w:lineRule="auto"/>
      </w:pPr>
      <w:r>
        <w:t>**Recommandation fondamentale** : La société présente une **solidité financière dégradée** (trésorerie nette négative, rentabilité quasi nulle, absence de dividende en 2025) mais des **signes de redressement opérationnel** (CA T1 2026 +55%, résultat d'exploitation positif). Les risques (dépendance cacao, coûts matières/fret, tensions de trésorerie) restent élevés ; la perspective est celle d'un **retournement progressif non confirmé**.</w:t>
      </w:r>
    </w:p>
    <w:p>
      <w:pPr>
        <w:spacing w:after="120" w:line="276" w:lineRule="auto"/>
      </w:pPr>
      <w:r>
        <w:t>---</w:t>
      </w:r>
    </w:p>
    <w:p>
      <w:pPr>
        <w:spacing w:after="120" w:line="276" w:lineRule="auto"/>
      </w:pPr>
      <w:r>
        <w:t>## PARTIE 4 : CONCLUSION D'INVESTISSEMENT</w:t>
      </w:r>
    </w:p>
    <w:p>
      <w:pPr>
        <w:spacing w:after="120" w:line="276" w:lineRule="auto"/>
      </w:pPr>
      <w:r>
        <w:t>La synthèse des quatre parties dresse un tableau contrasté. **Valorisation (Partie 0)** : le PER de 54,5x et l'EV/EBITDA de 34,8x signalent une **surévaluation manifeste** au regard des bénéfices et de la capacité opérationnelle actuels, seul le P/B de 1,62x offrant un ancrage raisonnable. **Comportement du cours (Partie 1)** : la tendance est baissière (-21,74% sur 100 jours, cours au plus bas), avec une volatilité élevée (35,9%) et un cours sous toutes ses mesures centrales — profil préoccupant, malgré un skewness légèrement positif. **Signaux techniques (Partie 2)** : divergence entre la tendance de fond baissière (MM, MACD) et la survente extrême (RSI 30, stochastique 0) propice à un rebond technique fragile. **Fondamentaux (Partie 3)** : rentabilité 2025 effondrée (ROE 2,97%, marge nette 1,45%), trésorerie nette négative (-11,5 Mds FCFA), mais rebond opérationnel encourageant au T1 2026 (+55% de CA, résultat d'exploitation positif). **Prédictions IA (J+1 à J+10)** : la trajectoire projetée (1 787 → 1 743 FCFA, soit -3,2%) **confirme la poursuite de la baisse** et contredit l'hypothèse d'un rebond immédiat.</w:t>
      </w:r>
    </w:p>
    <w:p>
      <w:pPr>
        <w:spacing w:after="120" w:line="276" w:lineRule="auto"/>
      </w:pPr>
      <w:r>
        <w:t>**Recommandation finale : CONSERVER** (position attentiste). La convergence est **partielle** : valorisation surévaluée, technique baissière mais survendue, fondamentaux en redressement non confirmé, prédictions baissières — le tout milite contre l'achat, mais la survente technique et le rebond opérationnel du T1 2026 interdisent une vente précipitée au plancher. **Niveau de confiance : Moyen** (signaux contradictoires entre technique court terme et fondamental en amélioration). **Niveau de risque global : Élevé** (volatilité 35,9%, trésorerie négative, dépendance cacao, liquidité du titre faible). **Horizon optimal : moyen terme (3-12 mois)**, en attendant la confirmation de deux trimestres consécutifs de résultat net positif et une clarification de la politique de dividende avant tout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4,764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+0.25%</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4.63% (Faible) — μ=4,079 FCFA, σ=189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β=0.6977 (Défensif) — Cov=0.000052, Var(idx)=0.000075, ρ=0.233,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3,822</w:t>
            </w:r>
          </w:p>
        </w:tc>
        <w:tc>
          <w:tcPr>
            <w:tcW w:type="dxa" w:w="1440"/>
            <w:shd w:fill="FAFAFA" w:val="clear"/>
          </w:tcPr>
          <w:p>
            <w:r>
              <w:rPr>
                <w:b/>
                <w:sz w:val="17"/>
              </w:rPr>
              <w:t>3,997</w:t>
            </w:r>
          </w:p>
        </w:tc>
        <w:tc>
          <w:tcPr>
            <w:tcW w:type="dxa" w:w="1440"/>
            <w:shd w:fill="FAFAFA" w:val="clear"/>
          </w:tcPr>
          <w:p>
            <w:r>
              <w:rPr>
                <w:sz w:val="17"/>
              </w:rPr>
              <w:t>4,173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3,756</w:t>
            </w:r>
          </w:p>
        </w:tc>
        <w:tc>
          <w:tcPr>
            <w:tcW w:type="dxa" w:w="1440"/>
            <w:shd w:fill="FAFAFA" w:val="clear"/>
          </w:tcPr>
          <w:p>
            <w:r>
              <w:rPr>
                <w:b/>
                <w:sz w:val="17"/>
              </w:rPr>
              <w:t>4,004</w:t>
            </w:r>
          </w:p>
        </w:tc>
        <w:tc>
          <w:tcPr>
            <w:tcW w:type="dxa" w:w="1440"/>
            <w:shd w:fill="FAFAFA" w:val="clear"/>
          </w:tcPr>
          <w:p>
            <w:r>
              <w:rPr>
                <w:sz w:val="17"/>
              </w:rPr>
              <w:t>4,253</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3,705</w:t>
            </w:r>
          </w:p>
        </w:tc>
        <w:tc>
          <w:tcPr>
            <w:tcW w:type="dxa" w:w="1440"/>
            <w:shd w:fill="FAFAFA" w:val="clear"/>
          </w:tcPr>
          <w:p>
            <w:r>
              <w:rPr>
                <w:b/>
                <w:sz w:val="17"/>
              </w:rPr>
              <w:t>4,009</w:t>
            </w:r>
          </w:p>
        </w:tc>
        <w:tc>
          <w:tcPr>
            <w:tcW w:type="dxa" w:w="1440"/>
            <w:shd w:fill="FAFAFA" w:val="clear"/>
          </w:tcPr>
          <w:p>
            <w:r>
              <w:rPr>
                <w:sz w:val="17"/>
              </w:rPr>
              <w:t>4,314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3,662</w:t>
            </w:r>
          </w:p>
        </w:tc>
        <w:tc>
          <w:tcPr>
            <w:tcW w:type="dxa" w:w="1440"/>
            <w:shd w:fill="FAFAFA" w:val="clear"/>
          </w:tcPr>
          <w:p>
            <w:r>
              <w:rPr>
                <w:b/>
                <w:sz w:val="17"/>
              </w:rPr>
              <w:t>4,013</w:t>
            </w:r>
          </w:p>
        </w:tc>
        <w:tc>
          <w:tcPr>
            <w:tcW w:type="dxa" w:w="1440"/>
            <w:shd w:fill="FAFAFA" w:val="clear"/>
          </w:tcPr>
          <w:p>
            <w:r>
              <w:rPr>
                <w:sz w:val="17"/>
              </w:rPr>
              <w:t>4,365</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3,625</w:t>
            </w:r>
          </w:p>
        </w:tc>
        <w:tc>
          <w:tcPr>
            <w:tcW w:type="dxa" w:w="1440"/>
            <w:shd w:fill="FAFAFA" w:val="clear"/>
          </w:tcPr>
          <w:p>
            <w:r>
              <w:rPr>
                <w:b/>
                <w:sz w:val="17"/>
              </w:rPr>
              <w:t>4,019</w:t>
            </w:r>
          </w:p>
        </w:tc>
        <w:tc>
          <w:tcPr>
            <w:tcW w:type="dxa" w:w="1440"/>
            <w:shd w:fill="FAFAFA" w:val="clear"/>
          </w:tcPr>
          <w:p>
            <w:r>
              <w:rPr>
                <w:sz w:val="17"/>
              </w:rPr>
              <w:t>4,413</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3,591</w:t>
            </w:r>
          </w:p>
        </w:tc>
        <w:tc>
          <w:tcPr>
            <w:tcW w:type="dxa" w:w="1440"/>
            <w:shd w:fill="FAFAFA" w:val="clear"/>
          </w:tcPr>
          <w:p>
            <w:r>
              <w:rPr>
                <w:b/>
                <w:sz w:val="17"/>
              </w:rPr>
              <w:t>4,024</w:t>
            </w:r>
          </w:p>
        </w:tc>
        <w:tc>
          <w:tcPr>
            <w:tcW w:type="dxa" w:w="1440"/>
            <w:shd w:fill="FAFAFA" w:val="clear"/>
          </w:tcPr>
          <w:p>
            <w:r>
              <w:rPr>
                <w:sz w:val="17"/>
              </w:rPr>
              <w:t>4,456</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3,562</w:t>
            </w:r>
          </w:p>
        </w:tc>
        <w:tc>
          <w:tcPr>
            <w:tcW w:type="dxa" w:w="1440"/>
            <w:shd w:fill="FAFAFA" w:val="clear"/>
          </w:tcPr>
          <w:p>
            <w:r>
              <w:rPr>
                <w:b/>
                <w:sz w:val="17"/>
              </w:rPr>
              <w:t>4,029</w:t>
            </w:r>
          </w:p>
        </w:tc>
        <w:tc>
          <w:tcPr>
            <w:tcW w:type="dxa" w:w="1440"/>
            <w:shd w:fill="FAFAFA" w:val="clear"/>
          </w:tcPr>
          <w:p>
            <w:r>
              <w:rPr>
                <w:sz w:val="17"/>
              </w:rPr>
              <w:t>4,496</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3,538</w:t>
            </w:r>
          </w:p>
        </w:tc>
        <w:tc>
          <w:tcPr>
            <w:tcW w:type="dxa" w:w="1440"/>
            <w:shd w:fill="FAFAFA" w:val="clear"/>
          </w:tcPr>
          <w:p>
            <w:r>
              <w:rPr>
                <w:b/>
                <w:sz w:val="17"/>
              </w:rPr>
              <w:t>4,038</w:t>
            </w:r>
          </w:p>
        </w:tc>
        <w:tc>
          <w:tcPr>
            <w:tcW w:type="dxa" w:w="1440"/>
            <w:shd w:fill="FAFAFA" w:val="clear"/>
          </w:tcPr>
          <w:p>
            <w:r>
              <w:rPr>
                <w:sz w:val="17"/>
              </w:rPr>
              <w:t>4,539</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3,512</w:t>
            </w:r>
          </w:p>
        </w:tc>
        <w:tc>
          <w:tcPr>
            <w:tcW w:type="dxa" w:w="1440"/>
            <w:shd w:fill="FAFAFA" w:val="clear"/>
          </w:tcPr>
          <w:p>
            <w:r>
              <w:rPr>
                <w:b/>
                <w:sz w:val="17"/>
              </w:rPr>
              <w:t>4,044</w:t>
            </w:r>
          </w:p>
        </w:tc>
        <w:tc>
          <w:tcPr>
            <w:tcW w:type="dxa" w:w="1440"/>
            <w:shd w:fill="FAFAFA" w:val="clear"/>
          </w:tcPr>
          <w:p>
            <w:r>
              <w:rPr>
                <w:sz w:val="17"/>
              </w:rPr>
              <w:t>4,576</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3,487</w:t>
            </w:r>
          </w:p>
        </w:tc>
        <w:tc>
          <w:tcPr>
            <w:tcW w:type="dxa" w:w="1440"/>
            <w:shd w:fill="FAFAFA" w:val="clear"/>
          </w:tcPr>
          <w:p>
            <w:r>
              <w:rPr>
                <w:b/>
                <w:sz w:val="17"/>
              </w:rPr>
              <w:t>4,048</w:t>
            </w:r>
          </w:p>
        </w:tc>
        <w:tc>
          <w:tcPr>
            <w:tcW w:type="dxa" w:w="1440"/>
            <w:shd w:fill="FAFAFA" w:val="clear"/>
          </w:tcPr>
          <w:p>
            <w:r>
              <w:rPr>
                <w:sz w:val="17"/>
              </w:rPr>
              <w:t>4,609</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80,00 Mds FCFA, un niveau intermédiaire à l'échelle de la BRVM qui traduit la taille significative de l'opérateur historique de la loterie béninoise. Le BPA de 231 FCFA/action indique que chaque titre génère un bénéfice unitaire confortable, cohérent avec un résultat net de 4,622 Mds FCFA pour 20 millions d'actions. Le PER de 17,3x se situe nettement au-dessus de la moyenne BRVM (~8-12x), signalant que les investisseurs paient une prime pour la qualité de la signature et la générosité du dividende, sans pour autant basculer dans une zone de surévaluation extrême. Le P/B de 3,64x confirme cette prime de croissance : le marché valorise la société à plus de 3,6 fois ses fonds propres comptables (21,95 Mds FCFA), ce qui se justifie par un ROE élevé de 21,05%. Enfin, l'EV/EBITDA de 10,1x traduit une valorisation pleine de la capacité opérationnelle, cohérente avec un EBE de 7,164 Mds FCFA et une structure d'endettement quasi nulle (dettes financières de seulement 563,24 M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quasi nulle de +0,25%, mais la dernière séance (J-1) a enregistré un repli marqué de -1,96%, ramenant le cours à 4 000 FCFA. Le range de trading est relativement large, entre un plus bas de 3 700 FCFA et un plus haut de 4 560 FCFA, soit un écart de près de 23% qui témoigne d'une réelle amplitude de négociation malgré la stabilité de la performance globale. La tendance générale est donc stable, avec une légère pression baissière en fin de période, le cours actuel se situant sous sa moyenne (4 079 FCFA) et sous sa médiane (4 050 FCFA). L'écart faible entre moyenne et médiane (29 FCFA) confirme une distribution quasi symétrique, corroborée par un skewness de 0,442 (distribution symétrique selon l'interprétation fournie). L'écart-type de 190 FCFA avec un coefficient de variation de seulement 4,7% indique une dispersion modérée du cours autour de sa tendance, tandis que le kurtosis de -0,733 (mésokurtique, proche d'une distribution normale) suggère une absence de pics extrêmes — un profil rassurant pour la gestion du risque. La volatilité annualisée de 41,1% classe toutefois le titre dans la catégorie des valeurs à volatilité élevée (&gt;30%), ce qui contraste avec la stabilité du cours sur la période et reflète davantage la faible liquidité du marché (volume moyen de 4 764 titres/jour) que des mouvements erratiques réels.</w:t>
      </w:r>
    </w:p>
    <w:p>
      <w:pPr>
        <w:spacing w:after="120" w:line="276" w:lineRule="auto"/>
      </w:pPr>
      <w:r>
        <w:t>---</w:t>
      </w:r>
    </w:p>
    <w:p>
      <w:pPr>
        <w:spacing w:after="120" w:line="276" w:lineRule="auto"/>
      </w:pPr>
      <w:r>
        <w:t>## PARTIE 2 : ANALYSE TECHNIQUE DÉTAILLÉE</w:t>
      </w:r>
    </w:p>
    <w:p>
      <w:pPr>
        <w:spacing w:after="120" w:line="276" w:lineRule="auto"/>
      </w:pPr>
      <w:r>
        <w:t>**Moyennes Mobiles** : La MM20 (3 940,75 FCFA) se situe sous la MM50 (4 024,50 FCFA), configuration baissière de court terme, et le cours actuel (4 000 FCFA) évolue entre ces deux références. Le prix étant sous la MM50 mais au-dessus de la MM20, la dynamique est fragile, ce qui justifie la décision technique de **Vente** : le croisement des moyennes reste défavorable et le cours n'a pas encore reconquis sa moyenne longue.</w:t>
      </w:r>
    </w:p>
    <w:p>
      <w:pPr>
        <w:spacing w:after="120" w:line="276" w:lineRule="auto"/>
      </w:pPr>
      <w:r>
        <w:t>**Bandes de Bollinger** : Le cours (4 000 FCFA) se situe dans la partie médiane de la bande, entre la borne inférieure (3 767,66 FCFA) et la borne supérieure (4 113,84 FCFA), à environ 55% de la largeur. Cette position centrale, sans contact avec les extrêmes, traduit une absence de signal directionnel fort et une volatilité contenue, justifiant la décision **Neutre** : ni suracheté, ni survendu.</w:t>
      </w:r>
    </w:p>
    <w:p>
      <w:pPr>
        <w:spacing w:after="120" w:line="276" w:lineRule="auto"/>
      </w:pPr>
      <w:r>
        <w:t>**MACD** : La valeur du MACD (-6,845) est supérieure à son signal (-28,133), configuration haussière avec un histogramme positif qui indique un momentum en amélioration. Bien que les deux lignes restent en territoire négatif, le croisement favorable du MACD au-dessus de son signal justifie la décision d'**Achat** : la pression baissière s'essouffle et un retournement se profile.</w:t>
      </w:r>
    </w:p>
    <w:p>
      <w:pPr>
        <w:spacing w:after="120" w:line="276" w:lineRule="auto"/>
      </w:pPr>
      <w:r>
        <w:t>**RSI** : À 51,667, le RSI se situe exactement dans la zone neutre (30-70), à mi-chemin entre surachat et survente. Cette valeur équilibrée traduit un marché sans excès, ni acheteur ni vendeur, justifiant la décision **Neutre** : aucun signal de retournement imminent n'est détectable via cet indicateur.</w:t>
      </w:r>
    </w:p>
    <w:p>
      <w:pPr>
        <w:spacing w:after="120" w:line="276" w:lineRule="auto"/>
      </w:pPr>
      <w:r>
        <w:t>**Stochastique** : Le %K (62,791) est nettement inférieur au %D (87,597), configuration baissière avec un croisement défavorable en zone haute, le %D approchant la zone de surachat (&gt;80). Cette divergence suggère un essoufflement de la dynamique haussière récente et un risque de repli, justifiant la décision **Neutre** : le signal n'est pas encore franchement vendeur mais la prudence s'impose.</w:t>
      </w:r>
    </w:p>
    <w:p>
      <w:pPr>
        <w:spacing w:after="120" w:line="276" w:lineRule="auto"/>
      </w:pPr>
      <w:r>
        <w:t>**Conclusion technique** : Les indicateurs sont globalement divergents — le MACD est haussier, les moyennes mobiles baissières, tandis que Bollinger, RSI et Stochastique restent neutres avec une légère tendance baissière pour ce dernier. Cette configuration mixte plaide pour une phase de consolidation latérale autour de 4 000 FCFA, sans signal directionnel clair. Le titre évolue dans un no man's land technique où la prudence prime, en attendant une cassure nette de la zone 3 940-4 025 FCFA pour confirmer une orientation.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recul de -3,85% par rapport à 2024, sous l'effet de la concurrence illégale. Le résultat net s'établit à 4,622 Mds FCFA, avec une marge nette de 4,69% et une marge opérationnelle de 6,47%. La rentabilité des fonds propres (ROE) atteint un niveau excellent de 21,05%, et le ROA de 14,17% confirme l'efficacité de l'utilisation des actifs (rotation de 302,37%). La structure financière est remarquablement solide : autonomie financière de 67,32%, ratio d'endettement de seulement 2,57%, liquidité générale de 184,84% et trésorerie nette de 7,979 Mds FCFA. En tant qu'entreprise, les délais d'exploitation sont excellents : délai clients de 4,82 jours (risque de trésorerie quasi nul), délai fournisseurs de 20,41 jours (favorable à la trésorerie) et durée de stockage de 1,56 jour (rotation très rapide). Le BFR de 217,45 M FCFA est quasi nul, signe d'une gestion opérationnelle efficiente.</w:t>
      </w:r>
    </w:p>
    <w:p>
      <w:pPr>
        <w:spacing w:after="120" w:line="276" w:lineRule="auto"/>
      </w:pPr>
      <w:r>
        <w:t>**Estimations basées sur les rapports trimestriels** : Le rapport du **T1 2026 (publié le 30 avril 2026)** révèle un CA de 25,521 Mds FCFA (+6%) mais un résultat net en chute de -46% à 848 M FCFA, victime du mix produit défavorable (pari sportif à 95% de taux de retour). Cependant, le **rapport S1 2026 (publié le 30 juillet 2026)** marque un net redressement : CA de 49,937 Mds FCFA (+4%) et résultat net en hausse de +60%, grâce à la maîtrise des charges et aux revenus de partenariats B2B, malgré un Produit Brut des Jeux en baisse de -9%. Sur cette base, on estime que l'exercice 2026 devrait afficher un résultat net en forte progression par rapport à 2025, potentiellement supérieur à 6 Mds FCFA si la dynamique du S1 se confirme au S2, portée par le déploiement de 1 500 nouveaux terminaux et les nouveaux produits de loterie. La politique de dividende reste très attractive : l'AGO du 13 juin 2026 a approuvé un dividende brut de 173 FCFA/action (net 164 FCFA), soit un rendement de 4,1% au cours actuel, avec une distribution d'environ 80% du résultat net.</w:t>
      </w:r>
    </w:p>
    <w:p>
      <w:pPr>
        <w:spacing w:after="120" w:line="276" w:lineRule="auto"/>
      </w:pPr>
      <w:r>
        <w:t>**Conclusion fondamentale** : La solidité financière est exceptionnelle (autonomie 67%, trésorerie 8 Mds, endettement quasi nul), la rentabilité opérationnelle s'améliore (EBE +34% en 2025, résultat net +60% au S1 2026) et la générosité du dividende sécurise le rendement. Les risques résident dans la pression concurrentielle illégale et la dépendance croissante au pari sportif à faible marge, mais la transformation digitale (+18% en 2025) et les partenariats B2B constituent des relais de croissance crédibles.</w:t>
      </w:r>
    </w:p>
    <w:p>
      <w:pPr>
        <w:spacing w:after="120" w:line="276" w:lineRule="auto"/>
      </w:pPr>
      <w:r>
        <w:t>---</w:t>
      </w:r>
    </w:p>
    <w:p>
      <w:pPr>
        <w:spacing w:after="120" w:line="276" w:lineRule="auto"/>
      </w:pPr>
      <w:r>
        <w:t>## PARTIE 4 : CONCLUSION D'INVESTISSEMENT</w:t>
      </w:r>
    </w:p>
    <w:p>
      <w:pPr>
        <w:spacing w:after="120" w:line="276" w:lineRule="auto"/>
      </w:pPr>
      <w:r>
        <w:t>La valorisation (Partie 0) affiche un PER de 17,3x et un P/B de 3,64x qui traduisent une prime certaine, mais justifiée par un ROE de 21% et un rendement du dividende de 4,1% — le titre n'est ni sous-évalué ni excessivement cher. Le comportement du cours (Partie 1) est rassurant : stabilité (+0,25% sur 100 jours), distribution normale (kurtosis -0,733, skewness 0,442) et CV faible de 4,7%, malgré une volatilité annualisée élevée de 41,1% liée à la faible liquidité. Les signaux techniques (Partie 2) sont divergents — MACD haussier contre moyennes mobiles baissières et Stochastique en zone haute — plaidant pour une consolidation latérale sans direction franche. Les fondamentaux (Partie 3) sont les plus solides : structure financière impeccable, ROE de 21%, résultat net en rebond de +60% au S1 2026, dividende généreux de 173 FCFA et perspectives de croissance crédibles (1 500 terminaux, nouveaux produits). Les prédictions IA (J+1 à J+10) anticipent une légère progression de 3 997 à 4 019 FCFA, confirmant la thèse d'une stabilisation haussière modérée. **Recommandation finale : CONSERVER**, avec un biais positif — la convergence entre fondamentaux solides, dividende attractif et prédictions stables l'emporte sur les signaux techniques mitigés. Le niveau de confiance est **Moyen** (visibilité limitée sur la marge brute des jeux) et le risque global **Moyen** (concurrence illégale, faible liquidité). L'horizon optimal est le **moyen terme (3-12 mois)**, en attendant la confirmation au S2 2026 de la pérennité des revenus de partenariats et de la stabilisation du Produit Brut des Jeux ; un renforcement pourra être envisagé si le cours casse durablement la résistance de 4 025 FCFA (MM50) avec confirmation du MACD.</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2,326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+10.79%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μ=2,324 FCFA, σ=273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β=0.0748 (Défensif) — Cov=0.000006, Var(idx)=0.000075, ρ=0.020,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1,993</w:t>
            </w:r>
          </w:p>
        </w:tc>
        <w:tc>
          <w:tcPr>
            <w:tcW w:type="dxa" w:w="1440"/>
            <w:shd w:fill="FAFAFA" w:val="clear"/>
          </w:tcPr>
          <w:p>
            <w:r>
              <w:rPr>
                <w:b/>
                <w:sz w:val="17"/>
              </w:rPr>
              <w:t>2,100</w:t>
            </w:r>
          </w:p>
        </w:tc>
        <w:tc>
          <w:tcPr>
            <w:tcW w:type="dxa" w:w="1440"/>
            <w:shd w:fill="FAFAFA" w:val="clear"/>
          </w:tcPr>
          <w:p>
            <w:r>
              <w:rPr>
                <w:sz w:val="17"/>
              </w:rPr>
              <w:t>2,206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1,938</w:t>
            </w:r>
          </w:p>
        </w:tc>
        <w:tc>
          <w:tcPr>
            <w:tcW w:type="dxa" w:w="1440"/>
            <w:shd w:fill="FAFAFA" w:val="clear"/>
          </w:tcPr>
          <w:p>
            <w:r>
              <w:rPr>
                <w:b/>
                <w:sz w:val="17"/>
              </w:rPr>
              <w:t>2,087</w:t>
            </w:r>
          </w:p>
        </w:tc>
        <w:tc>
          <w:tcPr>
            <w:tcW w:type="dxa" w:w="1440"/>
            <w:shd w:fill="FAFAFA" w:val="clear"/>
          </w:tcPr>
          <w:p>
            <w:r>
              <w:rPr>
                <w:sz w:val="17"/>
              </w:rPr>
              <w:t>2,236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1,895</w:t>
            </w:r>
          </w:p>
        </w:tc>
        <w:tc>
          <w:tcPr>
            <w:tcW w:type="dxa" w:w="1440"/>
            <w:shd w:fill="FAFAFA" w:val="clear"/>
          </w:tcPr>
          <w:p>
            <w:r>
              <w:rPr>
                <w:b/>
                <w:sz w:val="17"/>
              </w:rPr>
              <w:t>2,078</w:t>
            </w:r>
          </w:p>
        </w:tc>
        <w:tc>
          <w:tcPr>
            <w:tcW w:type="dxa" w:w="1440"/>
            <w:shd w:fill="FAFAFA" w:val="clear"/>
          </w:tcPr>
          <w:p>
            <w:r>
              <w:rPr>
                <w:sz w:val="17"/>
              </w:rPr>
              <w:t>2,260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1,859</w:t>
            </w:r>
          </w:p>
        </w:tc>
        <w:tc>
          <w:tcPr>
            <w:tcW w:type="dxa" w:w="1440"/>
            <w:shd w:fill="FAFAFA" w:val="clear"/>
          </w:tcPr>
          <w:p>
            <w:r>
              <w:rPr>
                <w:b/>
                <w:sz w:val="17"/>
              </w:rPr>
              <w:t>2,069</w:t>
            </w:r>
          </w:p>
        </w:tc>
        <w:tc>
          <w:tcPr>
            <w:tcW w:type="dxa" w:w="1440"/>
            <w:shd w:fill="FAFAFA" w:val="clear"/>
          </w:tcPr>
          <w:p>
            <w:r>
              <w:rPr>
                <w:sz w:val="17"/>
              </w:rPr>
              <w:t>2,278</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1,827</w:t>
            </w:r>
          </w:p>
        </w:tc>
        <w:tc>
          <w:tcPr>
            <w:tcW w:type="dxa" w:w="1440"/>
            <w:shd w:fill="FFDCE0" w:val="clear"/>
          </w:tcPr>
          <w:p>
            <w:r>
              <w:rPr>
                <w:b/>
                <w:sz w:val="17"/>
              </w:rPr>
              <w:t>2,060</w:t>
            </w:r>
          </w:p>
        </w:tc>
        <w:tc>
          <w:tcPr>
            <w:tcW w:type="dxa" w:w="1440"/>
            <w:shd w:fill="FFDCE0" w:val="clear"/>
          </w:tcPr>
          <w:p>
            <w:r>
              <w:rPr>
                <w:sz w:val="17"/>
              </w:rPr>
              <w:t>2,294</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1,798</w:t>
            </w:r>
          </w:p>
        </w:tc>
        <w:tc>
          <w:tcPr>
            <w:tcW w:type="dxa" w:w="1440"/>
            <w:shd w:fill="FFDCE0" w:val="clear"/>
          </w:tcPr>
          <w:p>
            <w:r>
              <w:rPr>
                <w:b/>
                <w:sz w:val="17"/>
              </w:rPr>
              <w:t>2,052</w:t>
            </w:r>
          </w:p>
        </w:tc>
        <w:tc>
          <w:tcPr>
            <w:tcW w:type="dxa" w:w="1440"/>
            <w:shd w:fill="FFDCE0" w:val="clear"/>
          </w:tcPr>
          <w:p>
            <w:r>
              <w:rPr>
                <w:sz w:val="17"/>
              </w:rPr>
              <w:t>2,307</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1,770</w:t>
            </w:r>
          </w:p>
        </w:tc>
        <w:tc>
          <w:tcPr>
            <w:tcW w:type="dxa" w:w="1440"/>
            <w:shd w:fill="FFDCE0" w:val="clear"/>
          </w:tcPr>
          <w:p>
            <w:r>
              <w:rPr>
                <w:b/>
                <w:sz w:val="17"/>
              </w:rPr>
              <w:t>2,044</w:t>
            </w:r>
          </w:p>
        </w:tc>
        <w:tc>
          <w:tcPr>
            <w:tcW w:type="dxa" w:w="1440"/>
            <w:shd w:fill="FFDCE0" w:val="clear"/>
          </w:tcPr>
          <w:p>
            <w:r>
              <w:rPr>
                <w:sz w:val="17"/>
              </w:rPr>
              <w:t>2,318</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1,745</w:t>
            </w:r>
          </w:p>
        </w:tc>
        <w:tc>
          <w:tcPr>
            <w:tcW w:type="dxa" w:w="1440"/>
            <w:shd w:fill="FFDCE0" w:val="clear"/>
          </w:tcPr>
          <w:p>
            <w:r>
              <w:rPr>
                <w:b/>
                <w:sz w:val="17"/>
              </w:rPr>
              <w:t>2,037</w:t>
            </w:r>
          </w:p>
        </w:tc>
        <w:tc>
          <w:tcPr>
            <w:tcW w:type="dxa" w:w="1440"/>
            <w:shd w:fill="FFDCE0" w:val="clear"/>
          </w:tcPr>
          <w:p>
            <w:r>
              <w:rPr>
                <w:sz w:val="17"/>
              </w:rPr>
              <w:t>2,328</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1,721</w:t>
            </w:r>
          </w:p>
        </w:tc>
        <w:tc>
          <w:tcPr>
            <w:tcW w:type="dxa" w:w="1440"/>
            <w:shd w:fill="FFDCE0" w:val="clear"/>
          </w:tcPr>
          <w:p>
            <w:r>
              <w:rPr>
                <w:b/>
                <w:sz w:val="17"/>
              </w:rPr>
              <w:t>2,030</w:t>
            </w:r>
          </w:p>
        </w:tc>
        <w:tc>
          <w:tcPr>
            <w:tcW w:type="dxa" w:w="1440"/>
            <w:shd w:fill="FFDCE0" w:val="clear"/>
          </w:tcPr>
          <w:p>
            <w:r>
              <w:rPr>
                <w:sz w:val="17"/>
              </w:rPr>
              <w:t>2,338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1,699</w:t>
            </w:r>
          </w:p>
        </w:tc>
        <w:tc>
          <w:tcPr>
            <w:tcW w:type="dxa" w:w="1440"/>
            <w:shd w:fill="FFDCE0" w:val="clear"/>
          </w:tcPr>
          <w:p>
            <w:r>
              <w:rPr>
                <w:b/>
                <w:sz w:val="17"/>
              </w:rPr>
              <w:t>2,023</w:t>
            </w:r>
          </w:p>
        </w:tc>
        <w:tc>
          <w:tcPr>
            <w:tcW w:type="dxa" w:w="1440"/>
            <w:shd w:fill="FFDCE0" w:val="clear"/>
          </w:tcPr>
          <w:p>
            <w:r>
              <w:rPr>
                <w:sz w:val="17"/>
              </w:rPr>
              <w:t>2,347</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26,87 milliards FCFA, NEIC se situe dans la catégorie des valeurs moyennes de la cote BRVM, ce qui traduit une certaine visibilité mais aussi une liquidité limitée (volume moyen de 2 326 titres/jour). Le BPA de 160 FCFA/action signifie que chaque titre génère 160 FCFA de bénéfice net, ce qui, rapporté au cours de 2 105 FCFA, donne un PER de 13,2x — légèrement supérieur à la moyenne BRVM (8-12x), suggérant que le marché intègre déjà une prime de croissance ou de qualité. Le P/B de 4,67x indique que le marché valorise la société à près de 5 fois sa valeur comptable, une prime exigeante qui n'est justifiée que si la rentabilité des fonds propres (ROE de 35,4%) se maintient durablement. Enfin, l'EV/EBITDA de 19,4x, très supérieur au seuil de 15x, confirme une valorisation tendue par rapport à la capacité opérationnelle, ce qui laisse peu de marge d'erreur aux investisseurs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progression totale de +10,79%, malgré un repli de -1,64% lors de la dernière séance, ce qui témoigne d'une dynamique haussière de fond mais d'une pression vendeuse récente. Le range de trading est large, avec un plus haut à 3 000 FCFA et un plus bas à 1 900 FCFA, soit une amplitude de 58% qui reflète une forte nervosité du marché. La moyenne (2 324 FCFA) est supérieure à la médiane (2 272 FCFA), et le mode se situe à 2 200 FCFA : cet écart entre moyenne et médiane confirme une distribution asymétrique, avec quelques séances de forte hausse tirant la moyenne vers le haut. L'écart-type de 275 FCFA (CV de 11,8%) indique une dispersion modérée autour de la moyenne, mais la volatilité annualisée de 52,1% classe le titre dans la catégorie des valeurs très volatiles (&gt;30%), ce qui implique un risque de marché élevé. Le kurtosis de 0,647 (mésokurtique) suggère une distribution proche de la normale, sans risque extrême de pics, tandis que le skewness de 1,103 (asymétrie positive) indique que les journées de baisse sont plus fréquentes que les journées de hausse, mais que les hausses, lorsqu'elles surviennent, sont plus amples — un profil typique de titre en consolidation avec des rebonds violents.</w:t>
      </w:r>
    </w:p>
    <w:p>
      <w:pPr>
        <w:spacing w:after="120" w:line="276" w:lineRule="auto"/>
      </w:pPr>
      <w:r>
        <w:t>---</w:t>
      </w:r>
    </w:p>
    <w:p>
      <w:pPr>
        <w:spacing w:after="120" w:line="276" w:lineRule="auto"/>
      </w:pPr>
      <w:r>
        <w:t>## PARTIE 2 : ANALYSE TECHNIQUE DÉTAILLÉE</w:t>
      </w:r>
    </w:p>
    <w:p>
      <w:pPr>
        <w:spacing w:after="120" w:line="276" w:lineRule="auto"/>
      </w:pPr>
      <w:r>
        <w:t>**Moyennes Mobiles** : La MM20 (2 264,75 FCFA) et la MM50 (2 460,80 FCFA) se situent toutes deux au-dessus du cours actuel (2 105 FCFA), avec une MM20 inférieure à la MM50 — configuration baissière de court terme. Le cours évoluant sous ses deux moyennes, la décision technique est logiquement **Vente**, signalant une pression baissière persistante.</w:t>
      </w:r>
    </w:p>
    <w:p>
      <w:pPr>
        <w:spacing w:after="120" w:line="276" w:lineRule="auto"/>
      </w:pPr>
      <w:r>
        <w:t>**Bandes de Bollinger** : Le cours (2 105 FCFA) se situe dans la moitié basse de la bande, entre la borne inférieure (2 023,69 FCFA) et la borne supérieure (2 505,81 FCFA), sans en atteindre les extrêmes. Cette position centrale, couplée à un rétrécissement apparent de la bande, justifie une décision **Neutre** : le marché est en phase d'indécision, sans signal de survente ou de surachat marqué.</w:t>
      </w:r>
    </w:p>
    <w:p>
      <w:pPr>
        <w:spacing w:after="120" w:line="276" w:lineRule="auto"/>
      </w:pPr>
      <w:r>
        <w:t>**MACD** : La valeur du MACD (-116,30) est inférieure à sa ligne de signal (-104,32), et les deux sont en territoire négatif — configuration baissière confirmée. La divergence négative indique un momentum descendant toujours actif, justifiant la décision **Vente** malgré la proximité d'un possible retournement.</w:t>
      </w:r>
    </w:p>
    <w:p>
      <w:pPr>
        <w:spacing w:after="120" w:line="276" w:lineRule="auto"/>
      </w:pPr>
      <w:r>
        <w:t>**RSI** : À 16,47, le RSI est très en dessous du seuil de survente (30), ce qui constitue un signal de **Achat** technique : le titre est techniquement survendu et pourrait connaître un rebond à court terme. Cette lecture contraste avec les signaux baissiers des autres indicateurs, suggérant une possible exhaustion de la baisse.</w:t>
      </w:r>
    </w:p>
    <w:p>
      <w:pPr>
        <w:spacing w:after="120" w:line="276" w:lineRule="auto"/>
      </w:pPr>
      <w:r>
        <w:t>**Stochastique** : Le %K (4,92) est très inférieur au %D (14,09), les deux étant en zone de survente extrême (&lt;20). Cette configuration, bien que baissière dans la dynamique, génère une décision **Achat** par anticipation d'un croisement haussier imminent, cohérent avec le RSI.</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Cette configuration suggère un titre en fin de correction, où le risque baissier immédiat est limité mais où la confirmation d'un retournement n'est pas encore acquise. La prudence reste de mise tant que le cours n'aura pas reconquis la MM20 (2 264 FCFA).</w:t>
      </w:r>
    </w:p>
    <w:p>
      <w:pPr>
        <w:spacing w:after="120" w:line="276" w:lineRule="auto"/>
      </w:pPr>
      <w:r>
        <w:t>---</w:t>
      </w:r>
    </w:p>
    <w:p>
      <w:pPr>
        <w:spacing w:after="120" w:line="276" w:lineRule="auto"/>
      </w:pPr>
      <w:r>
        <w:t>## PARTIE 3 : ANALYSE FONDAMENTALE</w:t>
      </w:r>
    </w:p>
    <w:p>
      <w:pPr>
        <w:spacing w:after="120" w:line="276" w:lineRule="auto"/>
      </w:pPr>
      <w:r>
        <w:t>Les états financiers 2025 (exercice clos le 31/12/2025) font état d'un chiffre d'affaires de 5,139 milliards FCFA, d'un résultat net de 2,037 milliards FCFA, d'un ROE exceptionnel de 35,39% et d'un ROA de 27,25% — des niveaux de rentabilité très supérieurs aux standards du marché. Cependant, le taux de croissance du CA ressort à -23,80%, signalant une contraction commerciale préoccupante, et la marge nette de 39,63% est artificiellement gonflée par des éléments non récurrents (reprise de provision pour redressement fiscal de 1 596 millions FCFA au T3 2025, selon le rapport du 30/09/2025). La structure financière est remarquablement saine : autonomie financière de 77,01%, liquidité générale de 448,86%, trésorerie nette de 4,196 milliards FCFA, et un BFR de 1,498 milliard FCFA (qualifié de favorable dans les données). En revanche, le délai client de 154,72 jours constitue un risque de trésorerie significatif, tout comme la durée de stockage de 54,49 jours, tandis que le délai fournisseur de 69,56 jours reste correct. Le rapport annuel 2025 (document 2025) confirme un résultat net de 2,04 milliards FCFA (+169% vs 2024) et un CA de 6,74 milliards FCFA (+29%), avec un dividende généreux de 2,04 milliards FCFA (100% du résultat net) — une politique de distribution qui limite l'autofinancement. Les rapports trimestriels les plus récents nuancent toutefois ce tableau : le T1 2026 (rapport 2026) affiche un CA de 115,1 millions FCFA (+137%) mais une perte nette de -168,9 millions FCFA, et le T3 2025 (rapport du 30/09/2025) montre un CA en baisse de 35% à 3 406 millions FCFA, avec un résultat net de 1 596 millions FCFA tiré par un produit exceptionnel. On estime donc que l'exercice 2026 devrait rester déficitaire au niveau opérationnel (résultat d'exploitation de -271,5 millions FCFA au T1 2026), la rentabilité nette annuelle dépendant fortement d'éléments non récurrents et de la saisonnalité du second semestre. En conclusion, la solidité bilancielle et la rentabilité historique sont indéniables, mais la contraction du CA, la dépendance aux éléments exceptionnels et la politique de distribution à 100% constituent des risques majeurs pour la durabilité de la performance.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PER de 13,2x légèrement supérieur à la moyenne BRVM, P/B de 4,67x et EV/EBITDA de 19,4x traduisent une prime exigeante qui n'est justifiée que si la rentabilité se maintient — or celle-ci dépend d'éléments non récurrents. Le comportement du cours (Partie 1) est ambivalent : tendance haussière de fond (+10,79%) mais volatilité très élevée (52,1%) et skewness positive indiquant une fréquence de baisses supérieure aux hausses, ce qui est préoccupant pour un investisseur averse au risque. Les signaux techniques (Partie 2) divergent : MM et MACD baissiers, mais RSI (16,47) et stochastique (4,92) en survente extrême suggèrent un rebond imminent — configuration de fin de correction plutôt que de retournement durable. Les fondamentaux (Partie 3) révèlent une société bilanciellement très solide (autonomie financière 77%, trésorerie 4,2 Mds FCFA) mais confrontée à une contraction du CA (-23,8% en 2025) et à une dépendance aux produits exceptionnels, avec un T1 2026 encore déficitaire (-168,9 M FCFA). Les prédictions IA (J+1 à J+10) anticipent une légère dérive baissière de 2 100 à 2 060 FCFA, ce qui contredit l'hypothèse d'un rebond technique immédiat et confirme la pression baissière de court terme. **Recommandation finale : CONSERVER**, avec un niveau de confiance **Moyen** et un risque global **Élevé**. La convergence entre valorisation tendue, technique baissière de fond, fondamentaux mitigés (solidité bilancielle mais contraction opérationnelle) et prédictions baissières plaide pour la prudence, tandis que la survente technique et la qualité du bilan justifient de ne pas vendre. Horizon optimal : **moyen terme (3-12 mois)**, en attendant la confirmation d'un redressement commercial durable et la publication des résultats du T2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507.31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2,879 titres</w:t>
            </w:r>
          </w:p>
        </w:tc>
        <w:tc>
          <w:tcPr>
            <w:tcW w:type="dxa" w:w="2268"/>
            <w:shd w:fill="FFF2CC" w:val="clear"/>
          </w:tcPr>
          <w:p>
            <w:r>
              <w:rPr>
                <w:b/>
                <w:color w:val="503200"/>
                <w:sz w:val="16"/>
              </w:rPr>
              <w:t xml:space="preserve">Cours actuel : </w:t>
            </w:r>
            <w:r>
              <w:rPr>
                <w:color w:val="000000"/>
                <w:sz w:val="17"/>
              </w:rPr>
              <w:t>20,510 FCFA</w:t>
            </w:r>
          </w:p>
          <w:p>
            <w:r>
              <w:rPr>
                <w:b/>
                <w:color w:val="503200"/>
                <w:sz w:val="16"/>
              </w:rPr>
              <w:t xml:space="preserve">Var. 100 jours : </w:t>
            </w:r>
            <w:r>
              <w:rPr>
                <w:b/>
                <w:color w:val="007800"/>
                <w:sz w:val="17"/>
              </w:rPr>
              <w:t>+13.94%</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8.84% (Moyenne) — μ=21,682 FCFA, σ=1,918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β=1.1517 (Neutre (suit le marché)) — Cov=0.000086, Var(idx)=0.000075, ρ=0.427,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19,296</w:t>
            </w:r>
          </w:p>
        </w:tc>
        <w:tc>
          <w:tcPr>
            <w:tcW w:type="dxa" w:w="1440"/>
            <w:shd w:fill="FAFAFA" w:val="clear"/>
          </w:tcPr>
          <w:p>
            <w:r>
              <w:rPr>
                <w:b/>
                <w:sz w:val="17"/>
              </w:rPr>
              <w:t>20,282</w:t>
            </w:r>
          </w:p>
        </w:tc>
        <w:tc>
          <w:tcPr>
            <w:tcW w:type="dxa" w:w="1440"/>
            <w:shd w:fill="FAFAFA" w:val="clear"/>
          </w:tcPr>
          <w:p>
            <w:r>
              <w:rPr>
                <w:sz w:val="17"/>
              </w:rPr>
              <w:t>21,268</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18,683</w:t>
            </w:r>
          </w:p>
        </w:tc>
        <w:tc>
          <w:tcPr>
            <w:tcW w:type="dxa" w:w="1440"/>
            <w:shd w:fill="FFDCE0" w:val="clear"/>
          </w:tcPr>
          <w:p>
            <w:r>
              <w:rPr>
                <w:b/>
                <w:sz w:val="17"/>
              </w:rPr>
              <w:t>20,062</w:t>
            </w:r>
          </w:p>
        </w:tc>
        <w:tc>
          <w:tcPr>
            <w:tcW w:type="dxa" w:w="1440"/>
            <w:shd w:fill="FFDCE0" w:val="clear"/>
          </w:tcPr>
          <w:p>
            <w:r>
              <w:rPr>
                <w:sz w:val="17"/>
              </w:rPr>
              <w:t>21,441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18,178</w:t>
            </w:r>
          </w:p>
        </w:tc>
        <w:tc>
          <w:tcPr>
            <w:tcW w:type="dxa" w:w="1440"/>
            <w:shd w:fill="FFDCE0" w:val="clear"/>
          </w:tcPr>
          <w:p>
            <w:r>
              <w:rPr>
                <w:b/>
                <w:sz w:val="17"/>
              </w:rPr>
              <w:t>19,850</w:t>
            </w:r>
          </w:p>
        </w:tc>
        <w:tc>
          <w:tcPr>
            <w:tcW w:type="dxa" w:w="1440"/>
            <w:shd w:fill="FFDCE0" w:val="clear"/>
          </w:tcPr>
          <w:p>
            <w:r>
              <w:rPr>
                <w:sz w:val="17"/>
              </w:rPr>
              <w:t>21,521</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17,732</w:t>
            </w:r>
          </w:p>
        </w:tc>
        <w:tc>
          <w:tcPr>
            <w:tcW w:type="dxa" w:w="1440"/>
            <w:shd w:fill="FFDCE0" w:val="clear"/>
          </w:tcPr>
          <w:p>
            <w:r>
              <w:rPr>
                <w:b/>
                <w:sz w:val="17"/>
              </w:rPr>
              <w:t>19,641</w:t>
            </w:r>
          </w:p>
        </w:tc>
        <w:tc>
          <w:tcPr>
            <w:tcW w:type="dxa" w:w="1440"/>
            <w:shd w:fill="FFDCE0" w:val="clear"/>
          </w:tcPr>
          <w:p>
            <w:r>
              <w:rPr>
                <w:sz w:val="17"/>
              </w:rPr>
              <w:t>21,551</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17,324</w:t>
            </w:r>
          </w:p>
        </w:tc>
        <w:tc>
          <w:tcPr>
            <w:tcW w:type="dxa" w:w="1440"/>
            <w:shd w:fill="FFDCE0" w:val="clear"/>
          </w:tcPr>
          <w:p>
            <w:r>
              <w:rPr>
                <w:b/>
                <w:sz w:val="17"/>
              </w:rPr>
              <w:t>19,436</w:t>
            </w:r>
          </w:p>
        </w:tc>
        <w:tc>
          <w:tcPr>
            <w:tcW w:type="dxa" w:w="1440"/>
            <w:shd w:fill="FFDCE0" w:val="clear"/>
          </w:tcPr>
          <w:p>
            <w:r>
              <w:rPr>
                <w:sz w:val="17"/>
              </w:rPr>
              <w:t>21,549</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16,944</w:t>
            </w:r>
          </w:p>
        </w:tc>
        <w:tc>
          <w:tcPr>
            <w:tcW w:type="dxa" w:w="1440"/>
            <w:shd w:fill="FFDCE0" w:val="clear"/>
          </w:tcPr>
          <w:p>
            <w:r>
              <w:rPr>
                <w:b/>
                <w:sz w:val="17"/>
              </w:rPr>
              <w:t>19,234</w:t>
            </w:r>
          </w:p>
        </w:tc>
        <w:tc>
          <w:tcPr>
            <w:tcW w:type="dxa" w:w="1440"/>
            <w:shd w:fill="FFDCE0" w:val="clear"/>
          </w:tcPr>
          <w:p>
            <w:r>
              <w:rPr>
                <w:sz w:val="17"/>
              </w:rPr>
              <w:t>21,525</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16,587</w:t>
            </w:r>
          </w:p>
        </w:tc>
        <w:tc>
          <w:tcPr>
            <w:tcW w:type="dxa" w:w="1440"/>
            <w:shd w:fill="FFDCE0" w:val="clear"/>
          </w:tcPr>
          <w:p>
            <w:r>
              <w:rPr>
                <w:b/>
                <w:sz w:val="17"/>
              </w:rPr>
              <w:t>19,035</w:t>
            </w:r>
          </w:p>
        </w:tc>
        <w:tc>
          <w:tcPr>
            <w:tcW w:type="dxa" w:w="1440"/>
            <w:shd w:fill="FFDCE0" w:val="clear"/>
          </w:tcPr>
          <w:p>
            <w:r>
              <w:rPr>
                <w:sz w:val="17"/>
              </w:rPr>
              <w:t>21,483</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16,248</w:t>
            </w:r>
          </w:p>
        </w:tc>
        <w:tc>
          <w:tcPr>
            <w:tcW w:type="dxa" w:w="1440"/>
            <w:shd w:fill="FFDCE0" w:val="clear"/>
          </w:tcPr>
          <w:p>
            <w:r>
              <w:rPr>
                <w:b/>
                <w:sz w:val="17"/>
              </w:rPr>
              <w:t>18,838</w:t>
            </w:r>
          </w:p>
        </w:tc>
        <w:tc>
          <w:tcPr>
            <w:tcW w:type="dxa" w:w="1440"/>
            <w:shd w:fill="FFDCE0" w:val="clear"/>
          </w:tcPr>
          <w:p>
            <w:r>
              <w:rPr>
                <w:sz w:val="17"/>
              </w:rPr>
              <w:t>21,428</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15,924</w:t>
            </w:r>
          </w:p>
        </w:tc>
        <w:tc>
          <w:tcPr>
            <w:tcW w:type="dxa" w:w="1440"/>
            <w:shd w:fill="FFDCE0" w:val="clear"/>
          </w:tcPr>
          <w:p>
            <w:r>
              <w:rPr>
                <w:b/>
                <w:sz w:val="17"/>
              </w:rPr>
              <w:t>18,643</w:t>
            </w:r>
          </w:p>
        </w:tc>
        <w:tc>
          <w:tcPr>
            <w:tcW w:type="dxa" w:w="1440"/>
            <w:shd w:fill="FFDCE0" w:val="clear"/>
          </w:tcPr>
          <w:p>
            <w:r>
              <w:rPr>
                <w:sz w:val="17"/>
              </w:rPr>
              <w:t>21,361</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15,614</w:t>
            </w:r>
          </w:p>
        </w:tc>
        <w:tc>
          <w:tcPr>
            <w:tcW w:type="dxa" w:w="1440"/>
            <w:shd w:fill="FFDCE0" w:val="clear"/>
          </w:tcPr>
          <w:p>
            <w:r>
              <w:rPr>
                <w:b/>
                <w:sz w:val="17"/>
              </w:rPr>
              <w:t>18,450</w:t>
            </w:r>
          </w:p>
        </w:tc>
        <w:tc>
          <w:tcPr>
            <w:tcW w:type="dxa" w:w="1440"/>
            <w:shd w:fill="FFDCE0" w:val="clear"/>
          </w:tcPr>
          <w:p>
            <w:r>
              <w:rPr>
                <w:sz w:val="17"/>
              </w:rPr>
              <w:t>21,286</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507,31 Mds FCFA, NSBC s'affirme comme l'une des valeurs bancaires les plus importantes de la cote BRVM, témoignant d'une liquidité et d'une profondeur de marché significatives pour la place régionale. Le BPA de 1 646 FCFA/action indique que chaque titre génère un bénéfice substantiel, plaçant la banque parmi les valeurs les plus rentables par action du compartiment bancaire. Le PER de 12,5x se situe légèrement au-dessus de la moyenne BRVM (8-12x), traduisant une prime de qualité modérée mais non excessive — les investisseurs acceptent de payer un multiple raisonnable pour une banque affichant une croissance à deux chiffres. Le P/B de 2,17x confirme cette prime de croissance : le marché valorise NSBC à plus du double de sa valeur comptable, signe de confiance dans la capacité de la banque à générer des rendements supérieurs au coût des fonds propres. En revanche, l'EV/EBITDA de 20,3x apparaît très exigeant (&gt;15x), signalant que la valeur d'entreprise intègre déjà une bonne part des anticipations de croissance — un point de vigilance pour les nouveaux entrants.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affiche une variation totale positive de +13,94%, bien que la dernière séance (J-1) ait enregistré un repli de -1,39%, ramenant le cours à 20 510 FCFA. Le range de trading est large, avec un plus haut à 24 885 FCFA et un plus bas à 17 980 FCFA, soit un écart de près de 38% entre les extrêmes — illustrant une dynamique haussière entrecoupée de corrections marquées. La tendance générale reste haussière sur la période, mais le repli récent suggère une phase de consolidation. Les statistiques descriptives révèlent une moyenne de 21 682 FCFA supérieure à la médiane de 22 000 FCFA — en réalité la médiane dépasse légèrement la moyenne, indiquant une distribution légèrement tirée vers le bas par quelques séances de faiblesse, cohérent avec le skewness de -0,309 (distribution quasi-symétrique, légère asymétrie négative). L'écart-type de 1 927 FCFA avec un CV de 8,9% traduit une dispersion modérée du cours autour de sa moyenne, tandis que le kurtosis de -1,100 (platykurtique) signale une distribution aplatie, sans pics extrêmes prononcés — un profil de risque relativement lissé. La volatilité annualisée de 36,5% positionne le titre dans la catégorie des valeurs à volatilité élevée (&gt;30%), ce qui est cohérent avec le profil d'une action bancaire de croissance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(21 704,5 FCFA) et la MM50 (22 779,9 FCFA) se situent toutes deux au-dessus du cours actuel (20 510 FCFA), avec la MM20 en dessous de la MM50 — configuration baissière typique. Le cours évoluant sous ses deux moyennes, la pression vendeuse domine à court et moyen terme, justifiant la décision « Vente ».</w:t>
      </w:r>
    </w:p>
    <w:p>
      <w:pPr>
        <w:spacing w:after="120" w:line="276" w:lineRule="auto"/>
      </w:pPr>
      <w:r>
        <w:t>**Bandes de Bollinger** : Le cours (20 510 FCFA) se situe dans la moitié inférieure de la bande, entre la borne inférieure (19 686 FCFA) et la borne supérieure (23 723 FCFA), sans atteindre les extrêmes. Cette position centrale basse traduit une volatilité contenue et une absence de signal directionnel fort, d'où la décision « Neutre » — le marché attend un catalyseur.</w:t>
      </w:r>
    </w:p>
    <w:p>
      <w:pPr>
        <w:spacing w:after="120" w:line="276" w:lineRule="auto"/>
      </w:pPr>
      <w:r>
        <w:t>**MACD** : La valeur du MACD (-640,4) est inférieure à son signal (-557,7), confirmant un momentum baissier. La divergence négative entre la ligne MACD et sa ligne de signal indique que la dynamique descendante persiste, justifiant la décision « Vente » — les vendeurs gardent la main.</w:t>
      </w:r>
    </w:p>
    <w:p>
      <w:pPr>
        <w:spacing w:after="120" w:line="276" w:lineRule="auto"/>
      </w:pPr>
      <w:r>
        <w:t>**RSI** : À 28,46, le RSI se situe sous le seuil de 30, zone de survente classique. Cette configuration suggère que le titre a été excessivement vendu à court terme et pourrait connaître un rebond technique, d'où la décision « Achat » — signal contrarien de retournement potentiel.</w:t>
      </w:r>
    </w:p>
    <w:p>
      <w:pPr>
        <w:spacing w:after="120" w:line="276" w:lineRule="auto"/>
      </w:pPr>
      <w:r>
        <w:t>**Stochastique** : Avec %K et %D tous deux à 0,0, l'indicateur est en zone de survente extrême, signalant un épuisement total de la pression vendeuse. Cette configuration, bien que rare, précède souvent un rebond, justifiant la décision « Achat » — le potentiel de rebond technique est maximal.</w:t>
      </w:r>
    </w:p>
    <w:p>
      <w:pPr>
        <w:spacing w:after="120" w:line="276" w:lineRule="auto"/>
      </w:pPr>
      <w:r>
        <w:t>**Conclusion technique** : Les indicateurs présentent une divergence instructive : les moyennes mobiles et le MACD confirment une tendance baissière de fond, tandis que le RSI et le stochastique signalent une survente extrême propice à un rebond technique à court terme. Les Bandes de Bollinger en position neutre n'apportent pas de confirmation directionnelle. Cette configuration mixte suggère un titre en fin de correction, où les acheteurs contrariens pourraient se manifester, mais la prudence reste de mise tant que le cours n'aura pas reconquis la MM20 (21 704 FCFA) comme support.</w:t>
      </w:r>
    </w:p>
    <w:p>
      <w:pPr>
        <w:spacing w:after="120" w:line="276" w:lineRule="auto"/>
      </w:pPr>
      <w:r>
        <w:t>---</w:t>
      </w:r>
    </w:p>
    <w:p>
      <w:pPr>
        <w:spacing w:after="120" w:line="276" w:lineRule="auto"/>
      </w:pPr>
      <w:r>
        <w:t>## PARTIE 3 : ANALYSE FONDAMENTALE</w:t>
      </w:r>
    </w:p>
    <w:p>
      <w:pPr>
        <w:spacing w:after="120" w:line="276" w:lineRule="auto"/>
      </w:pPr>
      <w:r>
        <w:t>En 2025, NSBC affiche des états financiers solides : un Produit Net Bancaire (équivalent du chiffre d'affaires bancaire) de 112,928 Mds FCFA, en croissance de +15,4% selon les données structurées, et un résultat net de 40,712 Mds FCFA. La rentabilité des fonds propres (ROE) atteint 17,45%, niveau excellent (&gt;15%), tandis que le ROA s'établit à 1,32%, conforme aux standards bancaires. Le coefficient d'exploitation de 54,59% (&lt;60%) confirme une banque efficace, et la marge nette de 36,05% témoigne d'une forte capacité à transformer le PNB en profit. Cependant, le coût du risque rapporté aux charges financières (7,54%) signale un risque de crédit significatif, cohérent avec la dégradation du coût net du risque passée de +0,6 Md FCFA en 2024 à -8,5 Mds FCFA en 2025 (rapport annuel 2025, analysé le 13/05/2026). La structure bilancielle reste dominée par les dépôts clientèle (2 242,2 Mds FCFA) face à des créances clientèle de 1 818,7 Mds FCFA, soit un ratio de transformation sain de ~81%, et le total bilan atteint 3 073 Mds FCFA (+22%). Les rapports trimestriels confirment l'accélération : le T1 2026 (rapport analysé le 01/05/2026) affiche un PNB de 28,6 Mds FCFA (+28%) et un résultat net de 10,9 Mds FCFA (+53%), tiré par l'activité titres — on estime dès lors que l'exercice 2026 pourrait dépasser les 45 Mds FCFA de résultat net si la dynamique se maintient, bien que la concentration sur les revenus titres constitue un facteur de volatilité. La recommandation fondamentale est positive (solidité, croissance, efficacité), avec un point de vigilance majeur sur le coût du risque et la dépendance aux revenus de portefeuille.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12,5x et le P/B de 2,17x traduisent une valorisation raisonnable mais non décotée, tandis que l'EV/EBITDA de 20,3x intègre déjà une forte prime de croissance — le titre n'est ni sous-évalué ni excessivement cher. **Comportement du cours** : la tendance haussière de +13,94% sur 100 jours s'essouffle (-1,39% en J-1), avec une volatilité élevée (36,5%) mais une distribution sans pics extrêmes (kurtosis -1,10), ce qui est rassurant pour la gestion du risque. **Signaux techniques** : divergence entre la tendance baissière (MM, MACD) et la survente extrême (RSI 28,5, Stochastique 0), suggérant un rebond technique possible mais fragile. **Fondamentaux** : excellents (ROE 17,45%, PNB +15,4%, résultat net +53% au T1 2026), mais entachés par la dégradation du coût du risque. **Prédictions IA** : la trajectoire projetée (20 282 → 19 436 FCFA sur 10 jours, soit -5,2%) confirme la pression baissière de court terme et contredit l'espoir de rebond immédiat. Face à cette convergence baissière (technique + prédiction) mais à des fondamentaux solides et une valorisation correcte, la recommandation finale est **CONSERVER**. Le niveau de confiance est **Moyen** (divergence entre signaux techniques court terme et fondamentaux long terme), le risque global est **Moyen** (volatilité élevée mais bilan solide), et l'horizon optimal est le **moyen terme (3-12 mois)** — le temps que la correction technique s'achève et que les résultats semestriels 2026 confirment la dynamique bénéficiaire avant tout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324.43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1,268 titres</w:t>
            </w:r>
          </w:p>
        </w:tc>
        <w:tc>
          <w:tcPr>
            <w:tcW w:type="dxa" w:w="2268"/>
            <w:shd w:fill="FFF2CC" w:val="clear"/>
          </w:tcPr>
          <w:p>
            <w:r>
              <w:rPr>
                <w:b/>
                <w:color w:val="503200"/>
                <w:sz w:val="16"/>
              </w:rPr>
              <w:t xml:space="preserve">Cours actuel : </w:t>
            </w:r>
            <w:r>
              <w:rPr>
                <w:color w:val="000000"/>
                <w:sz w:val="17"/>
              </w:rPr>
              <w:t>14,700 FCFA</w:t>
            </w:r>
          </w:p>
          <w:p>
            <w:r>
              <w:rPr>
                <w:b/>
                <w:color w:val="503200"/>
                <w:sz w:val="16"/>
              </w:rPr>
              <w:t xml:space="preserve">Var. 100 jours : </w:t>
            </w:r>
            <w:r>
              <w:rPr>
                <w:b/>
                <w:color w:val="007800"/>
                <w:sz w:val="17"/>
              </w:rPr>
              <w:t>+13.03%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μ=15,754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β=0.4346 (Défensif) — Cov=0.000032, Var(idx)=0.000075, ρ=0.167,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14,501</w:t>
            </w:r>
          </w:p>
        </w:tc>
        <w:tc>
          <w:tcPr>
            <w:tcW w:type="dxa" w:w="1440"/>
            <w:shd w:fill="C6EFCE" w:val="clear"/>
          </w:tcPr>
          <w:p>
            <w:r>
              <w:rPr>
                <w:b/>
                <w:sz w:val="17"/>
              </w:rPr>
              <w:t>15,196</w:t>
            </w:r>
          </w:p>
        </w:tc>
        <w:tc>
          <w:tcPr>
            <w:tcW w:type="dxa" w:w="1440"/>
            <w:shd w:fill="C6EFCE" w:val="clear"/>
          </w:tcPr>
          <w:p>
            <w:r>
              <w:rPr>
                <w:sz w:val="17"/>
              </w:rPr>
              <w:t>15,891</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14,173</w:t>
            </w:r>
          </w:p>
        </w:tc>
        <w:tc>
          <w:tcPr>
            <w:tcW w:type="dxa" w:w="1440"/>
            <w:shd w:fill="C6EFCE" w:val="clear"/>
          </w:tcPr>
          <w:p>
            <w:r>
              <w:rPr>
                <w:b/>
                <w:sz w:val="17"/>
              </w:rPr>
              <w:t>15,153</w:t>
            </w:r>
          </w:p>
        </w:tc>
        <w:tc>
          <w:tcPr>
            <w:tcW w:type="dxa" w:w="1440"/>
            <w:shd w:fill="C6EFCE" w:val="clear"/>
          </w:tcPr>
          <w:p>
            <w:r>
              <w:rPr>
                <w:sz w:val="17"/>
              </w:rPr>
              <w:t>16,134</w:t>
            </w:r>
          </w:p>
        </w:tc>
        <w:tc>
          <w:tcPr>
            <w:tcW w:type="dxa" w:w="1440"/>
            <w:shd w:fill="C6EFCE" w:val="clear"/>
          </w:tcPr>
          <w:p>
            <w:r>
              <w:rPr>
                <w:b/>
                <w:color w:val="008000"/>
                <w:sz w:val="17"/>
              </w:rPr>
              <w:t>+3.1%</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13,940</w:t>
            </w:r>
          </w:p>
        </w:tc>
        <w:tc>
          <w:tcPr>
            <w:tcW w:type="dxa" w:w="1440"/>
            <w:shd w:fill="C6EFCE" w:val="clear"/>
          </w:tcPr>
          <w:p>
            <w:r>
              <w:rPr>
                <w:b/>
                <w:sz w:val="17"/>
              </w:rPr>
              <w:t>15,140</w:t>
            </w:r>
          </w:p>
        </w:tc>
        <w:tc>
          <w:tcPr>
            <w:tcW w:type="dxa" w:w="1440"/>
            <w:shd w:fill="C6EFCE" w:val="clear"/>
          </w:tcPr>
          <w:p>
            <w:r>
              <w:rPr>
                <w:sz w:val="17"/>
              </w:rPr>
              <w:t>16,339</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13,750</w:t>
            </w:r>
          </w:p>
        </w:tc>
        <w:tc>
          <w:tcPr>
            <w:tcW w:type="dxa" w:w="1440"/>
            <w:shd w:fill="C6EFCE" w:val="clear"/>
          </w:tcPr>
          <w:p>
            <w:r>
              <w:rPr>
                <w:b/>
                <w:sz w:val="17"/>
              </w:rPr>
              <w:t>15,135</w:t>
            </w:r>
          </w:p>
        </w:tc>
        <w:tc>
          <w:tcPr>
            <w:tcW w:type="dxa" w:w="1440"/>
            <w:shd w:fill="C6EFCE" w:val="clear"/>
          </w:tcPr>
          <w:p>
            <w:r>
              <w:rPr>
                <w:sz w:val="17"/>
              </w:rPr>
              <w:t>16,520</w:t>
            </w:r>
          </w:p>
        </w:tc>
        <w:tc>
          <w:tcPr>
            <w:tcW w:type="dxa" w:w="1440"/>
            <w:shd w:fill="C6EFCE" w:val="clear"/>
          </w:tcPr>
          <w:p>
            <w:r>
              <w:rPr>
                <w:b/>
                <w:color w:val="008000"/>
                <w:sz w:val="17"/>
              </w:rPr>
              <w:t>+3.0%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13,585</w:t>
            </w:r>
          </w:p>
        </w:tc>
        <w:tc>
          <w:tcPr>
            <w:tcW w:type="dxa" w:w="1440"/>
            <w:shd w:fill="C6EFCE" w:val="clear"/>
          </w:tcPr>
          <w:p>
            <w:r>
              <w:rPr>
                <w:b/>
                <w:sz w:val="17"/>
              </w:rPr>
              <w:t>15,133</w:t>
            </w:r>
          </w:p>
        </w:tc>
        <w:tc>
          <w:tcPr>
            <w:tcW w:type="dxa" w:w="1440"/>
            <w:shd w:fill="C6EFCE" w:val="clear"/>
          </w:tcPr>
          <w:p>
            <w:r>
              <w:rPr>
                <w:sz w:val="17"/>
              </w:rPr>
              <w:t>16,681</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13,434</w:t>
            </w:r>
          </w:p>
        </w:tc>
        <w:tc>
          <w:tcPr>
            <w:tcW w:type="dxa" w:w="1440"/>
            <w:shd w:fill="C6EFCE" w:val="clear"/>
          </w:tcPr>
          <w:p>
            <w:r>
              <w:rPr>
                <w:b/>
                <w:sz w:val="17"/>
              </w:rPr>
              <w:t>15,130</w:t>
            </w:r>
          </w:p>
        </w:tc>
        <w:tc>
          <w:tcPr>
            <w:tcW w:type="dxa" w:w="1440"/>
            <w:shd w:fill="C6EFCE" w:val="clear"/>
          </w:tcPr>
          <w:p>
            <w:r>
              <w:rPr>
                <w:sz w:val="17"/>
              </w:rPr>
              <w:t>16,825</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13,296</w:t>
            </w:r>
          </w:p>
        </w:tc>
        <w:tc>
          <w:tcPr>
            <w:tcW w:type="dxa" w:w="1440"/>
            <w:shd w:fill="C6EFCE" w:val="clear"/>
          </w:tcPr>
          <w:p>
            <w:r>
              <w:rPr>
                <w:b/>
                <w:sz w:val="17"/>
              </w:rPr>
              <w:t>15,127</w:t>
            </w:r>
          </w:p>
        </w:tc>
        <w:tc>
          <w:tcPr>
            <w:tcW w:type="dxa" w:w="1440"/>
            <w:shd w:fill="C6EFCE" w:val="clear"/>
          </w:tcPr>
          <w:p>
            <w:r>
              <w:rPr>
                <w:sz w:val="17"/>
              </w:rPr>
              <w:t>16,958</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13,166</w:t>
            </w:r>
          </w:p>
        </w:tc>
        <w:tc>
          <w:tcPr>
            <w:tcW w:type="dxa" w:w="1440"/>
            <w:shd w:fill="C6EFCE" w:val="clear"/>
          </w:tcPr>
          <w:p>
            <w:r>
              <w:rPr>
                <w:b/>
                <w:sz w:val="17"/>
              </w:rPr>
              <w:t>15,123</w:t>
            </w:r>
          </w:p>
        </w:tc>
        <w:tc>
          <w:tcPr>
            <w:tcW w:type="dxa" w:w="1440"/>
            <w:shd w:fill="C6EFCE" w:val="clear"/>
          </w:tcPr>
          <w:p>
            <w:r>
              <w:rPr>
                <w:sz w:val="17"/>
              </w:rPr>
              <w:t>17,080</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13,044</w:t>
            </w:r>
          </w:p>
        </w:tc>
        <w:tc>
          <w:tcPr>
            <w:tcW w:type="dxa" w:w="1440"/>
            <w:shd w:fill="C6EFCE" w:val="clear"/>
          </w:tcPr>
          <w:p>
            <w:r>
              <w:rPr>
                <w:b/>
                <w:sz w:val="17"/>
              </w:rPr>
              <w:t>15,120</w:t>
            </w:r>
          </w:p>
        </w:tc>
        <w:tc>
          <w:tcPr>
            <w:tcW w:type="dxa" w:w="1440"/>
            <w:shd w:fill="C6EFCE" w:val="clear"/>
          </w:tcPr>
          <w:p>
            <w:r>
              <w:rPr>
                <w:sz w:val="17"/>
              </w:rPr>
              <w:t>17,195</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12,929</w:t>
            </w:r>
          </w:p>
        </w:tc>
        <w:tc>
          <w:tcPr>
            <w:tcW w:type="dxa" w:w="1440"/>
            <w:shd w:fill="C6EFCE" w:val="clear"/>
          </w:tcPr>
          <w:p>
            <w:r>
              <w:rPr>
                <w:b/>
                <w:sz w:val="17"/>
              </w:rPr>
              <w:t>15,116</w:t>
            </w:r>
          </w:p>
        </w:tc>
        <w:tc>
          <w:tcPr>
            <w:tcW w:type="dxa" w:w="1440"/>
            <w:shd w:fill="C6EFCE" w:val="clear"/>
          </w:tcPr>
          <w:p>
            <w:r>
              <w:rPr>
                <w:sz w:val="17"/>
              </w:rPr>
              <w:t>17,303</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Secteur : Entreprise / Agroalimentaire**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324,43 milliards FCFA, NTLC figure parmi les valeurs les plus importantes de la cote BRVM, ce qui témoigne de son poids dans l'indice régional et de la confiance des investisseurs dans son modèle agroalimentaire. Le BPA de 835 FCFA par action signifie que chaque titre génère annuellement ce niveau de bénéfice net, un rendement unitaire solide pour une valeur de qualité. Le PER de 17,6x se situe au-dessus de la moyenne BRVM (~8-12x), indiquant que le marché paie une prime pour la qualité de la signature Nestlé, mais reste modéré au regard de la croissance récente (+31% de CA au T1 2026). Le P/B de 10,97x traduit une forte prime par rapport à la valeur comptable (capitaux propres de 29,59 Mds FCFA), reflet d'un modèle asset-light à très forte rentabilité (ROE de 62,3%) mais qui expose à un risque de correction en cas de déception. L'EV/EBITDA de 8,9x, dans la fourchette raisonnable de 5-10x, montre que la valeur d'entreprise reste cohérente avec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+13,03%, mais la dernière séance (J-1) marque un net repli de -5,16%, signalant une prise de bénéfices ou une réaction négative récente à 14 700 FCFA. Le range de trading s'étend de 12 800 FCFA (plus bas) à 18 000 FCFA (plus haut), soit une amplitude de plus de 40%, ce qui traduit une tendance haussière de fond mais avec une phase de correction en cours depuis le pic. La moyenne de 15 754 FCFA est inférieure à la médiane de 15 995 FCFA, écart qui confirme une distribution asymétrique vers le bas (skewness de -0,848), c'est-à-dire davantage de séances passées au-dessus de la moyenne avant la correction récente. L'écart-type de 1 183 FCFA et le coefficient de variation de 7,5% indiquent une dispersion modérée du cours autour de sa tendance. Le kurtosis de 0,307 (mésokurtique) suggère un comportement proche d'une distribution normale, sans risque excessif de pics extrêmes. La volatilité annualisée de 36,2% classe le titre dans la catégorie des valeurs à volatilité élevée (&gt;30%), ce qui est cohérent avec la correction récente et impose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(15 240,25 FCFA) et la MM50 (16 219,9 FCFA) se situent toutes deux au-dessus du cours actuel (14 700 FCFA), avec une MM20 inférieure à la MM50 — configuration baissière de court terme. Le cours évoluant sous ses deux moyennes, la décision technique est **Vente**, confirmant la pression vendeuse récente.</w:t>
      </w:r>
    </w:p>
    <w:p>
      <w:pPr>
        <w:spacing w:after="120" w:line="276" w:lineRule="auto"/>
      </w:pPr>
      <w:r>
        <w:t>**Bandes de Bollinger** : Le cours (14 700 FCFA) se situe entre la borne inférieure (14 450,88 FCFA) et la borne supérieure (16 029,62 FCFA), plus proche du bas de bande, ce qui traduit une volatilité contenue mais un biais baissier. La décision est **Neutre**, le titre n'étant ni en survente extrême ni en surachat.</w:t>
      </w:r>
    </w:p>
    <w:p>
      <w:pPr>
        <w:spacing w:after="120" w:line="276" w:lineRule="auto"/>
      </w:pPr>
      <w:r>
        <w:t>**MACD** : La valeur du MACD (-291,77) est supérieure à son signal (-318,27), configuration haussière de momentum malgré un territoire négatif. La décision est **Achat**, suggérant un possible retournement ou une atténuation de la pression baissière.</w:t>
      </w:r>
    </w:p>
    <w:p>
      <w:pPr>
        <w:spacing w:after="120" w:line="276" w:lineRule="auto"/>
      </w:pPr>
      <w:r>
        <w:t>**RSI** : À 40,45, le RSI se situe en zone neutre (30-70), sans signal de surachat ni de survente. La décision est **Neutre**, le titre conservant une marge de baisse potentielle avant d'atteindre la zone de survente (&lt;30).</w:t>
      </w:r>
    </w:p>
    <w:p>
      <w:pPr>
        <w:spacing w:after="120" w:line="276" w:lineRule="auto"/>
      </w:pPr>
      <w:r>
        <w:t>**Stochastique** : Le %K à 0,0 (extrême bas) contre un %D à 61,0 indique un croisement baissier marqué, mais la position du %K en zone de survente extrême plaide pour un rebond technique imminent. La décision est **Achat**, en anticipation d'un retournement.</w:t>
      </w:r>
    </w:p>
    <w:p>
      <w:pPr>
        <w:spacing w:after="120" w:line="276" w:lineRule="auto"/>
      </w:pPr>
      <w:r>
        <w:t>**Conclusion technique** : Les indicateurs sont divergents — les moyennes mobiles et le positionnement dans les bandes de Bollinger confirment une tendance baissière de court terme, tandis que le MACD et le stochastique signalent un potentiel de rebond technique après la correction de -5,16%. Le RSI neutre à 40,45 laisse le titre sans excès. Cette configuration suggère une phase de consolidation avant une éventuelle reprise, avec un support clé à surveiller autour de 14 450 FCFA (borne inférieure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NTLC a réalisé un chiffre d'affaires de 233,26 milliards FCFA, en croissance de 5,97% sur un an, pour un résultat net de 18,43 milliards FCFA (+1,53%). La rentabilité des fonds propres (ROE) atteint un niveau exceptionnel de 62,28%, bien au-dessus du seuil de 15% considéré comme excellent, tandis que le ROA s'établit à 9,70% et la rotation des actifs à 122,80%, témoignant d'une efficacité remarquable dans l'utilisation des actifs. La marge nette de 7,90% et la marge opérationnelle de 16,16% restent solides, mais la marge brute de 29,61% subit la pression des coûts des matières premières. **Adapté au secteur entreprise** : le BFR de 22,63 Mds FCFA (positif, donc défavorable) et le fonds de roulement négatif de -24,21 Mds FCFA révèlent une tension sur le cycle d'exploitation, confirmée par la trésorerie nette de -46,83 Mds FCFA. Le délai client de 74,30 jours constitue un risque de trésorerie significatif, tout comme la durée de stockage de 59,39 jours qui immobilise du capital. La structure financière est fragile : autonomie financière de seulement 15,58% (seuil sain &gt;30%), ratio d'endettement de 135,85% et liquidité générale de 79,86% (inférieure à 1). **Estimations issues des rapports trimestriels** : selon le rapport T1 2026 (arrêté au 31 mars 2026, analysé le 01/05/2026), le CA bondit de +31% à 70,82 Mds FCFA et le résultat net de +37% à 7,53 Mds FCFA, avec une marge nette améliorée à 10,6% — on peut donc estimer que l'exercice 2026 devrait afficher une accélération de la croissance et une amélioration de la rentabilité, sous réserve de la persistance des pressions sur les coûts. Le rapport annuel 2025 (31/12/2025) confirme une politique de dividende plus conservatrice (9,27 Mds FCFA distribués, payout de 50,3% contre 99,7% en 2024), privilégiant le réinvestissement. **Recommandation fondamentale** : malgré une croissance solide et une rentabilité exceptionnelle, les tensions de trésorerie, l'endettement élevé et la dépendance aux matières premières imposent une vigilance ; le titre reste fondamentalement solide mais sa valorisation exigeante limite la marge de sécurité.</w:t>
      </w:r>
    </w:p>
    <w:p>
      <w:pPr>
        <w:spacing w:after="120" w:line="276" w:lineRule="auto"/>
      </w:pPr>
      <w:r>
        <w:t>---</w:t>
      </w:r>
    </w:p>
    <w:p>
      <w:pPr>
        <w:spacing w:after="120" w:line="276" w:lineRule="auto"/>
      </w:pPr>
      <w:r>
        <w:t>## PARTIE 4 : CONCLUSION D'INVESTISSEMENT</w:t>
      </w:r>
    </w:p>
    <w:p>
      <w:pPr>
        <w:spacing w:after="120" w:line="276" w:lineRule="auto"/>
      </w:pPr>
      <w:r>
        <w:t>La valorisation (Partie 0) indique un titre correctement valorisé à PER 17,6x, mais le P/B de 10,97x traduit une prime exigeante qui laisse peu de marge d'erreur. Le comportement du cours (Partie 1) montre une tendance haussière de fond (+13,03% sur 100 jours) mais une correction récente marquée (-5,16% en J-1), avec une volatilité élevée (36,2%) et une asymétrie négative (skewness -0,848) qui signalent une pression vendeuse de court terme. Les signaux techniques (Partie 2) sont divergents : baissiers pour les moyennes mobiles et Bollinger, haussiers pour le MACD et le stochastique, neutres pour le RSI — configuration de consolidation sans direction claire. Les fondamentaux (Partie 3) restent solides avec un ROE de 62,28% et une accélération de la croissance au T1 2026 (+31% de CA, +37% de résultat net), mais les tensions de trésorerie (trésorerie nette de -46,83 Mds FCFA) et l'endettement (135,85%) constituent des risques. Les prédictions IA (J+1 à J+10) anticipent une stabilisation autour de 15 130-15 196 FCFA, soit une légère hausse de +3% par rapport au cours actuel de 14 700 FCFA, ce qui **contredit partiellement** les signaux baissiers de court terme et **confirme** le potentiel de rebond technique. Sur la base de cette synthèse, la recommandation finale est **CONSERVER**, avec un niveau de confiance **Moyen** et un niveau de risque **Moyen** : la convergence entre fondamentaux solides, prédictions IA légèrement haussières et signaux techniques mitigés plaide pour une position d'attente, en surveillant le support de 14 450 FCFA et la confirmation du rebond. L'horizon d'investissement optimal est le **moyen terme (3-12 mois)**, le temps que la correction se résorbe et que la dynamique du T1 2026 se confirme sur les trimestres suivants.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203.66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6,393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+4.90%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2.96% (Faible) — μ=2,865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β=0.3786 (Défensif) — Cov=0.000028, Var(idx)=0.000075, ρ=0.148,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2,829</w:t>
            </w:r>
          </w:p>
        </w:tc>
        <w:tc>
          <w:tcPr>
            <w:tcW w:type="dxa" w:w="1440"/>
            <w:shd w:fill="FAFAFA" w:val="clear"/>
          </w:tcPr>
          <w:p>
            <w:r>
              <w:rPr>
                <w:b/>
                <w:sz w:val="17"/>
              </w:rPr>
              <w:t>2,959</w:t>
            </w:r>
          </w:p>
        </w:tc>
        <w:tc>
          <w:tcPr>
            <w:tcW w:type="dxa" w:w="1440"/>
            <w:shd w:fill="FAFAFA" w:val="clear"/>
          </w:tcPr>
          <w:p>
            <w:r>
              <w:rPr>
                <w:sz w:val="17"/>
              </w:rPr>
              <w:t>3,090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2,770</w:t>
            </w:r>
          </w:p>
        </w:tc>
        <w:tc>
          <w:tcPr>
            <w:tcW w:type="dxa" w:w="1440"/>
            <w:shd w:fill="FAFAFA" w:val="clear"/>
          </w:tcPr>
          <w:p>
            <w:r>
              <w:rPr>
                <w:b/>
                <w:sz w:val="17"/>
              </w:rPr>
              <w:t>2,954</w:t>
            </w:r>
          </w:p>
        </w:tc>
        <w:tc>
          <w:tcPr>
            <w:tcW w:type="dxa" w:w="1440"/>
            <w:shd w:fill="FAFAFA" w:val="clear"/>
          </w:tcPr>
          <w:p>
            <w:r>
              <w:rPr>
                <w:sz w:val="17"/>
              </w:rPr>
              <w:t>3,138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2,721</w:t>
            </w:r>
          </w:p>
        </w:tc>
        <w:tc>
          <w:tcPr>
            <w:tcW w:type="dxa" w:w="1440"/>
            <w:shd w:fill="FAFAFA" w:val="clear"/>
          </w:tcPr>
          <w:p>
            <w:r>
              <w:rPr>
                <w:b/>
                <w:sz w:val="17"/>
              </w:rPr>
              <w:t>2,946</w:t>
            </w:r>
          </w:p>
        </w:tc>
        <w:tc>
          <w:tcPr>
            <w:tcW w:type="dxa" w:w="1440"/>
            <w:shd w:fill="FAFAFA" w:val="clear"/>
          </w:tcPr>
          <w:p>
            <w:r>
              <w:rPr>
                <w:sz w:val="17"/>
              </w:rPr>
              <w:t>3,171</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2,680</w:t>
            </w:r>
          </w:p>
        </w:tc>
        <w:tc>
          <w:tcPr>
            <w:tcW w:type="dxa" w:w="1440"/>
            <w:shd w:fill="FAFAFA" w:val="clear"/>
          </w:tcPr>
          <w:p>
            <w:r>
              <w:rPr>
                <w:b/>
                <w:sz w:val="17"/>
              </w:rPr>
              <w:t>2,939</w:t>
            </w:r>
          </w:p>
        </w:tc>
        <w:tc>
          <w:tcPr>
            <w:tcW w:type="dxa" w:w="1440"/>
            <w:shd w:fill="FAFAFA" w:val="clear"/>
          </w:tcPr>
          <w:p>
            <w:r>
              <w:rPr>
                <w:sz w:val="17"/>
              </w:rPr>
              <w:t>3,198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2,643</w:t>
            </w:r>
          </w:p>
        </w:tc>
        <w:tc>
          <w:tcPr>
            <w:tcW w:type="dxa" w:w="1440"/>
            <w:shd w:fill="FFDCE0" w:val="clear"/>
          </w:tcPr>
          <w:p>
            <w:r>
              <w:rPr>
                <w:b/>
                <w:sz w:val="17"/>
              </w:rPr>
              <w:t>2,931</w:t>
            </w:r>
          </w:p>
        </w:tc>
        <w:tc>
          <w:tcPr>
            <w:tcW w:type="dxa" w:w="1440"/>
            <w:shd w:fill="FFDCE0" w:val="clear"/>
          </w:tcPr>
          <w:p>
            <w:r>
              <w:rPr>
                <w:sz w:val="17"/>
              </w:rPr>
              <w:t>3,220</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2,608</w:t>
            </w:r>
          </w:p>
        </w:tc>
        <w:tc>
          <w:tcPr>
            <w:tcW w:type="dxa" w:w="1440"/>
            <w:shd w:fill="FFDCE0" w:val="clear"/>
          </w:tcPr>
          <w:p>
            <w:r>
              <w:rPr>
                <w:b/>
                <w:sz w:val="17"/>
              </w:rPr>
              <w:t>2,924</w:t>
            </w:r>
          </w:p>
        </w:tc>
        <w:tc>
          <w:tcPr>
            <w:tcW w:type="dxa" w:w="1440"/>
            <w:shd w:fill="FFDCE0" w:val="clear"/>
          </w:tcPr>
          <w:p>
            <w:r>
              <w:rPr>
                <w:sz w:val="17"/>
              </w:rPr>
              <w:t>3,240</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2,577</w:t>
            </w:r>
          </w:p>
        </w:tc>
        <w:tc>
          <w:tcPr>
            <w:tcW w:type="dxa" w:w="1440"/>
            <w:shd w:fill="FFDCE0" w:val="clear"/>
          </w:tcPr>
          <w:p>
            <w:r>
              <w:rPr>
                <w:b/>
                <w:sz w:val="17"/>
              </w:rPr>
              <w:t>2,917</w:t>
            </w:r>
          </w:p>
        </w:tc>
        <w:tc>
          <w:tcPr>
            <w:tcW w:type="dxa" w:w="1440"/>
            <w:shd w:fill="FFDCE0" w:val="clear"/>
          </w:tcPr>
          <w:p>
            <w:r>
              <w:rPr>
                <w:sz w:val="17"/>
              </w:rPr>
              <w:t>3,257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2,547</w:t>
            </w:r>
          </w:p>
        </w:tc>
        <w:tc>
          <w:tcPr>
            <w:tcW w:type="dxa" w:w="1440"/>
            <w:shd w:fill="FFDCE0" w:val="clear"/>
          </w:tcPr>
          <w:p>
            <w:r>
              <w:rPr>
                <w:b/>
                <w:sz w:val="17"/>
              </w:rPr>
              <w:t>2,910</w:t>
            </w:r>
          </w:p>
        </w:tc>
        <w:tc>
          <w:tcPr>
            <w:tcW w:type="dxa" w:w="1440"/>
            <w:shd w:fill="FFDCE0" w:val="clear"/>
          </w:tcPr>
          <w:p>
            <w:r>
              <w:rPr>
                <w:sz w:val="17"/>
              </w:rPr>
              <w:t>3,273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2,519</w:t>
            </w:r>
          </w:p>
        </w:tc>
        <w:tc>
          <w:tcPr>
            <w:tcW w:type="dxa" w:w="1440"/>
            <w:shd w:fill="FFDCE0" w:val="clear"/>
          </w:tcPr>
          <w:p>
            <w:r>
              <w:rPr>
                <w:b/>
                <w:sz w:val="17"/>
              </w:rPr>
              <w:t>2,903</w:t>
            </w:r>
          </w:p>
        </w:tc>
        <w:tc>
          <w:tcPr>
            <w:tcW w:type="dxa" w:w="1440"/>
            <w:shd w:fill="FFDCE0" w:val="clear"/>
          </w:tcPr>
          <w:p>
            <w:r>
              <w:rPr>
                <w:sz w:val="17"/>
              </w:rPr>
              <w:t>3,287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2,493</w:t>
            </w:r>
          </w:p>
        </w:tc>
        <w:tc>
          <w:tcPr>
            <w:tcW w:type="dxa" w:w="1440"/>
            <w:shd w:fill="FFDCE0" w:val="clear"/>
          </w:tcPr>
          <w:p>
            <w:r>
              <w:rPr>
                <w:b/>
                <w:sz w:val="17"/>
              </w:rPr>
              <w:t>2,896</w:t>
            </w:r>
          </w:p>
        </w:tc>
        <w:tc>
          <w:tcPr>
            <w:tcW w:type="dxa" w:w="1440"/>
            <w:shd w:fill="FFDCE0" w:val="clear"/>
          </w:tcPr>
          <w:p>
            <w:r>
              <w:rPr>
                <w:sz w:val="17"/>
              </w:rPr>
              <w:t>3,300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RAPPORT D'ANALYSE FINANCIÈRE — ONATEL SA (ONTBF)</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203,66 milliards FCFA, ONTBF s'affirme comme l'une des valeurs télécoms de référence de la cote BRVM, portée par un cours de 2 995 FCFA et un BPA de 234 FCFA par action. Le PER de 12,8x se situe légèrement au-dessus de la moyenne BRVM (8-12x), traduisant une prime modérée pour la qualité de l'émetteur et la régularité de son dividende, sans pour autant basculer dans une zone de surévaluation manifeste. Le P/B de 3,54x confirme que le marché valorise l'entreprise à plus de trois fois ses fonds propres comptables (57,54 Mds FCFA), soit une prime de croissance cohérente avec un ROE de 27,6% — bien supérieur au seuil d'excellence de 15%. Enfin, l'EV/EBITDA de 5,3x, nettement en dessous de la fourchette raisonnable de 5-10x, suggère que la valeur d'entreprise reste bon marché au regard de la capacité opérationnelle de génération de cash (EBE de 56,73 Mds FCFA en 2025), un signal plutôt favorable pour l'investisseur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+4,90%, avec une dernière séance particulièrement dynamique (+3,28% en J-1), portant le cours à 2 995 FCFA. Le range de trading s'étend de 2 675 FCFA (plus bas) à 3 070 FCFA (plus haut), soit une amplitude de près de 15% — le cours actuel évolue dans le haut de cette fourchette, à seulement 2,4% du sommet, ce qui traduit une tendance haussière de fond sur la période. Les statistiques descriptives révèlent une distribution remarquablement équilibrée : la moyenne (2 865 FCFA) et la médiane (2 870 FCFA) sont quasi confondues, et le skewness de -0,085 confirme une symétrie quasi parfaite, sans biais haussier ou baissier marqué. L'écart-type de 85 FCFA (CV de 3,0%) indique une dispersion très faible du cours autour de sa moyenne — un titre "lisse" et prévisible sur la période. Le kurtosis de -0,440 (mésokurtique) signale une distribution proche de la normale, sans risque de pics extrêmes (queues épaisses), ce qui est rassurant pour la gestion du risque. En revanche, la volatilité annualisée de 35,9% place le titre dans la catégorie des valeurs à volatilité élevée (&gt;30%), un niveau à surveiller malgré la stabilité apparente des 100 derniers jours — cette volatilité reflète probablement les à-coups liés aux publications de résultats et au contexte sécuritaire burkinabè.</w:t>
      </w:r>
    </w:p>
    <w:p>
      <w:pPr>
        <w:spacing w:after="120" w:line="276" w:lineRule="auto"/>
      </w:pPr>
      <w:r>
        <w:t>---</w:t>
      </w:r>
    </w:p>
    <w:p>
      <w:pPr>
        <w:spacing w:after="120" w:line="276" w:lineRule="auto"/>
      </w:pPr>
      <w:r>
        <w:t>## PARTIE 2 : ANALYSE TECHNIQUE DÉTAILLÉE</w:t>
      </w:r>
    </w:p>
    <w:p>
      <w:pPr>
        <w:spacing w:after="120" w:line="276" w:lineRule="auto"/>
      </w:pPr>
      <w:r>
        <w:t>**Moyennes Mobiles** : La MM20 (2 932,75 FCFA) et la MM50 (2 905,70 FCFA) se situent toutes deux sous le cours actuel (2 995 FCFA), avec une MM20 au-dessus de la MM50 — configuration haussière classique (golden cross). Le cours évolue au-dessus de ses deux moyennes, ce qui valide la dynamique positive et justifie la décision **Achat**.</w:t>
      </w:r>
    </w:p>
    <w:p>
      <w:pPr>
        <w:spacing w:after="120" w:line="276" w:lineRule="auto"/>
      </w:pPr>
      <w:r>
        <w:t>**Bandes de Bollinger** : Le cours (2 995 FCFA) se situe dans la moitié supérieure de la bande, entre la borne inférieure (2 777,475 FCFA) et la borne supérieure (3 088,025 FCFA), sans en approcher les extrêmes. Cette position centrale-haute traduit une volatilité contenue et l'absence de signal de surachat ou de survente, d'où la décision **Neutre**.</w:t>
      </w:r>
    </w:p>
    <w:p>
      <w:pPr>
        <w:spacing w:after="120" w:line="276" w:lineRule="auto"/>
      </w:pPr>
      <w:r>
        <w:t>**MACD** : La ligne MACD (26,014) surpasse son signal (21,035), avec un histogramme positif — le momentum est haussier et la divergence confirme la tendance. Cette configuration plaide pour la poursuite du mouvement, justifiant la décision **Achat**.</w:t>
      </w:r>
    </w:p>
    <w:p>
      <w:pPr>
        <w:spacing w:after="120" w:line="276" w:lineRule="auto"/>
      </w:pPr>
      <w:r>
        <w:t>**RSI** : À 52,349, l'indicateur se situe en zone parfaitement neutre (30-70), à mi-chemin entre survente et surachat. Aucune tension extrême n'est détectée, le titre dispose d'un potentiel de hausse sans être en zone de danger, d'où la décision **Neutre**.</w:t>
      </w:r>
    </w:p>
    <w:p>
      <w:pPr>
        <w:spacing w:after="120" w:line="276" w:lineRule="auto"/>
      </w:pPr>
      <w:r>
        <w:t>**Stochastique** : Le %K (81,818) et le %D (76,364) évoluent tous deux en zone de surachat (&gt;80 pour le %K), avec un %K au-dessus du %D — signal de retournement potentiel à court terme. Cette configuration suggère une prise de bénéfices imminente, justifiant la décision **Vente** à court terme.</w:t>
      </w:r>
    </w:p>
    <w:p>
      <w:pPr>
        <w:spacing w:after="120" w:line="276" w:lineRule="auto"/>
      </w:pPr>
      <w:r>
        <w:t>**Conclusion technique** : Les indicateurs convergent majoritairement vers un biais haussier (MM en golden cross, MACD positif, cours au-dessus des moyennes), mais le Stochastique en zone de surachat et le RSI neutre tempèrent l'enthousiasme. La configuration globale est celle d'un titre en tendance haussière modérée, avec un risque de consolidation à court terme après le rebond de +3,28% en J-1. La décision technique globale penche pour un **Achat prudent avec vigilance sur les points d'entrée**, le titre n'étant ni survendu ni en zone d'achat agressive.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ONATEL SA (secteur télécoms, bien que les données soient classifiées "BANQUE" dans la base — le PNB de 146,177 Mds FCFA correspond en réalité au chiffre d'affaires télécoms) affiche un chiffre d'affaires de 146,177 Mds FCFA (+3,06% vs 2024), un résultat net de 15,887 Mds FCFA (en chute de -26% vs 21,47 Mds en 2024), un ROE de 27,61% (excellent, &gt;15%) et un ROA de 4,89%. Le coefficient d'exploitation de 67,07% (charges/PNB) dépasse le seuil de 60% d'efficacité, signalant une compression des marges — cohérent avec la marge nette de 10,87% (contre 15,1% en 2024). Le coût du risque de 3,57% (provisions/charges financières) reste modéré. La structure financière est le point de vigilance majeur : autonomie financière de seulement 17,71% (très en dessous du seuil sain de 30%), ratio d'endettement de 186,99% (dettes totales/capitaux propres) et dépendance financière de 82,29% — le bilan est lourdement endetté (dettes financières de 107,596 Mds FCFA), même si la solvabilité générale (121,52%) reste supérieure à 1 et que la couverture des intérêts (491,55%) est confortable. La génération de cash demeure solide (CAF de 46,952 Mds FCFA, flux opérationnel de 68,487 Mds), mais le Free Cash Flow n'est que de 1,556 Md FCFA en raison d'un capex massif (-45,224 Mds FCFA d'investissement).</w:t>
      </w:r>
    </w:p>
    <w:p>
      <w:pPr>
        <w:spacing w:after="120" w:line="276" w:lineRule="auto"/>
      </w:pPr>
      <w:r>
        <w:t>**Estimations basées sur les rapports trimestriels** : Le rapport T1 2026 (publié le 09/04/2026) montre un chiffre d'affaires de 37,1 Mds FCFA (+2,7%), un résultat net de 3,577 Mds FCFA (marge nette 9,6% OHADA) et un taux de marge EBITDA maintenu à 41,3% — la pression sur les marges persiste mais se stabilise. Le rapport semestriel 2026 (attestation CAC du 25/09/2026) confirme la conformité des comptes sans réserve, mais ne fournit pas de chiffres. Sur cette base, on estime que l'exercice 2026 devrait prolonger la tendance 2025 : croissance modérée du CA (~3%), résultat net encore sous pression (baisse attendue de 10-15% si les charges exceptionnelles persistent), avec un dividende maintenu à 166,0816 FCFA/action (rendement ~5,5% au cours actuel de 2 995 FCFA). Le rapport annuel 2025 (12/06/2026) confirme le dividende de 166,0816 FCFA brut (145,32 FCFA net), soit un taux de distribution de 70% — généreux mais potentiellement non soutenable si la baisse des bénéfices se poursuit.</w:t>
      </w:r>
    </w:p>
    <w:p>
      <w:pPr>
        <w:spacing w:after="120" w:line="276" w:lineRule="auto"/>
      </w:pPr>
      <w:r>
        <w:t>**Recommandation fondamentale** : ONTBF reste un leader télécoms rentable (ROE 27,6%, CAF 47 Mds) avec un dividende attractif, mais la dégradation de la rentabilité (-26% de résultat net en 2025), la compression des marges (coefficient d'exploitation 67%) et le déséquilibre bilantiel (autonomie financière 17,7%) constituent des risques significatifs. Les rapports récents (T1 2026, S1 2026) suggèrent une stabilisation progressive, mais la reconquête du leadership annoncée pour 2026 reste à confirmer. **Recommandation fondamentale : CONSERVER**, avec surveillance active de la trajectoire des marges et de l'endettement.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converge vers un profil **équilibré mais prudent**. Sur le plan de la **valorisation (Partie 0)**, les ratios sont raisonnables sans être bon marché : PER de 12,8x (légèrement au-dessus de la moyenne BRVM), P/B de 3,54x (prime de croissance justifiée par le ROE de 27,6%) et EV/EBITDA de 5,3x (plutôt attractif) — le titre n'est ni sous-évalué ni surévalué. Le **comportement du cours (Partie 1)** est favorable : tendance haussière (+4,90% sur 100 jours), distribution symétrique (skewness -0,085) et sans risque de pics extrêmes (kurtosis -0,440), mais la volatilité annualisée de 35,9% reste élevée. Les **signaux techniques (Partie 2)** sont majoritairement haussiers (MM en golden cross, MACD positif, cours au-dessus des moyennes) mais tempérés par le Stochastique en surachat (%K 81,8) qui suggère une consolidation à court terme. Les **fondamentaux (Partie 3)** révèlent un leader rentable mais en dégradation : résultat net -26% en 2025, marges sous pression, endettement élevé (autonomie financière 17,7%), compensés par une génération de cash solide (CAF 47 Mds) et un dividende attractif (rendement ~5,5%). Les **prédictions IA (J+1 à J+10)** anticipent une légère correction de 2 959 à 2 931 FCFA (-2,1% sur 10 jours), ce qui **contredit partiellement** le biais haussier technique et confirme la vigilance sur le surachat stochastique.</w:t>
      </w:r>
    </w:p>
    <w:p>
      <w:pPr>
        <w:spacing w:after="120" w:line="276" w:lineRule="auto"/>
      </w:pPr>
      <w:r>
        <w:t>**Recommandation finale : CONSERVER** — avec un niveau de confiance **Moyen** et un niveau de risque **Moyen**. La convergence est partielle : la valorisation raisonnable et les fondamentaux solides (cash, dividende) soutiennent le titre, mais la dégradation de la rentabilité, l'endettement élevé et les prédictions baissières à court terme plaident pour la prudence. **Horizon d'investissement optimal : moyen terme (3-12 mois)**, en attendant les résultats semestriels 2026 complets et la confirmation de la stabilisation des marges. Un investisseur en quête de rendement peut conserver la position pour son dividende (~5,5%), tandis qu'un investisseur en capital-risque attendra un point d'entrée plus favorable (vers 2 850-2 900 FCFA) pour renforcer.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3103.50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20,600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15,555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13.54% (Moyenne) — μ=18,519 FCFA, σ=2,507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β=1.4781 (Agressif) — Cov=0.000111, Var(idx)=0.000075, ρ=0.563,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19,906</w:t>
            </w:r>
          </w:p>
        </w:tc>
        <w:tc>
          <w:tcPr>
            <w:tcW w:type="dxa" w:w="1440"/>
            <w:shd w:fill="C6EFCE" w:val="clear"/>
          </w:tcPr>
          <w:p>
            <w:r>
              <w:rPr>
                <w:b/>
                <w:sz w:val="17"/>
              </w:rPr>
              <w:t>21,052</w:t>
            </w:r>
          </w:p>
        </w:tc>
        <w:tc>
          <w:tcPr>
            <w:tcW w:type="dxa" w:w="1440"/>
            <w:shd w:fill="C6EFCE" w:val="clear"/>
          </w:tcPr>
          <w:p>
            <w:r>
              <w:rPr>
                <w:sz w:val="17"/>
              </w:rPr>
              <w:t>22,198</w:t>
            </w:r>
          </w:p>
        </w:tc>
        <w:tc>
          <w:tcPr>
            <w:tcW w:type="dxa" w:w="1440"/>
            <w:shd w:fill="C6EFCE" w:val="clear"/>
          </w:tcPr>
          <w:p>
            <w:r>
              <w:rPr>
                <w:b/>
                <w:color w:val="008000"/>
                <w:sz w:val="17"/>
              </w:rPr>
              <w:t>+2.2%</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19,374</w:t>
            </w:r>
          </w:p>
        </w:tc>
        <w:tc>
          <w:tcPr>
            <w:tcW w:type="dxa" w:w="1440"/>
            <w:shd w:fill="FAFAFA" w:val="clear"/>
          </w:tcPr>
          <w:p>
            <w:r>
              <w:rPr>
                <w:b/>
                <w:sz w:val="17"/>
              </w:rPr>
              <w:t>20,989</w:t>
            </w:r>
          </w:p>
        </w:tc>
        <w:tc>
          <w:tcPr>
            <w:tcW w:type="dxa" w:w="1440"/>
            <w:shd w:fill="FAFAFA" w:val="clear"/>
          </w:tcPr>
          <w:p>
            <w:r>
              <w:rPr>
                <w:sz w:val="17"/>
              </w:rPr>
              <w:t>22,605</w:t>
            </w:r>
          </w:p>
        </w:tc>
        <w:tc>
          <w:tcPr>
            <w:tcW w:type="dxa" w:w="1440"/>
            <w:shd w:fill="FAFAFA" w:val="clear"/>
          </w:tcPr>
          <w:p>
            <w:r>
              <w:rPr>
                <w:b/>
                <w:color w:val="008000"/>
                <w:sz w:val="17"/>
              </w:rPr>
              <w:t>+1.9%</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18,990</w:t>
            </w:r>
          </w:p>
        </w:tc>
        <w:tc>
          <w:tcPr>
            <w:tcW w:type="dxa" w:w="1440"/>
            <w:shd w:fill="FAFAFA" w:val="clear"/>
          </w:tcPr>
          <w:p>
            <w:r>
              <w:rPr>
                <w:b/>
                <w:sz w:val="17"/>
              </w:rPr>
              <w:t>20,967</w:t>
            </w:r>
          </w:p>
        </w:tc>
        <w:tc>
          <w:tcPr>
            <w:tcW w:type="dxa" w:w="1440"/>
            <w:shd w:fill="FAFAFA" w:val="clear"/>
          </w:tcPr>
          <w:p>
            <w:r>
              <w:rPr>
                <w:sz w:val="17"/>
              </w:rPr>
              <w:t>22,943</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18,670</w:t>
            </w:r>
          </w:p>
        </w:tc>
        <w:tc>
          <w:tcPr>
            <w:tcW w:type="dxa" w:w="1440"/>
            <w:shd w:fill="FAFAFA" w:val="clear"/>
          </w:tcPr>
          <w:p>
            <w:r>
              <w:rPr>
                <w:b/>
                <w:sz w:val="17"/>
              </w:rPr>
              <w:t>20,950</w:t>
            </w:r>
          </w:p>
        </w:tc>
        <w:tc>
          <w:tcPr>
            <w:tcW w:type="dxa" w:w="1440"/>
            <w:shd w:fill="FAFAFA" w:val="clear"/>
          </w:tcPr>
          <w:p>
            <w:r>
              <w:rPr>
                <w:sz w:val="17"/>
              </w:rPr>
              <w:t>23,231</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18,387</w:t>
            </w:r>
          </w:p>
        </w:tc>
        <w:tc>
          <w:tcPr>
            <w:tcW w:type="dxa" w:w="1440"/>
            <w:shd w:fill="FAFAFA" w:val="clear"/>
          </w:tcPr>
          <w:p>
            <w:r>
              <w:rPr>
                <w:b/>
                <w:sz w:val="17"/>
              </w:rPr>
              <w:t>20,934</w:t>
            </w:r>
          </w:p>
        </w:tc>
        <w:tc>
          <w:tcPr>
            <w:tcW w:type="dxa" w:w="1440"/>
            <w:shd w:fill="FAFAFA" w:val="clear"/>
          </w:tcPr>
          <w:p>
            <w:r>
              <w:rPr>
                <w:sz w:val="17"/>
              </w:rPr>
              <w:t>23,482</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18,130</w:t>
            </w:r>
          </w:p>
        </w:tc>
        <w:tc>
          <w:tcPr>
            <w:tcW w:type="dxa" w:w="1440"/>
            <w:shd w:fill="FAFAFA" w:val="clear"/>
          </w:tcPr>
          <w:p>
            <w:r>
              <w:rPr>
                <w:b/>
                <w:sz w:val="17"/>
              </w:rPr>
              <w:t>20,919</w:t>
            </w:r>
          </w:p>
        </w:tc>
        <w:tc>
          <w:tcPr>
            <w:tcW w:type="dxa" w:w="1440"/>
            <w:shd w:fill="FAFAFA" w:val="clear"/>
          </w:tcPr>
          <w:p>
            <w:r>
              <w:rPr>
                <w:sz w:val="17"/>
              </w:rPr>
              <w:t>23,707</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17,893</w:t>
            </w:r>
          </w:p>
        </w:tc>
        <w:tc>
          <w:tcPr>
            <w:tcW w:type="dxa" w:w="1440"/>
            <w:shd w:fill="FAFAFA" w:val="clear"/>
          </w:tcPr>
          <w:p>
            <w:r>
              <w:rPr>
                <w:b/>
                <w:sz w:val="17"/>
              </w:rPr>
              <w:t>20,903</w:t>
            </w:r>
          </w:p>
        </w:tc>
        <w:tc>
          <w:tcPr>
            <w:tcW w:type="dxa" w:w="1440"/>
            <w:shd w:fill="FAFAFA" w:val="clear"/>
          </w:tcPr>
          <w:p>
            <w:r>
              <w:rPr>
                <w:sz w:val="17"/>
              </w:rPr>
              <w:t>23,912</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17,673</w:t>
            </w:r>
          </w:p>
        </w:tc>
        <w:tc>
          <w:tcPr>
            <w:tcW w:type="dxa" w:w="1440"/>
            <w:shd w:fill="FAFAFA" w:val="clear"/>
          </w:tcPr>
          <w:p>
            <w:r>
              <w:rPr>
                <w:b/>
                <w:sz w:val="17"/>
              </w:rPr>
              <w:t>20,888</w:t>
            </w:r>
          </w:p>
        </w:tc>
        <w:tc>
          <w:tcPr>
            <w:tcW w:type="dxa" w:w="1440"/>
            <w:shd w:fill="FAFAFA" w:val="clear"/>
          </w:tcPr>
          <w:p>
            <w:r>
              <w:rPr>
                <w:sz w:val="17"/>
              </w:rPr>
              <w:t>24,102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17,465</w:t>
            </w:r>
          </w:p>
        </w:tc>
        <w:tc>
          <w:tcPr>
            <w:tcW w:type="dxa" w:w="1440"/>
            <w:shd w:fill="FAFAFA" w:val="clear"/>
          </w:tcPr>
          <w:p>
            <w:r>
              <w:rPr>
                <w:b/>
                <w:sz w:val="17"/>
              </w:rPr>
              <w:t>20,872</w:t>
            </w:r>
          </w:p>
        </w:tc>
        <w:tc>
          <w:tcPr>
            <w:tcW w:type="dxa" w:w="1440"/>
            <w:shd w:fill="FAFAFA" w:val="clear"/>
          </w:tcPr>
          <w:p>
            <w:r>
              <w:rPr>
                <w:sz w:val="17"/>
              </w:rPr>
              <w:t>24,280</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17,268</w:t>
            </w:r>
          </w:p>
        </w:tc>
        <w:tc>
          <w:tcPr>
            <w:tcW w:type="dxa" w:w="1440"/>
            <w:shd w:fill="FAFAFA" w:val="clear"/>
          </w:tcPr>
          <w:p>
            <w:r>
              <w:rPr>
                <w:b/>
                <w:sz w:val="17"/>
              </w:rPr>
              <w:t>20,857</w:t>
            </w:r>
          </w:p>
        </w:tc>
        <w:tc>
          <w:tcPr>
            <w:tcW w:type="dxa" w:w="1440"/>
            <w:shd w:fill="FAFAFA" w:val="clear"/>
          </w:tcPr>
          <w:p>
            <w:r>
              <w:rPr>
                <w:sz w:val="17"/>
              </w:rPr>
              <w:t>24,447</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ORAC (Orange Côte d'Ivoire)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**3 103,50 Mds FCFA**, ORAC s'impose comme l'une des valeurs phares de la BRVM, représentant une part significative de la capitalisation totale du marché régional. Le BPA de **1 114 FCFA/action** traduit un bénéfice solide par titre, tandis que le PER de **18,5x** situe le titre nettement au-dessus de la moyenne BRVM (~8-12x), signalant que les investisseurs acceptent de payer une prime pour la qualité et la croissance de l'émetteur — valorisation « modérée » mais non bon marché. Le P/B de **4,38x** confirme cette prime exigeante : le marché valorise ORAC à plus de quatre fois sa valeur comptable, reflet d'un goodwill important et d'une rentabilité élevée (ROE 23,7%). Enfin, l'EV/EBITDA de **7,4x** reste dans la fourchette raisonnable (5-10x), indiquant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**variation totale de +31,21%**, portée par une dynamique haussière soutenue, bien que la dernière séance (J-1) marque un repli de **-4,19%**, signe d'une prise de profit après le récent rallye. Le range de trading s'étend de **15 555 FCFA** (plus bas) à **22 500 FCFA** (plus haut), soit une amplitude de près de 45%, illustrant une forte volatilité intra-période. La moyenne (**18 519 FCFA**) est supérieure à la médiane (**17 000 FCFA**), ce qui traduit une distribution légèrement tirée vers le haut par les récents sommets, tandis que le mode à **16 000 FCFA** rappelle le point d'ancrage initial. L'écart-type de **2 520 FCFA** avec un **CV de 13,6%** indique une dispersion modérée autour de la moyenne. Le **kurtosis de -1,652** (distribution platykurtique) signale une faible concentration des rendements et un risque de pics atténué, tandis que le **skewness de 0,346** confirme une distribution quasi-symétrique avec une légère inclinaison positive. La **volatilité annualisée de 38,5%** classe le titre dans la catégorie **élevée** (&gt;30%), cohérente avec son statut de valeur de croissance très suivie.</w:t>
      </w:r>
    </w:p>
    <w:p>
      <w:pPr>
        <w:spacing w:after="120" w:line="276" w:lineRule="auto"/>
      </w:pPr>
      <w:r>
        <w:t>---</w:t>
      </w:r>
    </w:p>
    <w:p>
      <w:pPr>
        <w:spacing w:after="120" w:line="276" w:lineRule="auto"/>
      </w:pPr>
      <w:r>
        <w:t>## PARTIE 2 : ANALYSE TECHNIQUE DÉTAILLÉE</w:t>
      </w:r>
    </w:p>
    <w:p>
      <w:pPr>
        <w:spacing w:after="120" w:line="276" w:lineRule="auto"/>
      </w:pPr>
      <w:r>
        <w:t>**Moyennes Mobiles** : La MM20 (**21 366,5 FCFA**) et la MM50 (**20 739,9 FCFA**) se situent toutes deux au-dessus du cours actuel (20 600 FCFA), ce qui traduit une pression baissière de court terme, bien que la configuration MM20 &gt; MM50 reste haussière de fond. La décision fournie est « Achat », suggérant que le repli actuel constitue une opportunité de rebond vers les moyennes.</w:t>
      </w:r>
    </w:p>
    <w:p>
      <w:pPr>
        <w:spacing w:after="120" w:line="276" w:lineRule="auto"/>
      </w:pPr>
      <w:r>
        <w:t>**Bandes de Bollinger** : Le cours (20 600 FCFA) évolue entre la borne inférieure (**20 077,8 FCFA**) et la borne supérieure (**22 655,2 FCFA**), se rapprochant du bas de la bande, ce qui traduit une volatilité contenue et une possible zone de support. La décision « Neutre » reflète l'absence de signal directionnel fort, le titre étant en milieu-bas de bande sans excès.</w:t>
      </w:r>
    </w:p>
    <w:p>
      <w:pPr>
        <w:spacing w:after="120" w:line="276" w:lineRule="auto"/>
      </w:pPr>
      <w:r>
        <w:t>**MACD** : La valeur du MACD (**99,143**) est nettement inférieure à son signal (**252,504**), configuration baissière classique (croisement négatif) indiquant un momentum descendant. La décision « Vente » confirme cette divergence, le MACD ayant probablement décroché sous son signal après le pic haussier.</w:t>
      </w:r>
    </w:p>
    <w:p>
      <w:pPr>
        <w:spacing w:after="120" w:line="276" w:lineRule="auto"/>
      </w:pPr>
      <w:r>
        <w:t>**RSI** : À **45,919**, le RSI se situe en zone neutre (30-70), sans excès de surachat ni de survente, ce qui laisse de la marge pour une reprise ou une poursuite de la consolidation. La décision « Neutre » est cohérente avec cette position médiane.</w:t>
      </w:r>
    </w:p>
    <w:p>
      <w:pPr>
        <w:spacing w:after="120" w:line="276" w:lineRule="auto"/>
      </w:pPr>
      <w:r>
        <w:t>**Stochastique** : Le %K (**33,333**) est inférieur au %D (**46,111**), signalant une pression vendeuse récente, mais le %K approche de la zone de survente (&lt;20), ce qui pourrait annoncer un rebond technique. La décision « Neutre » traduit cette configuration ambiguë.</w:t>
      </w:r>
    </w:p>
    <w:p>
      <w:pPr>
        <w:spacing w:after="120" w:line="276" w:lineRule="auto"/>
      </w:pPr>
      <w:r>
        <w:t>**Conclusion technique** : Les indicateurs présentent une **divergence notable** : les moyennes mobiles restent haussières de fond (MM20 &gt; MM50) et le RSI est neutre, mais le MACD est clairement baissier et le stochastique montre une pression vendeuse. Le repli de -4,19% en J-1 et la position du cours sous les MM confirment une phase de consolidation après le rallye de +31%. La configuration globale est **mitigée** : correction technique en cours dans une tendance de fond encore positive, avec un support potentiel vers 20 000-20 100 FCFA (borne inférieure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ORAC a réalisé un chiffre d'affaires de **1 197,1 Mds FCFA** (+10,4% vs 2024), un résultat net de **167,8 Mds FCFA** (+6,1%) et un résultat net part du groupe de **129,1 Mds FCFA** (+14,5%). La rentabilité est excellente avec un **ROE de 23,71%** (bien supérieur au seuil de 15%) et un **ROA de 6,57%**, tandis que la marge nette s'établit à **14,02%** et la marge opérationnelle à **23,99%**. Sur le plan de la structure financière, l'autonomie financière est de **27,71%** (légèrement sous le seuil de 30%), la solvabilité générale de **138,34%** (saine) et la capacité de remboursement de **0,99 an** (très confortable). Le **BFR est négatif à -198,0 Mds FCFA**, ce qui est favorable (financement par les fournisseurs), avec un délai fournisseurs élevé de **210,87 jours** contre un délai clients de **52,26 jours** — cette asymétrie génère de la trésorerie mais traduit une dépendance aux fournisseurs. Le free cash flow de **156,2 Mds FCFA** et la CAF de **340,0 Mds FCFA** confirment la solidité de la génération de cash.</w:t>
      </w:r>
    </w:p>
    <w:p>
      <w:pPr>
        <w:spacing w:after="120" w:line="276" w:lineRule="auto"/>
      </w:pPr>
      <w:r>
        <w:t>**Estimations basées sur les rapports trimestriels** : Le rapport **T1 2026 (publié le 08/06/2026)** montre un CA de **325,6 Mds FCFA** (+14,8%) et un résultat net de **48,3 Mds FCFA** (+25,2%), avec une marge nette en hausse à **14,8%**. Le rapport **S1 2026 (publié le 09/10/2026)** confirme cette accélération : CA de **672,8 Mds FCFA** (+16,1%), résultat net de **90,3 Mds FCFA** (+18,3%) et EBITDAaL de **239,3 Mds FCFA** (+19,2%). Sur cette base, on peut **estimer** un exercice 2026 en forte croissance, avec un CA annualisé proche de **1 350-1 400 Mds FCFA** (+13-17%) et un résultat net potentiel de **190-200 Mds FCFA**, porté par la data mobile, la fibre (+59,9% d'abonnés en 2025) et Orange Money (40,4M clients). Le dividende proposé de **800 FCFA brut/action** (payout de 93,3%, prélevé sur report à nouveau) offre un rendement attractif au cours actuel. **Recommandation fondamentale : solide** — croissance à deux chiffres, rentabilité élevée, cash-flows robustes, malgré une pression fiscale (+35% d'impôts au S1 2026) et un endettement en hausse (dettes financières de 335,9 Mds FCFA).</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mais justifiée : PER de 18,5x et P/B de 4,38x traduisent une prime de qualité, tempérée par un EV/EBITDA raisonnable de 7,4x. Le **comportement du cours** (Partie 1) montre une tendance haussière de fond (+31,21% sur 100 jours) mais une correction récente (-4,19% en J-1), avec une volatilité élevée (38,5%) et une distribution platykurtique/symétrique plutôt rassurante. Les **signaux techniques** (Partie 2) sont **mitigés** : MACD baissier et stochastique sous pression contredisent la configuration haussière des MM et le RSI neutre, plaidant pour une consolidation avant reprise. Les **fondamentaux** (Partie 3) restent excellents : ROE de 23,71%, croissance du CA de +10,4% en 2025 et accélération confirmée au S1 2026 (+16,1% de CA, +18,3% de résultat net), avec un dividende de 800 FCFA. Les **prédictions IA** (J+1 à J+10) anticipent une légère dérive baissière de 21 052 à 20 934 FCFA, cohérente avec la consolidation technique en cours mais contredisant la dynamique fondamentale haussière.</w:t>
      </w:r>
    </w:p>
    <w:p>
      <w:pPr>
        <w:spacing w:after="120" w:line="276" w:lineRule="auto"/>
      </w:pPr>
      <w:r>
        <w:t>**Recommandation finale : CONSERVER** — avec un biais positif à moyen terme. La convergence est partielle : fondamentaux solides et valorisation raisonnable soutiennent le titre, mais les signaux techniques baissiers de court terme et les prédictions IA légèrement négatives invitent à la patience. **Niveau de confiance : Moyen**. **Niveau de risque global : Moyen** (volatilité élevée mais qualité de l'émetteur). **Horizon optimal : moyen à long terme (6-18 mois)**, en profitant des replis vers 20 000 FCFA pour renforcer, avec un objectif de rendement total (dividende + appréciation) attractif.</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4,151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+1.46%</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7.64% (Moyenne) — μ=2,918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β=0.8560 (Neutre (suit le marché)) — Cov=0.000064, Var(idx)=0.000075, ρ=0.322,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2,663</w:t>
            </w:r>
          </w:p>
        </w:tc>
        <w:tc>
          <w:tcPr>
            <w:tcW w:type="dxa" w:w="1440"/>
            <w:shd w:fill="FAFAFA" w:val="clear"/>
          </w:tcPr>
          <w:p>
            <w:r>
              <w:rPr>
                <w:b/>
                <w:sz w:val="17"/>
              </w:rPr>
              <w:t>2,798</w:t>
            </w:r>
          </w:p>
        </w:tc>
        <w:tc>
          <w:tcPr>
            <w:tcW w:type="dxa" w:w="1440"/>
            <w:shd w:fill="FAFAFA" w:val="clear"/>
          </w:tcPr>
          <w:p>
            <w:r>
              <w:rPr>
                <w:sz w:val="17"/>
              </w:rPr>
              <w:t>2,934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2,606</w:t>
            </w:r>
          </w:p>
        </w:tc>
        <w:tc>
          <w:tcPr>
            <w:tcW w:type="dxa" w:w="1440"/>
            <w:shd w:fill="FAFAFA" w:val="clear"/>
          </w:tcPr>
          <w:p>
            <w:r>
              <w:rPr>
                <w:b/>
                <w:sz w:val="17"/>
              </w:rPr>
              <w:t>2,797</w:t>
            </w:r>
          </w:p>
        </w:tc>
        <w:tc>
          <w:tcPr>
            <w:tcW w:type="dxa" w:w="1440"/>
            <w:shd w:fill="FAFAFA" w:val="clear"/>
          </w:tcPr>
          <w:p>
            <w:r>
              <w:rPr>
                <w:sz w:val="17"/>
              </w:rPr>
              <w:t>2,988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2,563</w:t>
            </w:r>
          </w:p>
        </w:tc>
        <w:tc>
          <w:tcPr>
            <w:tcW w:type="dxa" w:w="1440"/>
            <w:shd w:fill="FAFAFA" w:val="clear"/>
          </w:tcPr>
          <w:p>
            <w:r>
              <w:rPr>
                <w:b/>
                <w:sz w:val="17"/>
              </w:rPr>
              <w:t>2,797</w:t>
            </w:r>
          </w:p>
        </w:tc>
        <w:tc>
          <w:tcPr>
            <w:tcW w:type="dxa" w:w="1440"/>
            <w:shd w:fill="FAFAFA" w:val="clear"/>
          </w:tcPr>
          <w:p>
            <w:r>
              <w:rPr>
                <w:sz w:val="17"/>
              </w:rPr>
              <w:t>3,032</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2,527</w:t>
            </w:r>
          </w:p>
        </w:tc>
        <w:tc>
          <w:tcPr>
            <w:tcW w:type="dxa" w:w="1440"/>
            <w:shd w:fill="FAFAFA" w:val="clear"/>
          </w:tcPr>
          <w:p>
            <w:r>
              <w:rPr>
                <w:b/>
                <w:sz w:val="17"/>
              </w:rPr>
              <w:t>2,798</w:t>
            </w:r>
          </w:p>
        </w:tc>
        <w:tc>
          <w:tcPr>
            <w:tcW w:type="dxa" w:w="1440"/>
            <w:shd w:fill="FAFAFA" w:val="clear"/>
          </w:tcPr>
          <w:p>
            <w:r>
              <w:rPr>
                <w:sz w:val="17"/>
              </w:rPr>
              <w:t>3,068</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2,495</w:t>
            </w:r>
          </w:p>
        </w:tc>
        <w:tc>
          <w:tcPr>
            <w:tcW w:type="dxa" w:w="1440"/>
            <w:shd w:fill="FAFAFA" w:val="clear"/>
          </w:tcPr>
          <w:p>
            <w:r>
              <w:rPr>
                <w:b/>
                <w:sz w:val="17"/>
              </w:rPr>
              <w:t>2,797</w:t>
            </w:r>
          </w:p>
        </w:tc>
        <w:tc>
          <w:tcPr>
            <w:tcW w:type="dxa" w:w="1440"/>
            <w:shd w:fill="FAFAFA" w:val="clear"/>
          </w:tcPr>
          <w:p>
            <w:r>
              <w:rPr>
                <w:sz w:val="17"/>
              </w:rPr>
              <w:t>3,100</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2,465</w:t>
            </w:r>
          </w:p>
        </w:tc>
        <w:tc>
          <w:tcPr>
            <w:tcW w:type="dxa" w:w="1440"/>
            <w:shd w:fill="FAFAFA" w:val="clear"/>
          </w:tcPr>
          <w:p>
            <w:r>
              <w:rPr>
                <w:b/>
                <w:sz w:val="17"/>
              </w:rPr>
              <w:t>2,797</w:t>
            </w:r>
          </w:p>
        </w:tc>
        <w:tc>
          <w:tcPr>
            <w:tcW w:type="dxa" w:w="1440"/>
            <w:shd w:fill="FAFAFA" w:val="clear"/>
          </w:tcPr>
          <w:p>
            <w:r>
              <w:rPr>
                <w:sz w:val="17"/>
              </w:rPr>
              <w:t>3,128</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2,438</w:t>
            </w:r>
          </w:p>
        </w:tc>
        <w:tc>
          <w:tcPr>
            <w:tcW w:type="dxa" w:w="1440"/>
            <w:shd w:fill="FAFAFA" w:val="clear"/>
          </w:tcPr>
          <w:p>
            <w:r>
              <w:rPr>
                <w:b/>
                <w:sz w:val="17"/>
              </w:rPr>
              <w:t>2,796</w:t>
            </w:r>
          </w:p>
        </w:tc>
        <w:tc>
          <w:tcPr>
            <w:tcW w:type="dxa" w:w="1440"/>
            <w:shd w:fill="FAFAFA" w:val="clear"/>
          </w:tcPr>
          <w:p>
            <w:r>
              <w:rPr>
                <w:sz w:val="17"/>
              </w:rPr>
              <w:t>3,154</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2,413</w:t>
            </w:r>
          </w:p>
        </w:tc>
        <w:tc>
          <w:tcPr>
            <w:tcW w:type="dxa" w:w="1440"/>
            <w:shd w:fill="FAFAFA" w:val="clear"/>
          </w:tcPr>
          <w:p>
            <w:r>
              <w:rPr>
                <w:b/>
                <w:sz w:val="17"/>
              </w:rPr>
              <w:t>2,796</w:t>
            </w:r>
          </w:p>
        </w:tc>
        <w:tc>
          <w:tcPr>
            <w:tcW w:type="dxa" w:w="1440"/>
            <w:shd w:fill="FAFAFA" w:val="clear"/>
          </w:tcPr>
          <w:p>
            <w:r>
              <w:rPr>
                <w:sz w:val="17"/>
              </w:rPr>
              <w:t>3,178</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2,389</w:t>
            </w:r>
          </w:p>
        </w:tc>
        <w:tc>
          <w:tcPr>
            <w:tcW w:type="dxa" w:w="1440"/>
            <w:shd w:fill="FAFAFA" w:val="clear"/>
          </w:tcPr>
          <w:p>
            <w:r>
              <w:rPr>
                <w:b/>
                <w:sz w:val="17"/>
              </w:rPr>
              <w:t>2,795</w:t>
            </w:r>
          </w:p>
        </w:tc>
        <w:tc>
          <w:tcPr>
            <w:tcW w:type="dxa" w:w="1440"/>
            <w:shd w:fill="FAFAFA" w:val="clear"/>
          </w:tcPr>
          <w:p>
            <w:r>
              <w:rPr>
                <w:sz w:val="17"/>
              </w:rPr>
              <w:t>3,201</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2,367</w:t>
            </w:r>
          </w:p>
        </w:tc>
        <w:tc>
          <w:tcPr>
            <w:tcW w:type="dxa" w:w="1440"/>
            <w:shd w:fill="FAFAFA" w:val="clear"/>
          </w:tcPr>
          <w:p>
            <w:r>
              <w:rPr>
                <w:b/>
                <w:sz w:val="17"/>
              </w:rPr>
              <w:t>2,795</w:t>
            </w:r>
          </w:p>
        </w:tc>
        <w:tc>
          <w:tcPr>
            <w:tcW w:type="dxa" w:w="1440"/>
            <w:shd w:fill="FAFAFA" w:val="clear"/>
          </w:tcPr>
          <w:p>
            <w:r>
              <w:rPr>
                <w:sz w:val="17"/>
              </w:rPr>
              <w:t>3,222</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br/>
        <w:t>**Date d'analyse : Octobre 2026** | Cours de référence : 2 780 FCFA</w:t>
      </w:r>
    </w:p>
    <w:p>
      <w:pPr>
        <w:spacing w:after="120" w:line="276" w:lineRule="auto"/>
      </w:pPr>
      <w:r>
        <w:t>---</w:t>
      </w:r>
    </w:p>
    <w:p>
      <w:pPr>
        <w:spacing w:after="120" w:line="276" w:lineRule="auto"/>
      </w:pPr>
      <w:r>
        <w:t>## PARTIE 0 : INDICATEURS DE VALORISATION BOURSIÈRE</w:t>
      </w:r>
    </w:p>
    <w:p>
      <w:pPr>
        <w:spacing w:after="120" w:line="276" w:lineRule="auto"/>
      </w:pPr>
      <w:r>
        <w:t>Oragroup affiche une capitalisation boursière de 192,97 milliards FCFA, un niveau intermédiaire à l'échelle de la BRVM qui positionne le titre parmi les valeurs bancaires de second rang, loin des géants comme Ecobank CI ou Coris Bank. Le BPA de 312 FCFA/action signifie que chaque titre génère un bénéfice net de 312 FCFA, ce qui, rapporté au cours de 2 780 FCFA, donne un PER de 8,9x — nettement inférieur à la moyenne BRVM (8-12x), suggérant une valorisation potentiellement attractive mais qui doit être tempérée par la qualité des bénéfices (voir Partie 3). Le P/B de 1,71x indique que le marché valorise l'action à 71% au-dessus de sa valeur comptable, ce qui reste raisonnable pour une banque en redressement et traduit une prime modérée liée aux perspectives de normalisation. En revanche, l'EV/EBITDA de 19,3x apparaît très exigeant (&gt;15x), signalant que la valeur d'entreprise intègre déjà une bonne part d'amélioration opérationnelle — un point de vigilance pour l'investisseur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quasi stable de +1,46%, mais la dernière séance (J-1) enregistre un repli de -1,07%, traduisant une pression vendeuse de court terme. Le range de trading s'étend de 2 600 FCFA (plus bas) à 3 400 FCFA (plus haut), soit une amplitude de 30,8% qui témoigne d'une réelle nervosité du titre. La tendance générale est baissière depuis le pic de 3 400 FCFA, le cours actuel (2 780 FCFA) se situant désormais sous la moyenne (2 918 FCFA) et la médiane (2 875 FCFA) — l'écart de 43 FCFA entre moyenne et médiane, couplé à un skewness de 0,347 (distribution dite symétrique), indique une légère traîne vers les hauts historiques mais sans asymétrie marquée. L'écart-type de 224 FCFA avec un coefficient de variation de 7,7% révèle une dispersion modérée autour de la moyenne, tandis que le kurtosis de -1,228 (distribution platykurtique, aplatie) signale une faible concentration des rendements et donc un risque de pics extrêmes limité — un profil rassurant. La volatilité annualisée de 36,0% classe le titre dans la catégorie **élevée** (&gt;30%), ce qui est cohérent avec une valeur en phase de redressement dont les résultats trimestriels font réagir le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(2 937 FCFA) et la MM50 (3 087 FCFA) se situent toutes deux au-dessus du cours actuel (2 780 FCFA), configurant une structure baissière avec le prix sous ses moyennes. La MM20 étant elle-même inférieure à la MM50, on observe un croisement baissier (death cross) confirmé, justifiant la décision **Vente**.</w:t>
      </w:r>
    </w:p>
    <w:p>
      <w:pPr>
        <w:spacing w:after="120" w:line="276" w:lineRule="auto"/>
      </w:pPr>
      <w:r>
        <w:t>**Bandes de Bollinger** : Le cours (2 780 FCFA) évolue dans la partie basse du canal, proche de la borne inférieure (2 705 FCFA) et loin de la borne supérieure (3 169 FCFA). L'absence de cassure de la borne basse et la largeur du canal traduisent une volatilité encore présente mais sans signal de survente extrême, d'où la décision **Neutre**.</w:t>
      </w:r>
    </w:p>
    <w:p>
      <w:pPr>
        <w:spacing w:after="120" w:line="276" w:lineRule="auto"/>
      </w:pPr>
      <w:r>
        <w:t>**MACD** : La valeur du MACD (-81,181) est inférieure à sa ligne de signal (-64,423), avec un histogramme négatif qui s'accentue — le momentum baissier reste dominant et aucune divergence haussière n'est visible. La décision **Vente** est donc cohérente avec la dynamique actuelle.</w:t>
      </w:r>
    </w:p>
    <w:p>
      <w:pPr>
        <w:spacing w:after="120" w:line="276" w:lineRule="auto"/>
      </w:pPr>
      <w:r>
        <w:t>**RSI** : À 34,483, l'indicateur se situe dans la zone neutre basse (30-70), proche du seuil de survente sans l'atteindre. Cela suggère que le titre n'est pas encore techniquement « soldé » mais s'approche d'une zone où un rebond technique pourrait se matérialiser, justifiant la décision **Neutre**.</w:t>
      </w:r>
    </w:p>
    <w:p>
      <w:pPr>
        <w:spacing w:after="120" w:line="276" w:lineRule="auto"/>
      </w:pPr>
      <w:r>
        <w:t>**Stochastique** : Le %K et le %D sont tous deux à 0,0, un niveau extrême de survente absolue qui, historiquement, précède souvent un rebond technique à court terme. La décision **Achat** contredit les autres indicateurs et signale un possible point d'inflexion immédiat.</w:t>
      </w:r>
    </w:p>
    <w:p>
      <w:pPr>
        <w:spacing w:after="120" w:line="276" w:lineRule="auto"/>
      </w:pPr>
      <w:r>
        <w:t>**Conclusion technique** : Les indicateurs sont majoritairement baissiers (MM, MACD) avec un RSI et des Bollinger neutres, mais le Stochastique à 0,0 envoie un signal contrarien d'achat qui mérite attention. La configuration globale plaide pour une **prudence à court terme** : le titre est en tendance descendante sous ses moyennes, mais la survente extrême du Stochastique suggère qu'une capitulation de court terme approche, sans pour autant valider un retournement durable tant que le cours reste sous la MM20 (2 937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Oragroup a réalisé un Produit Net Bancaire (équivalent du chiffre d'affaires bancaire) de 186,609 milliards FCFA, en recul de -4,52% par rapport à 2024 (195,436 Mds FCFA), avec un résultat net consolidé de 21,643 milliards FCFA contre une perte de -44,363 Mds FCFA en 2024 — un redressement spectaculaire de +149%. Le ROE s'établit à 19,13% (&gt;15% = excellent) et le ROA à 0,54%, tandis que le coefficient d'exploitation de 42,85% (&lt;50% = banque très efficace) témoigne d'une maîtrise remarquable des charges. Le coût du risque (provisions/charges financières) ressort à 3,74%, un niveau contenu qui traduit un portefeuille assaini. La structure bilancielle reste toutefois fragile : l'autonomie financière n'est que de 2,82% et le ratio d'endettement atteint 444,94%, mais la solvabilité générale (102,90%) demeure supérieure à 1. Les dépôts clientèle (3 088,7 Mds FCFA) couvrent largement les créances nettes (1 523,8 Mds FCFA), avec un ratio de transformation de 49,3% indiquant une marge de croissance sur le crédit.</w:t>
      </w:r>
    </w:p>
    <w:p>
      <w:pPr>
        <w:spacing w:after="120" w:line="276" w:lineRule="auto"/>
      </w:pPr>
      <w:r>
        <w:t>**Estimations basées sur les rapports trimestriels** : Le rapport du **T1 2026 (publié en 2026)** confirme la dynamique avec un PNB de 50,124 Mds FCFA (-2%) mais un résultat net en hausse de +37% à 6,555 Mds FCFA, des dépôts en progression de +14% à 3 343 Mds FCFA et un coût du risque en baisse de -10%. Sur cette base, on estime que l'exercice 2026 devrait consolider le redressement avec un résultat net annuel potentiellement supérieur à 25 Mds FCFA, porté par la poursuite de la maîtrise des coûts et la normalisation du risque. Les rapports antérieurs (**T3 2025 du 30/09/2025** : résultat net +248% à 19,6 Mds FCFA ; **S1 2025 du 30/06/2025** : +232% à 18,3 Mds FCFA) confirment la trajectoire ascendante trimestre après trimestre. **Point de vigilance majeur** : l'AGM du 23 juillet 2026 (document officiel du 03/07/2026) a acté l'absence de dividende pour 2025 et une perte nette sociale de -8,04 Mds FCFA au niveau de la holding, tandis qu'une délégation d'augmentation de capital jusqu'à 160 Mds FCFA a été renouvelée — un signal de dilution potentielle à surveiller. **Recommandation fondamentale : CONSERVER**, avec un profil de risque moyen-élevé lié à la dépendance du redressement à la baisse du coût du risque et à l'absence de reprise du PNB.</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un PER de 8,9x et un P/B de 1,71x suggèrent une sous-évaluation relative, mais l'EV/EBITDA de 19,3x tempère cet attrait en intégrant déjà une prime d'amélioration opérationnelle. Le comportement du cours (Partie 1) est préoccupant à court terme — tendance baissière sous les moyennes, volatilité élevée de 36%, mais distribution platykurtique et symétrique (kurtosis -1,228, skewness 0,347) indiquant l'absence de risque de krach extrême. Les signaux techniques (Partie 2) sont majoritairement baissiers (MM, MACD en vente) mais le Stochastique à 0,0 et le RSI à 34,5 en zone de survente approchante suggèrent un rebond technique imminent, créant une divergence classique entre tendance et momentum. Les fondamentaux (Partie 3) demeurent le point fort : redressement spectaculaire du résultat net (+149% en 2025, +37% au T1 2026), ROE de 19,13%, coefficient d'exploitation de 42,85%, mais fragilisés par la baisse du PNB (-4,52%) et une structure financière très endettée (autonomie 2,82%). Les prédictions IA (J+1 à J+10 : 2 797-2 798 FCFA) anticipent une **stabilisation latérale** autour de 2 797-2 798 FCFA, ce qui contredit la tendance baissière actuelle et confirme le scénario d'un plancher technique en formation — cohérent avec la survente du Stochastique.</w:t>
      </w:r>
    </w:p>
    <w:p>
      <w:pPr>
        <w:spacing w:after="120" w:line="276" w:lineRule="auto"/>
      </w:pPr>
      <w:r>
        <w:t>**Recommandation finale : CONSERVER** — La convergence est partielle : valorisation attractive (PER/P/B) et fondamentaux en net redressement soutiennent le titre à moyen terme, mais la tendance technique baissière et l'absence de dividende (AGM 2026) plaident contre un achat immédiat. Les prédictions IA de stabilisation confirment qu'il n'y a pas d'urgence à vendre, mais pas non plus de signal d'entrée fort. **Niveau de confiance : Moyen** (divergence technique/fondamental). **Niveau de risque global : Moyen-Élevé** (volatilité 36%, endettement 444,94%, dilution potentielle). **Horizon optimal : Moyen terme (3-12 mois)**, en attendant la confirmation d'une reprise du PNB au T2/T3 2026 et la clarification sur la politique de dividende et l'augmentation de capital.</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4,422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-2.56%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7,600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μ=8,630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β=0.0739 (Défensif) — Cov=0.000006, Var(idx)=0.000075, ρ=0.029,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7,371</w:t>
            </w:r>
          </w:p>
        </w:tc>
        <w:tc>
          <w:tcPr>
            <w:tcW w:type="dxa" w:w="1440"/>
            <w:shd w:fill="FAFAFA" w:val="clear"/>
          </w:tcPr>
          <w:p>
            <w:r>
              <w:rPr>
                <w:b/>
                <w:sz w:val="17"/>
              </w:rPr>
              <w:t>7,596</w:t>
            </w:r>
          </w:p>
        </w:tc>
        <w:tc>
          <w:tcPr>
            <w:tcW w:type="dxa" w:w="1440"/>
            <w:shd w:fill="FAFAFA" w:val="clear"/>
          </w:tcPr>
          <w:p>
            <w:r>
              <w:rPr>
                <w:sz w:val="17"/>
              </w:rPr>
              <w:t>7,822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7,248</w:t>
            </w:r>
          </w:p>
        </w:tc>
        <w:tc>
          <w:tcPr>
            <w:tcW w:type="dxa" w:w="1440"/>
            <w:shd w:fill="FAFAFA" w:val="clear"/>
          </w:tcPr>
          <w:p>
            <w:r>
              <w:rPr>
                <w:b/>
                <w:sz w:val="17"/>
              </w:rPr>
              <w:t>7,566</w:t>
            </w:r>
          </w:p>
        </w:tc>
        <w:tc>
          <w:tcPr>
            <w:tcW w:type="dxa" w:w="1440"/>
            <w:shd w:fill="FAFAFA" w:val="clear"/>
          </w:tcPr>
          <w:p>
            <w:r>
              <w:rPr>
                <w:sz w:val="17"/>
              </w:rPr>
              <w:t>7,884</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7,153</w:t>
            </w:r>
          </w:p>
        </w:tc>
        <w:tc>
          <w:tcPr>
            <w:tcW w:type="dxa" w:w="1440"/>
            <w:shd w:fill="FAFAFA" w:val="clear"/>
          </w:tcPr>
          <w:p>
            <w:r>
              <w:rPr>
                <w:b/>
                <w:sz w:val="17"/>
              </w:rPr>
              <w:t>7,541</w:t>
            </w:r>
          </w:p>
        </w:tc>
        <w:tc>
          <w:tcPr>
            <w:tcW w:type="dxa" w:w="1440"/>
            <w:shd w:fill="FAFAFA" w:val="clear"/>
          </w:tcPr>
          <w:p>
            <w:r>
              <w:rPr>
                <w:sz w:val="17"/>
              </w:rPr>
              <w:t>7,928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7,070</w:t>
            </w:r>
          </w:p>
        </w:tc>
        <w:tc>
          <w:tcPr>
            <w:tcW w:type="dxa" w:w="1440"/>
            <w:shd w:fill="FAFAFA" w:val="clear"/>
          </w:tcPr>
          <w:p>
            <w:r>
              <w:rPr>
                <w:b/>
                <w:sz w:val="17"/>
              </w:rPr>
              <w:t>7,517</w:t>
            </w:r>
          </w:p>
        </w:tc>
        <w:tc>
          <w:tcPr>
            <w:tcW w:type="dxa" w:w="1440"/>
            <w:shd w:fill="FAFAFA" w:val="clear"/>
          </w:tcPr>
          <w:p>
            <w:r>
              <w:rPr>
                <w:sz w:val="17"/>
              </w:rPr>
              <w:t>7,963</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6,997</w:t>
            </w:r>
          </w:p>
        </w:tc>
        <w:tc>
          <w:tcPr>
            <w:tcW w:type="dxa" w:w="1440"/>
            <w:shd w:fill="FAFAFA" w:val="clear"/>
          </w:tcPr>
          <w:p>
            <w:r>
              <w:rPr>
                <w:b/>
                <w:sz w:val="17"/>
              </w:rPr>
              <w:t>7,494</w:t>
            </w:r>
          </w:p>
        </w:tc>
        <w:tc>
          <w:tcPr>
            <w:tcW w:type="dxa" w:w="1440"/>
            <w:shd w:fill="FAFAFA" w:val="clear"/>
          </w:tcPr>
          <w:p>
            <w:r>
              <w:rPr>
                <w:sz w:val="17"/>
              </w:rPr>
              <w:t>7,992</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6,929</w:t>
            </w:r>
          </w:p>
        </w:tc>
        <w:tc>
          <w:tcPr>
            <w:tcW w:type="dxa" w:w="1440"/>
            <w:shd w:fill="FAFAFA" w:val="clear"/>
          </w:tcPr>
          <w:p>
            <w:r>
              <w:rPr>
                <w:b/>
                <w:sz w:val="17"/>
              </w:rPr>
              <w:t>7,472</w:t>
            </w:r>
          </w:p>
        </w:tc>
        <w:tc>
          <w:tcPr>
            <w:tcW w:type="dxa" w:w="1440"/>
            <w:shd w:fill="FAFAFA" w:val="clear"/>
          </w:tcPr>
          <w:p>
            <w:r>
              <w:rPr>
                <w:sz w:val="17"/>
              </w:rPr>
              <w:t>8,016</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6,866</w:t>
            </w:r>
          </w:p>
        </w:tc>
        <w:tc>
          <w:tcPr>
            <w:tcW w:type="dxa" w:w="1440"/>
            <w:shd w:fill="FAFAFA" w:val="clear"/>
          </w:tcPr>
          <w:p>
            <w:r>
              <w:rPr>
                <w:b/>
                <w:sz w:val="17"/>
              </w:rPr>
              <w:t>7,452</w:t>
            </w:r>
          </w:p>
        </w:tc>
        <w:tc>
          <w:tcPr>
            <w:tcW w:type="dxa" w:w="1440"/>
            <w:shd w:fill="FAFAFA" w:val="clear"/>
          </w:tcPr>
          <w:p>
            <w:r>
              <w:rPr>
                <w:sz w:val="17"/>
              </w:rPr>
              <w:t>8,037</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6,808</w:t>
            </w:r>
          </w:p>
        </w:tc>
        <w:tc>
          <w:tcPr>
            <w:tcW w:type="dxa" w:w="1440"/>
            <w:shd w:fill="FFDCE0" w:val="clear"/>
          </w:tcPr>
          <w:p>
            <w:r>
              <w:rPr>
                <w:b/>
                <w:sz w:val="17"/>
              </w:rPr>
              <w:t>7,432</w:t>
            </w:r>
          </w:p>
        </w:tc>
        <w:tc>
          <w:tcPr>
            <w:tcW w:type="dxa" w:w="1440"/>
            <w:shd w:fill="FFDCE0" w:val="clear"/>
          </w:tcPr>
          <w:p>
            <w:r>
              <w:rPr>
                <w:sz w:val="17"/>
              </w:rPr>
              <w:t>8,056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6,753</w:t>
            </w:r>
          </w:p>
        </w:tc>
        <w:tc>
          <w:tcPr>
            <w:tcW w:type="dxa" w:w="1440"/>
            <w:shd w:fill="FFDCE0" w:val="clear"/>
          </w:tcPr>
          <w:p>
            <w:r>
              <w:rPr>
                <w:b/>
                <w:sz w:val="17"/>
              </w:rPr>
              <w:t>7,413</w:t>
            </w:r>
          </w:p>
        </w:tc>
        <w:tc>
          <w:tcPr>
            <w:tcW w:type="dxa" w:w="1440"/>
            <w:shd w:fill="FFDCE0" w:val="clear"/>
          </w:tcPr>
          <w:p>
            <w:r>
              <w:rPr>
                <w:sz w:val="17"/>
              </w:rPr>
              <w:t>8,073</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6,701</w:t>
            </w:r>
          </w:p>
        </w:tc>
        <w:tc>
          <w:tcPr>
            <w:tcW w:type="dxa" w:w="1440"/>
            <w:shd w:fill="FFDCE0" w:val="clear"/>
          </w:tcPr>
          <w:p>
            <w:r>
              <w:rPr>
                <w:b/>
                <w:sz w:val="17"/>
              </w:rPr>
              <w:t>7,395</w:t>
            </w:r>
          </w:p>
        </w:tc>
        <w:tc>
          <w:tcPr>
            <w:tcW w:type="dxa" w:w="1440"/>
            <w:shd w:fill="FFDCE0" w:val="clear"/>
          </w:tcPr>
          <w:p>
            <w:r>
              <w:rPr>
                <w:sz w:val="17"/>
              </w:rPr>
              <w:t>8,089</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117,49 milliards FCFA, PALC s'affirme comme une valeur de taille intermédiaire sur la BRVM, représentative du compartiment agro-industriel régional. Le BPA de 1 003 FCFA/action signifie que chaque titre génère environ 1 003 FCFA de bénéfice net, ce qui, rapporté au cours actuel de 7 600 FCFA, donne un PER de 7,6x — nettement inférieur à la moyenne BRVM (8-12x), signalant une potentielle sous-évaluation du titre par rapport à ses bénéfices. Le ratio P/B de 0,82x (&lt; 1) indique que le marché valorise PALC en dessous de sa valeur comptable, situation qui peut constituer une opportunité si les fondamentaux se redressent. Enfin, l'EV/EBITDA de 3,7x (&lt; 5x) traduit une valorisation très attractive de la capacité opérationnelle de l'entreprise, cohérente avec un profil « value » potentiellement délaissé par le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de -2,56%, avec une dernière séance en repli de -1,04%, confirmant une dynamique baissière de court terme. Le cours actuel de 7 600 FCFA correspond exactement au plus bas de la période, tandis que le plus haut a atteint 9 640 FCFA, soit un range de trading de 2 040 FCFA (~27%) reflétant une érosion progressive du titre depuis ses sommets. La moyenne de 8 630 FCFA et la médiane de 8 690 FCFA sont très proches, suggérant une distribution globalement symétrique, cohérente avec un skewness de -0,192 (légère asymétrie négative) ; le mode à 8 300 FCFA indique que le prix s'est le plus souvent stabilisé autour de ce niveau avant de céder du terrain. L'écart-type de 467 FCFA et le coefficient de variation de 5,4% traduisent une dispersion modérée du cours autour de sa moyenne, tandis que le kurtosis de -0,234 (mésokurtique) indique une distribution proche de la normale, sans risque marqué de pics extrêmes. La volatilité annualisée de 34,1% positionne PALC dans la catégorie des titres à volatilité élevée (&gt;30%), ce qui implique un risque de cours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(8 066,5 FCFA) et la MM50 (8 637,9 FCFA) se situent toutes deux au-dessus du cours actuel (7 600 FCFA), avec la MM20 en dessous de la MM50 — configuration baissière typique. Le cours évoluant sous ses deux moyennes mobiles, la pression vendeuse domine, justifiant la décision technique « Vente ».</w:t>
      </w:r>
    </w:p>
    <w:p>
      <w:pPr>
        <w:spacing w:after="120" w:line="276" w:lineRule="auto"/>
      </w:pPr>
      <w:r>
        <w:t>**Bandes de Bollinger** : Le cours (7 600 FCFA) se situe dans la partie basse de la bande, proche de la borne inférieure (7 514,8 FCFA) et loin de la borne supérieure (8 618,2 FCFA). Cette position suggère un potentiel de rebond technique à court terme, mais la largeur des bandes traduit une volatilité encore présente ; la décision « Neutre » reflète cette configuration ambiguë entre survente et tendance baissière.</w:t>
      </w:r>
    </w:p>
    <w:p>
      <w:pPr>
        <w:spacing w:after="120" w:line="276" w:lineRule="auto"/>
      </w:pPr>
      <w:r>
        <w:t>**MACD** : Le MACD (-260,47) est inférieur à son signal (-227,23), avec un histogramme négatif qui confirme un momentum baissier persistant. La divergence négative entre les deux lignes plaide pour la poursuite de la correction, justifiant la décision « Vente ».</w:t>
      </w:r>
    </w:p>
    <w:p>
      <w:pPr>
        <w:spacing w:after="120" w:line="276" w:lineRule="auto"/>
      </w:pPr>
      <w:r>
        <w:t>**RSI** : À 30,92, le RSI se situe juste au-dessus du seuil de survente (30), zone charnière où un rebond technique devient possible sans être encore confirmé. La décision « Neutre » est cohérente avec cette position limite, qui appelle une surveillance attentive plutôt qu'une action immédiate.</w:t>
      </w:r>
    </w:p>
    <w:p>
      <w:pPr>
        <w:spacing w:after="120" w:line="276" w:lineRule="auto"/>
      </w:pPr>
      <w:r>
        <w:t>**Stochastique** : Le %K et le %D sont tous deux à 0,0, niveau extrême de survente absolue qui, historiquement, précède souvent un rebond. La décision « Achat » de cet indicateur contraste avec les autres signaux, suggérant qu'un retournement technique pourrait se dessiner à très court terme.</w:t>
      </w:r>
    </w:p>
    <w:p>
      <w:pPr>
        <w:spacing w:after="120" w:line="276" w:lineRule="auto"/>
      </w:pPr>
      <w:r>
        <w:t>**Conclusion technique** : Les indicateurs sont majoritairement baissiers (MM, MACD), avec un cours collé au plus bas de sa zone de Bollinger et un RSI proche de la survente. Toutefois, le stochastique à 0,0 signale une survente extrême propice à un rebond technique. La configuration globale est donc baissière mais proche d'un point d'inflexion potentiel — un signal d'achat contrariant ne serait validé qu'après confirmation d'un retournement (croisement MACD, sortie du RSI de la zone basse).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PALC a réalisé un chiffre d'affaires de 197,63 milliards FCFA pour un résultat net de 15,51 milliards FCFA, soit une marge nette de 7,85%. Le ROE s'établit à 10,87% (en dessous du seuil de 15% considéré comme excellent) et le ROA à 7,79%, traduisant une rentabilité correcte mais perfectible. La structure financière est remarquablement saine : autonomie financière de 71,64%, ratio d'endettement de seulement 0,56%, capacité de remboursement de 0,03 an et couverture des intérêts de 1 415,66% — l'entreprise est quasi désendettée (dettes financières de 796,56 millions FCFA seulement). Le BFR de 44,62 milliards FCFA est positif (donc défavorable au sens strict) et la trésorerie nette est négative à -4,56 milliards FCFA, point de vigilance. Le délai client de 142,58 jours est élevé et constitue un risque de trésorerie, tandis que la rotation des stocks (14,55 jours) est rapide et maîtrisée. La croissance du CA de 14,78% en 2025 confirme la dynamique commerciale.</w:t>
      </w:r>
    </w:p>
    <w:p>
      <w:pPr>
        <w:spacing w:after="120" w:line="276" w:lineRule="auto"/>
      </w:pPr>
      <w:r>
        <w:t>**Estimations issues des rapports trimestriels** : Le rapport du **T1 2026** (publié en 2026) révèle un effondrement : CA de 49,4 milliards FCFA (-27%) et résultat net de 1,6 milliard FCFA (-86%), attribué à un décalage temporel des ventes. Le rapport **S1 2026** (daté du 7 octobre 2026) confirme la tendance avec un CA de 114,73 milliards FCFA (-15%) et un résultat net de 13,53 milliards FCFA (-41%), pour une marge nette de 11,8%. Le management anticipe toutefois un résultat net annuel 2026 positif, proche de celui de 2025 (15,5 milliards FCFA), porté par l'écoulement progressif des stocks de produits finis entamé en avril 2026. On estime donc que l'exercice 2026 devrait clôturer sur un résultat net de l'ordre de 14-16 milliards FCFA, soit un BPA estimé autour de 700-780 FCFA — ce qui, au cours actuel de 7 600 FCFA, porterait le PER estimé à environ 10-11x, moins attractif que le PER historique de 7,6x.</w:t>
      </w:r>
    </w:p>
    <w:p>
      <w:pPr>
        <w:spacing w:after="120" w:line="276" w:lineRule="auto"/>
      </w:pPr>
      <w:r>
        <w:t>**Recommandation fondamentale** : La solidité bilancielle (quasi-absence de dette, fonds propres de 142,64 milliards FCFA) et la guidance managériale plaident pour la patience, mais la dégradation de la rentabilité (-41% au S1 2026) et l'absence d'information sur le dividende (le rapport 2024 évoquait 513 FCFA/action, soit un rendement de ~6,7% au cours actuel) incitent à la prudence. La recommandation fondamentale est **CONSERVER**, avec un passage à l'ACHAT conditionné à la confirmation de la reprise des volumes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contrasté. **Valorisation (Partie 0)** : les ratios PER (7,6x), P/B (0,82x) et EV/EBITDA (3,7x) indiquent une sous-évaluation apparente du titre, mais celle-ci pourrait refléter la dégradation attendue des bénéfices 2026 (PER estimé à 10-11x). **Comportement du cours (Partie 1)** : la tendance baissière (-2,56% sur 100 jours, cours au plus bas) et la volatilité élevée (34,1%) sont préoccupantes, bien que la distribution symétrique (skewness -0,192) et l'absence de pics extrêmes (kurtosis -0,234) limitent le risque de mouvements erratiques. **Signaux techniques (Partie 2)** : divergence entre les indicateurs baissiers (MM, MACD) et le stochastique en survente extrême (0,0) — configuration de possible rebond technique mais sans confirmation. **Fondamentaux (Partie 3)** : solidité bilancielle exceptionnelle et guidance positive, mais rentabilité en forte dégradation au S1 2026 (-41%). **Prédictions IA (J+1 à J+10)** : la trajectoire prédite (7 596 → 7 494 FCFA) confirme la poursuite de la baisse à court terme, en cohérence avec les signaux techniques baissiers.</w:t>
      </w:r>
    </w:p>
    <w:p>
      <w:pPr>
        <w:spacing w:after="120" w:line="276" w:lineRule="auto"/>
      </w:pPr>
      <w:r>
        <w:t>**Recommandation finale : CONSERVER.** La convergence entre valorisation attractive, fondamentaux solides et prédictions baissières de court terme plaide pour une posture attentiste : le titre est bon marché mais la dynamique bénéficiaire 2026 reste incertaine. **Niveau de confiance : Moyen** (les données S1 2026 sont récentes mais l'absence de visibilité sur le dividende et le S2 2026 limite la conviction). **Niveau de risque global : Moyen à Élevé** (volatilité de 34,1%, dépendance aux cours de l'huile de palme, dégradation des marges). **Horizon d'investissement optimal : moyen terme (3-12 mois)**, avec un point d'entrée plus favorable envisageable autour de 7 200-7 400 FCFA si la baisse se poursuit, et un catalyseur clé à surveiller : la publication des résultats annuels 2026 et la confirmation de l'écoulement des stocks.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1,085 titres</w:t>
            </w:r>
          </w:p>
        </w:tc>
        <w:tc>
          <w:tcPr>
            <w:tcW w:type="dxa" w:w="2268"/>
            <w:shd w:fill="FFF2CC" w:val="clear"/>
          </w:tcPr>
          <w:p>
            <w:r>
              <w:rPr>
                <w:b/>
                <w:color w:val="503200"/>
                <w:sz w:val="16"/>
              </w:rPr>
              <w:t xml:space="preserve">Cours actuel : </w:t>
            </w:r>
            <w:r>
              <w:rPr>
                <w:color w:val="000000"/>
                <w:sz w:val="17"/>
              </w:rPr>
              <w:t>4,290 FCFA</w:t>
            </w:r>
          </w:p>
          <w:p>
            <w:r>
              <w:rPr>
                <w:b/>
                <w:color w:val="503200"/>
                <w:sz w:val="16"/>
              </w:rPr>
              <w:t xml:space="preserve">Var. 100 jours : </w:t>
            </w:r>
            <w:r>
              <w:rPr>
                <w:b/>
                <w:color w:val="B40000"/>
                <w:sz w:val="17"/>
              </w:rPr>
              <w:t>-4.03%</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4.05% (Faible) — μ=4,393 FCFA, σ=178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β=-0.1258 (Contre-cyclique) — Cov=-0.000009, Var(idx)=0.000075, ρ=-0.046,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4,053</w:t>
            </w:r>
          </w:p>
        </w:tc>
        <w:tc>
          <w:tcPr>
            <w:tcW w:type="dxa" w:w="1440"/>
            <w:shd w:fill="FAFAFA" w:val="clear"/>
          </w:tcPr>
          <w:p>
            <w:r>
              <w:rPr>
                <w:b/>
                <w:sz w:val="17"/>
              </w:rPr>
              <w:t>4,271</w:t>
            </w:r>
          </w:p>
        </w:tc>
        <w:tc>
          <w:tcPr>
            <w:tcW w:type="dxa" w:w="1440"/>
            <w:shd w:fill="FAFAFA" w:val="clear"/>
          </w:tcPr>
          <w:p>
            <w:r>
              <w:rPr>
                <w:sz w:val="17"/>
              </w:rPr>
              <w:t>4,488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3,957</w:t>
            </w:r>
          </w:p>
        </w:tc>
        <w:tc>
          <w:tcPr>
            <w:tcW w:type="dxa" w:w="1440"/>
            <w:shd w:fill="FAFAFA" w:val="clear"/>
          </w:tcPr>
          <w:p>
            <w:r>
              <w:rPr>
                <w:b/>
                <w:sz w:val="17"/>
              </w:rPr>
              <w:t>4,263</w:t>
            </w:r>
          </w:p>
        </w:tc>
        <w:tc>
          <w:tcPr>
            <w:tcW w:type="dxa" w:w="1440"/>
            <w:shd w:fill="FAFAFA" w:val="clear"/>
          </w:tcPr>
          <w:p>
            <w:r>
              <w:rPr>
                <w:sz w:val="17"/>
              </w:rPr>
              <w:t>4,570</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3,882</w:t>
            </w:r>
          </w:p>
        </w:tc>
        <w:tc>
          <w:tcPr>
            <w:tcW w:type="dxa" w:w="1440"/>
            <w:shd w:fill="FAFAFA" w:val="clear"/>
          </w:tcPr>
          <w:p>
            <w:r>
              <w:rPr>
                <w:b/>
                <w:sz w:val="17"/>
              </w:rPr>
              <w:t>4,257</w:t>
            </w:r>
          </w:p>
        </w:tc>
        <w:tc>
          <w:tcPr>
            <w:tcW w:type="dxa" w:w="1440"/>
            <w:shd w:fill="FAFAFA" w:val="clear"/>
          </w:tcPr>
          <w:p>
            <w:r>
              <w:rPr>
                <w:sz w:val="17"/>
              </w:rPr>
              <w:t>4,632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3,818</w:t>
            </w:r>
          </w:p>
        </w:tc>
        <w:tc>
          <w:tcPr>
            <w:tcW w:type="dxa" w:w="1440"/>
            <w:shd w:fill="FAFAFA" w:val="clear"/>
          </w:tcPr>
          <w:p>
            <w:r>
              <w:rPr>
                <w:b/>
                <w:sz w:val="17"/>
              </w:rPr>
              <w:t>4,251</w:t>
            </w:r>
          </w:p>
        </w:tc>
        <w:tc>
          <w:tcPr>
            <w:tcW w:type="dxa" w:w="1440"/>
            <w:shd w:fill="FAFAFA" w:val="clear"/>
          </w:tcPr>
          <w:p>
            <w:r>
              <w:rPr>
                <w:sz w:val="17"/>
              </w:rPr>
              <w:t>4,683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3,762</w:t>
            </w:r>
          </w:p>
        </w:tc>
        <w:tc>
          <w:tcPr>
            <w:tcW w:type="dxa" w:w="1440"/>
            <w:shd w:fill="FAFAFA" w:val="clear"/>
          </w:tcPr>
          <w:p>
            <w:r>
              <w:rPr>
                <w:b/>
                <w:sz w:val="17"/>
              </w:rPr>
              <w:t>4,244</w:t>
            </w:r>
          </w:p>
        </w:tc>
        <w:tc>
          <w:tcPr>
            <w:tcW w:type="dxa" w:w="1440"/>
            <w:shd w:fill="FAFAFA" w:val="clear"/>
          </w:tcPr>
          <w:p>
            <w:r>
              <w:rPr>
                <w:sz w:val="17"/>
              </w:rPr>
              <w:t>4,727</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3,710</w:t>
            </w:r>
          </w:p>
        </w:tc>
        <w:tc>
          <w:tcPr>
            <w:tcW w:type="dxa" w:w="1440"/>
            <w:shd w:fill="FAFAFA" w:val="clear"/>
          </w:tcPr>
          <w:p>
            <w:r>
              <w:rPr>
                <w:b/>
                <w:sz w:val="17"/>
              </w:rPr>
              <w:t>4,238</w:t>
            </w:r>
          </w:p>
        </w:tc>
        <w:tc>
          <w:tcPr>
            <w:tcW w:type="dxa" w:w="1440"/>
            <w:shd w:fill="FAFAFA" w:val="clear"/>
          </w:tcPr>
          <w:p>
            <w:r>
              <w:rPr>
                <w:sz w:val="17"/>
              </w:rPr>
              <w:t>4,766</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3,663</w:t>
            </w:r>
          </w:p>
        </w:tc>
        <w:tc>
          <w:tcPr>
            <w:tcW w:type="dxa" w:w="1440"/>
            <w:shd w:fill="FAFAFA" w:val="clear"/>
          </w:tcPr>
          <w:p>
            <w:r>
              <w:rPr>
                <w:b/>
                <w:sz w:val="17"/>
              </w:rPr>
              <w:t>4,232</w:t>
            </w:r>
          </w:p>
        </w:tc>
        <w:tc>
          <w:tcPr>
            <w:tcW w:type="dxa" w:w="1440"/>
            <w:shd w:fill="FAFAFA" w:val="clear"/>
          </w:tcPr>
          <w:p>
            <w:r>
              <w:rPr>
                <w:sz w:val="17"/>
              </w:rPr>
              <w:t>4,801</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3,618</w:t>
            </w:r>
          </w:p>
        </w:tc>
        <w:tc>
          <w:tcPr>
            <w:tcW w:type="dxa" w:w="1440"/>
            <w:shd w:fill="FAFAFA" w:val="clear"/>
          </w:tcPr>
          <w:p>
            <w:r>
              <w:rPr>
                <w:b/>
                <w:sz w:val="17"/>
              </w:rPr>
              <w:t>4,226</w:t>
            </w:r>
          </w:p>
        </w:tc>
        <w:tc>
          <w:tcPr>
            <w:tcW w:type="dxa" w:w="1440"/>
            <w:shd w:fill="FAFAFA" w:val="clear"/>
          </w:tcPr>
          <w:p>
            <w:r>
              <w:rPr>
                <w:sz w:val="17"/>
              </w:rPr>
              <w:t>4,834</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3,577</w:t>
            </w:r>
          </w:p>
        </w:tc>
        <w:tc>
          <w:tcPr>
            <w:tcW w:type="dxa" w:w="1440"/>
            <w:shd w:fill="FAFAFA" w:val="clear"/>
          </w:tcPr>
          <w:p>
            <w:r>
              <w:rPr>
                <w:b/>
                <w:sz w:val="17"/>
              </w:rPr>
              <w:t>4,221</w:t>
            </w:r>
          </w:p>
        </w:tc>
        <w:tc>
          <w:tcPr>
            <w:tcW w:type="dxa" w:w="1440"/>
            <w:shd w:fill="FAFAFA" w:val="clear"/>
          </w:tcPr>
          <w:p>
            <w:r>
              <w:rPr>
                <w:sz w:val="17"/>
              </w:rPr>
              <w:t>4,864</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3,537</w:t>
            </w:r>
          </w:p>
        </w:tc>
        <w:tc>
          <w:tcPr>
            <w:tcW w:type="dxa" w:w="1440"/>
            <w:shd w:fill="FAFAFA" w:val="clear"/>
          </w:tcPr>
          <w:p>
            <w:r>
              <w:rPr>
                <w:b/>
                <w:sz w:val="17"/>
              </w:rPr>
              <w:t>4,215</w:t>
            </w:r>
          </w:p>
        </w:tc>
        <w:tc>
          <w:tcPr>
            <w:tcW w:type="dxa" w:w="1440"/>
            <w:shd w:fill="FAFAFA" w:val="clear"/>
          </w:tcPr>
          <w:p>
            <w:r>
              <w:rPr>
                <w:sz w:val="17"/>
              </w:rPr>
              <w:t>4,893</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43,93 milliards FCFA, PRSC s'inscrit dans la catégorie des valeurs moyennes de la cote BRVM, ce qui traduit une liquidité modérée mais une certaine représentativité sectorielle. Le BPA de 231 FCFA par action indique qu'à chaque titre correspond un bénéfice net de 231 FCFA, un niveau cohérent avec la marge nette modeste de l'entreprise. Le PER de 18,6x se situe nettement au-dessus de la moyenne BRVM (8-12x), signalant que les investisseurs paient une prime significative pour les bénéfices actuels — une valorisation exigeante qui intègre des anticipations de croissance. Le P/B de 3,81x confirme cette prime de croissance, le marché valorisant l'action à près de quatre fois sa valeur comptable, ce qui n'est justifiable que par une rentabilité des fonds propres soutenue (ROE de 20,5%). Enfin, l'EV/EBITDA de 9,5x, dans la fourchette raisonnable de 5-10x, suggère que la valeur d'entreprise reste proportionnée à la capacité opérationnelle de génération de cash, tempérant le diagnostic de surévaluation suggéré par le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de -4,03%, reflétant une tendance globalement baissière malgré un rebond de +0,94% lors de la dernière séance, portant le cours à 4 290 FCFA. Le range de trading s'est établi entre un plus bas de 3 850 FCFA et un plus haut de 4 740 FCFA, soit une amplitude de près de 23% qui témoigne d'une réelle nervosité du titre. La moyenne de 4 393 FCFA et la médiane de 4 402 FCFA sont très proches, tandis que le mode à 4 400 FCFA confirme une concentration des échanges autour de ce palier — le cours actuel (4 290 FCFA) évolue donc légèrement sous son point d'équilibre statistique. L'écart-type de 179 FCFA avec un coefficient de variation de 4,1% indique une dispersion modérée du cours autour de sa moyenne, caractéristique d'un titre relativement stable en dépit de son amplitude. Le kurtosis de 0,435 (mésokurtique) suggère une distribution proche de la normale, sans risque excessif de pics extrêmes, tandis que le skewness de -0,668 révèle une asymétrie négative : les journées de hausse, bien que moins nombreuses, ont été plus amples, ce qui traduit une pression vendeuse progressive. La volatilité annualisée de 37,4% classe le titre dans la catégorie des valeurs à volatilité élevée (&gt;30%), imposant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(4 179 FCFA) se situe sous le cours actuel (4 290 FCFA), signal de court terme plutôt favorable, mais la MM50 (4 337,5 FCFA) demeure au-dessus du cours, traduisant une pression baissière de moyen terme. La décision « Vente » s'explique par cette configuration où le cours reste coincé sous sa moyenne de 50 jours, signe que la dynamique de fond n'est pas encore retournée.</w:t>
      </w:r>
    </w:p>
    <w:p>
      <w:pPr>
        <w:spacing w:after="120" w:line="276" w:lineRule="auto"/>
      </w:pPr>
      <w:r>
        <w:t>**Bandes de Bollinger** : Le cours (4 290 FCFA) évolue dans la partie médiane de la bande, entre la borne inférieure (3 868,8 FCFA) et supérieure (4 489,2 FCFA), sans test des extrêmes. Cette position centrale, couplée à un écart des bornes reflétant une volatilité contenue, justifie la décision « Neutre » : aucun signal de survente ou de surachat n'est émis.</w:t>
      </w:r>
    </w:p>
    <w:p>
      <w:pPr>
        <w:spacing w:after="120" w:line="276" w:lineRule="auto"/>
      </w:pPr>
      <w:r>
        <w:t>**MACD** : La valeur du MACD (-13,517) est supérieure à son signal (-45,041), configuration haussière classique indiquant un momentum positif en formation. La décision « Achat » se justifie par ce croisement favorable, bien que la position encore négative des deux courbes suggère un retournement en cours plutôt qu'une tendance franche.</w:t>
      </w:r>
    </w:p>
    <w:p>
      <w:pPr>
        <w:spacing w:after="120" w:line="276" w:lineRule="auto"/>
      </w:pPr>
      <w:r>
        <w:t>**RSI** : À 52,547, le RSI se situe parfaitement dans la zone neutre (30-70), sans excès acheteur ni vendeur. Cette valeur médiane confirme l'absence de tension sur le titre et justifie la décision « Neutre », le marché étant en équilibre entre acheteurs et vendeurs.</w:t>
      </w:r>
    </w:p>
    <w:p>
      <w:pPr>
        <w:spacing w:after="120" w:line="276" w:lineRule="auto"/>
      </w:pPr>
      <w:r>
        <w:t>**Stochastique** : Le %K (80,0) et le %D (80,909) évoluent tous deux en zone haute, proche du seuil de surachat (80), avec un %K légèrement sous son signal — configuration de quasi-plateau. La décision « Neutre » s'impose car, bien que proche de la zone de surachat, l'absence de croisement baissier franc n'envoie pas de signal de vente confirmé.</w:t>
      </w:r>
    </w:p>
    <w:p>
      <w:pPr>
        <w:spacing w:after="120" w:line="276" w:lineRule="auto"/>
      </w:pPr>
      <w:r>
        <w:t>**Conclusion technique** : Les indicateurs présentent une configuration mitigée, sans convergence claire. Le MACD haussier contraste avec la pression baissière de la MM50 et la neutralité du RSI et du stochastique, tandis que les Bandes de Bollinger confirment l'absence de tension extrême. Le titre évolue dans une phase de consolidation indécise, avec un léger avantage aux acheteurs à court terme mais sans confirmation de retournement durable —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PRSC affiche un chiffre d'affaires de 81,127 milliards FCFA, en croissance de 9,5% selon le rapport annuel 2025, avec un résultat net de 2,367 milliards FCFA, stable par rapport aux 2,35 milliards de 2024. La rentabilité des fonds propres (ROE) s'établit à 20,53%, niveau excellent (&gt;15%), tandis que le ROA de 4,95% reflète l'intensité capitalistique du modèle de distribution automobile. La marge nette de 2,92% demeure faible mais en amélioration par rapport aux 2,63% de 2023, et la marge brute de 18,51% traduit une pression concurrentielle persistante sur les prix. En tant qu'entreprise de distribution, PRSC présente un BFR de 11,267 milliards FCFA et une trésorerie nette négative de -4,092 milliards FCFA, signaux de tension sur le fonds de roulement : le délai client de 46 jours est maîtrisé, mais la durée de stockage de 150,5 jours immobilise massivement du capital, compensée par un délai fournisseur de 102,65 jours favorable à la trésorerie. La structure financière reste solvable (autonomie financière de 24,1%, solvabilité générale de 131,8%) mais l'endettement est élevé (ratio dettes/capitaux propres de 314,9%), avec une capacité de remboursement de 1,83 an jugée acceptable. Les rapports semestriels S1 2025 (datés du 30/06/2025) confirment une accélération : CA de 39,968 milliards FCFA (+15,1%) et résultat net de 1,436 milliard FCFA (×28 vs S1 2024), avec une marge nette de 3,6% — sur cette base, on estime que l'exercice 2025 devrait confirmer la reprise de la rentabilité opérationnelle, bien que la direction anticipe un ralentissement au S2 lié au contexte électoral. La politique de dividende est attractive : l'AG mixte du 30 juin 2026 (avis du 15/06/2026) a approuvé un dividende de 209 FCFA brut par action, offrant un rendement d'environ 4,9% au cours actuel. La recommandation fondamentale est « Conserver » : solidité financière réelle, croissance du CA et dividende attractif, mais marges structurellement faibles et endettement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apparaît exigeante (PER 18,6x contre 8-12x pour la moyenne BRVM, P/B de 3,81x), intégrant déjà une prime de croissance que les fondamentaux justifient partiellement par un ROE de 20,5% et une dynamique commerciale de +9,5% en 2025. Le comportement du cours sur 100 jours est baissier (-4,03%) avec une volatilité élevée (37,4%), une asymétrie négative (skewness -0,668) et un cours sous sa moyenne statistique — des statistiques préoccupantes à court terme, bien que le kurtosis normal écarte le risque de krach brutal. Les signaux techniques sont divergents : le MACD haussier et la MM20 sous le cours plaident pour un rebond, mais la MM50 au-dessus du cours et la neutralité du RSI/stochastique maintiennent une incertitude — aucune convergence forte ne se dégage. Les fondamentaux offrent le meilleur soutien : croissance du CA, résultat net stable, dividende de 209 FCFA (rendement ~4,9%) et amélioration semestrielle spectaculaire (résultat net ×28 au S1 2025), malgré des marges faibles et un endettement élevé. Les prédictions IA (J+1 à J+10) anticipent une légère dérive baissière de 4 271 à 4 244 FCFA, en phase avec la pression baissière de moyen terme mais contredisant le signal MACD — une trajectoire de consolidation sans rupture. Sur cette base, la recommandation finale est **CONSERVER**, avec un niveau de confiance **Moyen** et un risque global **Moyen** : la valorisation exigeante et les signaux techniques mitigés ne justifient pas un renforcement immédiat, mais la solidité fondamentale, le dividende attractif et le potentiel de redressement de la rentabilité interdisent une vente. L'horizon optimal est le **moyen terme (3-12 mois)**, le temps que la dynamique opérationnelle du S1 2025 se confirme sur l'exercice complet et que les indicateurs techniques convergent vers un retournement haussier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8,045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15.06% (Élevée) — μ=4,680 FCFA, σ=705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β=1.3111 (Agressif) — Cov=0.000098, Var(idx)=0.000075, ρ=0.292,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3,603</w:t>
            </w:r>
          </w:p>
        </w:tc>
        <w:tc>
          <w:tcPr>
            <w:tcW w:type="dxa" w:w="1440"/>
            <w:shd w:fill="FAFAFA" w:val="clear"/>
          </w:tcPr>
          <w:p>
            <w:r>
              <w:rPr>
                <w:b/>
                <w:sz w:val="17"/>
              </w:rPr>
              <w:t>3,887</w:t>
            </w:r>
          </w:p>
        </w:tc>
        <w:tc>
          <w:tcPr>
            <w:tcW w:type="dxa" w:w="1440"/>
            <w:shd w:fill="FAFAFA" w:val="clear"/>
          </w:tcPr>
          <w:p>
            <w:r>
              <w:rPr>
                <w:sz w:val="17"/>
              </w:rPr>
              <w:t>4,170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3,499</w:t>
            </w:r>
          </w:p>
        </w:tc>
        <w:tc>
          <w:tcPr>
            <w:tcW w:type="dxa" w:w="1440"/>
            <w:shd w:fill="FAFAFA" w:val="clear"/>
          </w:tcPr>
          <w:p>
            <w:r>
              <w:rPr>
                <w:b/>
                <w:sz w:val="17"/>
              </w:rPr>
              <w:t>3,902</w:t>
            </w:r>
          </w:p>
        </w:tc>
        <w:tc>
          <w:tcPr>
            <w:tcW w:type="dxa" w:w="1440"/>
            <w:shd w:fill="FAFAFA" w:val="clear"/>
          </w:tcPr>
          <w:p>
            <w:r>
              <w:rPr>
                <w:sz w:val="17"/>
              </w:rPr>
              <w:t>4,304</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3,425</w:t>
            </w:r>
          </w:p>
        </w:tc>
        <w:tc>
          <w:tcPr>
            <w:tcW w:type="dxa" w:w="1440"/>
            <w:shd w:fill="FAFAFA" w:val="clear"/>
          </w:tcPr>
          <w:p>
            <w:r>
              <w:rPr>
                <w:b/>
                <w:sz w:val="17"/>
              </w:rPr>
              <w:t>3,920</w:t>
            </w:r>
          </w:p>
        </w:tc>
        <w:tc>
          <w:tcPr>
            <w:tcW w:type="dxa" w:w="1440"/>
            <w:shd w:fill="FAFAFA" w:val="clear"/>
          </w:tcPr>
          <w:p>
            <w:r>
              <w:rPr>
                <w:sz w:val="17"/>
              </w:rPr>
              <w:t>4,415</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3,362</w:t>
            </w:r>
          </w:p>
        </w:tc>
        <w:tc>
          <w:tcPr>
            <w:tcW w:type="dxa" w:w="1440"/>
            <w:shd w:fill="FAFAFA" w:val="clear"/>
          </w:tcPr>
          <w:p>
            <w:r>
              <w:rPr>
                <w:b/>
                <w:sz w:val="17"/>
              </w:rPr>
              <w:t>3,936</w:t>
            </w:r>
          </w:p>
        </w:tc>
        <w:tc>
          <w:tcPr>
            <w:tcW w:type="dxa" w:w="1440"/>
            <w:shd w:fill="FAFAFA" w:val="clear"/>
          </w:tcPr>
          <w:p>
            <w:r>
              <w:rPr>
                <w:sz w:val="17"/>
              </w:rPr>
              <w:t>4,510</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3,306</w:t>
            </w:r>
          </w:p>
        </w:tc>
        <w:tc>
          <w:tcPr>
            <w:tcW w:type="dxa" w:w="1440"/>
            <w:shd w:fill="FAFAFA" w:val="clear"/>
          </w:tcPr>
          <w:p>
            <w:r>
              <w:rPr>
                <w:b/>
                <w:sz w:val="17"/>
              </w:rPr>
              <w:t>3,951</w:t>
            </w:r>
          </w:p>
        </w:tc>
        <w:tc>
          <w:tcPr>
            <w:tcW w:type="dxa" w:w="1440"/>
            <w:shd w:fill="FAFAFA" w:val="clear"/>
          </w:tcPr>
          <w:p>
            <w:r>
              <w:rPr>
                <w:sz w:val="17"/>
              </w:rPr>
              <w:t>4,595</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3,256</w:t>
            </w:r>
          </w:p>
        </w:tc>
        <w:tc>
          <w:tcPr>
            <w:tcW w:type="dxa" w:w="1440"/>
            <w:shd w:fill="FAFAFA" w:val="clear"/>
          </w:tcPr>
          <w:p>
            <w:r>
              <w:rPr>
                <w:b/>
                <w:sz w:val="17"/>
              </w:rPr>
              <w:t>3,964</w:t>
            </w:r>
          </w:p>
        </w:tc>
        <w:tc>
          <w:tcPr>
            <w:tcW w:type="dxa" w:w="1440"/>
            <w:shd w:fill="FAFAFA" w:val="clear"/>
          </w:tcPr>
          <w:p>
            <w:r>
              <w:rPr>
                <w:sz w:val="17"/>
              </w:rPr>
              <w:t>4,673</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3,209</w:t>
            </w:r>
          </w:p>
        </w:tc>
        <w:tc>
          <w:tcPr>
            <w:tcW w:type="dxa" w:w="1440"/>
            <w:shd w:fill="FAFAFA" w:val="clear"/>
          </w:tcPr>
          <w:p>
            <w:r>
              <w:rPr>
                <w:b/>
                <w:sz w:val="17"/>
              </w:rPr>
              <w:t>3,977</w:t>
            </w:r>
          </w:p>
        </w:tc>
        <w:tc>
          <w:tcPr>
            <w:tcW w:type="dxa" w:w="1440"/>
            <w:shd w:fill="FAFAFA" w:val="clear"/>
          </w:tcPr>
          <w:p>
            <w:r>
              <w:rPr>
                <w:sz w:val="17"/>
              </w:rPr>
              <w:t>4,744</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3,166</w:t>
            </w:r>
          </w:p>
        </w:tc>
        <w:tc>
          <w:tcPr>
            <w:tcW w:type="dxa" w:w="1440"/>
            <w:shd w:fill="C6EFCE" w:val="clear"/>
          </w:tcPr>
          <w:p>
            <w:r>
              <w:rPr>
                <w:b/>
                <w:sz w:val="17"/>
              </w:rPr>
              <w:t>3,988</w:t>
            </w:r>
          </w:p>
        </w:tc>
        <w:tc>
          <w:tcPr>
            <w:tcW w:type="dxa" w:w="1440"/>
            <w:shd w:fill="C6EFCE" w:val="clear"/>
          </w:tcPr>
          <w:p>
            <w:r>
              <w:rPr>
                <w:sz w:val="17"/>
              </w:rPr>
              <w:t>4,811</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3,124</w:t>
            </w:r>
          </w:p>
        </w:tc>
        <w:tc>
          <w:tcPr>
            <w:tcW w:type="dxa" w:w="1440"/>
            <w:shd w:fill="C6EFCE" w:val="clear"/>
          </w:tcPr>
          <w:p>
            <w:r>
              <w:rPr>
                <w:b/>
                <w:sz w:val="17"/>
              </w:rPr>
              <w:t>3,999</w:t>
            </w:r>
          </w:p>
        </w:tc>
        <w:tc>
          <w:tcPr>
            <w:tcW w:type="dxa" w:w="1440"/>
            <w:shd w:fill="C6EFCE" w:val="clear"/>
          </w:tcPr>
          <w:p>
            <w:r>
              <w:rPr>
                <w:sz w:val="17"/>
              </w:rPr>
              <w:t>4,875</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3,085</w:t>
            </w:r>
          </w:p>
        </w:tc>
        <w:tc>
          <w:tcPr>
            <w:tcW w:type="dxa" w:w="1440"/>
            <w:shd w:fill="C6EFCE" w:val="clear"/>
          </w:tcPr>
          <w:p>
            <w:r>
              <w:rPr>
                <w:b/>
                <w:sz w:val="17"/>
              </w:rPr>
              <w:t>4,010</w:t>
            </w:r>
          </w:p>
        </w:tc>
        <w:tc>
          <w:tcPr>
            <w:tcW w:type="dxa" w:w="1440"/>
            <w:shd w:fill="C6EFCE" w:val="clear"/>
          </w:tcPr>
          <w:p>
            <w:r>
              <w:rPr>
                <w:sz w:val="17"/>
              </w:rPr>
              <w:t>4,935</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46,29 milliards FCFA, un niveau modeste à l'échelle de la BRVM qui la positionne parmi les valeurs de taille intermédiaire du compartiment bancaire. Le BPA de 59 FCFA par action indique le bénéfice net généré pour chaque titre détenu, mais c'est surtout le PER de 66,0x qui interpelle : les investisseurs paient 66 fois les bénéfices actuels, soit un multiple très supérieur à la moyenne BRVM (8-12x), traduisant une anticipation massive de croissance future plutôt qu'une valorisation sur les résultats présents. Le P/B de 7,82x confirme cette prime exigeante — le marché valorise SAFC à près de huit fois sa valeur comptable, bien au-delà du seuil de 4x généralement considéré comme tendu — tandis que l'EV/EBITDA de 81,1x (contre un seuil d'alerte de 15x) signale une valorisation opérationnelle extrêmement tendue. Ces ratios, pris ensemble, indiquent que le titre intègre déjà une grande partie du redressement attendu et n'offre aucune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totale de +8,33%, avec une dernière séance stable (+0,00%) à 3 900 FCFA. Le range de trading est particulièrement large, oscillant entre un plus bas de 3 595 FCFA et un plus haut de 6 200 FCFA, soit un écart de plus de 72% entre les extrêmes — signe d'une forte agitation spéculative sur la période. La tendance générale est baissière depuis le pic de 6 200 FCFA, le cours actuel se situant 37% en dessous de ce sommet, bien qu'il conserve une progression nette sur l'ensemble de la période. Les statistiques descriptives révèlent une distribution légèrement asymétrique : la moyenne (4 680 FCFA) dépasse la médiane (4 580 FCFA), et le mode (3 700 FCFA) se situe nettement en dessous, suggérant que le cours a passé davantage de temps dans les zones basses malgré des pics ponctuels élevés. L'écart-type de 708 FCFA avec un coefficient de variation de 15,1% confirme une dispersion modérée autour de la moyenne, tandis que le kurtosis de -0,850 (mésokurtique) indique un comportement proche d'une distribution normale, sans pics extrêmes fréquents, et le skewness de 0,375 une légère asymétrie positive. La volatilité annualisée de 61,1% classe le titre dans la catégorie des valeurs à volatilité élevée (&gt;30%), ce qui est cohérent avec un profil de valeur de redressement spéculative.</w:t>
      </w:r>
    </w:p>
    <w:p>
      <w:pPr>
        <w:spacing w:after="120" w:line="276" w:lineRule="auto"/>
      </w:pPr>
      <w:r>
        <w:t>---</w:t>
      </w:r>
    </w:p>
    <w:p>
      <w:pPr>
        <w:spacing w:after="120" w:line="276" w:lineRule="auto"/>
      </w:pPr>
      <w:r>
        <w:t>## PARTIE 2 : ANALYSE TECHNIQUE DÉTAILLÉE</w:t>
      </w:r>
    </w:p>
    <w:p>
      <w:pPr>
        <w:spacing w:after="120" w:line="276" w:lineRule="auto"/>
      </w:pPr>
      <w:r>
        <w:t>**Moyennes Mobiles** : La MM20 (4 276,75 FCFA) et la MM50 (5 033,60 FCFA) se situent toutes deux au-dessus du cours actuel (3 900 FCFA), avec une MM20 inférieure à la MM50 — configuration baissière typique où les moyennes courtes sont sous les moyennes longues. Le cours évoluant sous ses deux moyennes, la pression vendeuse domine, ce qui justifie la décision technique de **Vente**.</w:t>
      </w:r>
    </w:p>
    <w:p>
      <w:pPr>
        <w:spacing w:after="120" w:line="276" w:lineRule="auto"/>
      </w:pPr>
      <w:r>
        <w:t>**Bandes de Bollinger** : Le cours (3 900 FCFA) se situe dans la moitié inférieure de la bande, entre la borne inférieure (3 660,92 FCFA) et la borne supérieure (4 892,58 FCFA), sans en toucher les extrêmes. Cette position centrale-basse traduit une absence de signal directionnel fort, avec une volatilité contenue dans les bornes, justifiant la décision **Neutre**.</w:t>
      </w:r>
    </w:p>
    <w:p>
      <w:pPr>
        <w:spacing w:after="120" w:line="276" w:lineRule="auto"/>
      </w:pPr>
      <w:r>
        <w:t>**MACD** : La valeur du MACD (-299,27) est inférieure à sa ligne de signal (-286,76), avec un histogramme négatif — configuration baissière où le momentum reste orienté à la baisse. L'écart entre les deux lignes, bien que modéré, confirme la persistance de la dynamique négative, justifiant la décision de **Vente**.</w:t>
      </w:r>
    </w:p>
    <w:p>
      <w:pPr>
        <w:spacing w:after="120" w:line="276" w:lineRule="auto"/>
      </w:pPr>
      <w:r>
        <w:t>**RSI** : À 39,53, le RSI se situe dans la zone neutre basse (30-70), sans atteindre le seuil de survente (30). Le titre n'est donc ni survendu ni suracheté, mais la proximité de la zone de survente suggère une pression baissière modérée, justifiant la décision **Neutre**.</w:t>
      </w:r>
    </w:p>
    <w:p>
      <w:pPr>
        <w:spacing w:after="120" w:line="276" w:lineRule="auto"/>
      </w:pPr>
      <w:r>
        <w:t>**Stochastique** : Le %K (0,0) est en position extrême de survente, très en dessous du %D (2,92), avec un croisement qui pourrait annoncer un rebond technique imminent. Cette configuration de survente profonde justifie la décision d'**Achat** à court terme, en anticipation d'un retournement.</w:t>
      </w:r>
    </w:p>
    <w:p>
      <w:pPr>
        <w:spacing w:after="120" w:line="276" w:lineRule="auto"/>
      </w:pPr>
      <w:r>
        <w:t>**Conclusion technique** : Les indicateurs présentent une divergence notable — les moyennes mobiles et le MACD confirment une tendance baissière de fond, tandis que le stochastique signale une survente extrême propice à un rebond technique, et le RSI reste neutre. Cette configuration mixte (2 ventes, 2 neutres, 1 achat) traduit un marché en phase de consolidation baissière avec un potentiel de rebond à court terme, mais sans retournement de tendance confirmé.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de 5 735 millions FCFA, en croissance de 44,1% par rapport aux 3 980 millions de 2024, portée par la hausse des intérêts (+14,4%) et des commissions (+81%). Le résultat net s'établit à 701 millions FCFA, marquant un retournement spectaculaire après la perte de 165 millions en 2024, avec une marge nette de 12,2%. Le ROE ressort à 11,85% (en dessous du seuil d'excellence de 15%) et le ROA à 0,88%, reflétant une rentabilité encore modeste au regard de la taille du bilan. Le coefficient d'exploitation de 77,63% dépasse largement le seuil de 60% d'efficacité bancaire, signalant des charges opérationnelles encore lourdes, tandis que le coût du risque de 6,57% des charges financières traduit un portefeuille de crédit à surveiller. La structure financière reste fragile : l'autonomie financière n'est que de 7,44% (contre 30% recommandé), la dépendance financière atteint 92,56%, et le ratio d'endettement de 856% souligne une forte exposition aux dettes interbancaires (35,75 milliards FCFA) face à des dépôts clientèle limités (9,11 milliards FCFA). **Estimations basées sur les rapports trimestriels** : selon le rapport du 30 juin 2026 (analysé le 04/09/2026), le PNB semestriel atteint 2 907 millions FCFA (+37%) et le résultat net 731 millions FCFA (+231%), avec une reprise nette sur coût du risque de 261 millions FCFA — laissant présager un exercice 2026 nettement supérieur à 2025, avec un résultat net annualisé estimé autour de 1,4-1,5 milliard FCFA. Le rapport T1 2026 (analysé le 12/05/2026) confirme cette dynamique avec un résultat net de 151 millions FCFA (+1 062%) et un ratio CET1 en hausse à 11,49%. **Évolution pluriannuelle** : de la perte de 579 millions en 2023 à -165 millions en 2024, puis +701 millions en 2025, la trajectoire est clairement ascendante, soutenue par l'entrée de CREDAF Group en avril 2025. **Recommandation fondamentale** : le redressement est réel et spectaculaire, mais la structure bilancielle demeure fragile (capitaux propres de 5 916 millions pour un bilan de 79 555 millions) et le report à nouveau reste négatif (-4 123 millions), ce qui justifie une posture prudente malgré la dynamique positive.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profondément ambivalent. **Sur la valorisation (Partie 0)**, les ratios PER de 66x, P/B de 7,82x et EV/EBITDA de 81,1x indiquent une surévaluation manifeste : le marché intègre déjà le redressement et paie très cher une croissance future incertaine, sans marge de sécurité. **Sur le comportement du cours (Partie 1)**, la tendance baissière depuis le pic de 6 200 FCFA, la volatilité élevée de 61,1% et la distribution légèrement asymétrique (moyenne &gt; médiane &gt; mode) traduisent un titre spéculatif ayant connu une correction significative, avec un risque de pics baissiers résiduel malgré un kurtosis normal. **Sur les signaux techniques (Partie 2)**, la divergence est nette : MM et MACD confirment la tendance baissière, tandis que le stochastique en survente extrême (0,0) suggère un rebond technique imminent — configuration de consolidation sans retournement confirmé. **Sur les fondamentaux (Partie 3)**, le redressement 2025 (PNB +44%, retour à un bénéfice de 701 millions) et les rapports 2026 (S1 : résultat net +231%) sont excellents, mais la fragilité bilancielle (autonomie financière de 7,44%, report à nouveau négatif) et le coefficient d'exploitation élevé (77,6%) tempèrent l'enthousiasme. **Les prédictions IA (J+1 à J+10)** projettent une trajectoire légèrement haussière de 3 887 à 3 951 FCFA (+1,6% sur 10 jours), confirmant le rebond technique attendu sans valider un retournement de fond. **Recommandation finale : CONSERVER** — la convergence entre le rebond technique attendu (stochastique, prédictions IA) et la dynamique fondamentale positive (rapports 2026) soutient le maintien de la position, mais la surévaluation flagrante (PER 66x, P/B 7,82x) et la fragilité structurelle interdisent toute recommandation d'achat à ces niveaux. Le niveau de confiance est **Moyen** (divergence entre technique court terme et valorisation long terme) et le niveau de risque **Élevé** (volatilité de 61,1%, dépendance interbancaire, valorisation tendue). L'horizon optimal est le **moyen terme (3-12 mois)**, le temps que les résultats 2026 confirment la soutenabilité du redressement et que la valorisation se normalise, avec un suivi attentif des prochains rapports trimestriels et de l'évolution du coût du risque.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10,341 titres</w:t>
            </w:r>
          </w:p>
        </w:tc>
        <w:tc>
          <w:tcPr>
            <w:tcW w:type="dxa" w:w="2268"/>
            <w:shd w:fill="FFF2CC" w:val="clear"/>
          </w:tcPr>
          <w:p>
            <w:r>
              <w:rPr>
                <w:b/>
                <w:color w:val="503200"/>
                <w:sz w:val="16"/>
              </w:rPr>
              <w:t xml:space="preserve">Cours actuel : </w:t>
            </w:r>
            <w:r>
              <w:rPr>
                <w:color w:val="000000"/>
                <w:sz w:val="17"/>
              </w:rPr>
              <w:t>2,270 FCFA</w:t>
            </w:r>
          </w:p>
          <w:p>
            <w:r>
              <w:rPr>
                <w:b/>
                <w:color w:val="503200"/>
                <w:sz w:val="16"/>
              </w:rPr>
              <w:t xml:space="preserve">Var. 100 jours : </w:t>
            </w:r>
            <w:r>
              <w:rPr>
                <w:b/>
                <w:color w:val="007800"/>
                <w:sz w:val="17"/>
              </w:rPr>
              <w:t>+2.95%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13.27% (Moyenne) — μ=3,196 FCFA, σ=424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β=1.2638 (Agressif) — Cov=0.000089, Var(idx)=0.000071, ρ=0.313,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10,341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2,205</w:t>
            </w:r>
          </w:p>
        </w:tc>
        <w:tc>
          <w:tcPr>
            <w:tcW w:type="dxa" w:w="1440"/>
            <w:shd w:fill="C6EFCE" w:val="clear"/>
          </w:tcPr>
          <w:p>
            <w:r>
              <w:rPr>
                <w:b/>
                <w:sz w:val="17"/>
              </w:rPr>
              <w:t>2,344</w:t>
            </w:r>
          </w:p>
        </w:tc>
        <w:tc>
          <w:tcPr>
            <w:tcW w:type="dxa" w:w="1440"/>
            <w:shd w:fill="C6EFCE" w:val="clear"/>
          </w:tcPr>
          <w:p>
            <w:r>
              <w:rPr>
                <w:sz w:val="17"/>
              </w:rPr>
              <w:t>2,482</w:t>
            </w:r>
          </w:p>
        </w:tc>
        <w:tc>
          <w:tcPr>
            <w:tcW w:type="dxa" w:w="1440"/>
            <w:shd w:fill="C6EFCE" w:val="clear"/>
          </w:tcPr>
          <w:p>
            <w:r>
              <w:rPr>
                <w:b/>
                <w:color w:val="008000"/>
                <w:sz w:val="17"/>
              </w:rPr>
              <w:t>+3.2%</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2,237</w:t>
            </w:r>
          </w:p>
        </w:tc>
        <w:tc>
          <w:tcPr>
            <w:tcW w:type="dxa" w:w="1440"/>
            <w:shd w:fill="C6EFCE" w:val="clear"/>
          </w:tcPr>
          <w:p>
            <w:r>
              <w:rPr>
                <w:b/>
                <w:sz w:val="17"/>
              </w:rPr>
              <w:t>2,441</w:t>
            </w:r>
          </w:p>
        </w:tc>
        <w:tc>
          <w:tcPr>
            <w:tcW w:type="dxa" w:w="1440"/>
            <w:shd w:fill="C6EFCE" w:val="clear"/>
          </w:tcPr>
          <w:p>
            <w:r>
              <w:rPr>
                <w:sz w:val="17"/>
              </w:rPr>
              <w:t>2,645</w:t>
            </w:r>
          </w:p>
        </w:tc>
        <w:tc>
          <w:tcPr>
            <w:tcW w:type="dxa" w:w="1440"/>
            <w:shd w:fill="C6EFCE" w:val="clear"/>
          </w:tcPr>
          <w:p>
            <w:r>
              <w:rPr>
                <w:b/>
                <w:color w:val="008000"/>
                <w:sz w:val="17"/>
              </w:rPr>
              <w:t>+7.5%</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2,293</w:t>
            </w:r>
          </w:p>
        </w:tc>
        <w:tc>
          <w:tcPr>
            <w:tcW w:type="dxa" w:w="1440"/>
            <w:shd w:fill="C6EFCE" w:val="clear"/>
          </w:tcPr>
          <w:p>
            <w:r>
              <w:rPr>
                <w:b/>
                <w:sz w:val="17"/>
              </w:rPr>
              <w:t>2,554</w:t>
            </w:r>
          </w:p>
        </w:tc>
        <w:tc>
          <w:tcPr>
            <w:tcW w:type="dxa" w:w="1440"/>
            <w:shd w:fill="C6EFCE" w:val="clear"/>
          </w:tcPr>
          <w:p>
            <w:r>
              <w:rPr>
                <w:sz w:val="17"/>
              </w:rPr>
              <w:t>2,816</w:t>
            </w:r>
          </w:p>
        </w:tc>
        <w:tc>
          <w:tcPr>
            <w:tcW w:type="dxa" w:w="1440"/>
            <w:shd w:fill="C6EFCE" w:val="clear"/>
          </w:tcPr>
          <w:p>
            <w:r>
              <w:rPr>
                <w:b/>
                <w:color w:val="008000"/>
                <w:sz w:val="17"/>
              </w:rPr>
              <w:t>+12.5%</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2,342</w:t>
            </w:r>
          </w:p>
        </w:tc>
        <w:tc>
          <w:tcPr>
            <w:tcW w:type="dxa" w:w="1440"/>
            <w:shd w:fill="C6EFCE" w:val="clear"/>
          </w:tcPr>
          <w:p>
            <w:r>
              <w:rPr>
                <w:b/>
                <w:sz w:val="17"/>
              </w:rPr>
              <w:t>2,655</w:t>
            </w:r>
          </w:p>
        </w:tc>
        <w:tc>
          <w:tcPr>
            <w:tcW w:type="dxa" w:w="1440"/>
            <w:shd w:fill="C6EFCE" w:val="clear"/>
          </w:tcPr>
          <w:p>
            <w:r>
              <w:rPr>
                <w:sz w:val="17"/>
              </w:rPr>
              <w:t>2,969</w:t>
            </w:r>
          </w:p>
        </w:tc>
        <w:tc>
          <w:tcPr>
            <w:tcW w:type="dxa" w:w="1440"/>
            <w:shd w:fill="C6EFCE" w:val="clear"/>
          </w:tcPr>
          <w:p>
            <w:r>
              <w:rPr>
                <w:b/>
                <w:color w:val="008000"/>
                <w:sz w:val="17"/>
              </w:rPr>
              <w:t>+17.0%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2,382</w:t>
            </w:r>
          </w:p>
        </w:tc>
        <w:tc>
          <w:tcPr>
            <w:tcW w:type="dxa" w:w="1440"/>
            <w:shd w:fill="C6EFCE" w:val="clear"/>
          </w:tcPr>
          <w:p>
            <w:r>
              <w:rPr>
                <w:b/>
                <w:sz w:val="17"/>
              </w:rPr>
              <w:t>2,745</w:t>
            </w:r>
          </w:p>
        </w:tc>
        <w:tc>
          <w:tcPr>
            <w:tcW w:type="dxa" w:w="1440"/>
            <w:shd w:fill="C6EFCE" w:val="clear"/>
          </w:tcPr>
          <w:p>
            <w:r>
              <w:rPr>
                <w:sz w:val="17"/>
              </w:rPr>
              <w:t>3,107</w:t>
            </w:r>
          </w:p>
        </w:tc>
        <w:tc>
          <w:tcPr>
            <w:tcW w:type="dxa" w:w="1440"/>
            <w:shd w:fill="C6EFCE" w:val="clear"/>
          </w:tcPr>
          <w:p>
            <w:r>
              <w:rPr>
                <w:b/>
                <w:color w:val="008000"/>
                <w:sz w:val="17"/>
              </w:rPr>
              <w:t>+20.9%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2,417</w:t>
            </w:r>
          </w:p>
        </w:tc>
        <w:tc>
          <w:tcPr>
            <w:tcW w:type="dxa" w:w="1440"/>
            <w:shd w:fill="C6EFCE" w:val="clear"/>
          </w:tcPr>
          <w:p>
            <w:r>
              <w:rPr>
                <w:b/>
                <w:sz w:val="17"/>
              </w:rPr>
              <w:t>2,826</w:t>
            </w:r>
          </w:p>
        </w:tc>
        <w:tc>
          <w:tcPr>
            <w:tcW w:type="dxa" w:w="1440"/>
            <w:shd w:fill="C6EFCE" w:val="clear"/>
          </w:tcPr>
          <w:p>
            <w:r>
              <w:rPr>
                <w:sz w:val="17"/>
              </w:rPr>
              <w:t>3,235</w:t>
            </w:r>
          </w:p>
        </w:tc>
        <w:tc>
          <w:tcPr>
            <w:tcW w:type="dxa" w:w="1440"/>
            <w:shd w:fill="C6EFCE" w:val="clear"/>
          </w:tcPr>
          <w:p>
            <w:r>
              <w:rPr>
                <w:b/>
                <w:color w:val="008000"/>
                <w:sz w:val="17"/>
              </w:rPr>
              <w:t>+24.5%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2,446</w:t>
            </w:r>
          </w:p>
        </w:tc>
        <w:tc>
          <w:tcPr>
            <w:tcW w:type="dxa" w:w="1440"/>
            <w:shd w:fill="C6EFCE" w:val="clear"/>
          </w:tcPr>
          <w:p>
            <w:r>
              <w:rPr>
                <w:b/>
                <w:sz w:val="17"/>
              </w:rPr>
              <w:t>2,900</w:t>
            </w:r>
          </w:p>
        </w:tc>
        <w:tc>
          <w:tcPr>
            <w:tcW w:type="dxa" w:w="1440"/>
            <w:shd w:fill="C6EFCE" w:val="clear"/>
          </w:tcPr>
          <w:p>
            <w:r>
              <w:rPr>
                <w:sz w:val="17"/>
              </w:rPr>
              <w:t>3,353</w:t>
            </w:r>
          </w:p>
        </w:tc>
        <w:tc>
          <w:tcPr>
            <w:tcW w:type="dxa" w:w="1440"/>
            <w:shd w:fill="C6EFCE" w:val="clear"/>
          </w:tcPr>
          <w:p>
            <w:r>
              <w:rPr>
                <w:b/>
                <w:color w:val="008000"/>
                <w:sz w:val="17"/>
              </w:rPr>
              <w:t>+27.7%</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2,471</w:t>
            </w:r>
          </w:p>
        </w:tc>
        <w:tc>
          <w:tcPr>
            <w:tcW w:type="dxa" w:w="1440"/>
            <w:shd w:fill="C6EFCE" w:val="clear"/>
          </w:tcPr>
          <w:p>
            <w:r>
              <w:rPr>
                <w:b/>
                <w:sz w:val="17"/>
              </w:rPr>
              <w:t>2,967</w:t>
            </w:r>
          </w:p>
        </w:tc>
        <w:tc>
          <w:tcPr>
            <w:tcW w:type="dxa" w:w="1440"/>
            <w:shd w:fill="C6EFCE" w:val="clear"/>
          </w:tcPr>
          <w:p>
            <w:r>
              <w:rPr>
                <w:sz w:val="17"/>
              </w:rPr>
              <w:t>3,462</w:t>
            </w:r>
          </w:p>
        </w:tc>
        <w:tc>
          <w:tcPr>
            <w:tcW w:type="dxa" w:w="1440"/>
            <w:shd w:fill="C6EFCE" w:val="clear"/>
          </w:tcPr>
          <w:p>
            <w:r>
              <w:rPr>
                <w:b/>
                <w:color w:val="008000"/>
                <w:sz w:val="17"/>
              </w:rPr>
              <w:t>+30.7%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2,491</w:t>
            </w:r>
          </w:p>
        </w:tc>
        <w:tc>
          <w:tcPr>
            <w:tcW w:type="dxa" w:w="1440"/>
            <w:shd w:fill="C6EFCE" w:val="clear"/>
          </w:tcPr>
          <w:p>
            <w:r>
              <w:rPr>
                <w:b/>
                <w:sz w:val="17"/>
              </w:rPr>
              <w:t>3,028</w:t>
            </w:r>
          </w:p>
        </w:tc>
        <w:tc>
          <w:tcPr>
            <w:tcW w:type="dxa" w:w="1440"/>
            <w:shd w:fill="C6EFCE" w:val="clear"/>
          </w:tcPr>
          <w:p>
            <w:r>
              <w:rPr>
                <w:sz w:val="17"/>
              </w:rPr>
              <w:t>3,564</w:t>
            </w:r>
          </w:p>
        </w:tc>
        <w:tc>
          <w:tcPr>
            <w:tcW w:type="dxa" w:w="1440"/>
            <w:shd w:fill="C6EFCE" w:val="clear"/>
          </w:tcPr>
          <w:p>
            <w:r>
              <w:rPr>
                <w:b/>
                <w:color w:val="008000"/>
                <w:sz w:val="17"/>
              </w:rPr>
              <w:t>+33.4%</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2,507</w:t>
            </w:r>
          </w:p>
        </w:tc>
        <w:tc>
          <w:tcPr>
            <w:tcW w:type="dxa" w:w="1440"/>
            <w:shd w:fill="C6EFCE" w:val="clear"/>
          </w:tcPr>
          <w:p>
            <w:r>
              <w:rPr>
                <w:b/>
                <w:sz w:val="17"/>
              </w:rPr>
              <w:t>3,082</w:t>
            </w:r>
          </w:p>
        </w:tc>
        <w:tc>
          <w:tcPr>
            <w:tcW w:type="dxa" w:w="1440"/>
            <w:shd w:fill="C6EFCE" w:val="clear"/>
          </w:tcPr>
          <w:p>
            <w:r>
              <w:rPr>
                <w:sz w:val="17"/>
              </w:rPr>
              <w:t>3,658</w:t>
            </w:r>
          </w:p>
        </w:tc>
        <w:tc>
          <w:tcPr>
            <w:tcW w:type="dxa" w:w="1440"/>
            <w:shd w:fill="C6EFCE" w:val="clear"/>
          </w:tcPr>
          <w:p>
            <w:r>
              <w:rPr>
                <w:b/>
                <w:color w:val="008000"/>
                <w:sz w:val="17"/>
              </w:rPr>
              <w:t>+35.8%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 RAPPORT D'ANALYSE FINANCIÈRE — SCRC (SUCRIVOIRE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**44,49 milliards FCFA**, un niveau intermédiaire à l'échelle de la BRVM qui positionne le titre parmi les valeurs de taille moyenne du compartiment agro-industriel. Le BPA ressort à **-406 FCFA/action**, traduisant une société en perte nette, ce qui rend le PER de **-5,6x** mécaniquement négatif et donc non interprétable en termes de « cher/pas cher » — un PER négatif signale simplement l'absence de bénéfices positifs et exclut toute comparaison avec le PER moyen BRVM (8-12x). Le ratio **P/B de 2,58x** indique que le marché valorise le titre à 2,6 fois sa valeur comptable, soit une prime de croissance accordée malgré les difficultés, ce qui est surprenant pour une société déficitaire et pourrait refléter des anticipations de redressement ou la valeur de l'actif industriel. Enfin, l'**EV/EBITDA de 9,2x** se situe dans la fourchette raisonnable de 5-10x, suggérant que la valeur d'entreprise reste cohérente avec la capacité opérationnelle dégagée (EBE de 14,85 Mds FCFA), mais cette lecture doit être tempérée par le poids de la dette financière (84,87 Mds FCFA) qui gonfle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de +2,95%**, mais la dernière séance (J-1) enregistre une chute brutale de **-3,20%**, signalant une pression vendeuse récente. Le cours actuel de **2 270 FCFA** se situe très proche du plus bas de la période (**2 205 FCFA**) et très loin du plus haut (**3 920 FCFA**), matérialisant un range de trading extrêmement large de plus de 1 700 FCFA et une tendance générale clairement baissière sur la période malgré la légère hausse nette. Les statistiques descriptives révèlent une **moyenne de 3 196 FCFA** nettement supérieure à la **médiane de 3 298 FCFA** (écart modéré), avec un **mode à 3 100 FCFA** : le cours actuel (2 270 FCFA) est très en dessous de ces trois mesures centrales, confirmant la cassure baissière récente. L'**écart-type de 426 FCFA (CV=13,3%)** indique une dispersion modérée autour de la moyenne, mais le **kurtosis de -0,820 (mésokurtique)** suggère une distribution proche de la normale sans pics extrêmes marqués, tandis que le **skewness de -0,527 (asymétrie négative)** — interprété dans les données comme « plus de journées au-dessus de la moyenne » — traduit en réalité une queue de distribution étirée vers les valeurs basses, cohérente avec la chute récente. La **volatilité annualisée de 53,8%** classe le titre dans la catégorie **élevée** (&gt;30%), ce qui est considérable et traduit un risque de marché important, à mettre en regard de la faible liquidité (volume moyen de 10 341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**2 736 FCFA** et la MM50 à **3 214,6 FCFA**, toutes deux très au-dessus du cours actuel de 2 270 FCFA. Cette configuration baissière (cours sous les deux moyennes, avec MM20 &lt; MM50) confirme une tendance descendante de court et moyen terme, justifiant la décision **Vente**.</w:t>
      </w:r>
    </w:p>
    <w:p>
      <w:pPr>
        <w:spacing w:after="120" w:line="276" w:lineRule="auto"/>
      </w:pPr>
      <w:r>
        <w:t>**Bandes de Bollinger** : La borne supérieure est à **3 294,12 FCFA** et la borne inférieure à **2 177,88 FCFA**, avec un cours actuel de 2 270 FCFA qui se situe à proximité immédiate de la borne basse. Le cours évolue dans le bas du canal, signe de faiblesse, mais la décision est **Neutre** car le titre n'a pas encore cassé la borne inférieure — une zone de support potentiel se dessine autour de 2 178 FCFA.</w:t>
      </w:r>
    </w:p>
    <w:p>
      <w:pPr>
        <w:spacing w:after="120" w:line="276" w:lineRule="auto"/>
      </w:pPr>
      <w:r>
        <w:t>**MACD** : La valeur du MACD est de **-256,43** contre un signal à **-224,10**, soit un MACD inférieur à son signal (divergence négative de -32,3 points). Le momentum est clairement baissier et l'histogramme négatif confirme la pression vendeuse, justifiant la décision **Vente**.</w:t>
      </w:r>
    </w:p>
    <w:p>
      <w:pPr>
        <w:spacing w:after="120" w:line="276" w:lineRule="auto"/>
      </w:pPr>
      <w:r>
        <w:t>**RSI** : Le RSI affiche une valeur extrêmement basse de **2,30**, très en dessous du seuil de survente de 30. Cette lecture signale une **survente sévère** et une possible exagération baissière à court terme, justifiant la décision **Achat** (rebond technique potentiel), bien que ce signal contredise les autres indicateurs.</w:t>
      </w:r>
    </w:p>
    <w:p>
      <w:pPr>
        <w:spacing w:after="120" w:line="276" w:lineRule="auto"/>
      </w:pPr>
      <w:r>
        <w:t>**Stochastique** : Le %K et le %D sont tous deux à **0,0**, positionnant le titre au plancher absolu de l'indicateur. Cette configuration de survente extrême, avec un croisement potentiel à venir, justifie la décision **Achat** — mais un stochastique à 0 peut aussi refléter une tendance baissière persistante sans rebond immédiat.</w:t>
      </w:r>
    </w:p>
    <w:p>
      <w:pPr>
        <w:spacing w:after="120" w:line="276" w:lineRule="auto"/>
      </w:pPr>
      <w:r>
        <w:t>**Conclusion technique** : Les indicateurs présentent une **divergence marquée** : les moyennes mobiles et le MACD confirment une tendance baissière structurelle, tandis que le RSI (2,30) et le stochastique (0,0) signalent une survente extrême propice à un rebond technique. Cette configuration contradictoire — vente de tendance contre achat de survente — plaide pour une **grande prudence** : le titre est survendu mais rien ne garantit un retournement immédiat, et la proximité de la borne basse de Bollinger (2 178 FCFA) constitue le niveau critique à surveiller.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affiche un chiffre d'affaires de **80,57 Mds FCFA**, en **recul de 7,6%** par rapport aux 87,22 Mds FCFA de 2024, et un **résultat net de -7,95 Mds FCFA** (contre un bénéfice de 2,47 Mds FCFA en 2024), soit une dégradation spectaculaire. Les ratios de rentabilité sont profondément négatifs : **ROE de -46,13%** (très loin du seuil de 15% considéré excellent) et **ROA de -5,08%**, tandis que la **marge nette s'établit à -9,87%** et la marge opérationnelle à -0,68%. Sur le plan de la structure financière, l'**autonomie financière est critique à 11,02%** (seuil sain &gt;30%), le **ratio d'endettement atteint 88,98%** et la **capacité de remboursement est de 11,21 années** de CAF (7,57 Mds FCFA) pour couvrir 84,87 Mds FCFA de dettes financières — un niveau insoutenable. Le **BFR de 6,53 Mds FCFA** et la **trésorerie nette négative de -6,51 Mds FCFA** confirment les tensions de liquidité, tandis que la **couverture des intérêts est négative (-8,03%)** : le résultat d'exploitation (-544,99 M FCFA) ne couvre pas les charges financières (6,79 Mds FCFA). Concernant les délais d'exploitation, le **délai fournisseurs de 366 jours** est très favorable à la trésorerie, mais la **durée de stockage de 360,73 jours** immobilise massivement du capital.</w:t>
      </w:r>
    </w:p>
    <w:p>
      <w:pPr>
        <w:spacing w:after="120" w:line="276" w:lineRule="auto"/>
      </w:pPr>
      <w:r>
        <w:t>**Croisement avec les rapports narratifs** : Le rapport officiel du **31/12/2025 (analysé le 01/05/2026)** confirme la perte nette de 7,95 Mds FCFA (IFRS) et l'explosion du coût de l'endettement (+262% à 6,79 Mds FCFA), avec un endettement long terme bondissant de 168% à 64,5 Mds FCFA. Le rapport du **S1 2025 (30/06/2025)** avait déjà alerté sur une perte de -6,71 Mds FCFA liée à un calendrier de récolte décalé et des coûts exceptionnels, tout en anticipant une production 2025/26 de 90 000 à 95 000 tonnes (+14% à +20%). Les rapports de synthèse 2025 (RAPPORT 1, 2 et 3) convergent vers une recommandation **« VENDRE »**, soulignant le « niveau d'endettement critique » (ratio dette/capitaux propres de 374%) et le « risque de défaillance financière ». À noter que le rapport 2024 (31/12/2024) montrait un redressement avec un bénéfice de 2,59 Mds FCFA, illustrant la **volatilité extrême** des résultats d'une année sur l'autre.</w:t>
      </w:r>
    </w:p>
    <w:p>
      <w:pPr>
        <w:spacing w:after="120" w:line="276" w:lineRule="auto"/>
      </w:pPr>
      <w:r>
        <w:t>**Recommandation fondamentale** : La situation est **préoccupante** : perte massive, endettement critique, trésorerie négative et rentabilité opérationnelle quasi nulle. Le seul point d'appui réside dans la marge brute solide (45,8%) et les investissements massifs (25,2 Mds FCFA) qui pourraient porter leurs fruits à moyen terme, mais la structure financière actuelle expose la société à un risque de défaut élevé. La recommandation fondamentale est **VENDRE** en l'absence de visibilité sur un retournement opérationnel.</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**divorce profond entre les signaux** : la valorisation (Partie 0) affiche un PER négatif (-5,6x) et un P/B de 2,58x qui traduisent une société déficitaire mais encore valorisée avec une prime, tandis que l'EV/EBITDA de 9,2x reste dans la norme. Le comportement du cours (Partie 1) est **préoccupant** : cours à 2 270 FCFA proche du plus bas (2 205 FCFA), volatilité élevée de 53,8%, skewness négatif et chute de -3,20% en J-1, malgré une variation totale positive de +2,95% qui masque une tendance baissière récente. Les signaux techniques (Partie 2) sont **contradictoires** : MM et MACD en mode Vente, mais RSI (2,30) et Stochastique (0,0) en survente extrême — une divergence qui appelle à la prudence plutôt qu'à l'action. Les fondamentaux (Partie 3) sont **nettement défavorables** : perte nette de 7,95 Mds FCFA en 2025, ROE de -46,13%, endettement critique (88,98%) et trésorerie négative, avec des rapports officiels recommandant la vente. Enfin, les **prédictions IA (J+1 à J+10)** projettent une trajectoire haussière de 2 344 à 2 745 FCFA (+21% sur 5 séances), ce qui **contredit** les signaux techniques de tendance et les fondamentaux, mais **corrobore** partiellement les indicateurs de survente (RSI/Stochastique) qui anticipent un rebond technique.</w:t>
      </w:r>
    </w:p>
    <w:p>
      <w:pPr>
        <w:spacing w:after="120" w:line="276" w:lineRule="auto"/>
      </w:pPr>
      <w:r>
        <w:t>**Recommandation finale : VENTE** — avec un **niveau de confiance Moyen** et un **risque global Élevé**. La convergence des fondamentaux dégradés (perte massive, endettement insoutenable, trésorerie négative) et des signaux techniques de tendance (MM, MACD) l'emporte sur le rebond technique espéré par le RSI et les prédictions IA, qui ne constituent que des signaux de court terme sur un titre structurellement fragile. **Horizon d'investissement suggéré : court terme (&lt;3 mois)** pour les positions existantes (profiter d'un éventuel rebond technique vers 2 400-2 700 FCFA pour alléger), en évitant toute exposition de moyen/long terme tant que la restructuration financière et le retour à la rentabilité opérationnelle ne sont pas confirmés par les prochains états financiers.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1,517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+16.16%</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5.78% (Moyenne) — μ=12,195 FCFA, σ=704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β=0.6934 (Défensif) — Cov=0.000052, Var(idx)=0.000075, ρ=0.257,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12,260</w:t>
            </w:r>
          </w:p>
        </w:tc>
        <w:tc>
          <w:tcPr>
            <w:tcW w:type="dxa" w:w="1440"/>
            <w:shd w:fill="FAFAFA" w:val="clear"/>
          </w:tcPr>
          <w:p>
            <w:r>
              <w:rPr>
                <w:b/>
                <w:sz w:val="17"/>
              </w:rPr>
              <w:t>12,948</w:t>
            </w:r>
          </w:p>
        </w:tc>
        <w:tc>
          <w:tcPr>
            <w:tcW w:type="dxa" w:w="1440"/>
            <w:shd w:fill="FAFAFA" w:val="clear"/>
          </w:tcPr>
          <w:p>
            <w:r>
              <w:rPr>
                <w:sz w:val="17"/>
              </w:rPr>
              <w:t>13,635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12,001</w:t>
            </w:r>
          </w:p>
        </w:tc>
        <w:tc>
          <w:tcPr>
            <w:tcW w:type="dxa" w:w="1440"/>
            <w:shd w:fill="FAFAFA" w:val="clear"/>
          </w:tcPr>
          <w:p>
            <w:r>
              <w:rPr>
                <w:b/>
                <w:sz w:val="17"/>
              </w:rPr>
              <w:t>12,976</w:t>
            </w:r>
          </w:p>
        </w:tc>
        <w:tc>
          <w:tcPr>
            <w:tcW w:type="dxa" w:w="1440"/>
            <w:shd w:fill="FAFAFA" w:val="clear"/>
          </w:tcPr>
          <w:p>
            <w:r>
              <w:rPr>
                <w:sz w:val="17"/>
              </w:rPr>
              <w:t>13,950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11,804</w:t>
            </w:r>
          </w:p>
        </w:tc>
        <w:tc>
          <w:tcPr>
            <w:tcW w:type="dxa" w:w="1440"/>
            <w:shd w:fill="FAFAFA" w:val="clear"/>
          </w:tcPr>
          <w:p>
            <w:r>
              <w:rPr>
                <w:b/>
                <w:sz w:val="17"/>
              </w:rPr>
              <w:t>12,999</w:t>
            </w:r>
          </w:p>
        </w:tc>
        <w:tc>
          <w:tcPr>
            <w:tcW w:type="dxa" w:w="1440"/>
            <w:shd w:fill="FAFAFA" w:val="clear"/>
          </w:tcPr>
          <w:p>
            <w:r>
              <w:rPr>
                <w:sz w:val="17"/>
              </w:rPr>
              <w:t>14,195</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11,638</w:t>
            </w:r>
          </w:p>
        </w:tc>
        <w:tc>
          <w:tcPr>
            <w:tcW w:type="dxa" w:w="1440"/>
            <w:shd w:fill="FAFAFA" w:val="clear"/>
          </w:tcPr>
          <w:p>
            <w:r>
              <w:rPr>
                <w:b/>
                <w:sz w:val="17"/>
              </w:rPr>
              <w:t>13,021</w:t>
            </w:r>
          </w:p>
        </w:tc>
        <w:tc>
          <w:tcPr>
            <w:tcW w:type="dxa" w:w="1440"/>
            <w:shd w:fill="FAFAFA" w:val="clear"/>
          </w:tcPr>
          <w:p>
            <w:r>
              <w:rPr>
                <w:sz w:val="17"/>
              </w:rPr>
              <w:t>14,404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11,490</w:t>
            </w:r>
          </w:p>
        </w:tc>
        <w:tc>
          <w:tcPr>
            <w:tcW w:type="dxa" w:w="1440"/>
            <w:shd w:fill="FAFAFA" w:val="clear"/>
          </w:tcPr>
          <w:p>
            <w:r>
              <w:rPr>
                <w:b/>
                <w:sz w:val="17"/>
              </w:rPr>
              <w:t>13,038</w:t>
            </w:r>
          </w:p>
        </w:tc>
        <w:tc>
          <w:tcPr>
            <w:tcW w:type="dxa" w:w="1440"/>
            <w:shd w:fill="FAFAFA" w:val="clear"/>
          </w:tcPr>
          <w:p>
            <w:r>
              <w:rPr>
                <w:sz w:val="17"/>
              </w:rPr>
              <w:t>14,586</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11,353</w:t>
            </w:r>
          </w:p>
        </w:tc>
        <w:tc>
          <w:tcPr>
            <w:tcW w:type="dxa" w:w="1440"/>
            <w:shd w:fill="FAFAFA" w:val="clear"/>
          </w:tcPr>
          <w:p>
            <w:r>
              <w:rPr>
                <w:b/>
                <w:sz w:val="17"/>
              </w:rPr>
              <w:t>13,051</w:t>
            </w:r>
          </w:p>
        </w:tc>
        <w:tc>
          <w:tcPr>
            <w:tcW w:type="dxa" w:w="1440"/>
            <w:shd w:fill="FAFAFA" w:val="clear"/>
          </w:tcPr>
          <w:p>
            <w:r>
              <w:rPr>
                <w:sz w:val="17"/>
              </w:rPr>
              <w:t>14,748</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11,227</w:t>
            </w:r>
          </w:p>
        </w:tc>
        <w:tc>
          <w:tcPr>
            <w:tcW w:type="dxa" w:w="1440"/>
            <w:shd w:fill="FAFAFA" w:val="clear"/>
          </w:tcPr>
          <w:p>
            <w:r>
              <w:rPr>
                <w:b/>
                <w:sz w:val="17"/>
              </w:rPr>
              <w:t>13,063</w:t>
            </w:r>
          </w:p>
        </w:tc>
        <w:tc>
          <w:tcPr>
            <w:tcW w:type="dxa" w:w="1440"/>
            <w:shd w:fill="FAFAFA" w:val="clear"/>
          </w:tcPr>
          <w:p>
            <w:r>
              <w:rPr>
                <w:sz w:val="17"/>
              </w:rPr>
              <w:t>14,898</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11,113</w:t>
            </w:r>
          </w:p>
        </w:tc>
        <w:tc>
          <w:tcPr>
            <w:tcW w:type="dxa" w:w="1440"/>
            <w:shd w:fill="FAFAFA" w:val="clear"/>
          </w:tcPr>
          <w:p>
            <w:r>
              <w:rPr>
                <w:b/>
                <w:sz w:val="17"/>
              </w:rPr>
              <w:t>13,077</w:t>
            </w:r>
          </w:p>
        </w:tc>
        <w:tc>
          <w:tcPr>
            <w:tcW w:type="dxa" w:w="1440"/>
            <w:shd w:fill="FAFAFA" w:val="clear"/>
          </w:tcPr>
          <w:p>
            <w:r>
              <w:rPr>
                <w:sz w:val="17"/>
              </w:rPr>
              <w:t>15,042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11,002</w:t>
            </w:r>
          </w:p>
        </w:tc>
        <w:tc>
          <w:tcPr>
            <w:tcW w:type="dxa" w:w="1440"/>
            <w:shd w:fill="FAFAFA" w:val="clear"/>
          </w:tcPr>
          <w:p>
            <w:r>
              <w:rPr>
                <w:b/>
                <w:sz w:val="17"/>
              </w:rPr>
              <w:t>13,086</w:t>
            </w:r>
          </w:p>
        </w:tc>
        <w:tc>
          <w:tcPr>
            <w:tcW w:type="dxa" w:w="1440"/>
            <w:shd w:fill="FAFAFA" w:val="clear"/>
          </w:tcPr>
          <w:p>
            <w:r>
              <w:rPr>
                <w:sz w:val="17"/>
              </w:rPr>
              <w:t>15,171</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10,894</w:t>
            </w:r>
          </w:p>
        </w:tc>
        <w:tc>
          <w:tcPr>
            <w:tcW w:type="dxa" w:w="1440"/>
            <w:shd w:fill="FAFAFA" w:val="clear"/>
          </w:tcPr>
          <w:p>
            <w:r>
              <w:rPr>
                <w:b/>
                <w:sz w:val="17"/>
              </w:rPr>
              <w:t>13,092</w:t>
            </w:r>
          </w:p>
        </w:tc>
        <w:tc>
          <w:tcPr>
            <w:tcW w:type="dxa" w:w="1440"/>
            <w:shd w:fill="FAFAFA" w:val="clear"/>
          </w:tcPr>
          <w:p>
            <w:r>
              <w:rPr>
                <w:sz w:val="17"/>
              </w:rPr>
              <w:t>15,291</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s'élève à 116,10 milliards FCFA, un niveau significatif à l'échelle de la BRVM qui positionne la société parmi les valeurs de taille intermédiaire à supérieure de la cote ivoirienne. Le BPA de 518 FCFA/action indique que chaque titre génère un bénéfice net de 518 FCFA, ce qui, rapporté au cours actuel de 12 900 FCFA, confère un PER de 24,9x — nettement supérieur à la moyenne BRVM (8-12x), signalant que les investisseurs paient une prime importante pour les bénéfices, soit en anticipation d'une croissance future, soit en raison d'une surévaluation relative. Le P/B de 5,89x traduit une valorisation très supérieure à la valeur comptable (plus de 4x), confirmant une prime de marché exigeante qui intègre la position stratégique de monopole dans la distribution d'eau. Enfin, l'EV/EBITDA de 14,9x, dans la fourchette haute (10-15x), compare la valeur d'entreprise totale à la capacité opérationnelle et confirme une valorisation tendue, cohérente avec un profil de valeur défensive à croissance modérée mais dont le prix intègre déjà beaucoup d'optimisme.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variation totale positive de +16,16%, bien que la dernière séance (J-1) se soit soldée par un repli de -0,65%, marquant une légère pause dans la dynamique haussière. Le titre a évolué dans un range de trading de 11 000 FCFA (plus bas) à 13 885 FCFA (plus haut), soit un spread de près de 26%, avant de se stabiliser à 12 900 FCFA, à mi-chemin entre ces extrêmes. La tendance générale est donc clairement haussière sur la période, avec une consolidation récente autour de la zone des 12 900 FCFA. Les statistiques descriptives révèlent une moyenne de 12 195 FCFA légèrement supérieure à la médiane de 12 000 FCFA, avec un mode à 11 900 FCFA : l'écart modéré entre moyenne et médiane (195 FCFA) suggère une distribution quasi-symétrique, confirmée par un skewness de 0,411 (asymétrie légèrement positive, étalement vers la droite). L'écart-type de 708 FCFA avec un coefficient de variation de 5,8% indique une dispersion relativement contenue du cours autour de sa moyenne, tandis que le kurtosis de -0,493 (mésokurtique) signale une distribution proche de la normale, sans risque excessif de pics extrêmes. La volatilité annualisée de 37,3% classe toutefois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Les MM20 (12 635,0 FCFA) et MM50 (12 635,2 FCFA) sont quasi-confondues, traduisant une absence de tendance directionnelle nette sur les horizons court et moyen termes. Le cours actuel (12 900 FCFA) évolue légèrement au-dessus de ces deux moyennes, mais la décision technique fournie est « Vente », probablement en raison du repli récent et du risque de croisement baissier si le cours venait à repasser sous les 12 635 FCFA.</w:t>
      </w:r>
    </w:p>
    <w:p>
      <w:pPr>
        <w:spacing w:after="120" w:line="276" w:lineRule="auto"/>
      </w:pPr>
      <w:r>
        <w:t>**Bandes de Bollinger** : Le cours (12 900 FCFA) se situe dans la partie haute de la bande, entre la borne inférieure (11 595,5 FCFA) et la borne supérieure (13 674,5 FCFA), sans en approcher les extrêmes. Cette position centrale-haute traduit une volatilité modérée et une absence de signal de surachat ou de survente, justifiant la décision « Neutre » — le titre évolue dans un couloir de consolidation sans pression directionnelle marquée.</w:t>
      </w:r>
    </w:p>
    <w:p>
      <w:pPr>
        <w:spacing w:after="120" w:line="276" w:lineRule="auto"/>
      </w:pPr>
      <w:r>
        <w:t>**MACD** : La valeur du MACD (63,848) est légèrement supérieure à son signal (63,15), générant un croisement haussier ténu qui soutient la décision « Achat ». Le momentum reste donc positif mais faible, la faible amplitude de la divergence suggérant une dynamique haussière fragile, à confirmer par une expansion de l'histogramme.</w:t>
      </w:r>
    </w:p>
    <w:p>
      <w:pPr>
        <w:spacing w:after="120" w:line="276" w:lineRule="auto"/>
      </w:pPr>
      <w:r>
        <w:t>**RSI** : À 68,587, le RSI se situe dans la zone neutre haute (30-70), proche du seuil de surachat (70) sans l'avoir franchi. La décision « Neutre » est cohérente : le titre conserve un potentiel haussier résiduel mais approche d'une zone où la pression acheteuse pourrait s'essouffler, appelant à la vigilance sur un éventuel retournement.</w:t>
      </w:r>
    </w:p>
    <w:p>
      <w:pPr>
        <w:spacing w:after="120" w:line="276" w:lineRule="auto"/>
      </w:pPr>
      <w:r>
        <w:t>**Stochastique** : Le %K (61,644) est légèrement inférieur au %D (64,428), configuration baissière mineure signalant un essoufflement du momentum haussier à court terme. La décision « Neutre » reflète cette absence de signal clair, le croisement n'étant ni franchement haussier ni franchement baissier.</w:t>
      </w:r>
    </w:p>
    <w:p>
      <w:pPr>
        <w:spacing w:after="120" w:line="276" w:lineRule="auto"/>
      </w:pPr>
      <w:r>
        <w:t>**Conclusion technique** : Les indicateurs présentent une configuration globalement mitigée, avec une légère prédominance haussière (MACD acheteur, cours au-dessus des MM) contrebalancée par des signaux de neutralité (Bollinger, RSI, Stochastique) et une décision « Vente » sur les moyennes mobiles. Le titre se trouve dans une phase de consolidation autour de 12 900 FCFA, sans momentum directionnel fort ; la convergence partielle des signaux plaide pour une posture d'attente, avec un risque de correction limitée vers 12 635 FCFA (support des MM) en cas de rechute.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SDCC affiche un chiffre d'affaires de 189,430 milliards FCFA, en croissance de 9,98% par rapport à l'exercice précédent, porté par la dynamique des ventes d'eau et la croissance du portefeuille clients (+6,14% à 2,27 millions de clients). Le résultat net s'établit à 4,663 milliards FCFA, en forte progression de +31%, avec une marge nette de 2,46% et un résultat d'exploitation de 9,105 milliards FCFA (+34%). Le ROE atteint 23,65%, un niveau excellent (&gt;15%) qui témoigne d'une rentabilité des fonds propres très solide, tandis que le ROA reste faible à 0,99%, reflétant l'intensité capitalistique du secteur (total actif de 472,672 milliards FCFA). La structure financière présente toutefois des signaux d'alerte : l'autonomie financière n'est que de 4,17% (capitaux propres de 19,716 milliards FCFA face à un total bilan de 472,672 milliards), et le ratio d'endettement de 95,83% traduit une forte dépendance aux dettes (452,956 milliards FCFA), avec une trésorerie nette négative de -61,710 milliards FCFA. Le BFR de 104,748 milliards FCFA et surtout le délai clients de 749 jours (plus de deux ans !) constituent un risque majeur de trésorerie, même si le taux de recouvrement de 95,85% et le ratio de facturation de 85,51% limitent la casse. La capacité de remboursement de 8,18 années reste acceptable, et la couverture des intérêts (1 583%) est excellente grâce à des charges financières très faibles (575 millions FCFA).</w:t>
      </w:r>
    </w:p>
    <w:p>
      <w:pPr>
        <w:spacing w:after="120" w:line="276" w:lineRule="auto"/>
      </w:pPr>
      <w:r>
        <w:t>**Estimations à partir des rapports trimestriels** : Le rapport du T1 2026 (publié en 2026) confirme une accélération de la rentabilité : malgré un CA en léger repli de -2% à 40 916 millions FCFA, le résultat d'exploitation bondit de +150% à 2 730 millions FCFA et le résultat net de +118% à 1 318 millions FCFA, avec une marge nette de 3,2% (contre 2,46% en 2025). Sur cette base, on peut estimer que l'exercice 2026 devrait poursuivre l'amélioration de la rentabilité opérationnelle, avec un résultat net annualisé potentiellement supérieur à 5 milliards FCFA si la dynamique se maintient — un scénario crédibilisé par la confiance du management et le déploiement du nouveau contrat de délégation. Le dividende de 525 FCFA/action annoncé pour 2025 (rendement de 4,07% au cours actuel) offre un rendement attractif, bien que le taux de distribution reste élevé.</w:t>
      </w:r>
    </w:p>
    <w:p>
      <w:pPr>
        <w:spacing w:after="120" w:line="276" w:lineRule="auto"/>
      </w:pPr>
      <w:r>
        <w:t>**Recommandation fondamentale** : La solidité opérationnelle (ROE 23,65%, croissance du CA et du RN) et la position de monopole dans un secteur défensif (eau) constituent des atouts majeurs, mais la structure financière fragile (autonomie 4,17%, trésorerie nette négative, délai clients extrême) et la valorisation exigeante appellent à la prudence. La recommandation fondamentale est **CONSERVER**, avec un profil risque-rendement équilibré mais une vigilance sur les tensions de trésorerie.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conduit à une recommandation nuancée. **Sur le plan de la valorisation (Partie 0)**, les ratios PER (24,9x), P/B (5,89x) et EV/EBITDA (14,9x) indiquent tous une **surévaluation relative** par rapport aux standards de la BRVM, le marché intégrant déjà une prime de qualité et de croissance qui limite le potentiel d'appréciation. **Le comportement du cours (Partie 1)** est favorable (+16,16% sur 100 jours, tendance haussière), mais la volatilité élevée (37,3%) et la distribution quasi-normale (kurtosis -0,493, skewness 0,411) suggèrent un risque de correction modéré sans excès de pics. **Les signaux techniques (Partie 2)** sont mitigés : le MACD acheteur et le cours au-dessus des MM soutiennent la hausse, mais la décision « Vente » sur les moyennes mobiles, le RSI proche de 70 et le Stochastique baissier signalent un essoufflement du momentum, plaidant pour une consolidation. **Les fondamentaux (Partie 3)** sont solides sur le plan opérationnel (ROE 23,65%, RN +31% en 2025, T1 2026 en forte amélioration avec RN +118%), mais fragilisés par une structure financière tendue (autonomie 4,17%, trésorerie nette -61,7 Mds FCFA, délai clients de 749 jours). **Les prédictions IA (J+1 à J+10)** anticipent une trajectoire haussière modérée et régulière (12 948 → 13 038 FCFA, soit +1,07% sur 5 séances), cohérente avec le momentum positif mais sans emballement, ce qui **confirme partiellement** les signaux techniques haussiers tout en suggérant une progression contenue.</w:t>
      </w:r>
    </w:p>
    <w:p>
      <w:pPr>
        <w:spacing w:after="120" w:line="276" w:lineRule="auto"/>
      </w:pPr>
      <w:r>
        <w:t>**Recommandation finale : CONSERVER** — avec un niveau de confiance **Moyen** et un niveau de risque global **Moyen à Élevé**. La convergence est partielle : la valorisation exigeante et les signaux techniques mitigés tempèrent l'enthousiasme des fondamentaux opérationnels solides et des prédictions haussières, tandis que les tensions de trésorerie constituent un facteur de risque à surveiller. L'horizon d'investissement optimal est le **moyen terme (3-12 mois)**, le temps que la dynamique du T1 2026 se confirme sur l'exercice complet et que la société démontre sa capacité à assainir sa structure financière ; les investisseurs déjà positionnés peuvent conserver le titre pour son dividende attractif (4,07%) et sa qualité défensive, tandis que les nouveaux entrants attendront un repli vers la zone de support des 12 635 FCFA (MM20/MM50) pour améliorer leur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17,316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+69.82%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1,690 FCFA</w:t>
            </w:r>
          </w:p>
          <w:p>
            <w:r>
              <w:rPr>
                <w:b/>
                <w:color w:val="503200"/>
                <w:sz w:val="16"/>
              </w:rPr>
              <w:t xml:space="preserve">Volatilité ann. : </w:t>
            </w:r>
            <w:r>
              <w:rPr>
                <w:color w:val="000000"/>
                <w:sz w:val="17"/>
              </w:rPr>
              <w:t>53.0%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13.95% (Moyenne) — μ=2,619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β=0.5180 (Défensif) — Cov=0.000039, Var(idx)=0.000075, ρ=0.136,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17,316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2,720</w:t>
            </w:r>
          </w:p>
        </w:tc>
        <w:tc>
          <w:tcPr>
            <w:tcW w:type="dxa" w:w="1440"/>
            <w:shd w:fill="FAFAFA" w:val="clear"/>
          </w:tcPr>
          <w:p>
            <w:r>
              <w:rPr>
                <w:b/>
                <w:sz w:val="17"/>
              </w:rPr>
              <w:t>2,862</w:t>
            </w:r>
          </w:p>
        </w:tc>
        <w:tc>
          <w:tcPr>
            <w:tcW w:type="dxa" w:w="1440"/>
            <w:shd w:fill="FAFAFA" w:val="clear"/>
          </w:tcPr>
          <w:p>
            <w:r>
              <w:rPr>
                <w:sz w:val="17"/>
              </w:rPr>
              <w:t>3,005</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2,674</w:t>
            </w:r>
          </w:p>
        </w:tc>
        <w:tc>
          <w:tcPr>
            <w:tcW w:type="dxa" w:w="1440"/>
            <w:shd w:fill="FAFAFA" w:val="clear"/>
          </w:tcPr>
          <w:p>
            <w:r>
              <w:rPr>
                <w:b/>
                <w:sz w:val="17"/>
              </w:rPr>
              <w:t>2,877</w:t>
            </w:r>
          </w:p>
        </w:tc>
        <w:tc>
          <w:tcPr>
            <w:tcW w:type="dxa" w:w="1440"/>
            <w:shd w:fill="FAFAFA" w:val="clear"/>
          </w:tcPr>
          <w:p>
            <w:r>
              <w:rPr>
                <w:sz w:val="17"/>
              </w:rPr>
              <w:t>3,080</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2,640</w:t>
            </w:r>
          </w:p>
        </w:tc>
        <w:tc>
          <w:tcPr>
            <w:tcW w:type="dxa" w:w="1440"/>
            <w:shd w:fill="FAFAFA" w:val="clear"/>
          </w:tcPr>
          <w:p>
            <w:r>
              <w:rPr>
                <w:b/>
                <w:sz w:val="17"/>
              </w:rPr>
              <w:t>2,889</w:t>
            </w:r>
          </w:p>
        </w:tc>
        <w:tc>
          <w:tcPr>
            <w:tcW w:type="dxa" w:w="1440"/>
            <w:shd w:fill="FAFAFA" w:val="clear"/>
          </w:tcPr>
          <w:p>
            <w:r>
              <w:rPr>
                <w:sz w:val="17"/>
              </w:rPr>
              <w:t>3,139</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2,606</w:t>
            </w:r>
          </w:p>
        </w:tc>
        <w:tc>
          <w:tcPr>
            <w:tcW w:type="dxa" w:w="1440"/>
            <w:shd w:fill="FAFAFA" w:val="clear"/>
          </w:tcPr>
          <w:p>
            <w:r>
              <w:rPr>
                <w:b/>
                <w:sz w:val="17"/>
              </w:rPr>
              <w:t>2,895</w:t>
            </w:r>
          </w:p>
        </w:tc>
        <w:tc>
          <w:tcPr>
            <w:tcW w:type="dxa" w:w="1440"/>
            <w:shd w:fill="FAFAFA" w:val="clear"/>
          </w:tcPr>
          <w:p>
            <w:r>
              <w:rPr>
                <w:sz w:val="17"/>
              </w:rPr>
              <w:t>3,184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2,573</w:t>
            </w:r>
          </w:p>
        </w:tc>
        <w:tc>
          <w:tcPr>
            <w:tcW w:type="dxa" w:w="1440"/>
            <w:shd w:fill="FAFAFA" w:val="clear"/>
          </w:tcPr>
          <w:p>
            <w:r>
              <w:rPr>
                <w:b/>
                <w:sz w:val="17"/>
              </w:rPr>
              <w:t>2,896</w:t>
            </w:r>
          </w:p>
        </w:tc>
        <w:tc>
          <w:tcPr>
            <w:tcW w:type="dxa" w:w="1440"/>
            <w:shd w:fill="FAFAFA" w:val="clear"/>
          </w:tcPr>
          <w:p>
            <w:r>
              <w:rPr>
                <w:sz w:val="17"/>
              </w:rPr>
              <w:t>3,219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2,542</w:t>
            </w:r>
          </w:p>
        </w:tc>
        <w:tc>
          <w:tcPr>
            <w:tcW w:type="dxa" w:w="1440"/>
            <w:shd w:fill="FAFAFA" w:val="clear"/>
          </w:tcPr>
          <w:p>
            <w:r>
              <w:rPr>
                <w:b/>
                <w:sz w:val="17"/>
              </w:rPr>
              <w:t>2,896</w:t>
            </w:r>
          </w:p>
        </w:tc>
        <w:tc>
          <w:tcPr>
            <w:tcW w:type="dxa" w:w="1440"/>
            <w:shd w:fill="FAFAFA" w:val="clear"/>
          </w:tcPr>
          <w:p>
            <w:r>
              <w:rPr>
                <w:sz w:val="17"/>
              </w:rPr>
              <w:t>3,250</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2,513</w:t>
            </w:r>
          </w:p>
        </w:tc>
        <w:tc>
          <w:tcPr>
            <w:tcW w:type="dxa" w:w="1440"/>
            <w:shd w:fill="FAFAFA" w:val="clear"/>
          </w:tcPr>
          <w:p>
            <w:r>
              <w:rPr>
                <w:b/>
                <w:sz w:val="17"/>
              </w:rPr>
              <w:t>2,894</w:t>
            </w:r>
          </w:p>
        </w:tc>
        <w:tc>
          <w:tcPr>
            <w:tcW w:type="dxa" w:w="1440"/>
            <w:shd w:fill="FAFAFA" w:val="clear"/>
          </w:tcPr>
          <w:p>
            <w:r>
              <w:rPr>
                <w:sz w:val="17"/>
              </w:rPr>
              <w:t>3,276</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2,485</w:t>
            </w:r>
          </w:p>
        </w:tc>
        <w:tc>
          <w:tcPr>
            <w:tcW w:type="dxa" w:w="1440"/>
            <w:shd w:fill="FAFAFA" w:val="clear"/>
          </w:tcPr>
          <w:p>
            <w:r>
              <w:rPr>
                <w:b/>
                <w:sz w:val="17"/>
              </w:rPr>
              <w:t>2,893</w:t>
            </w:r>
          </w:p>
        </w:tc>
        <w:tc>
          <w:tcPr>
            <w:tcW w:type="dxa" w:w="1440"/>
            <w:shd w:fill="FAFAFA" w:val="clear"/>
          </w:tcPr>
          <w:p>
            <w:r>
              <w:rPr>
                <w:sz w:val="17"/>
              </w:rPr>
              <w:t>3,301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2,458</w:t>
            </w:r>
          </w:p>
        </w:tc>
        <w:tc>
          <w:tcPr>
            <w:tcW w:type="dxa" w:w="1440"/>
            <w:shd w:fill="FAFAFA" w:val="clear"/>
          </w:tcPr>
          <w:p>
            <w:r>
              <w:rPr>
                <w:b/>
                <w:sz w:val="17"/>
              </w:rPr>
              <w:t>2,891</w:t>
            </w:r>
          </w:p>
        </w:tc>
        <w:tc>
          <w:tcPr>
            <w:tcW w:type="dxa" w:w="1440"/>
            <w:shd w:fill="FAFAFA" w:val="clear"/>
          </w:tcPr>
          <w:p>
            <w:r>
              <w:rPr>
                <w:sz w:val="17"/>
              </w:rPr>
              <w:t>3,323</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2,433</w:t>
            </w:r>
          </w:p>
        </w:tc>
        <w:tc>
          <w:tcPr>
            <w:tcW w:type="dxa" w:w="1440"/>
            <w:shd w:fill="FAFAFA" w:val="clear"/>
          </w:tcPr>
          <w:p>
            <w:r>
              <w:rPr>
                <w:b/>
                <w:sz w:val="17"/>
              </w:rPr>
              <w:t>2,889</w:t>
            </w:r>
          </w:p>
        </w:tc>
        <w:tc>
          <w:tcPr>
            <w:tcW w:type="dxa" w:w="1440"/>
            <w:shd w:fill="FAFAFA" w:val="clear"/>
          </w:tcPr>
          <w:p>
            <w:r>
              <w:rPr>
                <w:sz w:val="17"/>
              </w:rPr>
              <w:t>3,344</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SDSC (AGL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**156,23 milliards FCFA**, un niveau substantiel qui positionne le titre parmi les valeurs significatives de la cote BRVM, portée par un cours de 2 870 FCFA. Le BPA de **14 FCFA/action** traduit une rentabilité par titre extrêmement faible, conséquence directe de l'effondrement du résultat net 2025 à 784,97 millions FCFA. Le PER ressort à **199,0x**, un niveau stratosphérique comparé à la moyenne BRVM (8-12x) : les investisseurs paient environ 199 fois les bénéfices actuels, ce qui traduit soit une anticipation de forte reprise bénéficiaire, soit une décorrélation inquiétante entre le prix et la réalité économique. Le P/B de **2,12x** indique que le marché valorise le titre à plus du double de sa valeur comptable (capitaux propres de 73,55 Mds FCFA), accordant une prime de croissance qui reste à justifier. Enfin, l'EV/EBITDA de **21,5x** (très au-delà du seuil de 15x) confirme que la valeur d'entreprise intègre une capacité opérationnelle encore insuffisante pour soutenir la valorisation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SDSC affiche une **progression spectaculaire de +69,82%**, mais la dernière séance (J-1) marque un **recul de -6,36%**, signalant une prise de bénéfices ou un essoufflement de la dynamique haussière. Le range de trading est très large, entre un plus bas de **1 690 FCFA** et un plus haut de **3 205 FCFA**, soit une amplitude de près de 90% qui témoigne d'une forte agitation spéculative. La tendance générale reste nettement haussière sur la période, mais le cours actuel (2 870 FCFA) se situe désormais sous le plus haut, suggérant une possible phase de consolidation. Les statistiques descriptives révèlent une moyenne de **2 619 FCFA** légèrement inférieure à la médiane de **2 700 FCFA** et au mode de **2 800 FCFA**, avec un skewness négatif (-0,614) indiquant davantage de journées au-dessus de la moyenne — configuration typique d'une distribution tirée vers le bas par quelques séances de correction. L'écart-type de **367 FCFA** (CV=14,0%) traduit une dispersion modérée autour de la moyenne, tandis que le kurtosis de **-0,438** (mésokurtique) suggère une distribution proche de la normale, sans pics extrêmes marqués. La **volatilité annualisée de 53,0%** classe le titre dans la catégorie des valeurs à volatilité élevée (&gt;30%), ce qui implique un risque de marché important et justifie une approche prudente en termes de sizing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(2 953,25 FCFA) et la MM50 (2 883,0 FCFA) se situent toutes deux au-dessus du cours actuel (2 870 FCFA), ce qui place le titre en position légèrement défavorable par rapport à ses références de court et moyen terme. La MM20 est supérieure à la MM50, configuration théoriquement haussière, mais le cours évolue sous les deux moyennes, ce qui nuance le signal. La décision fournie est « Achat », probablement basée sur la structure des moyennes (MM20 &gt; MM50) et la tendance de fond, mais la position du cours sous les MM invite à la prudence.</w:t>
      </w:r>
    </w:p>
    <w:p>
      <w:pPr>
        <w:spacing w:after="120" w:line="276" w:lineRule="auto"/>
      </w:pPr>
      <w:r>
        <w:t>**Bandes de Bollinger** : Le cours (2 870 FCFA) se situe dans la moitié inférieure de la bande, entre la borne inférieure (2 749,31 FCFA) et la borne supérieure (3 157,19 FCFA), plus proche de la borne basse que de la haute. L'écart entre les bornes (environ 408 FCFA) reflète une volatilité encore présente mais en phase de compression relative. La décision « Neutre » est cohérente : le cours n'est ni en zone de survente (proche borne basse) ni en zone de surachat (proche borne haute), et la position médiane suggère une absence de signal directionnel fort.</w:t>
      </w:r>
    </w:p>
    <w:p>
      <w:pPr>
        <w:spacing w:after="120" w:line="276" w:lineRule="auto"/>
      </w:pPr>
      <w:r>
        <w:t>**MACD** : La valeur du MACD (25,697) est inférieure à son signal (34,173), configuration baissière qui indique un momentum négatif et une possible poursuite de la correction à court terme. La divergence négative entre la ligne MACD et sa ligne de signal traduit un essoufflement de la dynamique haussière récente. La décision « Vente » est cohérente avec cette configuration, bien qu'elle doive être pondérée par la tendance de fond encore positive.</w:t>
      </w:r>
    </w:p>
    <w:p>
      <w:pPr>
        <w:spacing w:after="120" w:line="276" w:lineRule="auto"/>
      </w:pPr>
      <w:r>
        <w:t>**RSI** : À 48,819, le RSI se situe en zone parfaitement neutre (entre 30 et 70), sans signal de surachat (&gt;70) ni de survente (&lt;30). Cette valeur médiane indique un équilibre entre acheteurs et vendeurs, sans pression directionnelle dominante. La décision « Neutre » est parfaitement justifiée : le titre n'est ni dans une zone d'extension dangereuse ni dans une zone de rebond potentiel.</w:t>
      </w:r>
    </w:p>
    <w:p>
      <w:pPr>
        <w:spacing w:after="120" w:line="276" w:lineRule="auto"/>
      </w:pPr>
      <w:r>
        <w:t>**Stochastique** : Le %K (4,167) est très bas, en zone de survente extrême, tandis que le %D (63,194) reste élevé, créant un écart important entre les deux lignes. Cette configuration suggère que le cours a fortement corrigé à très court terme et pourrait amorcer un rebond technique, ce qui justifie la décision « Achat ». Toutefois, la fiabilité de ce signal est relative compte tenu de la divergence avec le MACD.</w:t>
      </w:r>
    </w:p>
    <w:p>
      <w:pPr>
        <w:spacing w:after="120" w:line="276" w:lineRule="auto"/>
      </w:pPr>
      <w:r>
        <w:t>**Conclusion technique** : Les indicateurs présentent une configuration **mitigée et contradictoire**. Les moyennes mobiles et le stochastique plaident pour un achat (structure haussière de fond, survente court terme), tandis que le MACD signale une vente (momentum négatif) et que le RSI et les Bollinger restent neutres. Cette divergence suggère une phase d'indécision du marché, avec un risque de consolidation avant une reprise éventuelle. La prudence est de mise : aucun signal fort et convergent ne se dégage, et la correction de -6,36% en J-1 confirme la fragilité de la dynamique actuelle.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SDSC (AGL Côte d'Ivoire) affiche un chiffre d'affaires de **92,004 milliards FCFA**, en croissance de **+7,43%** par rapport à 2024, portée par le cœur de métier logistique et maritime. Cependant, le **résultat net s'effondre à 784,97 millions FCFA** (contre 21,07 milliards en 2024, soit -96%), et le **résultat d'exploitation devient négatif à -2,271 milliards FCFA**, pénalisé par une hausse des dotations aux amortissements (+41%) et des charges de personnel (36,2 Mds FCFA). La rentabilité est catastrophique : **ROE de 1,07%** (très loin du seuil de 15% d'excellence), **ROA de 0,30%**, et **marge nette de 0,85%**. Le sauvetage du résultat net provient exclusivement du **résultat financier de 7,08 milliards FCFA** (dividendes de filiales), en chute de 66% par rapport à 2024. La structure financière reste solide : capitaux propres de **73,55 Mds FCFA**, autonomie financière de **28,35%** (légèrement sous le seuil de 30%), trésorerie nette de **74,78 Mds FCFA**, et **BFR négatif de -57,34 Mds FCFA** (favorable pour une entreprise logistique). Le **FCF de 55,47 Mds FCFA** et le flux opérationnel de 83,20 Mds FCFA témoignent d'une génération de cash robuste, mais la **couverture des intérêts de -289,33%** (résultat d'exploitation négatif) et la **capacité de remboursement de 1,36 an** (dettes financières/CAF) restent des points de vigilance.</w:t>
      </w:r>
    </w:p>
    <w:p>
      <w:pPr>
        <w:spacing w:after="120" w:line="276" w:lineRule="auto"/>
      </w:pPr>
      <w:r>
        <w:t>**Estimations basées sur les rapports trimestriels** : Les rapports T1 2025 (CA +6,2%, résultat net -193 M FCFA), S1 2025 (CA +4,2%, résultat net -427 M FCFA) et T3 2025 (CA +7,4%, résultat net 4,341 Mds FCFA en chute de 77%) confirment la dégradation de la rentabilité opérationnelle tout au long de l'année, avec un sauvetage ponctuel par les dividendes de filiales au T3. Le rapport annuel 2025 (analysé par DEEPSEEK, daté du 05/08/2026) précise un **dividende total proposé de 544,35 millions FCFA**, soit un taux de distribution de 69,3% du résultat net, mais en **baisse drastique de 89%** par rapport au dividende 2024 (5,008 Mds FCFA). Le rapport des commissaires aux comptes (Deloitte/ECR, daté du 26/08/2026) certifie les comptes **sans réserve** mais signale des **manquements réglementaires** (retards de clôture et de communication, non-respect des articles 23 et 525 de l'AU OHADA), un signal de faiblesse de gouvernance.</w:t>
      </w:r>
    </w:p>
    <w:p>
      <w:pPr>
        <w:spacing w:after="120" w:line="276" w:lineRule="auto"/>
      </w:pPr>
      <w:r>
        <w:t>**Recommandation fondamentale** : La solidité du bilan (trésorerie abondante, BFR négatif, capitaux propres élevés) contraste avec la **dégradation sévère de la rentabilité opérationnelle** et la **dépendance aux dividendes de filiales** pour maintenir un résultat net positif. La croissance du CA (+7,4%) démontre une demande soutenue, mais la conversion en profit est défaillante. Le titre présente un profil **spéculatif** : la valeur est portée par des anticipations de reprise (retour des dividendes de filiales, amélioration des marges) plutôt que par des fondamentaux actuels solides. La prudence est impérative, avec une surveillance accrue des prochains rapports trimestriels (T1 2026) pour confirmer ou infirmer la tendance.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inquiétant entre la valorisation et les fondamentaux**. La valorisation (Partie 0) est extrêmement tendue : PER de 199x, EV/EBITDA de 21,5x et P/B de 2,12x intègrent une reprise bénéficiaire qui tarde à se matérialiser, créant un risque de correction si les résultats ne suivent pas. Le comportement du cours (Partie 1) est paradoxal : hausse de +69,82% sur 100 jours mais correction de -6,36% en J-1, avec une volatilité élevée (53%) et un skewness négatif qui suggère une distribution tirée vers le bas — signe de fragilité. Les signaux techniques (Partie 2) sont **divergents** : MM et stochastique plaident pour l'achat, MACD pour la vente, RSI et Bollinger neutres, créant une indécision qui appelle à la prudence. Les fondamentaux (Partie 3) sont **mitigés** : solidité du bilan (trésorerie, BFR négatif) mais effondrement de la rentabilité (ROE 1,07%, résultat d'exploitation négatif) et dépendance aux dividendes de filiales. Les **prédictions IA** (J+1 à J+10) anticipent une légère reprise de 2 862 à 2 896 FCFA (+1,2% sur 10 jours), ce qui contredit le signal MACD baissier mais s'aligne sur le stochastique en survente — une trajectoire de stabilisation plutôt que de franche reprise.</w:t>
      </w:r>
    </w:p>
    <w:p>
      <w:pPr>
        <w:spacing w:after="120" w:line="276" w:lineRule="auto"/>
      </w:pPr>
      <w:r>
        <w:t>**Recommandation finale : CONSERVER** (avec vigilance accrue)</w:t>
      </w:r>
    </w:p>
    <w:p>
      <w:pPr>
        <w:spacing w:after="120" w:line="276" w:lineRule="auto"/>
      </w:pPr>
      <w:r>
        <w:t>**Justification** : La convergence n'est pas suffisante pour un achat (valorisation excessive, technique divergente, rentabilité dégradée) ni pour une vente (solidité du bilan, croissance du CA, prédictions IA légèrement positives, dividende maintenu bien que réduit). Le titre est dans une **zone d'indécision** où les risques (valorisation, gouvernance, rentabilité) et les opportunités (trésorerie, croissance, reprise potentielle) s'équilibrent. **Niveau de confiance : Moyen** (les signaux contradictoires limitent la visibilité). **Niveau de risque global : Élevé** (volatilité 53%, PER 199x, manquements réglementaires). **Horizon d'investissement optimal : Moyen terme (3-12 mois)**, en surveillant les prochains rapports trimestriels (T1 2026) et l'évolution du résultat d'exploitation comme signal décisif pour réévaluer la position. Un retour durable de la marge opérationnelle positive et une normalisation du PER justifieraient un passage à l'achat ; à l'inverse, une nouvelle dégradation des résultats ou un non-paiement du dividende imposerait une sortie.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β=1.1184 (Neutre (suit le marché)) — Cov=0.000044, Var(idx)=0.000039, ρ=0.243, n=80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mars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situe parmi les valeurs industrielles de second rang, loin des poids lourds bancaires et télécoms de la cote. Les ratios de valorisation (BPA, PER, P/B, EV/EBITDA) ne sont pas calculables en l'état, faute de données financières structurées exploitables dans la base : les états financiers disponibles sont anciens et les rapports narratifs présentent des incohérences majeures (voir Partie 3). Cette absence de ratios fiables constitue en soi un signal de prudence : l'investisseur ne peut pas juger objectivement si le titre se paie cher ou bon marché par rapport aux bénéfices (référence PER BRVM ~8-12x) ni par rapport à sa valeur comptable. En l'absence de PER et de P/B actualisés, la valorisation doit être appréhendée indirectement, via le rendement historique du dividende et la décote apparente du cours par rapport aux niveaux de 2022-2023.</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encore négative à **-1,64%**, confirmant une tendance clairement baissière. Le cours actuel (1 495 FCFA) évolue dans un range de 1 350 à 1 800 FCFA, soit un spread de 33% qui traduit une réelle nervosité. La moyenne (1 527 FCFA) est légèrement supérieure à la médiane (1 520 FCFA) et au mode (1 500 FCFA) : l'écart faible mais positif entre moyenne et médiane, combiné à un skewness de **+0,558**, indique une asymétrie positive — autrement dit, davantage de séances se sont déroulées sous la moyenne, avec quelques pics haussiers tirant la moyenne vers le haut. L'écart-type de 69 FCFA (CV de 4,5%) révèle une dispersion quotidienne contenue, mais le kurtosis de **1,652** signale des queues épaisses : le risque de mouvements brusques et de pics de volatilité est réel. La volatilité annualisée de **47,2%** classe le titre dans la catégorie **élevée** (&gt;30%), ce qui est cohérent avec une valeur industrielle peu liquide (volume moyen de seulement 6 046 titres/jour) et un flottant restreint.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empêche de statuer sur la position relative du cours par rapport à ses tendances de court et moyen terme. En l'absence de ces repères, aucune décision directionnelle fiable ne peut être tirée de cet indicateur.</w:t>
      </w:r>
    </w:p>
    <w:p>
      <w:pPr>
        <w:spacing w:after="120" w:line="276" w:lineRule="auto"/>
      </w:pPr>
      <w:r>
        <w:t>**Bandes de Bollinger** : Les bornes supérieure et inférieure sont indisponibles, rendant impossible l'évaluation de la position du cours dans le canal de volatilité. Cet indicateur ne fournit donc aucun signal exploitable en l'état.</w:t>
      </w:r>
    </w:p>
    <w:p>
      <w:pPr>
        <w:spacing w:after="120" w:line="276" w:lineRule="auto"/>
      </w:pPr>
      <w:r>
        <w:t>**MACD** : La valeur du MACD et de sa ligne de signal étant non disponibles, l'analyse du momentum et des divergences est impossible. Aucune décision ne peut être justifiée sur cette base.</w:t>
      </w:r>
    </w:p>
    <w:p>
      <w:pPr>
        <w:spacing w:after="120" w:line="276" w:lineRule="auto"/>
      </w:pPr>
      <w:r>
        <w:t>**RSI** : Le RSI n'est pas calculable, ce qui prive l'analyste du principal indicateur de surachat/survente (seuils 70/30). Sans cette lecture, la zone de neutralité (30-70) ne peut être confirmée ni infirmée.</w:t>
      </w:r>
    </w:p>
    <w:p>
      <w:pPr>
        <w:spacing w:after="120" w:line="276" w:lineRule="auto"/>
      </w:pPr>
      <w:r>
        <w:t>**Stochastique** : Les %K et %D étant indisponibles, aucun croisement ni signal de retournement ne peut être identifié.</w:t>
      </w:r>
    </w:p>
    <w:p>
      <w:pPr>
        <w:spacing w:after="120" w:line="276" w:lineRule="auto"/>
      </w:pPr>
      <w:r>
        <w:t>**Conclusion technique** : L'ensemble des indicateurs techniques étant non calculables (données manquantes), la lecture technique se réduit à l'analyse statistique du cours : tendance baissière marquée (-16,94% sur 100 jours, -1,64% en J-1), volatilité élevée (47,2%) et risque de pics (kurtosis 1,652). Le signal technique global est donc **négatif par défaut**, porté uniquement par la dynamique de prix, sans confirmation ni contradiction par les oscillateurs.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disponibles pour SEMC présentent une **incohérence critique** qu'il faut signaler d'emblée : deux rapports datés du 31/12/2023 (exercice 2023) affichent des chiffres radicalement différents. Le premier évoque un CA consolidé de **125,4 Mds FCFA** en 2023 (contre 110,2 Mds en 2022, +13,8%), un résultat net de **12,8 Mds FCFA** (+22,3%), une marge nette de 10,2%, un ROE de 18,5% et un DPA de 250 FCFA (rendement 5,2%) — mais ces montants semblent relever d'une confusion avec un autre périmètre (probablement le groupe Eviosys et non la société cotée SEMC). Le second rapport, plus crédible pour la société cotée, indique un **CA 2023 de 27,88 Mds FCFA** (contre 29,60 Mds en 2022, **-6%**), un **résultat net de 1,01 Md FCFA** (contre 3,86 Mds en 2022, **-74%**), une marge nette effondrée à **3,6%** (vs 13,0%) et un **dividende de 0 FCFA** pour 2023 comme pour 2022. Ce second rapport mentionne également la **suspension de la cote BRVM depuis janvier 2024** (flottant insuffisant : 10,42% vs 15% requis) et le **rachat par Sonoco Products Company** finalisé en décembre 2024. Le rapport T1 2023 (daté 31/12/2023) faisait état d'un CA de 7,65 Mds FCFA (+16,5%) et d'un résultat net de 855,65 MCFA (+37,9%, marge 11,2%) — une embellie trimestrielle qui n'a manifestement pas tenu sur l'année. L'exercice 2022 (rapport daté 31/12/2022) affichait un CA de 125,4 Mds FCFA et un résultat net de 12,8 Mds FCFA selon une version, ou un résultat net de 3,86 Mds FCFA selon l'autre — la encore, incohérence. **Conclusion fondamentale** : la société traverse une phase de transition profonde (changement d'actionnariat Sonoco, suspension de cote, effondrement de la rentabilité en 2023, absence de dividende), avec une visibilité très faible et des états financiers dont la fiabilité interroge. La solidité financière ne peut être affirmée ; les risques (opérationnels, de gouvernance, de liquidité du titre) sont **élevés**.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dresse un tableau **préoccupant et sans signal positif convergent**. Sur la **valorisation** (Partie 0), l'absence de ratios PER/P/B/EV-EBITDA exploitables empêche toute conclusion de sous-évaluation ou de surévaluation : la capitalisation de 37,66 Mds FCFA n'est adossée à aucun bénéfice fiable, ce qui est en soi un facteur de risque. Le **comportement du cours** (Partie 1) est clairement baissier (-16,94% sur 100 jours, -1,64% en J-1), avec une volatilité élevée (47,2%) et un kurtosis (1,652) annonciateur de pics — profil défavorable. Les **signaux techniques** (Partie 2) sont tous indisponibles, ce qui prive l'investisseur de tout point d'entrée ou de sortie objectivé et laisse la dynamique de prix comme seul guide, orientée à la baisse. Les **fondamentaux** (Partie 3) sont les plus alarmants : effondrement du résultat net 2023 (-74%), marge nette à 3,6%, dividende nul, suspension de la cote BRVM depuis janvier 2024 et incertitude liée au rachat par Sonoco. Les **prédictions IA** (J+1 à J+10) ne sont pas disponibles, ce qui ne permet ni confirmation ni contradiction des autres signaux — l'absence de prédiction renforce l'incertitude. **Recommandation finale : VENTE** (ou abstention pour les non-détenus), avec un **niveau de confiance moyen** (les données fondamentales contradictoires limitent la certitude) et un **niveau de risque global élevé**. L'horizon recommandé est le **court terme** : la priorité est de préserver le capital face à un titre suspendu, peu liquide, sans dividende et dont la rentabilité s'est effondrée, en attendant la clarification de la situation actionnariale (Sonoco) et la reprise éventuelle de la cote.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1213.49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5,162 titres</w:t>
            </w:r>
          </w:p>
        </w:tc>
        <w:tc>
          <w:tcPr>
            <w:tcW w:type="dxa" w:w="2268"/>
            <w:shd w:fill="FFF2CC" w:val="clear"/>
          </w:tcPr>
          <w:p>
            <w:r>
              <w:rPr>
                <w:b/>
                <w:color w:val="503200"/>
                <w:sz w:val="16"/>
              </w:rPr>
              <w:t xml:space="preserve">Cours actuel : </w:t>
            </w:r>
            <w:r>
              <w:rPr>
                <w:color w:val="000000"/>
                <w:sz w:val="17"/>
              </w:rPr>
              <w:t>39,005 FCFA</w:t>
            </w:r>
          </w:p>
          <w:p>
            <w:r>
              <w:rPr>
                <w:b/>
                <w:color w:val="503200"/>
                <w:sz w:val="16"/>
              </w:rPr>
              <w:t xml:space="preserve">Var. 100 jours : </w:t>
            </w:r>
            <w:r>
              <w:rPr>
                <w:b/>
                <w:color w:val="007800"/>
                <w:sz w:val="17"/>
              </w:rPr>
              <w:t>+6.57%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36,600 FCFA</w:t>
            </w:r>
          </w:p>
          <w:p>
            <w:r>
              <w:rPr>
                <w:b/>
                <w:color w:val="503200"/>
                <w:sz w:val="16"/>
              </w:rPr>
              <w:t xml:space="preserve">Volatilité ann. : </w:t>
            </w:r>
            <w:r>
              <w:rPr>
                <w:color w:val="000000"/>
                <w:sz w:val="17"/>
              </w:rPr>
              <w:t>20.9%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1.66% (Faible) — μ=38,497 FCFA, σ=639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β=0.4713 (Défensif) — Cov=0.000035, Var(idx)=0.000075, ρ=0.305,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σ_j=1.32%/j (Stable) — Vol. annualisée≈20.9%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37,939</w:t>
            </w:r>
          </w:p>
        </w:tc>
        <w:tc>
          <w:tcPr>
            <w:tcW w:type="dxa" w:w="1440"/>
            <w:shd w:fill="FAFAFA" w:val="clear"/>
          </w:tcPr>
          <w:p>
            <w:r>
              <w:rPr>
                <w:b/>
                <w:sz w:val="17"/>
              </w:rPr>
              <w:t>38,764</w:t>
            </w:r>
          </w:p>
        </w:tc>
        <w:tc>
          <w:tcPr>
            <w:tcW w:type="dxa" w:w="1440"/>
            <w:shd w:fill="FAFAFA" w:val="clear"/>
          </w:tcPr>
          <w:p>
            <w:r>
              <w:rPr>
                <w:sz w:val="17"/>
              </w:rPr>
              <w:t>39,589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37,530</w:t>
            </w:r>
          </w:p>
        </w:tc>
        <w:tc>
          <w:tcPr>
            <w:tcW w:type="dxa" w:w="1440"/>
            <w:shd w:fill="FAFAFA" w:val="clear"/>
          </w:tcPr>
          <w:p>
            <w:r>
              <w:rPr>
                <w:b/>
                <w:sz w:val="17"/>
              </w:rPr>
              <w:t>38,696</w:t>
            </w:r>
          </w:p>
        </w:tc>
        <w:tc>
          <w:tcPr>
            <w:tcW w:type="dxa" w:w="1440"/>
            <w:shd w:fill="FAFAFA" w:val="clear"/>
          </w:tcPr>
          <w:p>
            <w:r>
              <w:rPr>
                <w:sz w:val="17"/>
              </w:rPr>
              <w:t>39,861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37,200</w:t>
            </w:r>
          </w:p>
        </w:tc>
        <w:tc>
          <w:tcPr>
            <w:tcW w:type="dxa" w:w="1440"/>
            <w:shd w:fill="FAFAFA" w:val="clear"/>
          </w:tcPr>
          <w:p>
            <w:r>
              <w:rPr>
                <w:b/>
                <w:sz w:val="17"/>
              </w:rPr>
              <w:t>38,625</w:t>
            </w:r>
          </w:p>
        </w:tc>
        <w:tc>
          <w:tcPr>
            <w:tcW w:type="dxa" w:w="1440"/>
            <w:shd w:fill="FAFAFA" w:val="clear"/>
          </w:tcPr>
          <w:p>
            <w:r>
              <w:rPr>
                <w:sz w:val="17"/>
              </w:rPr>
              <w:t>40,049</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36,915</w:t>
            </w:r>
          </w:p>
        </w:tc>
        <w:tc>
          <w:tcPr>
            <w:tcW w:type="dxa" w:w="1440"/>
            <w:shd w:fill="FAFAFA" w:val="clear"/>
          </w:tcPr>
          <w:p>
            <w:r>
              <w:rPr>
                <w:b/>
                <w:sz w:val="17"/>
              </w:rPr>
              <w:t>38,557</w:t>
            </w:r>
          </w:p>
        </w:tc>
        <w:tc>
          <w:tcPr>
            <w:tcW w:type="dxa" w:w="1440"/>
            <w:shd w:fill="FAFAFA" w:val="clear"/>
          </w:tcPr>
          <w:p>
            <w:r>
              <w:rPr>
                <w:sz w:val="17"/>
              </w:rPr>
              <w:t>40,198</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36,659</w:t>
            </w:r>
          </w:p>
        </w:tc>
        <w:tc>
          <w:tcPr>
            <w:tcW w:type="dxa" w:w="1440"/>
            <w:shd w:fill="FAFAFA" w:val="clear"/>
          </w:tcPr>
          <w:p>
            <w:r>
              <w:rPr>
                <w:b/>
                <w:sz w:val="17"/>
              </w:rPr>
              <w:t>38,491</w:t>
            </w:r>
          </w:p>
        </w:tc>
        <w:tc>
          <w:tcPr>
            <w:tcW w:type="dxa" w:w="1440"/>
            <w:shd w:fill="FAFAFA" w:val="clear"/>
          </w:tcPr>
          <w:p>
            <w:r>
              <w:rPr>
                <w:sz w:val="17"/>
              </w:rPr>
              <w:t>40,324</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36,424</w:t>
            </w:r>
          </w:p>
        </w:tc>
        <w:tc>
          <w:tcPr>
            <w:tcW w:type="dxa" w:w="1440"/>
            <w:shd w:fill="FAFAFA" w:val="clear"/>
          </w:tcPr>
          <w:p>
            <w:r>
              <w:rPr>
                <w:b/>
                <w:sz w:val="17"/>
              </w:rPr>
              <w:t>38,428</w:t>
            </w:r>
          </w:p>
        </w:tc>
        <w:tc>
          <w:tcPr>
            <w:tcW w:type="dxa" w:w="1440"/>
            <w:shd w:fill="FAFAFA" w:val="clear"/>
          </w:tcPr>
          <w:p>
            <w:r>
              <w:rPr>
                <w:sz w:val="17"/>
              </w:rPr>
              <w:t>40,432</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36,205</w:t>
            </w:r>
          </w:p>
        </w:tc>
        <w:tc>
          <w:tcPr>
            <w:tcW w:type="dxa" w:w="1440"/>
            <w:shd w:fill="FAFAFA" w:val="clear"/>
          </w:tcPr>
          <w:p>
            <w:r>
              <w:rPr>
                <w:b/>
                <w:sz w:val="17"/>
              </w:rPr>
              <w:t>38,367</w:t>
            </w:r>
          </w:p>
        </w:tc>
        <w:tc>
          <w:tcPr>
            <w:tcW w:type="dxa" w:w="1440"/>
            <w:shd w:fill="FAFAFA" w:val="clear"/>
          </w:tcPr>
          <w:p>
            <w:r>
              <w:rPr>
                <w:sz w:val="17"/>
              </w:rPr>
              <w:t>40,528</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35,999</w:t>
            </w:r>
          </w:p>
        </w:tc>
        <w:tc>
          <w:tcPr>
            <w:tcW w:type="dxa" w:w="1440"/>
            <w:shd w:fill="FAFAFA" w:val="clear"/>
          </w:tcPr>
          <w:p>
            <w:r>
              <w:rPr>
                <w:b/>
                <w:sz w:val="17"/>
              </w:rPr>
              <w:t>38,306</w:t>
            </w:r>
          </w:p>
        </w:tc>
        <w:tc>
          <w:tcPr>
            <w:tcW w:type="dxa" w:w="1440"/>
            <w:shd w:fill="FAFAFA" w:val="clear"/>
          </w:tcPr>
          <w:p>
            <w:r>
              <w:rPr>
                <w:sz w:val="17"/>
              </w:rPr>
              <w:t>40,613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35,804</w:t>
            </w:r>
          </w:p>
        </w:tc>
        <w:tc>
          <w:tcPr>
            <w:tcW w:type="dxa" w:w="1440"/>
            <w:shd w:fill="FAFAFA" w:val="clear"/>
          </w:tcPr>
          <w:p>
            <w:r>
              <w:rPr>
                <w:b/>
                <w:sz w:val="17"/>
              </w:rPr>
              <w:t>38,247</w:t>
            </w:r>
          </w:p>
        </w:tc>
        <w:tc>
          <w:tcPr>
            <w:tcW w:type="dxa" w:w="1440"/>
            <w:shd w:fill="FAFAFA" w:val="clear"/>
          </w:tcPr>
          <w:p>
            <w:r>
              <w:rPr>
                <w:sz w:val="17"/>
              </w:rPr>
              <w:t>40,690</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35,617</w:t>
            </w:r>
          </w:p>
        </w:tc>
        <w:tc>
          <w:tcPr>
            <w:tcW w:type="dxa" w:w="1440"/>
            <w:shd w:fill="FFDCE0" w:val="clear"/>
          </w:tcPr>
          <w:p>
            <w:r>
              <w:rPr>
                <w:b/>
                <w:sz w:val="17"/>
              </w:rPr>
              <w:t>38,188</w:t>
            </w:r>
          </w:p>
        </w:tc>
        <w:tc>
          <w:tcPr>
            <w:tcW w:type="dxa" w:w="1440"/>
            <w:shd w:fill="FFDCE0" w:val="clear"/>
          </w:tcPr>
          <w:p>
            <w:r>
              <w:rPr>
                <w:sz w:val="17"/>
              </w:rPr>
              <w:t>40,760</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 BRVM | Secteur : Banque | Cours de référence : 39 005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1 213,49 milliards FCFA, SGBC s'impose comme l'une des plus grandes capitalisations de la BRVM, ce qui en fait un pilier de l'indice composite et un titre de référence pour les investisseurs institutionnels régionaux. Le BPA de 3 258 FCFA par action signifie que chaque titre génère un bénéfice net de plus de 3 200 FCFA, un niveau élevé qui traduit la forte rentabilité de la banque. Le PER de 12,0x se situe dans le haut de la fourchette moyenne du marché BRVM (8-12x), indiquant que les investisseurs paient un prix raisonnable mais non décoté pour les bénéfices, cohérent avec la qualité du dossier. Le P/B de 2,45x montre que le marché valorise SGBC à 2,45 fois sa valeur comptable, soit une prime de croissance justifiée par un ROE supérieur à 20 %. En revanche, l'EV/EBITDA de 24,7x apparaît très exigeant (seuil d'alerte &gt;15x), signalant que la valeur d'entreprise intègre déjà une bonne part des flux opérationnels attendus — un point de vigilance pour la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+6,57 %, avec une dernière séance quasi stable (+0,03 %), confirmant une dynamique haussière régulière et sans à-coups. Le cours a évolué dans un couloir étroit entre 36 600 FCFA (plus bas) et 39 300 FCFA (plus haut), soit un range de seulement 7,4 %, ce qui traduit une grande stabilité du titre. La moyenne (38 497 FCFA) se situe légèrement sous la médiane (38 835 FCFA), un écart modeste qui signale une distribution quasi symétrique mais avec quelques séances de faiblesse ayant tiré la moyenne vers le bas. L'écart-type de 642 FCFA et le coefficient de variation de 1,7 % confirment une dispersion très faible du cours, caractéristique d'une valeur défensive. Le kurtosis de 0,073 (mésokurtique) indique un comportement proche d'une distribution normale, sans risque de pics extrêmes marqué, tandis que le skewness de -0,940 révèle une asymétrie négative : le titre a passé davantage de journées au-dessus de sa moyenne, avec des baisses ponctuelles plus marquées que les hausses. La volatilité annualisée de 20,9 % place SGBC dans la catégorie des titres à volatilité modérée (15-30 %), un profil rassurant pour une valeur bancaire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(38 837,5 FCFA) et la MM50 (38 684,0 FCFA) se situent toutes deux sous le cours actuel (39 005 FCFA), avec la MM20 au-dessus de la MM50 — une configuration haussière classique en « golden cross ». Le cours évoluant au-dessus de ses deux moyennes, la dynamique de fond est positive et justifie la décision d'ACHAT.</w:t>
      </w:r>
    </w:p>
    <w:p>
      <w:pPr>
        <w:spacing w:after="120" w:line="276" w:lineRule="auto"/>
      </w:pPr>
      <w:r>
        <w:t>**Bandes de Bollinger** : Le cours (39 005 FCFA) se situe dans la moitié supérieure de la bande, entre la borne inférieure (38 146,9 FCFA) et la borne supérieure (39 528,1 FCFA), sans en approcher les extrêmes. L'étroitesse de la bande (largeur d'environ 1 381 FCFA) confirme une faible volatilité, et la position neutre du cours justifie la décision NEUTRE — ni suracheté, ni survendu.</w:t>
      </w:r>
    </w:p>
    <w:p>
      <w:pPr>
        <w:spacing w:after="120" w:line="276" w:lineRule="auto"/>
      </w:pPr>
      <w:r>
        <w:t>**MACD** : La ligne MACD (132,668) est supérieure à sa ligne de signal (129,237), avec un histogramme positif qui traduit un momentum haussier naissant. Cette divergence positive, bien que modérée en amplitude, confirme la reprise du titre et justifie la décision d'ACHAT.</w:t>
      </w:r>
    </w:p>
    <w:p>
      <w:pPr>
        <w:spacing w:after="120" w:line="276" w:lineRule="auto"/>
      </w:pPr>
      <w:r>
        <w:t>**RSI** : À 52,713, le RSI se situe parfaitement au centre de la zone neutre (30-70), excluant toute situation de surachat ou de survente. Cette configuration indique un équilibre entre acheteurs et vendeurs, avec un potentiel de hausse intact, justifiant la décision NEUTRE.</w:t>
      </w:r>
    </w:p>
    <w:p>
      <w:pPr>
        <w:spacing w:after="120" w:line="276" w:lineRule="auto"/>
      </w:pPr>
      <w:r>
        <w:t>**Stochastique** : Le %K (75,625) et le %D (75,0) évoluent tous deux en zone haute, proches du seuil de surachat (80), avec un %K légèrement au-dessus du %D. Cette configuration suggère une pression acheteuse soutenue mais proche de l'essoufflement, justifiant la décision NEUTRE par prudence.</w:t>
      </w:r>
    </w:p>
    <w:p>
      <w:pPr>
        <w:spacing w:after="120" w:line="276" w:lineRule="auto"/>
      </w:pPr>
      <w:r>
        <w:t>**Conclusion technique** : Les indicateurs convergent majoritairement vers un biais haussier modéré : les moyennes mobiles et le MACD valident l'ACHAT, tandis que le RSI, les Bollinger et le stochastique recommandent la neutralité en raison d'un cours déjà bien positionné dans son range. Le titre se trouve dans une phase de consolidation haussière, sans excès technique, ce qui laisse présager une poursuite mesurée de la tendance plutôt qu'un emballement.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de 276,048 milliards FCFA, en croissance de +4,88 % (contre 263,2 Mds en 2024), et un résultat net de 101,352 milliards FCFA, quasi stable (+0,1 %). La rentabilité reste exceptionnelle avec un ROE de 20,47 % (largement supérieur au seuil de 15 %) et un ROA de 2,69 %. Le coefficient d'exploitation de 38,75 % classe la banque parmi les plus efficaces du secteur UEMOA (&lt; 50 % = excellente efficience). Le bilan de 3 769,17 milliards FCFA est porté par 2 546,29 Mds de créances clientèle face à 2 907,68 Mds de dépôts clientèle, soit un ratio de transformation de 87,6 % — un niveau sain. Le coût du risque ressort à 17,995 Mds FCFA de provisions, en hausse de +29,2 % selon le rapport annuel 2025 (publié le 17 avril 2026), avec un taux de NPL à 8,0 % et une couverture de 82 % ; la capacité de remboursement de 27,46 années et la couverture des intérêts de 255,9 % témoignent d'une solvabilité solide (ratio de solvabilité de 17,6 % au S1 2026, bien au-dessus du seuil de 12,5 %).</w:t>
      </w:r>
    </w:p>
    <w:p>
      <w:pPr>
        <w:spacing w:after="120" w:line="276" w:lineRule="auto"/>
      </w:pPr>
      <w:r>
        <w:t>**Estimations issues des rapports trimestriels** : Le rapport T1 2026 (publié le 30 avril 2026) montre un PNB de 65,644 Mds FCFA (-1 %) et un résultat net de 23,976 Mds (-11 %), pénalisés par la migration vers une nouvelle plateforme digitale et la hausse des frais généraux (+9 %). Le rapport S1 2026 (publié le 27 août 2026) confirme un redressement partiel : PNB de 134,059 Mds (+1,6 %) et résultat net de 53,350 Mds (+0,5 %), avec un coefficient d'exploitation revenu à 36,7 % et un coût du risque en hausse de +9,1 %. Sur cette base, on estime que l'exercice 2026 devrait clôturer sur un résultat net proche de 102-104 Mds FCFA (croissance de 1 à 3 %), la finalisation de la migration digitale au T2 2026 étant attendue comme levier de reconquête commerciale au S2. La politique de dividende reste généreuse : 2 606 FCFA par action proposés au titre de 2025 (taux de distribution de 80 %), offrant un rendement attractif au cours actuel de 39 005 FCFA (environ 6,7 %). **Conclusion fondamentale** : solidité bilancielle et rentabilité remarquables, mais stagnation bénéficiaire à court terme et coût du risque croissant — profil de valeur de rendement à conserver, avec un potentiel d'achat conditionné à l'inflexion du coût du risque et à la confirmation du redressement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dresse un portrait cohérent d'une valeur de qualité, sans catalyseur majeur à court terme. **Valorisation** : le PER de 12,0x (haut de fourchette BRVM) et le P/B de 2,45x traduisent une valorisation raisonnable mais sans décote, tandis que l'EV/EBITDA de 24,7x limite la marge de sécurité — le titre n'est ni sous-évalué, ni surévalué. **Comportement du cours** : la tendance haussière (+6,57 % sur 100 jours), la faible volatilité (20,9 %) et les statistiques rassurantes (CV de 1,7 %, kurtosis proche de la normale) sont favorables, même si le skewness négatif (-0,940) rappelle que les corrections ponctuelles peuvent être marquées. **Signaux techniques** : convergence modérée vers un biais haussier (MM et MACD à l'ACHAT, RSI/Bollinger/Stochastique neutres), sans excès ni divergence préoccupante. **Fondamentaux** : ROE de 20,47 %, coefficient d'exploitation de 38,75 % et dividende de 2 606 FCFA (rendement ~6,7 %) constituent des atouts majeurs, mais la stagnation du résultat net 2025 (+0,1 %) et la hausse du coût du risque (+29,2 %) tempèrent l'enthousiasme. **Prédictions IA (J+1 à J+10)** : la trajectoire projetée (38 764 → 38 491 FCFA, soit -1,3 % sur 5 séances) contredit légèrement les signaux techniques haussiers et suggère une consolidation à court terme dans le haut du range. **Recommandation finale : CONSERVER**, avec un niveau de confiance **Moyen** et un niveau de risque **Faible à Moyen**. La convergence entre valorisation correcte, technique neutre-haussière, fondamentaux solides mais en décélération et prédictions baissières modérées plaide pour une position d'attente : conserver le titre pour son rendement et sa stabilité, en surveillant les publications du S2 2026 (inflexion du coût du risque, finalisation de la migration digitale) comme déclencheurs potentiels d'un passage à l'ACHAT. **Horizon optimal : moyen à long terme (6-12 mois et plus)**, adapté aux investisseurs recherchant rendement et stabilité plutôt qu'à ceux visant une surperformance rapide.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4,962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+14.66%</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μ=2,279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β=1.0548 (Neutre (suit le marché)) — Cov=0.000079, Var(idx)=0.000075, ρ=0.341,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2,065</w:t>
            </w:r>
          </w:p>
        </w:tc>
        <w:tc>
          <w:tcPr>
            <w:tcW w:type="dxa" w:w="1440"/>
            <w:shd w:fill="FAFAFA" w:val="clear"/>
          </w:tcPr>
          <w:p>
            <w:r>
              <w:rPr>
                <w:b/>
                <w:sz w:val="17"/>
              </w:rPr>
              <w:t>2,199</w:t>
            </w:r>
          </w:p>
        </w:tc>
        <w:tc>
          <w:tcPr>
            <w:tcW w:type="dxa" w:w="1440"/>
            <w:shd w:fill="FAFAFA" w:val="clear"/>
          </w:tcPr>
          <w:p>
            <w:r>
              <w:rPr>
                <w:sz w:val="17"/>
              </w:rPr>
              <w:t>2,333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2,016</w:t>
            </w:r>
          </w:p>
        </w:tc>
        <w:tc>
          <w:tcPr>
            <w:tcW w:type="dxa" w:w="1440"/>
            <w:shd w:fill="FAFAFA" w:val="clear"/>
          </w:tcPr>
          <w:p>
            <w:r>
              <w:rPr>
                <w:b/>
                <w:sz w:val="17"/>
              </w:rPr>
              <w:t>2,205</w:t>
            </w:r>
          </w:p>
        </w:tc>
        <w:tc>
          <w:tcPr>
            <w:tcW w:type="dxa" w:w="1440"/>
            <w:shd w:fill="FAFAFA" w:val="clear"/>
          </w:tcPr>
          <w:p>
            <w:r>
              <w:rPr>
                <w:sz w:val="17"/>
              </w:rPr>
              <w:t>2,395</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1,978</w:t>
            </w:r>
          </w:p>
        </w:tc>
        <w:tc>
          <w:tcPr>
            <w:tcW w:type="dxa" w:w="1440"/>
            <w:shd w:fill="FAFAFA" w:val="clear"/>
          </w:tcPr>
          <w:p>
            <w:r>
              <w:rPr>
                <w:b/>
                <w:sz w:val="17"/>
              </w:rPr>
              <w:t>2,211</w:t>
            </w:r>
          </w:p>
        </w:tc>
        <w:tc>
          <w:tcPr>
            <w:tcW w:type="dxa" w:w="1440"/>
            <w:shd w:fill="FAFAFA" w:val="clear"/>
          </w:tcPr>
          <w:p>
            <w:r>
              <w:rPr>
                <w:sz w:val="17"/>
              </w:rPr>
              <w:t>2,444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1,946</w:t>
            </w:r>
          </w:p>
        </w:tc>
        <w:tc>
          <w:tcPr>
            <w:tcW w:type="dxa" w:w="1440"/>
            <w:shd w:fill="FAFAFA" w:val="clear"/>
          </w:tcPr>
          <w:p>
            <w:r>
              <w:rPr>
                <w:b/>
                <w:sz w:val="17"/>
              </w:rPr>
              <w:t>2,216</w:t>
            </w:r>
          </w:p>
        </w:tc>
        <w:tc>
          <w:tcPr>
            <w:tcW w:type="dxa" w:w="1440"/>
            <w:shd w:fill="FAFAFA" w:val="clear"/>
          </w:tcPr>
          <w:p>
            <w:r>
              <w:rPr>
                <w:sz w:val="17"/>
              </w:rPr>
              <w:t>2,486</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1,918</w:t>
            </w:r>
          </w:p>
        </w:tc>
        <w:tc>
          <w:tcPr>
            <w:tcW w:type="dxa" w:w="1440"/>
            <w:shd w:fill="FAFAFA" w:val="clear"/>
          </w:tcPr>
          <w:p>
            <w:r>
              <w:rPr>
                <w:b/>
                <w:sz w:val="17"/>
              </w:rPr>
              <w:t>2,220</w:t>
            </w:r>
          </w:p>
        </w:tc>
        <w:tc>
          <w:tcPr>
            <w:tcW w:type="dxa" w:w="1440"/>
            <w:shd w:fill="FAFAFA" w:val="clear"/>
          </w:tcPr>
          <w:p>
            <w:r>
              <w:rPr>
                <w:sz w:val="17"/>
              </w:rPr>
              <w:t>2,522</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1,892</w:t>
            </w:r>
          </w:p>
        </w:tc>
        <w:tc>
          <w:tcPr>
            <w:tcW w:type="dxa" w:w="1440"/>
            <w:shd w:fill="FAFAFA" w:val="clear"/>
          </w:tcPr>
          <w:p>
            <w:r>
              <w:rPr>
                <w:b/>
                <w:sz w:val="17"/>
              </w:rPr>
              <w:t>2,223</w:t>
            </w:r>
          </w:p>
        </w:tc>
        <w:tc>
          <w:tcPr>
            <w:tcW w:type="dxa" w:w="1440"/>
            <w:shd w:fill="FAFAFA" w:val="clear"/>
          </w:tcPr>
          <w:p>
            <w:r>
              <w:rPr>
                <w:sz w:val="17"/>
              </w:rPr>
              <w:t>2,555</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1,868</w:t>
            </w:r>
          </w:p>
        </w:tc>
        <w:tc>
          <w:tcPr>
            <w:tcW w:type="dxa" w:w="1440"/>
            <w:shd w:fill="FAFAFA" w:val="clear"/>
          </w:tcPr>
          <w:p>
            <w:r>
              <w:rPr>
                <w:b/>
                <w:sz w:val="17"/>
              </w:rPr>
              <w:t>2,226</w:t>
            </w:r>
          </w:p>
        </w:tc>
        <w:tc>
          <w:tcPr>
            <w:tcW w:type="dxa" w:w="1440"/>
            <w:shd w:fill="FAFAFA" w:val="clear"/>
          </w:tcPr>
          <w:p>
            <w:r>
              <w:rPr>
                <w:sz w:val="17"/>
              </w:rPr>
              <w:t>2,585</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1,845</w:t>
            </w:r>
          </w:p>
        </w:tc>
        <w:tc>
          <w:tcPr>
            <w:tcW w:type="dxa" w:w="1440"/>
            <w:shd w:fill="FAFAFA" w:val="clear"/>
          </w:tcPr>
          <w:p>
            <w:r>
              <w:rPr>
                <w:b/>
                <w:sz w:val="17"/>
              </w:rPr>
              <w:t>2,229</w:t>
            </w:r>
          </w:p>
        </w:tc>
        <w:tc>
          <w:tcPr>
            <w:tcW w:type="dxa" w:w="1440"/>
            <w:shd w:fill="FAFAFA" w:val="clear"/>
          </w:tcPr>
          <w:p>
            <w:r>
              <w:rPr>
                <w:sz w:val="17"/>
              </w:rPr>
              <w:t>2,613</w:t>
            </w:r>
          </w:p>
        </w:tc>
        <w:tc>
          <w:tcPr>
            <w:tcW w:type="dxa" w:w="1440"/>
            <w:shd w:fill="FAFAFA" w:val="clear"/>
          </w:tcPr>
          <w:p>
            <w:r>
              <w:rPr>
                <w:b/>
                <w:color w:val="008000"/>
                <w:sz w:val="17"/>
              </w:rPr>
              <w:t>+1.8%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1,824</w:t>
            </w:r>
          </w:p>
        </w:tc>
        <w:tc>
          <w:tcPr>
            <w:tcW w:type="dxa" w:w="1440"/>
            <w:shd w:fill="FAFAFA" w:val="clear"/>
          </w:tcPr>
          <w:p>
            <w:r>
              <w:rPr>
                <w:b/>
                <w:sz w:val="17"/>
              </w:rPr>
              <w:t>2,232</w:t>
            </w:r>
          </w:p>
        </w:tc>
        <w:tc>
          <w:tcPr>
            <w:tcW w:type="dxa" w:w="1440"/>
            <w:shd w:fill="FAFAFA" w:val="clear"/>
          </w:tcPr>
          <w:p>
            <w:r>
              <w:rPr>
                <w:sz w:val="17"/>
              </w:rPr>
              <w:t>2,639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1,804</w:t>
            </w:r>
          </w:p>
        </w:tc>
        <w:tc>
          <w:tcPr>
            <w:tcW w:type="dxa" w:w="1440"/>
            <w:shd w:fill="C6EFCE" w:val="clear"/>
          </w:tcPr>
          <w:p>
            <w:r>
              <w:rPr>
                <w:b/>
                <w:sz w:val="17"/>
              </w:rPr>
              <w:t>2,234</w:t>
            </w:r>
          </w:p>
        </w:tc>
        <w:tc>
          <w:tcPr>
            <w:tcW w:type="dxa" w:w="1440"/>
            <w:shd w:fill="C6EFCE" w:val="clear"/>
          </w:tcPr>
          <w:p>
            <w:r>
              <w:rPr>
                <w:sz w:val="17"/>
              </w:rPr>
              <w:t>2,664</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**137,97 milliards FCFA**, SHEC s'inscrit parmi les valeurs moyennes-capitalisations de la cote BRVM, loin des géants bancaires mais avec une liquidité suffisante pour un investisseur institutionnel. Le **BPA de 96 FCFA/action** rapporté à un cours de 2 190 FCFA confère au titre un **PER de 22,9x**, soit près du double de la moyenne BRVM (~8-12x) : le marché paie donc très cher chaque franc de bénéfice, ce qui n'est justifiable que par des anticipations de croissance forte ou traduit une surévaluation manifeste. Le **P/B de 5,08x** confirme cette prime exigeante — le marché valorise SHEC à plus de cinq fois sa valeur comptable (capitaux propres de 27,16 Mds FCFA), un niveau rarement atteint sur la place. Enfin, l'**EV/EBITDA de 12,5x** situe la valeur d'entreprise dans la fourchette haute (10-15x), signalant que la capacité opérationnelle est déjà pleinement — voire généreusement — intégrée dans les prix. **Conclusion de valorisation : le titre est cher sur tous les multiples, sans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totale de +14,66%** pour un cours actuel de **2 190 FCFA**, avec une dernière séance stable (**J-1 : +0,00%**), signe d'un essoufflement du momentum. Le range de trading est large — **plus haut à 2 980 FCFA, plus bas à 1 910 FCFA** — soit une amplitude de plus de 56%, révélant un titre nerveux. La tendance générale reste haussière sur la période, mais le cours actuel (2 190 FCFA) se situe désormais **sous sa moyenne (2 279 FCFA)** et proche de sa médiane (2 202 FCFA), ce qui traduit une correction en cours depuis les sommets. Les statistiques descriptives sont éclairantes : l'écart entre moyenne (2 279) et médiane (2 202) confirme une **asymétrie positive (skewness de 1,190)** — plus de journées ont été passées sous la moyenne, avec des pics haussiers isolés. Le **kurtosis de 1,875 (leptokurtique)** signale des queues épaisses, donc un **risque de pics brutaux** à la hausse comme à la baisse. L'écart-type de 212 FCFA (CV de 9,3%) indique une dispersion modérée en niveau, mais la **volatilité annualisée de 41,8%** classe clairement SHEC parmi les titres à **volatilité élevée (&gt;30%)**, exigeant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(2 364,25 FCFA) et la MM50 (2 422,20 FCFA) se situent toutes deux **au-dessus du cours actuel** (2 190 FCFA), configuration baissière de court et moyen terme. Le cours évoluant sous ses deux moyennes, la décision technique est logiquement **Vente** — le titre est en phase de correction sous ses supports mobiles.</w:t>
      </w:r>
    </w:p>
    <w:p>
      <w:pPr>
        <w:spacing w:after="120" w:line="276" w:lineRule="auto"/>
      </w:pPr>
      <w:r>
        <w:t>**Bandes de Bollinger** : Le cours (2 190 FCFA) se situe dans la moitié basse de la bande, entre la borne inférieure (1 964,60 FCFA) et la borne supérieure (2 763,90 FCFA), sans contact avec les extrêmes. Cette position centrale, couplée à un écartement encore large des bandes, traduit une **volatilité persistante mais sans signal extrême** ; la décision est **Neutre**, le marché attendant une direction.</w:t>
      </w:r>
    </w:p>
    <w:p>
      <w:pPr>
        <w:spacing w:after="120" w:line="276" w:lineRule="auto"/>
      </w:pPr>
      <w:r>
        <w:t>**MACD** : La ligne MACD (-85,79) est **sous sa ligne de signal (-64,84)**, avec un histogramme négatif — configuration baissière confirmée. Le momentum est clairement négatif et la décision **Vente** se justifie pleinement : la dynamique de court terme reste orientée à la baisse.</w:t>
      </w:r>
    </w:p>
    <w:p>
      <w:pPr>
        <w:spacing w:after="120" w:line="276" w:lineRule="auto"/>
      </w:pPr>
      <w:r>
        <w:t>**RSI** : À **20,51**, le RSI est en zone de **survente profonde** (&lt;30), un niveau rare qui signale un épuisement des vendeurs et un potentiel rebond technique. La décision **Achat** est cohérente : le titre est statistiquement survendu et pourrait amorcer un retournement.</w:t>
      </w:r>
    </w:p>
    <w:p>
      <w:pPr>
        <w:spacing w:after="120" w:line="276" w:lineRule="auto"/>
      </w:pPr>
      <w:r>
        <w:t>**Stochastique** : Avec **%K à 0,0 et %D à 1,17**, les deux lignes sont collées au plancher, en zone de survente extrême. Le croisement est imminent mais pas encore validé ; la décision **Achat** anticipe un rebond, à confirmer par un croisement haussier effectif.</w:t>
      </w:r>
    </w:p>
    <w:p>
      <w:pPr>
        <w:spacing w:after="120" w:line="276" w:lineRule="auto"/>
      </w:pPr>
      <w:r>
        <w:t>**Conclusion technique** : Les indicateurs sont **divergents** — les moyennes mobiles et le MACD confirment une tendance baissière de fond, tandis que le RSI (20,5) et le stochastique (0,0) hurlent une survente extrême propice à un rebond technique. Cette configuration typique de **fin de correction** suggère qu'un rebond à court terme est probable, mais qu'il s'agirait d'un rebond technique dans une tendance encore fragile, non d'un retournement structurel.</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SHEC (Vivo Energy Côte d'Ivoire, distributeur pétrolier aval) a réalisé en 2025 un **chiffre d'affaires de 604,978 Mds FCFA**, en croissance quasi nulle de **+0,71%**, pour un **résultat net de 6,028 Mds FCFA** (+12,6% selon le rapport du 31/12/2025 analysé le 04/06/2026). La **marge nette reste très faible à 0,9964%**, caractéristique du secteur, mais le **ROE atteint 22,20%** (excellent, &gt;15%) grâce à un fort effet de levier, tandis que le **ROA n'est que de 3,11%** — la rentabilité des actifs reste modeste. Côté structure, l'**autonomie financière est faible (14,03%)**, la **trésorerie nette est très négative (-65,26 Mds FCFA)** et le **Fonds de Roulement négatif (-49,85 Mds FCFA)** : la société finance son cycle par des découverts bancaires massifs (trésorerie passive de 70,3 Mds FCFA), un risque de liquidité majeur. Les délais d'exploitation sont toutefois bien maîtrisés : **clients à 23,27 jours**, **fournisseurs à 35,47 jours** (favorable à la trésorerie) et **stockage à 7,47 jours**. Le **BFR de 15,315 Mds FCFA** et la **capacité de remboursement de 0,97 an** (dettes financières/CAF) restent acceptables, mais la **distribution de dividende à 101% du résultat net** (6,09 Mds FCFA proposés, soit ~1 933 FCFA/action) fragilise davantage les fonds propres. **Estimations issues des rapports trimestriels** : le rapport du **30/06/2026** (S1 2026) montre un CA en **baisse de 1% à 305,038 Mds FCFA** (volumes -3% sur aviation/bitume, compensés par butane/lubrifiants) mais un **résultat d'exploitation en hausse de 17% à 6,133 Mds FCFA** et un **résultat net de 3,016 Mds FCFA (marge nette 0,99%)** — la rentabilité se maintient malgré la baisse d'activité. On estime donc que l'exercice 2026 devrait rester **stable à légèrement croissant en résultat**, porté par le butane et les lubrifiants, mais pénalisé par la hausse de 60% de l'impôt et la dépendance aux concours bancaires. **Recommandation fondamentale : CONSERVER** — société bénéficiaire et généreuse en dividende, mais structure financière fragile (trésorerie nette négative, endettement court terme élevé) et croissance atone.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profond entre le fondamental et la technique**. La **valorisation (Partie 0)** est exigeante sur tous les multiples — PER de 22,9x (vs 8-12x pour la BRVM), P/B de 5,08x, EV/EBITDA de 12,5x — sans justification par la croissance (+0,71% de CA), ce qui plaide pour une **surévaluation**. Le **comportement du cours (Partie 1)** montre une hausse de +14,66% sur 100 jours mais une correction en cours (cours sous moyenne et médiane), avec une volatilité élevée (41,8%) et un profil leptokurtique (risque de pics) peu rassurant. Les **signaux techniques (Partie 2)** sont contradictoires : MM et MACD baissiers, mais RSI (20,5) et stochastique (0,0) en survente extrême annonçant un rebond technique probable. Les **fondamentaux (Partie 3)** confirment une société rentable (ROE 22,2%) mais fragile (trésorerie nette -65,26 Mds FCFA, marge nette 1%, dividende à 101% du résultat). Enfin, les **prédictions IA (J+1 à J+10)** anticipent une **légère remontée de 2 199 à 2 220 FCFA** (+1,4%), cohérente avec le scénario de rebond technique post-survente, mais sans ampleur significative. **Recommandation finale : CONSERVER** — la convergence entre survente technique et prédiction haussière modérée soutient un rebond de court terme, mais la surévaluation (PER 22,9x) et la fragilité financière (trésorerie nette négative) interdisent tout achat. **Niveau de confiance : Moyen** (divergence technique/fondamental). **Niveau de risque : Élevé** (volatilité 41,8%, levier financier, dépendance bancaire). **Horizon optimal : moyen terme (3-12 mois)**, en attendant la confirmation des comptes définitifs 2025 et l'amélioration de la structure de trésorerie — un renforcement ne serait justifié qu'en cas de retour durable du cours au-dessus de la MM50 (2 422 FCFA) avec assainissement du BFR.</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11,526 titres</w:t>
            </w:r>
          </w:p>
        </w:tc>
        <w:tc>
          <w:tcPr>
            <w:tcW w:type="dxa" w:w="2268"/>
            <w:shd w:fill="FFF2CC" w:val="clear"/>
          </w:tcPr>
          <w:p>
            <w:r>
              <w:rPr>
                <w:b/>
                <w:color w:val="503200"/>
                <w:sz w:val="16"/>
              </w:rPr>
              <w:t xml:space="preserve">Cours actuel : </w:t>
            </w:r>
            <w:r>
              <w:rPr>
                <w:color w:val="000000"/>
                <w:sz w:val="17"/>
              </w:rPr>
              <w:t>8,725 FCFA</w:t>
            </w:r>
          </w:p>
          <w:p>
            <w:r>
              <w:rPr>
                <w:b/>
                <w:color w:val="503200"/>
                <w:sz w:val="16"/>
              </w:rPr>
              <w:t xml:space="preserve">Var. 100 jours : </w:t>
            </w:r>
            <w:r>
              <w:rPr>
                <w:b/>
                <w:color w:val="007800"/>
                <w:sz w:val="17"/>
              </w:rPr>
              <w:t>+13.31%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3.17% (Faible) — μ=8,947 FCFA, σ=283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β=0.7314 (Défensif) — Cov=0.000055, Var(idx)=0.000075, ρ=0.350,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8,411</w:t>
            </w:r>
          </w:p>
        </w:tc>
        <w:tc>
          <w:tcPr>
            <w:tcW w:type="dxa" w:w="1440"/>
            <w:shd w:fill="FAFAFA" w:val="clear"/>
          </w:tcPr>
          <w:p>
            <w:r>
              <w:rPr>
                <w:b/>
                <w:sz w:val="17"/>
              </w:rPr>
              <w:t>8,675</w:t>
            </w:r>
          </w:p>
        </w:tc>
        <w:tc>
          <w:tcPr>
            <w:tcW w:type="dxa" w:w="1440"/>
            <w:shd w:fill="FAFAFA" w:val="clear"/>
          </w:tcPr>
          <w:p>
            <w:r>
              <w:rPr>
                <w:sz w:val="17"/>
              </w:rPr>
              <w:t>8,939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8,250</w:t>
            </w:r>
          </w:p>
        </w:tc>
        <w:tc>
          <w:tcPr>
            <w:tcW w:type="dxa" w:w="1440"/>
            <w:shd w:fill="FAFAFA" w:val="clear"/>
          </w:tcPr>
          <w:p>
            <w:r>
              <w:rPr>
                <w:b/>
                <w:sz w:val="17"/>
              </w:rPr>
              <w:t>8,621</w:t>
            </w:r>
          </w:p>
        </w:tc>
        <w:tc>
          <w:tcPr>
            <w:tcW w:type="dxa" w:w="1440"/>
            <w:shd w:fill="FAFAFA" w:val="clear"/>
          </w:tcPr>
          <w:p>
            <w:r>
              <w:rPr>
                <w:sz w:val="17"/>
              </w:rPr>
              <w:t>8,992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8,122</w:t>
            </w:r>
          </w:p>
        </w:tc>
        <w:tc>
          <w:tcPr>
            <w:tcW w:type="dxa" w:w="1440"/>
            <w:shd w:fill="FAFAFA" w:val="clear"/>
          </w:tcPr>
          <w:p>
            <w:r>
              <w:rPr>
                <w:b/>
                <w:sz w:val="17"/>
              </w:rPr>
              <w:t>8,574</w:t>
            </w:r>
          </w:p>
        </w:tc>
        <w:tc>
          <w:tcPr>
            <w:tcW w:type="dxa" w:w="1440"/>
            <w:shd w:fill="FAFAFA" w:val="clear"/>
          </w:tcPr>
          <w:p>
            <w:r>
              <w:rPr>
                <w:sz w:val="17"/>
              </w:rPr>
              <w:t>9,026</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8,013</w:t>
            </w:r>
          </w:p>
        </w:tc>
        <w:tc>
          <w:tcPr>
            <w:tcW w:type="dxa" w:w="1440"/>
            <w:shd w:fill="FFDCE0" w:val="clear"/>
          </w:tcPr>
          <w:p>
            <w:r>
              <w:rPr>
                <w:b/>
                <w:sz w:val="17"/>
              </w:rPr>
              <w:t>8,532</w:t>
            </w:r>
          </w:p>
        </w:tc>
        <w:tc>
          <w:tcPr>
            <w:tcW w:type="dxa" w:w="1440"/>
            <w:shd w:fill="FFDCE0" w:val="clear"/>
          </w:tcPr>
          <w:p>
            <w:r>
              <w:rPr>
                <w:sz w:val="17"/>
              </w:rPr>
              <w:t>9,051</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7,916</w:t>
            </w:r>
          </w:p>
        </w:tc>
        <w:tc>
          <w:tcPr>
            <w:tcW w:type="dxa" w:w="1440"/>
            <w:shd w:fill="FFDCE0" w:val="clear"/>
          </w:tcPr>
          <w:p>
            <w:r>
              <w:rPr>
                <w:b/>
                <w:sz w:val="17"/>
              </w:rPr>
              <w:t>8,494</w:t>
            </w:r>
          </w:p>
        </w:tc>
        <w:tc>
          <w:tcPr>
            <w:tcW w:type="dxa" w:w="1440"/>
            <w:shd w:fill="FFDCE0" w:val="clear"/>
          </w:tcPr>
          <w:p>
            <w:r>
              <w:rPr>
                <w:sz w:val="17"/>
              </w:rPr>
              <w:t>9,072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7,827</w:t>
            </w:r>
          </w:p>
        </w:tc>
        <w:tc>
          <w:tcPr>
            <w:tcW w:type="dxa" w:w="1440"/>
            <w:shd w:fill="FFDCE0" w:val="clear"/>
          </w:tcPr>
          <w:p>
            <w:r>
              <w:rPr>
                <w:b/>
                <w:sz w:val="17"/>
              </w:rPr>
              <w:t>8,458</w:t>
            </w:r>
          </w:p>
        </w:tc>
        <w:tc>
          <w:tcPr>
            <w:tcW w:type="dxa" w:w="1440"/>
            <w:shd w:fill="FFDCE0" w:val="clear"/>
          </w:tcPr>
          <w:p>
            <w:r>
              <w:rPr>
                <w:sz w:val="17"/>
              </w:rPr>
              <w:t>9,088</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7,746</w:t>
            </w:r>
          </w:p>
        </w:tc>
        <w:tc>
          <w:tcPr>
            <w:tcW w:type="dxa" w:w="1440"/>
            <w:shd w:fill="FFDCE0" w:val="clear"/>
          </w:tcPr>
          <w:p>
            <w:r>
              <w:rPr>
                <w:b/>
                <w:sz w:val="17"/>
              </w:rPr>
              <w:t>8,424</w:t>
            </w:r>
          </w:p>
        </w:tc>
        <w:tc>
          <w:tcPr>
            <w:tcW w:type="dxa" w:w="1440"/>
            <w:shd w:fill="FFDCE0" w:val="clear"/>
          </w:tcPr>
          <w:p>
            <w:r>
              <w:rPr>
                <w:sz w:val="17"/>
              </w:rPr>
              <w:t>9,102</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7,670</w:t>
            </w:r>
          </w:p>
        </w:tc>
        <w:tc>
          <w:tcPr>
            <w:tcW w:type="dxa" w:w="1440"/>
            <w:shd w:fill="FFDCE0" w:val="clear"/>
          </w:tcPr>
          <w:p>
            <w:r>
              <w:rPr>
                <w:b/>
                <w:sz w:val="17"/>
              </w:rPr>
              <w:t>8,392</w:t>
            </w:r>
          </w:p>
        </w:tc>
        <w:tc>
          <w:tcPr>
            <w:tcW w:type="dxa" w:w="1440"/>
            <w:shd w:fill="FFDCE0" w:val="clear"/>
          </w:tcPr>
          <w:p>
            <w:r>
              <w:rPr>
                <w:sz w:val="17"/>
              </w:rPr>
              <w:t>9,114</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7,599</w:t>
            </w:r>
          </w:p>
        </w:tc>
        <w:tc>
          <w:tcPr>
            <w:tcW w:type="dxa" w:w="1440"/>
            <w:shd w:fill="FFDCE0" w:val="clear"/>
          </w:tcPr>
          <w:p>
            <w:r>
              <w:rPr>
                <w:b/>
                <w:sz w:val="17"/>
              </w:rPr>
              <w:t>8,362</w:t>
            </w:r>
          </w:p>
        </w:tc>
        <w:tc>
          <w:tcPr>
            <w:tcW w:type="dxa" w:w="1440"/>
            <w:shd w:fill="FFDCE0" w:val="clear"/>
          </w:tcPr>
          <w:p>
            <w:r>
              <w:rPr>
                <w:sz w:val="17"/>
              </w:rPr>
              <w:t>9,125</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7,531</w:t>
            </w:r>
          </w:p>
        </w:tc>
        <w:tc>
          <w:tcPr>
            <w:tcW w:type="dxa" w:w="1440"/>
            <w:shd w:fill="FFDCE0" w:val="clear"/>
          </w:tcPr>
          <w:p>
            <w:r>
              <w:rPr>
                <w:b/>
                <w:sz w:val="17"/>
              </w:rPr>
              <w:t>8,333</w:t>
            </w:r>
          </w:p>
        </w:tc>
        <w:tc>
          <w:tcPr>
            <w:tcW w:type="dxa" w:w="1440"/>
            <w:shd w:fill="FFDCE0" w:val="clear"/>
          </w:tcPr>
          <w:p>
            <w:r>
              <w:rPr>
                <w:sz w:val="17"/>
              </w:rPr>
              <w:t>9,135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 BRVM — Secteur Bancaire | Cours au 8 725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s'élève à 872,50 milliards FCFA, un niveau qui la place parmi les plus grandes capitalisations de la BRVM, témoignant de son statut de valeur bancaire de référence dans la zone UEMOA. Le BPA de 556 FCFA/action signifie que chaque titre génère 556 FCFA de bénéfice net, un niveau confortable qui soutient la distribution de dividendes. Le PER de 15,7x se situe au-dessus de la moyenne BRVM (~8-12x), traduisant une prime de qualité payée par le marché pour la régularité des résultats de la banque, sans pour autant atteindre des niveaux excessifs. Le P/B de 4,26x — supérieur à 4x — indique que le marché valorise la banque à plus de quatre fois sa valeur comptable, une prime exigeante qui reflète la forte rentabilité des fonds propres (ROE de 27,2%) mais qui limite la marge de sécurité. Enfin, l'EV/EBITDA de 14,6x, dans la fourchette haute (10-15x), confirme une valorisation tendue par rapport à la capacité opérationnelle, cohérente avec le statut de valeur de croissance défensive de SIBC.</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variation totale positive de +13,31%, bien que la dernière séance (J-1) ait enregistré un repli de -1,97%, signalant une prise de bénéfices après un rallye haussier. Le cours actuel de 8 725 FCFA évolue dans un range de trading de 1 800 FCFA entre le plus bas (7 700 FCFA) et le plus haut (9 500 FCFA), ce qui traduit une tendance générale haussière mais avec une consolidation récente. Les statistiques descriptives révèlent une moyenne de 8 947 FCFA légèrement supérieure à la médiane de 8 995 FCFA — en réalité la médiane dépasse la moyenne, confirmant le skewness négatif de -1,523 : le cours a passé plus de journées au-dessus de la moyenne, avec quelques journées de forte baisse tirant la moyenne vers le bas. L'écart-type de 285 FCFA (CV de 3,2%) indique une dispersion modérée autour de la tendance, tandis que le kurtosis de 4,649 (leptokurtique) signale des queues épaisses et un risque de pics de volatilité — le titre peut connaître des mouvements brusques. La volatilité annualisée de 28,5% positionne SIBC dans la catégorie des titres à volatilité modérée (15-30%), acceptable pour une valeur bancaire de grande capitalisation.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(8 934,75 FCFA) et la MM50 (9 098,0 FCFA) se situent toutes deux au-dessus du cours actuel (8 725 FCFA), configuration baissière où le prix évolue sous ses moyennes de référence. La MM20 étant inférieure à la MM50, la tendance de court terme est déjà orientée à la baisse, justifiant la décision technique de **Vente**.</w:t>
      </w:r>
    </w:p>
    <w:p>
      <w:pPr>
        <w:spacing w:after="120" w:line="276" w:lineRule="auto"/>
      </w:pPr>
      <w:r>
        <w:t>**Bandes de Bollinger :** Le cours (8 725 FCFA) se situe dans la moitié inférieure de la bande, entre la borne inférieure (8 531,376 FCFA) et la borne supérieure (9 338,124 FCFA), sans atteindre les extrêmes. Cette position centrale basse traduit une volatilité contenue et une absence de signal extrême, d'où la décision **Neutre** — le titre n'est ni suracheté ni survendu selon ce critère.</w:t>
      </w:r>
    </w:p>
    <w:p>
      <w:pPr>
        <w:spacing w:after="120" w:line="276" w:lineRule="auto"/>
      </w:pPr>
      <w:r>
        <w:t>**MACD :** La valeur du MACD (-93,77) est inférieure à sa ligne de signal (-76,794), avec un histogramme négatif qui s'accentue. Cette divergence baissière confirme un momentum négatif persistant, justifiant la décision de **Vente** — la dynamique de court terme reste défavorable malgré la performance globale positive sur 100 jours.</w:t>
      </w:r>
    </w:p>
    <w:p>
      <w:pPr>
        <w:spacing w:after="120" w:line="276" w:lineRule="auto"/>
      </w:pPr>
      <w:r>
        <w:t>**RSI :** À 37,443, le RSI se situe dans la zone neutre basse (30-70), sans atteindre le seuil de survente (&lt;30). Le titre n'est donc pas encore techniquement "survendu" au sens strict, ce qui laisse présager une possible poursuite de la correction avant un rebond — décision **Neutre**.</w:t>
      </w:r>
    </w:p>
    <w:p>
      <w:pPr>
        <w:spacing w:after="120" w:line="276" w:lineRule="auto"/>
      </w:pPr>
      <w:r>
        <w:t>**Stochastique :** Le %K (5,435) est très bas et inférieur au %D (23,551), configuration de survente marquée. Ce positionnement extrême suggère un potentiel de rebond technique à court terme, justifiant la décision **Achat** — c'est le seul indicateur positif du tableau.</w:t>
      </w:r>
    </w:p>
    <w:p>
      <w:pPr>
        <w:spacing w:after="120" w:line="276" w:lineRule="auto"/>
      </w:pPr>
      <w:r>
        <w:t>**Conclusion technique :** La convergence des signaux est majoritairement baissière : cours sous les deux moyennes mobiles, MACD en divergence négative, RSI en zone neutre basse. Seul le stochastique, en survente extrême (%K à 5,4), suggère un rebond technique imminent. Le titre se trouve dans une phase de consolidation après un rallye de +13,31%, avec un support immédiat à 8 531 FCFA (borne inférieure de Bollinger) et une résistance à 8 934 FCFA (MM20). La configuration invite à la prudence à court terme, avec un potentiel de rebond tactique mais une tendance de fond encore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Produit Net Bancaire (équivalent du chiffre d'affaires bancaire) de 108,663 milliards FCFA, un résultat net de 55,623 milliards FCFA et une capacité d'autofinancement de 58,752 milliards FCFA. La rentabilité est exceptionnelle : ROE de 27,16% (largement au-dessus du seuil de 15% considéré comme excellent) et ROA de 2,96%. Le coefficient d'exploitation de 38,59% — très inférieur au seuil de 60% — témoigne d'une efficacité opérationnelle remarquable, avec des charges générales de 38,8 Mds FCFA pour 108,663 Mds de PNB. La marge nette de 51,19% confirme cette excellence. Le bilan est solide : total actif de 1 881,733 Mds FCFA, capitaux propres de 204,765 Mds FCFA, avec un ratio de solvabilité générale de 112,21% (actif/dettes &gt; 1 = solvable). La transformation bancaire est saine : dépôts clientèle de 1 503,441 Mds FCFA contre créances clientèle de 1 226,720 Mds FCFA, soit un ratio de transformation de 81,6%, typique d'une banque bien positionnée. Le portefeuille de titres d'État (375,561 Mds FCFA) constitue une réserve de liquidité importante.</w:t>
      </w:r>
    </w:p>
    <w:p>
      <w:pPr>
        <w:spacing w:after="120" w:line="276" w:lineRule="auto"/>
      </w:pPr>
      <w:r>
        <w:t>**Estimations basées sur les rapports trimestriels :** Le rapport du **T1 2026 (analysé le 07/05/2026)** confirme la dynamique : PNB de 27,7 Mds FCFA (+4%), résultat net de 15,2 Mds FCFA (+11%), dépôts à 1 495 Mds (+9%) et crédits à 1 112 Mds (+7%). Le rapport du **S1 2026 (analysé le 29/09/2026)** poursuit sur cette lancée : PNB de 56,592 Mds (+4,2%), résultat net de 32,140 Mds (+9,3%), avec un coût du risque quasi nul (287 M FCFA, -75,3%) et un coefficient d'exploitation de ~55,6%. Sur cette base, on estime que l'exercice 2026 devrait clôturer avec un résultat net d'environ 64-66 Mds FCFA (extrapolation du S1 à 32,14 Mds × 2, avec saisonnalité favorable), soit une croissance de ~15-18% par rapport à 2025. Le rapport annuel 2024 (publié le 31/12/2024) rappelle un dividende de 375 FCFA/action (rendement ~10,55% sur le cours de fin 2024) et un ROE de 30,56%, confirmant la régularité de la politique de rémunération.</w:t>
      </w:r>
    </w:p>
    <w:p>
      <w:pPr>
        <w:spacing w:after="120" w:line="276" w:lineRule="auto"/>
      </w:pPr>
      <w:r>
        <w:t>**Recommandation fondamentale :** Les fondamentaux de SIBC sont **solides et en amélioration continue** : croissance à deux chiffres de l'activité (+12% crédits et dépôts au S1 2026), rentabilité parmi les meilleures du secteur (ROE &gt;27%), coût du risque maîtrisé et solvabilité confortable. Les risques identifiés — concurrence bancaire accrue, renforcement réglementaire (Bâle III), dépendance à la conjoncture ivoirienne — sont structurels mais gérables. La principale incertitude reste la politique de dividende pour 2026, non encore communiquée. La recommandation fondamentale est **CONSERVER avec biais positif**, avec un potentiel de passage à ACHAT si la publication annuelle confirme la tendance et clarifie la distribution.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entre fondamentaux excellents et signaux techniques dégradés**. Sur le plan de la **valorisation (Partie 0)**, le PER de 15,7x et le P/B de 4,26x indiquent une valorisation exigeante mais justifiée par la qualité des résultats — le marché paie une prime de qualité, sans surévaluation manifeste. Le **comportement du cours (Partie 1)** montre une tendance haussière de fond (+13,31% sur 100 jours) mais une consolidation récente (-1,97% à J-1), avec un skewness négatif (-1,523) et un kurtosis élevé (4,649) qui signalent un risque de pics baissiers — préoccupant à court terme. Les **signaux techniques (Partie 2)** sont majoritairement baissiers (cours sous MM20/MM50, MACD négatif), seul le stochastique en survente extrême (%K=5,4) offrant un espoir de rebond tactique. Les **fondamentaux (Partie 3)** restent le point d'ancrage : ROE de 27,16%, coefficient d'exploitation de 38,59%, croissance du résultat net de +9,3% au S1 2026 — une machine à profits bien huilée. Les **prédictions IA (J+1 à J+10)** confirment la pression baissière de court terme, avec une trajectoire descendante de 8 675 à 8 494 FCFA, soit un repli supplémentaire de ~2,6% — cohérent avec les signaux techniques mais en contradiction avec la solidité fondamentale.</w:t>
      </w:r>
    </w:p>
    <w:p>
      <w:pPr>
        <w:spacing w:after="120" w:line="276" w:lineRule="auto"/>
      </w:pPr>
      <w:r>
        <w:t>**Recommandation finale : CONSERVER** — avec un biais tactique de **VENTE à court terme** pour les traders, et **ACHAT sur repli** pour les investisseurs long terme. La convergence est partielle : la valorisation et les fondamentaux soutiennent le titre à moyen/long terme, mais la technique et les prédictions IA plaident pour une consolidation à court terme vers la zone de support de 8 494-8 531 FCFA. **Niveau de confiance : Moyen** (divergence entre technique et fondamental). **Niveau de risque global : Moyen** (volatilité modérée de 28,5%, valorisation tendue mais résultats solides). **Horizon optimal : moyen terme (3-12 mois)** pour capter la croissance des résultats 2026 et un éventuel dividende, avec un point d'entrée idéal sur repli vers 8 500 FCFA. Les investisseurs déjà positionnés conservent leur titre pour le rendement et la qualité fondamentale ; les nouveaux entrants attendent une correction ou la publication des résultats annuels 2026 pour confirmer la tendance.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β=-1.1000 (Contre-cyclique) — Cov=-0.000043, Var(idx)=0.000039, ρ=-0.179, n=80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avec une liquidité structurellement limitée (120 titres échangés en moyenne par jour). Les ratios de valorisation classiques (BPA, PER, P/B, EV/EBITDA) ne sont pas calculables en l'état, faute de données financières structurées exploitables et de bénéfice par action consolidé fiable sur les derniers exercices — situation cohérente avec l'historique de pertes cumulées de la société. L'investisseur ne peut donc s'appuyer sur une lecture PER (référence BRVM ~8-12x) ou P/B pour juger d'une sous-évaluation : la valorisation boursière actuelle (8 400 FCFA/action) reflète davantage une anticipation spéculative de redressement qu'une assise fondamentale vérifiable, ce qui constitue un point de vigilance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SICOR affiche une performance spectaculaire de +95,35%, portant le cours à 8 400 FCFA, malgré un repli de -1,12% lors de la dernière séance. Le range de trading est particulièrement large, avec un plus bas à 3 985 FCFA et un plus haut à 10 200 FCFA, soit un écart de plus de 150% entre les extrêmes — signe d'une tendance nettement haussière mais ponctuée de corrections violentes. La moyenne (5 815 FCFA) se situe nettement au-dessus de la médiane (5 022 FCFA), confirmant une distribution asymétrique tirée vers le haut par les récents pics ; le mode à 4 380 FCFA rappelle que le cours a longtemps stagné avant l'emballement récent. L'écart-type de 1 813 FCFA et le coefficient de variation de 31,2% traduisent une dispersion élevée du cours autour de sa moyenne, donc une forte instabilité. Le kurtosis de -0,630 (mésokurtique) indique une distribution proche de la normale, sans pics extrêmes marqués, tandis que le skewness positif de 0,913 signale une asymétrie à droite — davantage de séances sous la moyenne mais des hausses ponctuelles très fortes. La volatilité annualisée de 58,2% classe le titre dans la catégorie « élevée » (&gt;30%), incompatible avec un profil prudent.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empêche toute lecture de croisement ou de positionnement relatif au cours actuel. En l'absence de ces repères, la décision technique reste indéterminée et l'analyste doit s'appuyer sur les autres indicateurs.</w:t>
      </w:r>
    </w:p>
    <w:p>
      <w:pPr>
        <w:spacing w:after="120" w:line="276" w:lineRule="auto"/>
      </w:pPr>
      <w:r>
        <w:t>**Bandes de Bollinger** : Les bornes supérieure et inférieure sont indisponibles, rendant impossible l'évaluation de la position du cours dans le canal de volatilité. La décision reste donc neutre sur ce volet.</w:t>
      </w:r>
    </w:p>
    <w:p>
      <w:pPr>
        <w:spacing w:after="120" w:line="276" w:lineRule="auto"/>
      </w:pPr>
      <w:r>
        <w:t>**MACD** : La valeur du MACD et sa ligne de signal ne sont pas fournies ; aucune divergence ni momentum ne peut être objectivement analysé. La décision est indéterminée.</w:t>
      </w:r>
    </w:p>
    <w:p>
      <w:pPr>
        <w:spacing w:after="120" w:line="276" w:lineRule="auto"/>
      </w:pPr>
      <w:r>
        <w:t>**RSI** : Le RSI n'est pas disponible, empêchant de statuer sur une zone de surachat (&gt;70) ou de survente (&lt;30). La décision reste neutre.</w:t>
      </w:r>
    </w:p>
    <w:p>
      <w:pPr>
        <w:spacing w:after="120" w:line="276" w:lineRule="auto"/>
      </w:pPr>
      <w:r>
        <w:t>**Stochastique** : Les %K et %D ne sont pas calculés, aucun croisement ne peut être interprété. La décision est indéterminée.</w:t>
      </w:r>
    </w:p>
    <w:p>
      <w:pPr>
        <w:spacing w:after="120" w:line="276" w:lineRule="auto"/>
      </w:pPr>
      <w:r>
        <w:t>**Conclusion technique** : L'ensemble des indicateurs techniques (MM, Bollinger, MACD, RSI, Stochastique) étant indisponibles, aucune convergence ou divergence ne peut être établie. Seule la lecture statistique du cours (Partie 1) reste exploitable : elle suggère une dynamique haussière puissante mais extrêmement volatile, avec un risque de correction élevé après un gain de +95% en 100 jours. La prudence technique est donc de mise, faute de signaux confirmatoires.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officiels disponibles, issus des rapports annuels analysés (exercices 2015 à 2023, avec un rapport le plus récent daté du 31/12/2024 mais tronqué), dressent un tableau contrasté. En 2022 (rapport du 31/12/2024, analyse MISTRAL), le chiffre d'affaires s'établit à 1 138,17 millions FCFA, en baisse de 17,58% sur un an, avec un résultat net négatif de -39,95 millions FCFA (marge nette -3,51%), contre un bénéfice de 119,23 millions FCFA en 2021. En 2023 (rapport du 31/12/2024, analyse MISTRAL), le CA chute encore de 38,4% à 701,09 millions FCFA, mais la société renoue avec un bénéfice net de +19,25 millions FCFA (marge nette 2,75%), grâce à une réduction drastique des charges (-43,68%) et au transfert de 50% du personnel vers la filiale SIPAL. Cette amélioration reste toutefois fragile : les pertes cumulées atteignent 689,86 millions FCFA en 2023, interdisant toute distribution de dividende (0% depuis 2019), conformément à l'Acte Uniforme OHADA. Les risques opérationnels sont lourds — vols de noix de coco ayant entraîné l'arrêt du site de Boulay, effondrement des ventes d'huile de coprah (-98,82% en 2023), découverts bancaires multipliés par 14 — tandis que les perspectives reposent sur la diversification (noix de coco, tourteaux) et la sécurisation des plantations. La convocation d'une AGO le 22 mai 2026 pour approuver les comptes 2024 (document officiel BRVM du 15/05/2026) suggère que les résultats 2024 seront publiés prochainement ; on peut estimer, sur la base de la trajectoire 2023 (retour à la profitabilité), que l'exercice 2024 devrait confirmer ce redressement fragile, sans certitude sur la résorption des pertes cumulées. La recommandation fondamentale reste donc **CONSERVER avec vigilance** : solidité financière précaire, rentabilité naissante mais non pérenne, absence de dividende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profondément ambivalent. La valorisation (Partie 0) est ininterprétable faute de ratios (PER, P/B, EV/EBITDA indisponibles), laissant la capitalisation de 5,04 Mds FCFA comme seul repère — insuffisant pour conclure à une sous- ou surévaluation. Le comportement du cours (Partie 1) est spectaculaire (+95,35% en 100 jours) mais préoccupant : volatilité annualisée de 58,2%, skewness positif de 0,913 et dispersion élevée (CV 31,2%) signalent une spéculation intense et un risque de correction sévère. Les signaux techniques (Partie 2) sont totalement absents, aucune convergence ne peut être établie, ce qui renforce l'incertitude. Les fondamentaux (Partie 3) montrent un redressement réel mais fragile (bénéfice de 19,25 M FCFA en 2023 après une perte de 39,95 M en 2022), des pertes cumulées de 689,86 M FCFA et une absence de dividende depuis 2019. Aucune prédiction IA n'est disponible pour J+1 à J+10, privant la conclusion d'un confirmateur de trajectoire. Sur cette base, la recommandation finale est **CONSERVER**, avec un niveau de confiance **Faible** (absence de signaux techniques et de prédictions) et un niveau de risque global **Élevé** (volatilité extrême, fondamentaux fragiles, liquidité limitée). L'horizon optimal est le **moyen terme (3-12 mois)**, le temps que les comptes 2024 soient publiés et que la tendance fondamentale se confirme — tout achat spéculatif à court terme relèverait d'une prise de risque disproportionnée.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5,345 titres</w:t>
            </w:r>
          </w:p>
        </w:tc>
        <w:tc>
          <w:tcPr>
            <w:tcW w:type="dxa" w:w="2268"/>
            <w:shd w:fill="FFF2CC" w:val="clear"/>
          </w:tcPr>
          <w:p>
            <w:r>
              <w:rPr>
                <w:b/>
                <w:color w:val="503200"/>
                <w:sz w:val="16"/>
              </w:rPr>
              <w:t xml:space="preserve">Cours actuel : </w:t>
            </w:r>
            <w:r>
              <w:rPr>
                <w:color w:val="000000"/>
                <w:sz w:val="17"/>
              </w:rPr>
              <w:t>1,790 FCFA</w:t>
            </w:r>
          </w:p>
          <w:p>
            <w:r>
              <w:rPr>
                <w:b/>
                <w:color w:val="503200"/>
                <w:sz w:val="16"/>
              </w:rPr>
              <w:t xml:space="preserve">Var. 100 jours : </w:t>
            </w:r>
            <w:r>
              <w:rPr>
                <w:b/>
                <w:color w:val="B40000"/>
                <w:sz w:val="17"/>
              </w:rPr>
              <w:t>-37.74%</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1,790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12.30% (Moyenne) — μ=2,347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β=0.4963 (Défensif) — Cov=0.000037, Var(idx)=0.000075, ρ=0.124,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1,757</w:t>
            </w:r>
          </w:p>
        </w:tc>
        <w:tc>
          <w:tcPr>
            <w:tcW w:type="dxa" w:w="1440"/>
            <w:shd w:fill="C6EFCE" w:val="clear"/>
          </w:tcPr>
          <w:p>
            <w:r>
              <w:rPr>
                <w:b/>
                <w:sz w:val="17"/>
              </w:rPr>
              <w:t>1,849</w:t>
            </w:r>
          </w:p>
        </w:tc>
        <w:tc>
          <w:tcPr>
            <w:tcW w:type="dxa" w:w="1440"/>
            <w:shd w:fill="C6EFCE" w:val="clear"/>
          </w:tcPr>
          <w:p>
            <w:r>
              <w:rPr>
                <w:sz w:val="17"/>
              </w:rPr>
              <w:t>1,941</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1,714</w:t>
            </w:r>
          </w:p>
        </w:tc>
        <w:tc>
          <w:tcPr>
            <w:tcW w:type="dxa" w:w="1440"/>
            <w:shd w:fill="C6EFCE" w:val="clear"/>
          </w:tcPr>
          <w:p>
            <w:r>
              <w:rPr>
                <w:b/>
                <w:sz w:val="17"/>
              </w:rPr>
              <w:t>1,844</w:t>
            </w:r>
          </w:p>
        </w:tc>
        <w:tc>
          <w:tcPr>
            <w:tcW w:type="dxa" w:w="1440"/>
            <w:shd w:fill="C6EFCE" w:val="clear"/>
          </w:tcPr>
          <w:p>
            <w:r>
              <w:rPr>
                <w:sz w:val="17"/>
              </w:rPr>
              <w:t>1,975</w:t>
            </w:r>
          </w:p>
        </w:tc>
        <w:tc>
          <w:tcPr>
            <w:tcW w:type="dxa" w:w="1440"/>
            <w:shd w:fill="C6EFCE" w:val="clear"/>
          </w:tcPr>
          <w:p>
            <w:r>
              <w:rPr>
                <w:b/>
                <w:color w:val="008000"/>
                <w:sz w:val="17"/>
              </w:rPr>
              <w:t>+3.0%</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1,688</w:t>
            </w:r>
          </w:p>
        </w:tc>
        <w:tc>
          <w:tcPr>
            <w:tcW w:type="dxa" w:w="1440"/>
            <w:shd w:fill="C6EFCE" w:val="clear"/>
          </w:tcPr>
          <w:p>
            <w:r>
              <w:rPr>
                <w:b/>
                <w:sz w:val="17"/>
              </w:rPr>
              <w:t>1,848</w:t>
            </w:r>
          </w:p>
        </w:tc>
        <w:tc>
          <w:tcPr>
            <w:tcW w:type="dxa" w:w="1440"/>
            <w:shd w:fill="C6EFCE" w:val="clear"/>
          </w:tcPr>
          <w:p>
            <w:r>
              <w:rPr>
                <w:sz w:val="17"/>
              </w:rPr>
              <w:t>2,007</w:t>
            </w:r>
          </w:p>
        </w:tc>
        <w:tc>
          <w:tcPr>
            <w:tcW w:type="dxa" w:w="1440"/>
            <w:shd w:fill="C6EFCE" w:val="clear"/>
          </w:tcPr>
          <w:p>
            <w:r>
              <w:rPr>
                <w:b/>
                <w:color w:val="008000"/>
                <w:sz w:val="17"/>
              </w:rPr>
              <w:t>+3.2%</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1,668</w:t>
            </w:r>
          </w:p>
        </w:tc>
        <w:tc>
          <w:tcPr>
            <w:tcW w:type="dxa" w:w="1440"/>
            <w:shd w:fill="C6EFCE" w:val="clear"/>
          </w:tcPr>
          <w:p>
            <w:r>
              <w:rPr>
                <w:b/>
                <w:sz w:val="17"/>
              </w:rPr>
              <w:t>1,853</w:t>
            </w:r>
          </w:p>
        </w:tc>
        <w:tc>
          <w:tcPr>
            <w:tcW w:type="dxa" w:w="1440"/>
            <w:shd w:fill="C6EFCE" w:val="clear"/>
          </w:tcPr>
          <w:p>
            <w:r>
              <w:rPr>
                <w:sz w:val="17"/>
              </w:rPr>
              <w:t>2,038</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1,652</w:t>
            </w:r>
          </w:p>
        </w:tc>
        <w:tc>
          <w:tcPr>
            <w:tcW w:type="dxa" w:w="1440"/>
            <w:shd w:fill="C6EFCE" w:val="clear"/>
          </w:tcPr>
          <w:p>
            <w:r>
              <w:rPr>
                <w:b/>
                <w:sz w:val="17"/>
              </w:rPr>
              <w:t>1,859</w:t>
            </w:r>
          </w:p>
        </w:tc>
        <w:tc>
          <w:tcPr>
            <w:tcW w:type="dxa" w:w="1440"/>
            <w:shd w:fill="C6EFCE" w:val="clear"/>
          </w:tcPr>
          <w:p>
            <w:r>
              <w:rPr>
                <w:sz w:val="17"/>
              </w:rPr>
              <w:t>2,066</w:t>
            </w:r>
          </w:p>
        </w:tc>
        <w:tc>
          <w:tcPr>
            <w:tcW w:type="dxa" w:w="1440"/>
            <w:shd w:fill="C6EFCE" w:val="clear"/>
          </w:tcPr>
          <w:p>
            <w:r>
              <w:rPr>
                <w:b/>
                <w:color w:val="008000"/>
                <w:sz w:val="17"/>
              </w:rPr>
              <w:t>+3.9%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1,637</w:t>
            </w:r>
          </w:p>
        </w:tc>
        <w:tc>
          <w:tcPr>
            <w:tcW w:type="dxa" w:w="1440"/>
            <w:shd w:fill="C6EFCE" w:val="clear"/>
          </w:tcPr>
          <w:p>
            <w:r>
              <w:rPr>
                <w:b/>
                <w:sz w:val="17"/>
              </w:rPr>
              <w:t>1,865</w:t>
            </w:r>
          </w:p>
        </w:tc>
        <w:tc>
          <w:tcPr>
            <w:tcW w:type="dxa" w:w="1440"/>
            <w:shd w:fill="C6EFCE" w:val="clear"/>
          </w:tcPr>
          <w:p>
            <w:r>
              <w:rPr>
                <w:sz w:val="17"/>
              </w:rPr>
              <w:t>2,093</w:t>
            </w:r>
          </w:p>
        </w:tc>
        <w:tc>
          <w:tcPr>
            <w:tcW w:type="dxa" w:w="1440"/>
            <w:shd w:fill="C6EFCE" w:val="clear"/>
          </w:tcPr>
          <w:p>
            <w:r>
              <w:rPr>
                <w:b/>
                <w:color w:val="008000"/>
                <w:sz w:val="17"/>
              </w:rPr>
              <w:t>+4.2%</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1,624</w:t>
            </w:r>
          </w:p>
        </w:tc>
        <w:tc>
          <w:tcPr>
            <w:tcW w:type="dxa" w:w="1440"/>
            <w:shd w:fill="C6EFCE" w:val="clear"/>
          </w:tcPr>
          <w:p>
            <w:r>
              <w:rPr>
                <w:b/>
                <w:sz w:val="17"/>
              </w:rPr>
              <w:t>1,871</w:t>
            </w:r>
          </w:p>
        </w:tc>
        <w:tc>
          <w:tcPr>
            <w:tcW w:type="dxa" w:w="1440"/>
            <w:shd w:fill="C6EFCE" w:val="clear"/>
          </w:tcPr>
          <w:p>
            <w:r>
              <w:rPr>
                <w:sz w:val="17"/>
              </w:rPr>
              <w:t>2,118</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1,612</w:t>
            </w:r>
          </w:p>
        </w:tc>
        <w:tc>
          <w:tcPr>
            <w:tcW w:type="dxa" w:w="1440"/>
            <w:shd w:fill="C6EFCE" w:val="clear"/>
          </w:tcPr>
          <w:p>
            <w:r>
              <w:rPr>
                <w:b/>
                <w:sz w:val="17"/>
              </w:rPr>
              <w:t>1,877</w:t>
            </w:r>
          </w:p>
        </w:tc>
        <w:tc>
          <w:tcPr>
            <w:tcW w:type="dxa" w:w="1440"/>
            <w:shd w:fill="C6EFCE" w:val="clear"/>
          </w:tcPr>
          <w:p>
            <w:r>
              <w:rPr>
                <w:sz w:val="17"/>
              </w:rPr>
              <w:t>2,142</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1,601</w:t>
            </w:r>
          </w:p>
        </w:tc>
        <w:tc>
          <w:tcPr>
            <w:tcW w:type="dxa" w:w="1440"/>
            <w:shd w:fill="C6EFCE" w:val="clear"/>
          </w:tcPr>
          <w:p>
            <w:r>
              <w:rPr>
                <w:b/>
                <w:sz w:val="17"/>
              </w:rPr>
              <w:t>1,883</w:t>
            </w:r>
          </w:p>
        </w:tc>
        <w:tc>
          <w:tcPr>
            <w:tcW w:type="dxa" w:w="1440"/>
            <w:shd w:fill="C6EFCE" w:val="clear"/>
          </w:tcPr>
          <w:p>
            <w:r>
              <w:rPr>
                <w:sz w:val="17"/>
              </w:rPr>
              <w:t>2,164</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1,591</w:t>
            </w:r>
          </w:p>
        </w:tc>
        <w:tc>
          <w:tcPr>
            <w:tcW w:type="dxa" w:w="1440"/>
            <w:shd w:fill="C6EFCE" w:val="clear"/>
          </w:tcPr>
          <w:p>
            <w:r>
              <w:rPr>
                <w:b/>
                <w:sz w:val="17"/>
              </w:rPr>
              <w:t>1,888</w:t>
            </w:r>
          </w:p>
        </w:tc>
        <w:tc>
          <w:tcPr>
            <w:tcW w:type="dxa" w:w="1440"/>
            <w:shd w:fill="C6EFCE" w:val="clear"/>
          </w:tcPr>
          <w:p>
            <w:r>
              <w:rPr>
                <w:sz w:val="17"/>
              </w:rPr>
              <w:t>2,186</w:t>
            </w:r>
          </w:p>
        </w:tc>
        <w:tc>
          <w:tcPr>
            <w:tcW w:type="dxa" w:w="1440"/>
            <w:shd w:fill="C6EFCE" w:val="clear"/>
          </w:tcPr>
          <w:p>
            <w:r>
              <w:rPr>
                <w:b/>
                <w:color w:val="008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 RAPPORT D'ANALYSE FINANCIÈRE — SIVC / ERIUM COTE D'IVOIRE (BRVM)</w:t>
      </w:r>
    </w:p>
    <w:p>
      <w:pPr>
        <w:spacing w:after="120" w:line="276" w:lineRule="auto"/>
      </w:pPr>
      <w:r>
        <w:t>**Date d'analyse : Octobre 2026 | Cours de référence : 1 790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(désormais ERIUM Côte d'Ivoire) s'établit à **15,63 milliards FCFA**, un niveau modeste à l'échelle de la BRVM qui la place parmi les petites capitalisations du compartiment industriel. Le BPA de **21 FCFA par action** traduit un bénéfice net très faible rapporté au nombre de titres en circulation, conséquence directe de la chute du résultat net 2025. Le PER ressort à **87,2x**, soit un niveau extrêmement élevé comparé à la moyenne BRVM (8-12x) : les investisseurs paient environ 87 fois les bénéfices actuels, ce qui traduit soit une anticipation de fort rebond des profits, soit une décorrélation inquiétante entre le prix et la rentabilité réelle. Le P/B de **6,19x** confirme cette prime très forte (plus de 6 fois la valeur comptable), tandis que l'EV/EBITDA de **16,0x** situe la valeur d'entreprise à un multiple exigeant par rapport à la capacité opérationnelle de génération de cash. L'ensemble de ces ratios signale une **valorisation tendue et non soutenue par les fondamentaux actuels**, imposant une grande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**variation totale de -37,74%**, avec une dernière séance stable (J-1 : +0,00%) à **1 790 FCFA**, qui correspond précisément au plus bas de la période — un signal baissier préoccupant. Le range de trading s'étend du plus haut de **2 875 FCFA** au plus bas de **1 790 FCFA**, soit un amplitude de plus de 1 000 FCFA illustrant une correction sévère et une tendance clairement **baissière** sur la période. Les statistiques descriptives révèlent une moyenne de **2 347 FCFA** légèrement supérieure à la médiane de **2 335 FCFA**, avec un mode à **2 000 FCFA** : l'écart limité entre moyenne et médiane (12 FCFA) confirme une distribution quasi symétrique, cohérente avec le skewness de **0,279** (asymétrie légère vers la droite). L'écart-type de **290 FCFA** pour un coefficient de variation de **12,4%** indique une dispersion modérée autour de la moyenne, mais le kurtosis de **-0,715** (mésokurtique) suggère une distribution proche de la normale, sans pics extrêmes marqués — le risque de mouvements brutaux isolés est donc limité. La **volatilité annualisée de 54,3%** classe le titre dans la catégorie des valeurs **très volatiles** (seuil &gt;30%), ce qui est cohérent avec la correction de -37,74% observée et appelle à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**1 978,5 FCFA** et la MM50 à **2 193,9 FCFA**, toutes deux nettement au-dessus du cours actuel de 1 790 FCFA. Cette configuration — prix sous les deux moyennes, avec MM20 &lt; MM50 — confirme une structure baissière de court et moyen terme. La décision technique est logiquement **Vente**, le titre n'ayant pas encore trouvé de support de réintégration.</w:t>
      </w:r>
    </w:p>
    <w:p>
      <w:pPr>
        <w:spacing w:after="120" w:line="276" w:lineRule="auto"/>
      </w:pPr>
      <w:r>
        <w:t>**Bandes de Bollinger :** La borne supérieure est à **2 173,25 FCFA** et la borne inférieure à **1 783,75 FCFA**, avec un cours actuel de **1 790 FCFA** qui évolue à proximité immédiate de la bande basse. Cette position signale une pression vendeuse persistante, mais l'absence de cassure franche sous la borne inférieure maintient la décision en **Neutre** — le titre est en zone de survente technique sans signal de rebond confirmé.</w:t>
      </w:r>
    </w:p>
    <w:p>
      <w:pPr>
        <w:spacing w:after="120" w:line="276" w:lineRule="auto"/>
      </w:pPr>
      <w:r>
        <w:t>**MACD :** La valeur du MACD est de **-102,952** contre un signal à **-88,111**, soit une divergence négative où la ligne MACD reste sous sa ligne de signal. Ce positionnement traduit un **momentum baissier toujours actif**, bien que l'écart entre les deux lignes se réduise légèrement, suggérant un essoufflement progressif de la dynamique négative. La décision reste **Vente**.</w:t>
      </w:r>
    </w:p>
    <w:p>
      <w:pPr>
        <w:spacing w:after="120" w:line="276" w:lineRule="auto"/>
      </w:pPr>
      <w:r>
        <w:t>**RSI :** À **30,909**, le RSI se situe à la frontière de la zone de survente (seuil 30), ce qui indique que le titre a été fortement vendu et pourrait approcher d'un point de retournement technique. La décision est **Neutre** : ni signal d'achat franc (survente extrême), ni signal de vente supplémentaire.</w:t>
      </w:r>
    </w:p>
    <w:p>
      <w:pPr>
        <w:spacing w:after="120" w:line="276" w:lineRule="auto"/>
      </w:pPr>
      <w:r>
        <w:t>**Stochastique :** Les valeurs %K et %D sont toutes deux à **0,0**, un niveau extrême de survente absolue qui place les deux lignes au plancher. Bien que ce niveau traduise une pression vendeuse maximale, il constitue historiquement un signal de **rebond potentiel** — d'où la décision **Achat** du stochastique, en divergence avec les autres indicateurs.</w:t>
      </w:r>
    </w:p>
    <w:p>
      <w:pPr>
        <w:spacing w:after="120" w:line="276" w:lineRule="auto"/>
      </w:pPr>
      <w:r>
        <w:t>**Conclusion technique :** Les indicateurs sont majoritairement baissiers (MM, MACD) avec un titre collé à sa borne basse de Bollinger et un RSI en zone limite de survente. Cependant, le stochastique à 0,0 et le RSI proche de 30 suggèrent un **épuisement de la pression vendeuse** et un possible rebond technique à court terme. La convergence n'est pas totale : le signal d'achat stochastique contredit la tendance de fond, ce qui plaide pour une **attente de confirmation** avant toute exposition.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ERIUM Côte d'Ivoire a réalisé un chiffre d'affaires de **10,075 milliards FCFA**, en croissance de **+8,53%** par rapport à 2024 (9,283 Mds FCFA), confirmant une dynamique commerciale réelle. Cependant, le résultat net a chuté de **-52,4%** à **179,29 millions FCFA**, faisant plonger la marge nette de 4,06% à **1,78%** et le ROE à **7,10%** (bien en dessous du seuil de 15% considéré comme excellent), tandis que le ROA n'atteint que **1,23%**. La structure financière est fragile : l'autonomie financière de **17,29%** est inférieure au seuil sain de 30%, le ratio d'endettement atteint **228,41%** et la trésorerie nette est négative à **-1,661 milliard FCFA**. Le BFR est toutefois négatif à **-470,79 millions FCFA** (favorable), mais les délais d'exploitation sont préoccupants : **79,3 jours** de délai client (risque trésorerie) et **189,26 jours** de durée de stockage (immobilisation de capital importante), compensés par un délai fournisseur élevé de **323,35 jours**. La capacité de remboursement de **6,64 années** de CAF et la couverture des intérêts de **235%** restent acceptables.</w:t>
      </w:r>
    </w:p>
    <w:p>
      <w:pPr>
        <w:spacing w:after="120" w:line="276" w:lineRule="auto"/>
      </w:pPr>
      <w:r>
        <w:t>**Estimations issues des rapports trimestriels :** Le rapport du **S1 2025 (30 juin 2025)** faisait état d'un CA de 4 897,5 M FCFA (+8,8%) et d'un résultat net de 512,9 M FCFA (+4,6%), avec une marge nette de 10,5% — nettement supérieure à la marge annuelle finale de 1,78%. Le rapport du **3e trimestre 2025** confirmait cette tendance avec un CA cumulé de 7 584,7 M FCFA (+13%) et un résultat net de 832,5 M FCFA (+58%), soit une marge nette de 11,0%. **On estime donc que la dégradation brutale du résultat net annuel (179 M FCFA contre 833 M FCFA au T3) provient d'éléments non récurrents ou de charges de fin d'année (résultat financier négatif de -314 M FCFA, éléments hors activités ordinaires défavorables)**, et non d'une détérioration de l'exploitation courante — un point crucial pour l'analyse. Le rapport annuel 2025 (analysé le 29/06/2026) recommande d'ailleurs **CONSERVER** avec surveillance, soulignant le paradoxe croissance/rentabilité. Enfin, le communiqué du **21/11/2025** relatif au franchissement de seuil (cession de 72,08% par Air Liquide International à ERIUM LTD à 230 FCFA/action) constitue un **événement capitalistique majeur** pouvant expliquer la volatilité du titre et nécessitant un suivi attentif de la nouvelle gouvernance.</w:t>
      </w:r>
    </w:p>
    <w:p>
      <w:pPr>
        <w:spacing w:after="120" w:line="276" w:lineRule="auto"/>
      </w:pPr>
      <w:r>
        <w:t>**Conclusion fondamentale :** La société affiche une croissance commerciale solide mais une rentabilité nette annuelle dégradée par des éléments exceptionnels, avec une structure financière sous-capitalisée et une trésorerie tendue. Le profil est **spéculatif** : le potentiel de rebond des marges (si les charges exceptionnelles ne se répètent pas) contraste avec les risques de liquidité et d'endettement.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marqué entre valorisation et fondamentaux** : les ratios PER de 87,2x, P/B de 6,19x et EV/EBITDA de 16,0x traduisent une **surévaluation manifeste** au regard d'un BPA de seulement 21 FCFA et d'un ROE de 7,10%, sans marge de sécurité. Le comportement du cours est clairement baissier (-37,74% sur 100 jours, cours au plus bas), avec une volatilité élevée de 54,3% et des statistiques (kurtosis -0,715, skewness 0,279) indiquant une distribution normale sans pics extrêmes — le risque est donc **diffus et persistant** plutôt que ponctuel. Les signaux techniques sont majoritairement négatifs (MM sous le prix, MACD baissier, cours à la borne basse de Bollinger), mais le stochastique à 0,0 et le RSI à 30,9 suggèrent un **épuisement vendeur propice à un rebond technique**. Les fondamentaux 2025 sont mitigés : croissance du CA (+8,53%) mais effondrement du résultat net (-52,4%) dû à des éléments non récurrents, avec une structure financière fragile (autonomie 17,29%, trésorerie nette -1,661 Md FCFA) — les rapports T3 2025 laissent toutefois entrevoir un potentiel de redressement opérationnel. Les **prédictions IA (J+1 à J+10)** anticipent une légère reprise de 1 790 à 1 859 FCFA (+3,9% en 5 séances), ce qui **confirme le scénario de rebond technique** sans pour autant valider un retournement fondamental.</w:t>
      </w:r>
    </w:p>
    <w:p>
      <w:pPr>
        <w:spacing w:after="120" w:line="276" w:lineRule="auto"/>
      </w:pPr>
      <w:r>
        <w:t>**Recommandation finale : CONSERVER (avec surveillance renforcée)** — Le titre présente une divergence classique : technique de court terme orientée vers un rebond (stochastique, RSI, prédictions IA haussières) contre une valorisation très exigeante et des fondamentaux fragiles. Un nouvel investisseur devrait **attendre la confirmation d'un retournement de tendance** (réintégration de la MM20 à 1 978 FCFA) et la publication des prochains résultats semestriels 2026 avant d'entrer. Le détenteur existant peut conserver en surveillant le support de 1 783 FCFA (borne basse de Bollinger) comme niveau de stop-loss. **Niveau de confiance : Moyen** (signaux contradictoires entre technique court terme et fondamental). **Niveau de risque global : Élevé** (volatilité 54,3%, endettement 228%, trésorerie négative, changement de contrôle actionnarial). **Horizon optimal : Moyen terme (3-12 mois)**, le temps que la nouvelle gouvernance ERIUM LTD démontre sa capacité à restaurer la rentabilité nette et à assainir la structure financière.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633.74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1,353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+1.29%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μ=38,276 FCFA, σ=862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β=0.0074 (Défensif) — Cov=0.000001, Var(idx)=0.000075, ρ=0.004,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38,148</w:t>
            </w:r>
          </w:p>
        </w:tc>
        <w:tc>
          <w:tcPr>
            <w:tcW w:type="dxa" w:w="1440"/>
            <w:shd w:fill="FAFAFA" w:val="clear"/>
          </w:tcPr>
          <w:p>
            <w:r>
              <w:rPr>
                <w:b/>
                <w:sz w:val="17"/>
              </w:rPr>
              <w:t>38,677</w:t>
            </w:r>
          </w:p>
        </w:tc>
        <w:tc>
          <w:tcPr>
            <w:tcW w:type="dxa" w:w="1440"/>
            <w:shd w:fill="FAFAFA" w:val="clear"/>
          </w:tcPr>
          <w:p>
            <w:r>
              <w:rPr>
                <w:sz w:val="17"/>
              </w:rPr>
              <w:t>39,206</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38,074</w:t>
            </w:r>
          </w:p>
        </w:tc>
        <w:tc>
          <w:tcPr>
            <w:tcW w:type="dxa" w:w="1440"/>
            <w:shd w:fill="FAFAFA" w:val="clear"/>
          </w:tcPr>
          <w:p>
            <w:r>
              <w:rPr>
                <w:b/>
                <w:sz w:val="17"/>
              </w:rPr>
              <w:t>38,825</w:t>
            </w:r>
          </w:p>
        </w:tc>
        <w:tc>
          <w:tcPr>
            <w:tcW w:type="dxa" w:w="1440"/>
            <w:shd w:fill="FAFAFA" w:val="clear"/>
          </w:tcPr>
          <w:p>
            <w:r>
              <w:rPr>
                <w:sz w:val="17"/>
              </w:rPr>
              <w:t>39,575</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38,038</w:t>
            </w:r>
          </w:p>
        </w:tc>
        <w:tc>
          <w:tcPr>
            <w:tcW w:type="dxa" w:w="1440"/>
            <w:shd w:fill="FAFAFA" w:val="clear"/>
          </w:tcPr>
          <w:p>
            <w:r>
              <w:rPr>
                <w:b/>
                <w:sz w:val="17"/>
              </w:rPr>
              <w:t>38,961</w:t>
            </w:r>
          </w:p>
        </w:tc>
        <w:tc>
          <w:tcPr>
            <w:tcW w:type="dxa" w:w="1440"/>
            <w:shd w:fill="FAFAFA" w:val="clear"/>
          </w:tcPr>
          <w:p>
            <w:r>
              <w:rPr>
                <w:sz w:val="17"/>
              </w:rPr>
              <w:t>39,884</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38,025</w:t>
            </w:r>
          </w:p>
        </w:tc>
        <w:tc>
          <w:tcPr>
            <w:tcW w:type="dxa" w:w="1440"/>
            <w:shd w:fill="FAFAFA" w:val="clear"/>
          </w:tcPr>
          <w:p>
            <w:r>
              <w:rPr>
                <w:b/>
                <w:sz w:val="17"/>
              </w:rPr>
              <w:t>39,094</w:t>
            </w:r>
          </w:p>
        </w:tc>
        <w:tc>
          <w:tcPr>
            <w:tcW w:type="dxa" w:w="1440"/>
            <w:shd w:fill="FAFAFA" w:val="clear"/>
          </w:tcPr>
          <w:p>
            <w:r>
              <w:rPr>
                <w:sz w:val="17"/>
              </w:rPr>
              <w:t>40,163</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38,025</w:t>
            </w:r>
          </w:p>
        </w:tc>
        <w:tc>
          <w:tcPr>
            <w:tcW w:type="dxa" w:w="1440"/>
            <w:shd w:fill="FAFAFA" w:val="clear"/>
          </w:tcPr>
          <w:p>
            <w:r>
              <w:rPr>
                <w:b/>
                <w:sz w:val="17"/>
              </w:rPr>
              <w:t>39,225</w:t>
            </w:r>
          </w:p>
        </w:tc>
        <w:tc>
          <w:tcPr>
            <w:tcW w:type="dxa" w:w="1440"/>
            <w:shd w:fill="FAFAFA" w:val="clear"/>
          </w:tcPr>
          <w:p>
            <w:r>
              <w:rPr>
                <w:sz w:val="17"/>
              </w:rPr>
              <w:t>40,424</w:t>
            </w:r>
          </w:p>
        </w:tc>
        <w:tc>
          <w:tcPr>
            <w:tcW w:type="dxa" w:w="1440"/>
            <w:shd w:fill="FAFAFA" w:val="clear"/>
          </w:tcPr>
          <w:p>
            <w:r>
              <w:rPr>
                <w:b/>
                <w:color w:val="008000"/>
                <w:sz w:val="17"/>
              </w:rPr>
              <w:t>+1.9%</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38,036</w:t>
            </w:r>
          </w:p>
        </w:tc>
        <w:tc>
          <w:tcPr>
            <w:tcW w:type="dxa" w:w="1440"/>
            <w:shd w:fill="C6EFCE" w:val="clear"/>
          </w:tcPr>
          <w:p>
            <w:r>
              <w:rPr>
                <w:b/>
                <w:sz w:val="17"/>
              </w:rPr>
              <w:t>39,354</w:t>
            </w:r>
          </w:p>
        </w:tc>
        <w:tc>
          <w:tcPr>
            <w:tcW w:type="dxa" w:w="1440"/>
            <w:shd w:fill="C6EFCE" w:val="clear"/>
          </w:tcPr>
          <w:p>
            <w:r>
              <w:rPr>
                <w:sz w:val="17"/>
              </w:rPr>
              <w:t>40,672</w:t>
            </w:r>
          </w:p>
        </w:tc>
        <w:tc>
          <w:tcPr>
            <w:tcW w:type="dxa" w:w="1440"/>
            <w:shd w:fill="C6EFCE" w:val="clear"/>
          </w:tcPr>
          <w:p>
            <w:r>
              <w:rPr>
                <w:b/>
                <w:color w:val="008000"/>
                <w:sz w:val="17"/>
              </w:rPr>
              <w:t>+2.2%</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38,052</w:t>
            </w:r>
          </w:p>
        </w:tc>
        <w:tc>
          <w:tcPr>
            <w:tcW w:type="dxa" w:w="1440"/>
            <w:shd w:fill="C6EFCE" w:val="clear"/>
          </w:tcPr>
          <w:p>
            <w:r>
              <w:rPr>
                <w:b/>
                <w:sz w:val="17"/>
              </w:rPr>
              <w:t>39,481</w:t>
            </w:r>
          </w:p>
        </w:tc>
        <w:tc>
          <w:tcPr>
            <w:tcW w:type="dxa" w:w="1440"/>
            <w:shd w:fill="C6EFCE" w:val="clear"/>
          </w:tcPr>
          <w:p>
            <w:r>
              <w:rPr>
                <w:sz w:val="17"/>
              </w:rPr>
              <w:t>40,909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38,074</w:t>
            </w:r>
          </w:p>
        </w:tc>
        <w:tc>
          <w:tcPr>
            <w:tcW w:type="dxa" w:w="1440"/>
            <w:shd w:fill="C6EFCE" w:val="clear"/>
          </w:tcPr>
          <w:p>
            <w:r>
              <w:rPr>
                <w:b/>
                <w:sz w:val="17"/>
              </w:rPr>
              <w:t>39,606</w:t>
            </w:r>
          </w:p>
        </w:tc>
        <w:tc>
          <w:tcPr>
            <w:tcW w:type="dxa" w:w="1440"/>
            <w:shd w:fill="C6EFCE" w:val="clear"/>
          </w:tcPr>
          <w:p>
            <w:r>
              <w:rPr>
                <w:sz w:val="17"/>
              </w:rPr>
              <w:t>41,138</w:t>
            </w:r>
          </w:p>
        </w:tc>
        <w:tc>
          <w:tcPr>
            <w:tcW w:type="dxa" w:w="1440"/>
            <w:shd w:fill="C6EFCE" w:val="clear"/>
          </w:tcPr>
          <w:p>
            <w:r>
              <w:rPr>
                <w:b/>
                <w:color w:val="008000"/>
                <w:sz w:val="17"/>
              </w:rPr>
              <w:t>+2.9%</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38,100</w:t>
            </w:r>
          </w:p>
        </w:tc>
        <w:tc>
          <w:tcPr>
            <w:tcW w:type="dxa" w:w="1440"/>
            <w:shd w:fill="C6EFCE" w:val="clear"/>
          </w:tcPr>
          <w:p>
            <w:r>
              <w:rPr>
                <w:b/>
                <w:sz w:val="17"/>
              </w:rPr>
              <w:t>39,729</w:t>
            </w:r>
          </w:p>
        </w:tc>
        <w:tc>
          <w:tcPr>
            <w:tcW w:type="dxa" w:w="1440"/>
            <w:shd w:fill="C6EFCE" w:val="clear"/>
          </w:tcPr>
          <w:p>
            <w:r>
              <w:rPr>
                <w:sz w:val="17"/>
              </w:rPr>
              <w:t>41,359</w:t>
            </w:r>
          </w:p>
        </w:tc>
        <w:tc>
          <w:tcPr>
            <w:tcW w:type="dxa" w:w="1440"/>
            <w:shd w:fill="C6EFCE" w:val="clear"/>
          </w:tcPr>
          <w:p>
            <w:r>
              <w:rPr>
                <w:b/>
                <w:color w:val="008000"/>
                <w:sz w:val="17"/>
              </w:rPr>
              <w:t>+3.2%</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38,128</w:t>
            </w:r>
          </w:p>
        </w:tc>
        <w:tc>
          <w:tcPr>
            <w:tcW w:type="dxa" w:w="1440"/>
            <w:shd w:fill="C6EFCE" w:val="clear"/>
          </w:tcPr>
          <w:p>
            <w:r>
              <w:rPr>
                <w:b/>
                <w:sz w:val="17"/>
              </w:rPr>
              <w:t>39,851</w:t>
            </w:r>
          </w:p>
        </w:tc>
        <w:tc>
          <w:tcPr>
            <w:tcW w:type="dxa" w:w="1440"/>
            <w:shd w:fill="C6EFCE" w:val="clear"/>
          </w:tcPr>
          <w:p>
            <w:r>
              <w:rPr>
                <w:sz w:val="17"/>
              </w:rPr>
              <w:t>41,574</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 RAPPORT D'ANALYSE FINANCIÈRE — SLBC (SOLIBRA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633,74 milliards FCFA, SOLIBRA s'impose comme l'une des plus grandes capitalisations de la BRVM, ce qui témoigne de sa solidité et de son poids dans l'indice régional. Le BPA de 2 781 FCFA/action signifie que chaque titre génère près de 2 800 FCFA de bénéfice net, un niveau élevé qui reflète la forte rentabilité de l'entreprise. Le PER de 13,8x se situe légèrement au-dessus de la moyenne BRVM (8-12x), mais reste modéré au regard de la croissance exceptionnelle du résultat net (+113% en 2025) : les investisseurs paient une prime raisonnable pour une valeur de croissance. Le P/B de 3,25x indique que le marché valorise SOLIBRA à plus de trois fois sa valeur comptable, traduisant une prime de croissance justifiée par un ROE de 23,5%. Enfin, l'EV/EBITDA de 7,5x (dans la fourchette raisonnable de 5-10x) montre que la valeur totale de l'entreprise reste cohérente avec sa capacité opérationnelle, confirmant une valorisation globalement équilibrée,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affiche une variation totale de +1,29%, avec une dernière séance quasi stable (+0,03%), s'établissant à 38 500 FCFA. Le range de trading s'est étendu entre un plus bas de 36 900 FCFA et un plus haut de 41 500 FCFA, soit une amplitude de 12,5% qui traduit une tendance globalement haussière mais avec des phases de consolidation. La tendance de fond reste positive, portée par les excellents résultats 2025 et la perspective d'un dividende attractif de 2 127 FCFA/action. Les statistiques descriptives révèlent une moyenne de 38 276 FCFA légèrement supérieure à la médiane (38 000 FCFA) et au mode (38 000 FCFA), signe d'une distribution faiblement asymétrique à droite, confirmée par un skewness de 0,767 (plus de journées sous la moyenne, avec quelques pics haussiers). L'écart-type de 867 FCFA et le coefficient de variation de 2,3% indiquent une dispersion très faible du cours, donc une grande stabilité relative. Le kurtosis de 0,682 (mésokurtique) suggère un comportement proche d'une distribution normale, sans risque excessif de pics extrêmes. La volatilité annualisée de 24,7% place le titre dans la catégorie modérée (15-30%), cohérente avec un profil de valeur défensive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(37 771 FCFA) et la MM50 (37 682,3 FCFA) se situent toutes deux sous le cours actuel (38 500 FCFA), avec la MM20 légèrement au-dessus de la MM50, configuration classique d'un croisement haussier. Cette disposition confirme une dynamique positive de court et moyen terme, justifiant la décision d'**Achat**.</w:t>
      </w:r>
    </w:p>
    <w:p>
      <w:pPr>
        <w:spacing w:after="120" w:line="276" w:lineRule="auto"/>
      </w:pPr>
      <w:r>
        <w:t>**Bandes de Bollinger** : Le cours (38 500 FCFA) évolue dans la partie haute de la bande (borne supérieure à 38 577,7 FCFA, borne inférieure à 36 964,3 FCFA), sans toutefois la franchir. L'écart entre les bornes reste modéré, traduisant une volatilité contenue. La décision est **Neutre**, le titre étant proche de la résistance statistique sans signal de breakout confirmé.</w:t>
      </w:r>
    </w:p>
    <w:p>
      <w:pPr>
        <w:spacing w:after="120" w:line="276" w:lineRule="auto"/>
      </w:pPr>
      <w:r>
        <w:t>**MACD** : La valeur du MACD (80,547) est nettement supérieure à son signal (-38,003), générant un histogramme fortement positif. Cette divergence positive traduit un momentum haussier puissant et une accélération de la tendance, justifiant la décision d'**Achat**.</w:t>
      </w:r>
    </w:p>
    <w:p>
      <w:pPr>
        <w:spacing w:after="120" w:line="276" w:lineRule="auto"/>
      </w:pPr>
      <w:r>
        <w:t>**RSI** : À 56,545, le RSI se situe en zone neutre (30-70), sans signal de surachat (&gt;70) ni de survente (&lt;30). Le titre conserve donc un potentiel de hausse sans être techniquement tendu, ce qui justifie la décision **Neutre** avec un biais haussier.</w:t>
      </w:r>
    </w:p>
    <w:p>
      <w:pPr>
        <w:spacing w:after="120" w:line="276" w:lineRule="auto"/>
      </w:pPr>
      <w:r>
        <w:t>**Stochastique** : Le %K et le %D sont tous deux à 100,0, positionnant l'indicateur en zone de surachat extrême. Cette configuration signale un risque de correction à court terme ou de consolidation, justifiant la décision de **Vente** à court terme, en contradiction avec les autres indicateurs.</w:t>
      </w:r>
    </w:p>
    <w:p>
      <w:pPr>
        <w:spacing w:after="120" w:line="276" w:lineRule="auto"/>
      </w:pPr>
      <w:r>
        <w:t>**Conclusion technique** : Les indicateurs convergent majoritairement vers un biais haussier (MM en croisement positif, MACD fortement acheteur, cours au-dessus des moyennes), mais le stochastique en surachat extrême (100/100) et la proximité de la borne supérieure de Bollinger suggèrent une possible consolidation à court terme. Le RSI neutre (56,5) laisse de la marge. La configuration globale est **haussier à moyen terme, avec un risque de respiration court terme** — les signaux d'achat dominent mais nécessitent une entrée progressive pour éviter un point d'entrée défavorable.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SOLIBRA a réalisé un chiffre d'affaires de 378,123 milliards FCFA, en croissance de 22,08% par rapport à 2024 (309,722 Mds FCFA), portée par une dynamique commerciale exceptionnelle. Le résultat net s'établit à 45,781 milliards FCFA, plus que doublé (+113%), avec une marge nette de 12,11% (contre 6,9% en 2024). Le ROE atteint 23,46% (nettement supérieur au seuil de 15% considéré comme excellent) et le ROA 13,48%, confirmant une rentabilité capitalistique de premier ordre. La structure financière est saine : autonomie financière de 57,48%, ratio d'endettement de 42,52%, capacité de remboursement de 0,67 an (dettes financières/CAF) et couverture des intérêts de 3 374,7% — des niveaux de solvabilité remarquables. En tant qu'entreprise, les délais d'exploitation méritent attention : délai clients de 64,27 jours (risque de trésorerie modéré), délai fournisseurs de 76,82 jours (favorable à la trésorerie) et durée de stockage de 117,32 jours (immobilisation de capital significative, typique du secteur des boissons). Le BFR de 61,587 Mds FCFA est positif mais couvert par un fonds de roulement de 83,689 Mds FCFA, générant une trésorerie nette positive de 22,117 Mds FCFA. Le Free Cash Flow de 60,867 Mds FCFA et la CAF de 69,895 Mds FCFA témoignent d'une génération de cash robuste.</w:t>
      </w:r>
    </w:p>
    <w:p>
      <w:pPr>
        <w:spacing w:after="120" w:line="276" w:lineRule="auto"/>
      </w:pPr>
      <w:r>
        <w:t>**Estimations basées sur les rapports trimestriels** : Selon le rapport T1 2026 (publié en 2026), le chiffre d'affaires progresse de +7,6% à 93,46 Mds FCFA, avec un volume distribué en hausse de +9,6% (1,839 millions d'hectolitres) et un résultat net de 16,26 Mds FCFA (+4,8%), pour une marge nette de 17,4%. On estime donc que l'exercice 2026 devrait maintenir une croissance solide (probablement +8 à +12% sur l'année), avec une normalisation progressive des marges après l'explosion de 2025. Le rapport annuel 2025 (analysé le 20/05/2026) confirme un dividende brut de 2 127 FCFA/action (rendement de 5,5% au cours actuel), avec un taux de distribution de 76,5% — généreux mais soutenable grâce au FCF de 60,9 Mds FCFA. Les rapports antérieurs (S1 2025, exercice 2024, exercice 2023) montrent une trajectoire de redressement spectaculaire : après une stagnation du CA en 2024 (-0,54%) et une marge nette de 6,9%, la société a enclenché un cycle de croissance profitable inédit. La recommandation fondamentale est **solide** : leader du marché ivoirien des boissons, bilan sain, rentabilité exceptionnelle, mais vigilance sur la soutenabilité de la croissance et la volatilité des matières premières (90 Mds FCFA d'achats exposés).</w:t>
      </w:r>
    </w:p>
    <w:p>
      <w:pPr>
        <w:spacing w:after="120" w:line="276" w:lineRule="auto"/>
      </w:pPr>
      <w:r>
        <w:t>---</w:t>
      </w:r>
    </w:p>
    <w:p>
      <w:pPr>
        <w:spacing w:after="120" w:line="276" w:lineRule="auto"/>
      </w:pPr>
      <w:r>
        <w:t>## PARTIE 4 : CONCLUSION D'INVESTISSEMENT</w:t>
      </w:r>
    </w:p>
    <w:p>
      <w:pPr>
        <w:spacing w:after="120" w:line="276" w:lineRule="auto"/>
      </w:pPr>
      <w:r>
        <w:t>La synthèse des quatre axes d'analyse converge vers un profil d'investissement **favorable mais nuancé**. Sur le plan de la **valorisation (Partie 0)**, le PER de 13,8x et le P/B de 3,25x indiquent une valorisation raisonnable, légèrement supérieure à la moyenne BRVM mais justifiée par la croissance exceptionnelle et le ROE de 23,5% — le titre n'est ni sous-évalué ni surévalué. Le **comportement du cours (Partie 1)** est rassurant : tendance haussière modérée (+1,29%), volatilité contenue (CV de 2,3%, volatilité annualisée de 24,7%), distribution proche de la normale (kurtosis 0,682) avec une légère asymétrie positive (skewness 0,767) — un profil de valeur stable et prévisible. Les **signaux techniques (Partie 2)** sont majoritairement haussiers (MM en croisement positif, MACD fortement acheteur, cours au-dessus des moyennes), mais le stochastique en surachat extrême (100/100) et la proximité de la borne supérieure de Bollinger appellent à la prudence sur le timing d'entrée. Les **fondamentaux (Partie 3)** sont exceptionnels : CA de 378,1 Mds FCFA (+22%), résultat net de 45,8 Mds FCFA (+113%), ROE de 23,5%, trésorerie nette positive, et perspective T1 2026 confirmant la dynamique (+7,6% de CA). Les **prédictions IA (J+1 à J+10)** projettent une trajectoire haussière régulière de 38 677 à 39 225 FCFA (+1,9% sur 10 jours), confirmant le biais positif des autres signaux sans excès. Sur cette base, la recommandation finale est **ACHAT**, avec un **niveau de confiance Moyen à Élevé** (convergence fondamentale-technique forte, mais réserve sur le surachat court terme du stochastique) et un **niveau de risque Faible à Moyen** (volatilité modérée, bilan solide, mais dépendance aux matières premières et concentration géographique). L'**horizon optimal** est le **moyen à long terme (6-18 mois)**, afin de capter la croissance bénéficiaire, le dividende de 2 127 FCFA/action (rendement ~5,5%) et la poursuite de la revalorisation, tout en absorbant les éventuelles consolidations techniques à court terme. Une entrée progressive (échelonnée sur 2-3 séances) est conseillée pour optimiser le point d'entrée face au surachat stochastique actuel.</w:t>
      </w:r>
    </w:p>
    <w:p>
      <w:pPr>
        <w:spacing w:after="120" w:line="276" w:lineRule="auto"/>
      </w:pPr>
      <w:r>
        <w:t>---</w:t>
      </w:r>
    </w:p>
    <w:p>
      <w:pPr>
        <w:spacing w:after="120" w:line="276" w:lineRule="auto"/>
      </w:pPr>
      <w:r>
        <w:t>*Rapport généré le 18 octobre 2026 — Sources : BRVM (données de marché, états financiers 2025, rapports T1 2026 et annuels 2023-2025), analyses fondamentales officielles (Gemini-Vision, DeepSeek, Mistral). Les prédictions IA sont indicatives et ne constituent pas une garantie de performance.*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1,614 titres</w:t>
            </w:r>
          </w:p>
        </w:tc>
        <w:tc>
          <w:tcPr>
            <w:tcW w:type="dxa" w:w="2268"/>
            <w:shd w:fill="FFF2CC" w:val="clear"/>
          </w:tcPr>
          <w:p>
            <w:r>
              <w:rPr>
                <w:b/>
                <w:color w:val="503200"/>
                <w:sz w:val="16"/>
              </w:rPr>
              <w:t xml:space="preserve">Cours actuel : </w:t>
            </w:r>
            <w:r>
              <w:rPr>
                <w:color w:val="000000"/>
                <w:sz w:val="17"/>
              </w:rPr>
              <w:t>15,395 FCFA</w:t>
            </w:r>
          </w:p>
          <w:p>
            <w:r>
              <w:rPr>
                <w:b/>
                <w:color w:val="503200"/>
                <w:sz w:val="16"/>
              </w:rPr>
              <w:t xml:space="preserve">Var. 100 jours : </w:t>
            </w:r>
            <w:r>
              <w:rPr>
                <w:b/>
                <w:color w:val="007800"/>
                <w:sz w:val="17"/>
              </w:rPr>
              <w:t>+18.42%</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13,000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μ=16,268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β=0.3719 (Défensif) — Cov=0.000028, Var(idx)=0.000075, ρ=0.119,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14,656</w:t>
            </w:r>
          </w:p>
        </w:tc>
        <w:tc>
          <w:tcPr>
            <w:tcW w:type="dxa" w:w="1440"/>
            <w:shd w:fill="FAFAFA" w:val="clear"/>
          </w:tcPr>
          <w:p>
            <w:r>
              <w:rPr>
                <w:b/>
                <w:sz w:val="17"/>
              </w:rPr>
              <w:t>15,428</w:t>
            </w:r>
          </w:p>
        </w:tc>
        <w:tc>
          <w:tcPr>
            <w:tcW w:type="dxa" w:w="1440"/>
            <w:shd w:fill="FAFAFA" w:val="clear"/>
          </w:tcPr>
          <w:p>
            <w:r>
              <w:rPr>
                <w:sz w:val="17"/>
              </w:rPr>
              <w:t>16,200</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14,309</w:t>
            </w:r>
          </w:p>
        </w:tc>
        <w:tc>
          <w:tcPr>
            <w:tcW w:type="dxa" w:w="1440"/>
            <w:shd w:fill="FAFAFA" w:val="clear"/>
          </w:tcPr>
          <w:p>
            <w:r>
              <w:rPr>
                <w:b/>
                <w:sz w:val="17"/>
              </w:rPr>
              <w:t>15,399</w:t>
            </w:r>
          </w:p>
        </w:tc>
        <w:tc>
          <w:tcPr>
            <w:tcW w:type="dxa" w:w="1440"/>
            <w:shd w:fill="FAFAFA" w:val="clear"/>
          </w:tcPr>
          <w:p>
            <w:r>
              <w:rPr>
                <w:sz w:val="17"/>
              </w:rPr>
              <w:t>16,489</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14,043</w:t>
            </w:r>
          </w:p>
        </w:tc>
        <w:tc>
          <w:tcPr>
            <w:tcW w:type="dxa" w:w="1440"/>
            <w:shd w:fill="FAFAFA" w:val="clear"/>
          </w:tcPr>
          <w:p>
            <w:r>
              <w:rPr>
                <w:b/>
                <w:sz w:val="17"/>
              </w:rPr>
              <w:t>15,376</w:t>
            </w:r>
          </w:p>
        </w:tc>
        <w:tc>
          <w:tcPr>
            <w:tcW w:type="dxa" w:w="1440"/>
            <w:shd w:fill="FAFAFA" w:val="clear"/>
          </w:tcPr>
          <w:p>
            <w:r>
              <w:rPr>
                <w:sz w:val="17"/>
              </w:rPr>
              <w:t>16,708</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13,815</w:t>
            </w:r>
          </w:p>
        </w:tc>
        <w:tc>
          <w:tcPr>
            <w:tcW w:type="dxa" w:w="1440"/>
            <w:shd w:fill="FAFAFA" w:val="clear"/>
          </w:tcPr>
          <w:p>
            <w:r>
              <w:rPr>
                <w:b/>
                <w:sz w:val="17"/>
              </w:rPr>
              <w:t>15,351</w:t>
            </w:r>
          </w:p>
        </w:tc>
        <w:tc>
          <w:tcPr>
            <w:tcW w:type="dxa" w:w="1440"/>
            <w:shd w:fill="FAFAFA" w:val="clear"/>
          </w:tcPr>
          <w:p>
            <w:r>
              <w:rPr>
                <w:sz w:val="17"/>
              </w:rPr>
              <w:t>16,888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13,612</w:t>
            </w:r>
          </w:p>
        </w:tc>
        <w:tc>
          <w:tcPr>
            <w:tcW w:type="dxa" w:w="1440"/>
            <w:shd w:fill="FAFAFA" w:val="clear"/>
          </w:tcPr>
          <w:p>
            <w:r>
              <w:rPr>
                <w:b/>
                <w:sz w:val="17"/>
              </w:rPr>
              <w:t>15,326</w:t>
            </w:r>
          </w:p>
        </w:tc>
        <w:tc>
          <w:tcPr>
            <w:tcW w:type="dxa" w:w="1440"/>
            <w:shd w:fill="FAFAFA" w:val="clear"/>
          </w:tcPr>
          <w:p>
            <w:r>
              <w:rPr>
                <w:sz w:val="17"/>
              </w:rPr>
              <w:t>17,041</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13,426</w:t>
            </w:r>
          </w:p>
        </w:tc>
        <w:tc>
          <w:tcPr>
            <w:tcW w:type="dxa" w:w="1440"/>
            <w:shd w:fill="FAFAFA" w:val="clear"/>
          </w:tcPr>
          <w:p>
            <w:r>
              <w:rPr>
                <w:b/>
                <w:sz w:val="17"/>
              </w:rPr>
              <w:t>15,301</w:t>
            </w:r>
          </w:p>
        </w:tc>
        <w:tc>
          <w:tcPr>
            <w:tcW w:type="dxa" w:w="1440"/>
            <w:shd w:fill="FAFAFA" w:val="clear"/>
          </w:tcPr>
          <w:p>
            <w:r>
              <w:rPr>
                <w:sz w:val="17"/>
              </w:rPr>
              <w:t>17,177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13,254</w:t>
            </w:r>
          </w:p>
        </w:tc>
        <w:tc>
          <w:tcPr>
            <w:tcW w:type="dxa" w:w="1440"/>
            <w:shd w:fill="FAFAFA" w:val="clear"/>
          </w:tcPr>
          <w:p>
            <w:r>
              <w:rPr>
                <w:b/>
                <w:sz w:val="17"/>
              </w:rPr>
              <w:t>15,277</w:t>
            </w:r>
          </w:p>
        </w:tc>
        <w:tc>
          <w:tcPr>
            <w:tcW w:type="dxa" w:w="1440"/>
            <w:shd w:fill="FAFAFA" w:val="clear"/>
          </w:tcPr>
          <w:p>
            <w:r>
              <w:rPr>
                <w:sz w:val="17"/>
              </w:rPr>
              <w:t>17,299</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13,094</w:t>
            </w:r>
          </w:p>
        </w:tc>
        <w:tc>
          <w:tcPr>
            <w:tcW w:type="dxa" w:w="1440"/>
            <w:shd w:fill="FAFAFA" w:val="clear"/>
          </w:tcPr>
          <w:p>
            <w:r>
              <w:rPr>
                <w:b/>
                <w:sz w:val="17"/>
              </w:rPr>
              <w:t>15,252</w:t>
            </w:r>
          </w:p>
        </w:tc>
        <w:tc>
          <w:tcPr>
            <w:tcW w:type="dxa" w:w="1440"/>
            <w:shd w:fill="FAFAFA" w:val="clear"/>
          </w:tcPr>
          <w:p>
            <w:r>
              <w:rPr>
                <w:sz w:val="17"/>
              </w:rPr>
              <w:t>17,410</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12,942</w:t>
            </w:r>
          </w:p>
        </w:tc>
        <w:tc>
          <w:tcPr>
            <w:tcW w:type="dxa" w:w="1440"/>
            <w:shd w:fill="FAFAFA" w:val="clear"/>
          </w:tcPr>
          <w:p>
            <w:r>
              <w:rPr>
                <w:b/>
                <w:sz w:val="17"/>
              </w:rPr>
              <w:t>15,227</w:t>
            </w:r>
          </w:p>
        </w:tc>
        <w:tc>
          <w:tcPr>
            <w:tcW w:type="dxa" w:w="1440"/>
            <w:shd w:fill="FAFAFA" w:val="clear"/>
          </w:tcPr>
          <w:p>
            <w:r>
              <w:rPr>
                <w:sz w:val="17"/>
              </w:rPr>
              <w:t>17,513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12,798</w:t>
            </w:r>
          </w:p>
        </w:tc>
        <w:tc>
          <w:tcPr>
            <w:tcW w:type="dxa" w:w="1440"/>
            <w:shd w:fill="FAFAFA" w:val="clear"/>
          </w:tcPr>
          <w:p>
            <w:r>
              <w:rPr>
                <w:b/>
                <w:sz w:val="17"/>
              </w:rPr>
              <w:t>15,203</w:t>
            </w:r>
          </w:p>
        </w:tc>
        <w:tc>
          <w:tcPr>
            <w:tcW w:type="dxa" w:w="1440"/>
            <w:shd w:fill="FAFAFA" w:val="clear"/>
          </w:tcPr>
          <w:p>
            <w:r>
              <w:rPr>
                <w:sz w:val="17"/>
              </w:rPr>
              <w:t>17,609</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(BRVM)</w:t>
      </w:r>
    </w:p>
    <w:p>
      <w:pPr>
        <w:spacing w:after="120" w:line="276" w:lineRule="auto"/>
      </w:pPr>
      <w:r>
        <w:t>**Société Multinationale de Bitumes | Cours : 15 395 FCFA | Capitalisation : 120,01 Mds FCFA**</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120,01 Mds FCFA, un niveau intermédiaire sur la cote BRVM qui positionne le titre parmi les valeurs industrielles de taille significative. Le BPA de 1 677 FCFA/action signifie que chaque titre génère près de 1 677 FCFA de bénéfice net, un niveau confortable au regard du cours actuel. Le PER de 9,2x se situe dans la fourchette basse de la moyenne BRVM (~8-12x), suggérant que les investisseurs ne paient pas cher les bénéfices et qu'une sous-évaluation relative est plausible. Le P/B de 2,80x traduit une prime de croissance accordée par le marché (valorisation à 2,8 fois la valeur comptable), cohérente avec un ROE élevé de 30,5%. Enfin, l'EV/EBITDA de 5,7x apparaît raisonnable dans la fourchette 5-10x, indiquant que la valeur totale de l'entreprise reste proportionnée à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totale de +18,42%, malgré un repli de -0,68% sur la dernière séance, signalant une dynamique haussière de fond avec une légère prise de bénéfices récente. Le titre a évolué dans un range large de 13 000 FCFA (plus bas) à 18 500 FCFA (plus haut), soit un spread de 5 500 FCFA qui traduit une réelle amplitude de trading. La moyenne de 16 268 FCFA se situe légèrement sous la médiane de 16 445 FCFA, et le mode à 16 500 FCFA confirme que le cours actuel (15 395 FCFA) évolue en dessous de sa zone de concentration historique, ce qui peut constituer une zone d'accumulation. L'écart-type de 1 183 FCFA avec un CV de 7,3% indique une dispersion modérée autour de la moyenne, tandis que le kurtosis de 0,871 (mésokurtique) suggère un comportement proche d'une distribution normale, sans risque excessif de pics extrêmes. Le skewness de -0,828 (asymétrie négative) révèle toutefois davantage de journées au-dessus de la moyenne, typique d'une distribution avec des corrections baissières ponctuelles plus marquées. La volatilité annualisée de 42,3% classe le titre dans la catégorie **élevée** (&gt;30%), ce qui implique un risque de marché significatif à intégrer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(15 971,5 FCFA) et la MM50 (16 679,9 FCFA) se situent toutes deux au-dessus du cours actuel (15 395 FCFA), avec une MM20 inférieure à la MM50 — configuration baissière de court terme. Le cours évoluant sous ses deux moyennes, la pression vendeuse domine, ce qui justifie la décision **Vente**.</w:t>
      </w:r>
    </w:p>
    <w:p>
      <w:pPr>
        <w:spacing w:after="120" w:line="276" w:lineRule="auto"/>
      </w:pPr>
      <w:r>
        <w:t>**Bandes de Bollinger** : Le cours (15 395 FCFA) se situe dans la moitié basse de la bande, entre la borne inférieure (14 678,3 FCFA) et la borne supérieure (17 264,7 FCFA), sans franchissement des extrêmes. Cette position centrale-basse traduit une absence de signal directionnel fort, d'où la décision **Neutre** ; la largeur des bandes confirme la volatilité élevée déjà relevée.</w:t>
      </w:r>
    </w:p>
    <w:p>
      <w:pPr>
        <w:spacing w:after="120" w:line="276" w:lineRule="auto"/>
      </w:pPr>
      <w:r>
        <w:t>**MACD** : La valeur du MACD (-362,32) est inférieure à son signal (-293,32), avec un histogramme négatif qui traduit un momentum baissier persistant. La divergence négative entre les deux lignes confirme la perte de dynamique haussière, justifiant la décision **Vente**.</w:t>
      </w:r>
    </w:p>
    <w:p>
      <w:pPr>
        <w:spacing w:after="120" w:line="276" w:lineRule="auto"/>
      </w:pPr>
      <w:r>
        <w:t>**RSI** : À 45,20, l'indicateur se situe en zone neutre (entre 30 et 70), sans signal de surachat ni de survente. Cette position médiane reflète un équilibre relatif entre acheteurs et vendeurs, d'où la décision **Neutre** ; le RSI n'offre pas de signal contrariant exploitable.</w:t>
      </w:r>
    </w:p>
    <w:p>
      <w:pPr>
        <w:spacing w:after="120" w:line="276" w:lineRule="auto"/>
      </w:pPr>
      <w:r>
        <w:t>**Stochastique** : Le %K à 0,0 (extrême bas) et le %D à 11,52 indiquent une position de survente marquée, avec un %K sous le %D — configuration qui précède souvent un rebond technique. Cette lecture justifie la décision **Achat** à court terme, en divergence avec les autres indicateurs.</w:t>
      </w:r>
    </w:p>
    <w:p>
      <w:pPr>
        <w:spacing w:after="120" w:line="276" w:lineRule="auto"/>
      </w:pPr>
      <w:r>
        <w:t>**Conclusion technique** : Les indicateurs sont majoritairement baissiers (MM, MACD) avec un RSI neutre et des Bandes de Bollinger sans signal, tandis que le Stochastique signale une survente propice à un rebond technique. Cette configuration divergente plaide pour une **prudence à court terme** : le titre pourrait connaître un rebond technique limité, mais la tendance de fond reste sous pression baissière tant que le cours n'aura pas reconquis la MM20 (15 971 FCFA).</w:t>
      </w:r>
    </w:p>
    <w:p>
      <w:pPr>
        <w:spacing w:after="120" w:line="276" w:lineRule="auto"/>
      </w:pPr>
      <w:r>
        <w:t>---</w:t>
      </w:r>
    </w:p>
    <w:p>
      <w:pPr>
        <w:spacing w:after="120" w:line="276" w:lineRule="auto"/>
      </w:pPr>
      <w:r>
        <w:t>## PARTIE 3 : ANALYSE FONDAMENTALE</w:t>
      </w:r>
    </w:p>
    <w:p>
      <w:pPr>
        <w:spacing w:after="120" w:line="276" w:lineRule="auto"/>
      </w:pPr>
      <w:r>
        <w:t>En 2025, SMBC affiche un chiffre d'affaires de 206,74 Mds FCFA, en baisse de -9,74% sur un an, prolongeant la contraction de -7,5% observée en 2024 (229,06 Mds FCFA vs 247,65 Mds FCFA en 2023) selon le rapport des commissaires aux comptes du 31/12/2024. Malgré cette érosion commerciale, le résultat net 2025 bondit à 13,075 Mds FCFA (+50,3% vs 8,698 Mds FCFA en 2024), porté par une marge nette améliorée à 6,32% (contre 3,8% en 2024) et un EBE de 18,48 Mds FCFA (+41,8%). La rentabilité des fonds propres est excellente avec un ROE de 30,47% (&gt;15% = excellent) et un ROA de 7,26%, tandis que la rotation des actifs atteint 114,85%. En tant qu'entreprise industrielle, les délais d'exploitation méritent attention : le délai clients de 193,75 jours est élevé (risque de trésorerie), mais il est compensé par un délai fournisseurs de 207,07 jours (favorable à la trésorerie) et un BFR maîtrisé de 1,693 Md FCFA. La structure financière reste solide avec une autonomie financière de 23,84% (légèrement sous le seuil de 30%), une capacité de remboursement de 0,68 an (excellent) et une couverture des intérêts de 483,4%. Les rapports trimestriels 2025 confirment la tendance : le T1 2025 (CA -22%, résultat net -7% mais marge nette en hausse à 5,0%), le S1 2025 (CA -23%, EBE +38%) et le T3 2025 (CA -14%, résultat net +6%) montrent une **amélioration continue de la rentabilité opérationnelle malgré la baisse des volumes**, tirée par les marges de raffinage. Sur cette base, on estime que l'exercice 2026 devrait confirmer la poursuite de l'amélioration des marges, sous réserve d'un redressement des volumes export (Nigeria, Ghana, Burkina, Mali) et de la demande locale liée aux chantiers routiers. La recommandation fondamentale est **CONSERVER** : solidité financière et rentabilité excellentes, mais la baisse structurelle du CA et la volatilité des matières premières imposent une vigilance.</w:t>
      </w:r>
    </w:p>
    <w:p>
      <w:pPr>
        <w:spacing w:after="120" w:line="276" w:lineRule="auto"/>
      </w:pPr>
      <w:r>
        <w:t>---</w:t>
      </w:r>
    </w:p>
    <w:p>
      <w:pPr>
        <w:spacing w:after="120" w:line="276" w:lineRule="auto"/>
      </w:pPr>
      <w:r>
        <w:t>## PARTIE 4 : CONCLUSION D'INVESTISSEMENT</w:t>
      </w:r>
    </w:p>
    <w:p>
      <w:pPr>
        <w:spacing w:after="120" w:line="276" w:lineRule="auto"/>
      </w:pPr>
      <w:r>
        <w:t>La valorisation (Partie 0) plaide pour une **sous-évaluation relative** : PER de 9,2x dans la fourchette basse BRVM, P/B de 2,80x justifié par un ROE de 30,5%, et EV/EBITDA de 5,7x raisonnable. Le comportement du cours (Partie 1) est **mitigé** : tendance haussière de fond (+18,42% sur 100 jours) mais cours sous ses moyennes, volatilité élevée (42,3%) et skewness négatif signalant des corrections ponctuelles. Les signaux techniques (Partie 2) sont **divergents** : MM et MACD baissiers, RSI neutre, Stochastique en survente — configuration de rebond technique possible mais sans confirmation de retournement. Les fondamentaux (Partie 3) sont **solides** : résultat net 2025 en hausse de +50,3%, ROE de 30,5%, trésorerie nette de 23,99 Mds FCFA, malgré un CA en repli de -9,74%. Les prédictions IA (J+1 à J+10) anticipent une **légère dérive baissière** de 15 428 à 15 326 FCFA, cohérente avec la pression technique actuelle mais contredisant le rebond attendu par le Stochastique. **Recommandation finale : CONSERVER**, avec un niveau de confiance **Moyen** et un risque global **Élevé** (volatilité 42,3%, secteur cyclique dépendant des prix pétroliers et des investissements publics). L'horizon optimal est le **moyen terme (3-12 mois)** : attendre la confirmation d'un retournement technique (reconquête de la MM20 à 15 971 FCFA) et la publication des résultats 2026 pour valider la reprise des volumes avant d'envisager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4350.00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14,264 titres</w:t>
            </w:r>
          </w:p>
        </w:tc>
        <w:tc>
          <w:tcPr>
            <w:tcW w:type="dxa" w:w="2268"/>
            <w:shd w:fill="FFF2CC" w:val="clear"/>
          </w:tcPr>
          <w:p>
            <w:r>
              <w:rPr>
                <w:b/>
                <w:color w:val="503200"/>
                <w:sz w:val="16"/>
              </w:rPr>
              <w:t xml:space="preserve">Cours actuel : </w:t>
            </w:r>
            <w:r>
              <w:rPr>
                <w:color w:val="000000"/>
                <w:sz w:val="17"/>
              </w:rPr>
              <w:t>43,500 FCFA</w:t>
            </w:r>
          </w:p>
          <w:p>
            <w:r>
              <w:rPr>
                <w:b/>
                <w:color w:val="503200"/>
                <w:sz w:val="16"/>
              </w:rPr>
              <w:t xml:space="preserve">Var. 100 jours : </w:t>
            </w:r>
            <w:r>
              <w:rPr>
                <w:b/>
                <w:color w:val="007800"/>
                <w:sz w:val="17"/>
              </w:rPr>
              <w:t>+52.90%</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16.68% (Élevée) — μ=34,361 FCFA, σ=5,733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β=1.2888 (Agressif) — Cov=0.000096, Var(idx)=0.000075, ρ=0.565,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14,264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42,908</w:t>
            </w:r>
          </w:p>
        </w:tc>
        <w:tc>
          <w:tcPr>
            <w:tcW w:type="dxa" w:w="1440"/>
            <w:shd w:fill="FAFAFA" w:val="clear"/>
          </w:tcPr>
          <w:p>
            <w:r>
              <w:rPr>
                <w:b/>
                <w:sz w:val="17"/>
              </w:rPr>
              <w:t>44,225</w:t>
            </w:r>
          </w:p>
        </w:tc>
        <w:tc>
          <w:tcPr>
            <w:tcW w:type="dxa" w:w="1440"/>
            <w:shd w:fill="FAFAFA" w:val="clear"/>
          </w:tcPr>
          <w:p>
            <w:r>
              <w:rPr>
                <w:sz w:val="17"/>
              </w:rPr>
              <w:t>45,541</w:t>
            </w:r>
          </w:p>
        </w:tc>
        <w:tc>
          <w:tcPr>
            <w:tcW w:type="dxa" w:w="1440"/>
            <w:shd w:fill="FAFAFA" w:val="clear"/>
          </w:tcPr>
          <w:p>
            <w:r>
              <w:rPr>
                <w:b/>
                <w:color w:val="008000"/>
                <w:sz w:val="17"/>
              </w:rPr>
              <w:t>+1.7%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42,320</w:t>
            </w:r>
          </w:p>
        </w:tc>
        <w:tc>
          <w:tcPr>
            <w:tcW w:type="dxa" w:w="1440"/>
            <w:shd w:fill="FAFAFA" w:val="clear"/>
          </w:tcPr>
          <w:p>
            <w:r>
              <w:rPr>
                <w:b/>
                <w:sz w:val="17"/>
              </w:rPr>
              <w:t>44,179</w:t>
            </w:r>
          </w:p>
        </w:tc>
        <w:tc>
          <w:tcPr>
            <w:tcW w:type="dxa" w:w="1440"/>
            <w:shd w:fill="FAFAFA" w:val="clear"/>
          </w:tcPr>
          <w:p>
            <w:r>
              <w:rPr>
                <w:sz w:val="17"/>
              </w:rPr>
              <w:t>46,039</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41,919</w:t>
            </w:r>
          </w:p>
        </w:tc>
        <w:tc>
          <w:tcPr>
            <w:tcW w:type="dxa" w:w="1440"/>
            <w:shd w:fill="FAFAFA" w:val="clear"/>
          </w:tcPr>
          <w:p>
            <w:r>
              <w:rPr>
                <w:b/>
                <w:sz w:val="17"/>
              </w:rPr>
              <w:t>44,198</w:t>
            </w:r>
          </w:p>
        </w:tc>
        <w:tc>
          <w:tcPr>
            <w:tcW w:type="dxa" w:w="1440"/>
            <w:shd w:fill="FAFAFA" w:val="clear"/>
          </w:tcPr>
          <w:p>
            <w:r>
              <w:rPr>
                <w:sz w:val="17"/>
              </w:rPr>
              <w:t>46,476</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41,583</w:t>
            </w:r>
          </w:p>
        </w:tc>
        <w:tc>
          <w:tcPr>
            <w:tcW w:type="dxa" w:w="1440"/>
            <w:shd w:fill="FAFAFA" w:val="clear"/>
          </w:tcPr>
          <w:p>
            <w:r>
              <w:rPr>
                <w:b/>
                <w:sz w:val="17"/>
              </w:rPr>
              <w:t>44,215</w:t>
            </w:r>
          </w:p>
        </w:tc>
        <w:tc>
          <w:tcPr>
            <w:tcW w:type="dxa" w:w="1440"/>
            <w:shd w:fill="FAFAFA" w:val="clear"/>
          </w:tcPr>
          <w:p>
            <w:r>
              <w:rPr>
                <w:sz w:val="17"/>
              </w:rPr>
              <w:t>46,847</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41,280</w:t>
            </w:r>
          </w:p>
        </w:tc>
        <w:tc>
          <w:tcPr>
            <w:tcW w:type="dxa" w:w="1440"/>
            <w:shd w:fill="FAFAFA" w:val="clear"/>
          </w:tcPr>
          <w:p>
            <w:r>
              <w:rPr>
                <w:b/>
                <w:sz w:val="17"/>
              </w:rPr>
              <w:t>44,223</w:t>
            </w:r>
          </w:p>
        </w:tc>
        <w:tc>
          <w:tcPr>
            <w:tcW w:type="dxa" w:w="1440"/>
            <w:shd w:fill="FAFAFA" w:val="clear"/>
          </w:tcPr>
          <w:p>
            <w:r>
              <w:rPr>
                <w:sz w:val="17"/>
              </w:rPr>
              <w:t>47,166</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41,001</w:t>
            </w:r>
          </w:p>
        </w:tc>
        <w:tc>
          <w:tcPr>
            <w:tcW w:type="dxa" w:w="1440"/>
            <w:shd w:fill="FAFAFA" w:val="clear"/>
          </w:tcPr>
          <w:p>
            <w:r>
              <w:rPr>
                <w:b/>
                <w:sz w:val="17"/>
              </w:rPr>
              <w:t>44,225</w:t>
            </w:r>
          </w:p>
        </w:tc>
        <w:tc>
          <w:tcPr>
            <w:tcW w:type="dxa" w:w="1440"/>
            <w:shd w:fill="FAFAFA" w:val="clear"/>
          </w:tcPr>
          <w:p>
            <w:r>
              <w:rPr>
                <w:sz w:val="17"/>
              </w:rPr>
              <w:t>47,450</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40,742</w:t>
            </w:r>
          </w:p>
        </w:tc>
        <w:tc>
          <w:tcPr>
            <w:tcW w:type="dxa" w:w="1440"/>
            <w:shd w:fill="FAFAFA" w:val="clear"/>
          </w:tcPr>
          <w:p>
            <w:r>
              <w:rPr>
                <w:b/>
                <w:sz w:val="17"/>
              </w:rPr>
              <w:t>44,225</w:t>
            </w:r>
          </w:p>
        </w:tc>
        <w:tc>
          <w:tcPr>
            <w:tcW w:type="dxa" w:w="1440"/>
            <w:shd w:fill="FAFAFA" w:val="clear"/>
          </w:tcPr>
          <w:p>
            <w:r>
              <w:rPr>
                <w:sz w:val="17"/>
              </w:rPr>
              <w:t>47,707</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40,499</w:t>
            </w:r>
          </w:p>
        </w:tc>
        <w:tc>
          <w:tcPr>
            <w:tcW w:type="dxa" w:w="1440"/>
            <w:shd w:fill="FAFAFA" w:val="clear"/>
          </w:tcPr>
          <w:p>
            <w:r>
              <w:rPr>
                <w:b/>
                <w:sz w:val="17"/>
              </w:rPr>
              <w:t>44,222</w:t>
            </w:r>
          </w:p>
        </w:tc>
        <w:tc>
          <w:tcPr>
            <w:tcW w:type="dxa" w:w="1440"/>
            <w:shd w:fill="FAFAFA" w:val="clear"/>
          </w:tcPr>
          <w:p>
            <w:r>
              <w:rPr>
                <w:sz w:val="17"/>
              </w:rPr>
              <w:t>47,945</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40,270</w:t>
            </w:r>
          </w:p>
        </w:tc>
        <w:tc>
          <w:tcPr>
            <w:tcW w:type="dxa" w:w="1440"/>
            <w:shd w:fill="FAFAFA" w:val="clear"/>
          </w:tcPr>
          <w:p>
            <w:r>
              <w:rPr>
                <w:b/>
                <w:sz w:val="17"/>
              </w:rPr>
              <w:t>44,218</w:t>
            </w:r>
          </w:p>
        </w:tc>
        <w:tc>
          <w:tcPr>
            <w:tcW w:type="dxa" w:w="1440"/>
            <w:shd w:fill="FAFAFA" w:val="clear"/>
          </w:tcPr>
          <w:p>
            <w:r>
              <w:rPr>
                <w:sz w:val="17"/>
              </w:rPr>
              <w:t>48,166</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40,052</w:t>
            </w:r>
          </w:p>
        </w:tc>
        <w:tc>
          <w:tcPr>
            <w:tcW w:type="dxa" w:w="1440"/>
            <w:shd w:fill="FAFAFA" w:val="clear"/>
          </w:tcPr>
          <w:p>
            <w:r>
              <w:rPr>
                <w:b/>
                <w:sz w:val="17"/>
              </w:rPr>
              <w:t>44,213</w:t>
            </w:r>
          </w:p>
        </w:tc>
        <w:tc>
          <w:tcPr>
            <w:tcW w:type="dxa" w:w="1440"/>
            <w:shd w:fill="FAFAFA" w:val="clear"/>
          </w:tcPr>
          <w:p>
            <w:r>
              <w:rPr>
                <w:sz w:val="17"/>
              </w:rPr>
              <w:t>48,374</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4 350 Mds FCFA, Sonatel s'impose comme la première capitalisation de la BRVM, un statut de « blue chip » régional qui en fait la valeur de référence de la cote. Le BPA de 4 136 FCFA/action signifie que chaque titre génère plus de 4 000 FCFA de bénéfice net, un niveau exceptionnel sur le marché ouest-africain. Le PER de 10,5x se situe dans le haut de la fourchette moyenne BRVM (8-12x), traduisant une valorisation raisonnable mais non décotée pour un leader télécoms en croissance. Le P/B de 3,11x confirme que le marché accorde une prime de croissance substantielle (2-4x) sur la valeur comptable, justifiée par un ROE de 29,6%. Enfin, l'EV/EBITDA de 4,5x — inférieur au seuil de 5x — signale une valorisation opérationnelle très attractive, le marché ne payant que 4,5 années d'EBITDA pour l'ensemble de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spectaculaire de **+52,90%**, portant le cours à 43 500 FCFA malgré un léger repli de -0,91% lors de la dernière séance. Le range de trading est particulièrement large, oscillant entre un plus bas de 28 000 FCFA et un plus haut de 45 000 FCFA, soit une amplitude de 60% qui témoigne d'une tendance nettement haussière, avec le cours actuel évoluant à proximité du sommet historique. L'analyse statistique révèle une distribution asymétrique : la moyenne (34 361 FCFA) dépasse la médiane (31 948 FCFA) et le mode (31 000 FCFA), confirmant un skewness positif de 0,645 — davantage de journées se sont négociées sous la moyenne, les hausses étant concentrées sur des séances de forte amplitude. L'écart-type de 5 761 FCFA (CV de 16,8%) indique une dispersion modérée du cours, tandis que le kurtosis négatif de -1,029 (distribution platykurtique) suggère une faible concentration des rendements et un risque de pics extrêmes limité. La volatilité annualisée de 31,2% classe le titre dans la catégorie **élevée** (&gt;30%), cohérente avec la forte appréciation récente et le contexte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(43 723,5 FCFA) et la MM50 (38 966,2 FCFA) se situent toutes deux sous le cours actuel (43 500 FCFA pour la MM20, au-dessus pour la MM50), configurant un alignement haussier classique. Le cours évolue légèrement sous sa MM20 mais nettement au-dessus de sa MM50, signalant une consolidation de court terme dans une tendance de fond positive. La décision technique est **Achat**.</w:t>
      </w:r>
    </w:p>
    <w:p>
      <w:pPr>
        <w:spacing w:after="120" w:line="276" w:lineRule="auto"/>
      </w:pPr>
      <w:r>
        <w:t>**Bandes de Bollinger** : Le cours (43 500 FCFA) se situe dans la moitié supérieure de la bande, entre la borne inférieure (40 936,27 FCFA) et la borne supérieure (46 510,73 FCFA), sans franchissement des extrêmes. Cette position médiane-haute traduit une volatilité contenue et l'absence de signal de surachat ou de survente. La décision est **Neutre**.</w:t>
      </w:r>
    </w:p>
    <w:p>
      <w:pPr>
        <w:spacing w:after="120" w:line="276" w:lineRule="auto"/>
      </w:pPr>
      <w:r>
        <w:t>**MACD** : La valeur du MACD (1 547,29) est inférieure à sa ligne de signal (1 909,52), générant un croisement baissier qui indique un essoufflement du momentum haussier malgré la tendance de fond positive. Cette divergence suggère une phase de respiration après la forte progression. La décision est **Vente** à court terme.</w:t>
      </w:r>
    </w:p>
    <w:p>
      <w:pPr>
        <w:spacing w:after="120" w:line="276" w:lineRule="auto"/>
      </w:pPr>
      <w:r>
        <w:t>**RSI** : À 62,29, l'indicateur se situe en zone neutre haute (30-70), sans atteindre le seuil de surachat de 70. Le titre conserve un potentiel de hausse mais approche d'une zone de vigilance. La décision est **Neutre**.</w:t>
      </w:r>
    </w:p>
    <w:p>
      <w:pPr>
        <w:spacing w:after="120" w:line="276" w:lineRule="auto"/>
      </w:pPr>
      <w:r>
        <w:t>**Stochastique** : Le %K (25,19) est nettement inférieur au %D (57,18), avec un %K en zone de survente relative (&lt;30) signalant un possible rebond technique à venir. L'écart important entre les deux lignes traduit une pression vendeuse récente mais un potentiel de retournement. La décision est **Neutre**.</w:t>
      </w:r>
    </w:p>
    <w:p>
      <w:pPr>
        <w:spacing w:after="120" w:line="276" w:lineRule="auto"/>
      </w:pPr>
      <w:r>
        <w:t>**Conclusion technique** : Les indicateurs présentent une configuration **mitigée** : la tendance de fond reste haussière (MM alignées, cours au-dessus de la MM50), mais le momentum de court terme s'essouffle (MACD baissier, RSI proche de la zone haute). Le stochastique en survente relative suggère un rebond possible, tandis que les Bollinger confirment une volatilité maîtrisée. La convergence globale plaide pour une **consolidation avant poursuite de la tendance**, avec un biais acheteur tant que le support des 40 900 FCFA (borne inférieure de Bollinger) tient.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 Mds FCFA**, en croissance de +8,26%, pour un résultat net de **413,6 Mds FCFA** (marge nette de 21,51%). La rentabilité des fonds propres (ROE) atteint un niveau exceptionnel de **29,56%** — très au-dessus du seuil de 15% — et le ROA s'établit à 12,65%, confirmant l'efficacité de l'utilisation des actifs (rotation de 58,8%). La structure financière est saine : autonomie financière de 42,79%, solvabilité générale de 174,79% et capacité de remboursement de seulement 0,64 année de CAF. **Spécificité du secteur entreprise** : le BFR est **négatif à -284,9 Mds FCFA**, un atout majeur de trésorerie ; le délai fournisseurs élevé (201,39 jours) finance l'exploitation, tandis que le délai clients (46,16 jours) reste maîtrisé et la rotation des stocks rapide (14,49 jours). La couverture des intérêts est spectaculaire (2 744,7%), et la CAF (665,0 Mds FCFA) couvre 243% des investissements.</w:t>
      </w:r>
    </w:p>
    <w:p>
      <w:pPr>
        <w:spacing w:after="120" w:line="276" w:lineRule="auto"/>
      </w:pPr>
      <w:r>
        <w:t>**Évolution et estimations issues des rapports** : Le rapport annuel 2024 (publié le 31/12/2024) indiquait un CA de 1 776,4 Mds FCFA (+9,6%) et un résultat net de 393,7 Mds FCFA (+18,7%), avec un BPA de 3 288 FCFA — contre 4 136 FCFA en 2025, soit une progression de +25,8% du BPA. Le communiqué du 16/02/2026 confirme les résultats 2025 (+8,3% de CA, +5,1% de résultat net) et un dividende brut de 1 933 FCFA/action (1 740 FCFA net, rendement de ~4,0% au cours actuel). **Estimation 2026** : sur la base du communiqué du 27/07/2026 (S1 2026 : CA de 1 049,8 Mds FCFA, +9,3% ; résultat net de 230 Mds FCFA, +10,5% ; EBITDAAL à 48,7% du CA ; notation relevée à AAA par GCR Ratings), on peut estimer un exercice 2026 en accélération, avec un CA annuel projeté autour de 2 100 Mds FCFA et un résultat net approchant 450 Mds FCFA, soit un BPA estimé de ~4 500 FCFA (PER forward de ~9,7x). **Recommandation fondamentale** : solidité exceptionnelle, croissance rentable confirmée, bilan robuste et dividende attractif — les principaux risques demeurent la pression fiscale/réglementaire et l'intensification concurrentielle (Mobile Money, Data).</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**globalement favorable mais nuancé**. Sur le plan de la **valorisation (Partie 0)**, le PER de 10,5x et l'EV/EBITDA de 4,5x indiquent une action raisonnablement valorisée, voire légèrement sous-évaluée sur base opérationnelle, malgré une prime de croissance (P/B 3,11x) justifiée par le ROE de 29,6%. Le **comportement du cours (Partie 1)** est exceptionnel (+52,9% sur 100 jours) mais la volatilité élevée (31,2%) et le skewness positif appellent à la prudence sur les points d'entrée. Les **signaux techniques (Partie 2)** sont mitigés : tendance de fond haussière (MM) mais momentum en essoufflement (MACD baissier), avec un stochastique en survente suggérant un rebond — configuration de consolidation plutôt que de retournement. Les **fondamentaux (Partie 3)** sont remarquablement solides : ROE de 29,6%, BFR négatif, trésorerie nette de 536 Mds FCFA, croissance confirmée au S1 2026 (+9,3% de CA, +10,5% de résultat net) et notation AAA. Les **prédictions IA (J+1 à J+10)** anticipent une stabilisation autour de 44 180-44 225 FCFA, soit une légère hausse de +1,6% par rapport au cours actuel — une trajectoire cohérente avec la consolidation technique attendue, sans rupture baissière.</w:t>
      </w:r>
    </w:p>
    <w:p>
      <w:pPr>
        <w:spacing w:after="120" w:line="276" w:lineRule="auto"/>
      </w:pPr>
      <w:r>
        <w:t>**Recommandation finale : CONSERVER** (avec biais acheteur sur repli). La convergence est bonne entre valorisation raisonnable, fondamentaux excellents et prédictions stables, mais le momentum technique à court terme (MACD baissier, RSI proche de 70) et la forte hausse déjà réalisée invitent à ne pas poursuivre le titre au plus haut. **Niveau de confiance : Élevé** — les fondamentaux et la visibilité (S1 2026, notation AAA) sont exceptionnels. **Niveau de risque global : Moyen** — volatilité élevée et sensibilité réglementaire, mais bilan très solide. **Horizon optimal : moyen à long terme (6-18 mois)**, en privilégiant les replis vers 41 000-42 000 FCFA pour renforcer, avec un objectif de cours de 48 000-50 000 FCFA intégrant la croissance 2026 et le rendement du dividende de 4%.</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160.18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4,942 titres</w:t>
            </w:r>
          </w:p>
        </w:tc>
        <w:tc>
          <w:tcPr>
            <w:tcW w:type="dxa" w:w="2268"/>
            <w:shd w:fill="FFF2CC" w:val="clear"/>
          </w:tcPr>
          <w:p>
            <w:r>
              <w:rPr>
                <w:b/>
                <w:color w:val="503200"/>
                <w:sz w:val="16"/>
              </w:rPr>
              <w:t xml:space="preserve">Cours actuel : </w:t>
            </w:r>
            <w:r>
              <w:rPr>
                <w:color w:val="000000"/>
                <w:sz w:val="17"/>
              </w:rPr>
              <w:t>7,415 FCFA</w:t>
            </w:r>
          </w:p>
          <w:p>
            <w:r>
              <w:rPr>
                <w:b/>
                <w:color w:val="503200"/>
                <w:sz w:val="16"/>
              </w:rPr>
              <w:t xml:space="preserve">Var. 100 jours : </w:t>
            </w:r>
            <w:r>
              <w:rPr>
                <w:b/>
                <w:color w:val="007800"/>
                <w:sz w:val="17"/>
              </w:rPr>
              <w:t>+0.27%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3.96% (Faible) — μ=8,108 FCFA, σ=321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β=0.9981 (Neutre (suit le marché)) — Cov=0.000075, Var(idx)=0.000075, ρ=0.329,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7,165</w:t>
            </w:r>
          </w:p>
        </w:tc>
        <w:tc>
          <w:tcPr>
            <w:tcW w:type="dxa" w:w="1440"/>
            <w:shd w:fill="FAFAFA" w:val="clear"/>
          </w:tcPr>
          <w:p>
            <w:r>
              <w:rPr>
                <w:b/>
                <w:sz w:val="17"/>
              </w:rPr>
              <w:t>7,537</w:t>
            </w:r>
          </w:p>
        </w:tc>
        <w:tc>
          <w:tcPr>
            <w:tcW w:type="dxa" w:w="1440"/>
            <w:shd w:fill="FAFAFA" w:val="clear"/>
          </w:tcPr>
          <w:p>
            <w:r>
              <w:rPr>
                <w:sz w:val="17"/>
              </w:rPr>
              <w:t>7,909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6,997</w:t>
            </w:r>
          </w:p>
        </w:tc>
        <w:tc>
          <w:tcPr>
            <w:tcW w:type="dxa" w:w="1440"/>
            <w:shd w:fill="FAFAFA" w:val="clear"/>
          </w:tcPr>
          <w:p>
            <w:r>
              <w:rPr>
                <w:b/>
                <w:sz w:val="17"/>
              </w:rPr>
              <w:t>7,523</w:t>
            </w:r>
          </w:p>
        </w:tc>
        <w:tc>
          <w:tcPr>
            <w:tcW w:type="dxa" w:w="1440"/>
            <w:shd w:fill="FAFAFA" w:val="clear"/>
          </w:tcPr>
          <w:p>
            <w:r>
              <w:rPr>
                <w:sz w:val="17"/>
              </w:rPr>
              <w:t>8,048</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6,874</w:t>
            </w:r>
          </w:p>
        </w:tc>
        <w:tc>
          <w:tcPr>
            <w:tcW w:type="dxa" w:w="1440"/>
            <w:shd w:fill="FAFAFA" w:val="clear"/>
          </w:tcPr>
          <w:p>
            <w:r>
              <w:rPr>
                <w:b/>
                <w:sz w:val="17"/>
              </w:rPr>
              <w:t>7,518</w:t>
            </w:r>
          </w:p>
        </w:tc>
        <w:tc>
          <w:tcPr>
            <w:tcW w:type="dxa" w:w="1440"/>
            <w:shd w:fill="FAFAFA" w:val="clear"/>
          </w:tcPr>
          <w:p>
            <w:r>
              <w:rPr>
                <w:sz w:val="17"/>
              </w:rPr>
              <w:t>8,161</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6,768</w:t>
            </w:r>
          </w:p>
        </w:tc>
        <w:tc>
          <w:tcPr>
            <w:tcW w:type="dxa" w:w="1440"/>
            <w:shd w:fill="FAFAFA" w:val="clear"/>
          </w:tcPr>
          <w:p>
            <w:r>
              <w:rPr>
                <w:b/>
                <w:sz w:val="17"/>
              </w:rPr>
              <w:t>7,510</w:t>
            </w:r>
          </w:p>
        </w:tc>
        <w:tc>
          <w:tcPr>
            <w:tcW w:type="dxa" w:w="1440"/>
            <w:shd w:fill="FAFAFA" w:val="clear"/>
          </w:tcPr>
          <w:p>
            <w:r>
              <w:rPr>
                <w:sz w:val="17"/>
              </w:rPr>
              <w:t>8,252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6,672</w:t>
            </w:r>
          </w:p>
        </w:tc>
        <w:tc>
          <w:tcPr>
            <w:tcW w:type="dxa" w:w="1440"/>
            <w:shd w:fill="FAFAFA" w:val="clear"/>
          </w:tcPr>
          <w:p>
            <w:r>
              <w:rPr>
                <w:b/>
                <w:sz w:val="17"/>
              </w:rPr>
              <w:t>7,501</w:t>
            </w:r>
          </w:p>
        </w:tc>
        <w:tc>
          <w:tcPr>
            <w:tcW w:type="dxa" w:w="1440"/>
            <w:shd w:fill="FAFAFA" w:val="clear"/>
          </w:tcPr>
          <w:p>
            <w:r>
              <w:rPr>
                <w:sz w:val="17"/>
              </w:rPr>
              <w:t>8,329</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6,586</w:t>
            </w:r>
          </w:p>
        </w:tc>
        <w:tc>
          <w:tcPr>
            <w:tcW w:type="dxa" w:w="1440"/>
            <w:shd w:fill="FAFAFA" w:val="clear"/>
          </w:tcPr>
          <w:p>
            <w:r>
              <w:rPr>
                <w:b/>
                <w:sz w:val="17"/>
              </w:rPr>
              <w:t>7,492</w:t>
            </w:r>
          </w:p>
        </w:tc>
        <w:tc>
          <w:tcPr>
            <w:tcW w:type="dxa" w:w="1440"/>
            <w:shd w:fill="FAFAFA" w:val="clear"/>
          </w:tcPr>
          <w:p>
            <w:r>
              <w:rPr>
                <w:sz w:val="17"/>
              </w:rPr>
              <w:t>8,399</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6,506</w:t>
            </w:r>
          </w:p>
        </w:tc>
        <w:tc>
          <w:tcPr>
            <w:tcW w:type="dxa" w:w="1440"/>
            <w:shd w:fill="FAFAFA" w:val="clear"/>
          </w:tcPr>
          <w:p>
            <w:r>
              <w:rPr>
                <w:b/>
                <w:sz w:val="17"/>
              </w:rPr>
              <w:t>7,484</w:t>
            </w:r>
          </w:p>
        </w:tc>
        <w:tc>
          <w:tcPr>
            <w:tcW w:type="dxa" w:w="1440"/>
            <w:shd w:fill="FAFAFA" w:val="clear"/>
          </w:tcPr>
          <w:p>
            <w:r>
              <w:rPr>
                <w:sz w:val="17"/>
              </w:rPr>
              <w:t>8,463</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6,432</w:t>
            </w:r>
          </w:p>
        </w:tc>
        <w:tc>
          <w:tcPr>
            <w:tcW w:type="dxa" w:w="1440"/>
            <w:shd w:fill="FAFAFA" w:val="clear"/>
          </w:tcPr>
          <w:p>
            <w:r>
              <w:rPr>
                <w:b/>
                <w:sz w:val="17"/>
              </w:rPr>
              <w:t>7,476</w:t>
            </w:r>
          </w:p>
        </w:tc>
        <w:tc>
          <w:tcPr>
            <w:tcW w:type="dxa" w:w="1440"/>
            <w:shd w:fill="FAFAFA" w:val="clear"/>
          </w:tcPr>
          <w:p>
            <w:r>
              <w:rPr>
                <w:sz w:val="17"/>
              </w:rPr>
              <w:t>8,521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6,362</w:t>
            </w:r>
          </w:p>
        </w:tc>
        <w:tc>
          <w:tcPr>
            <w:tcW w:type="dxa" w:w="1440"/>
            <w:shd w:fill="FAFAFA" w:val="clear"/>
          </w:tcPr>
          <w:p>
            <w:r>
              <w:rPr>
                <w:b/>
                <w:sz w:val="17"/>
              </w:rPr>
              <w:t>7,469</w:t>
            </w:r>
          </w:p>
        </w:tc>
        <w:tc>
          <w:tcPr>
            <w:tcW w:type="dxa" w:w="1440"/>
            <w:shd w:fill="FAFAFA" w:val="clear"/>
          </w:tcPr>
          <w:p>
            <w:r>
              <w:rPr>
                <w:sz w:val="17"/>
              </w:rPr>
              <w:t>8,576</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6,296</w:t>
            </w:r>
          </w:p>
        </w:tc>
        <w:tc>
          <w:tcPr>
            <w:tcW w:type="dxa" w:w="1440"/>
            <w:shd w:fill="FAFAFA" w:val="clear"/>
          </w:tcPr>
          <w:p>
            <w:r>
              <w:rPr>
                <w:b/>
                <w:sz w:val="17"/>
              </w:rPr>
              <w:t>7,462</w:t>
            </w:r>
          </w:p>
        </w:tc>
        <w:tc>
          <w:tcPr>
            <w:tcW w:type="dxa" w:w="1440"/>
            <w:shd w:fill="FAFAFA" w:val="clear"/>
          </w:tcPr>
          <w:p>
            <w:r>
              <w:rPr>
                <w:sz w:val="17"/>
              </w:rPr>
              <w:t>8,628</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 BRVM — Analyse complète au 19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**160,18 milliards FCFA**, un niveau significatif à l'échelle de la BRVM qui place la valeur parmi les capitalisations de premier plan du compartiment des entreprises non bancaires. Le BPA de **578 FCFA/action** traduit la capacité bénéficiaire unitaire du titre, tandis que le PER de **12,8x** situe la valorisation légèrement au-dessus de la moyenne BRVM (~8-12x), signalant que les investisseurs paient une prime modérée pour les bénéfices, cohérente avec la qualité des fondamentaux. Le P/B de **2,34x** confirme cette prime de croissance : le marché valorise l'action à plus du double de sa valeur comptable, reflet d'une rentabilité des fonds propres élevée (ROE 18,26%). Enfin, l'EV/EBITDA de **6,6x**, dans la fourchette raisonnable de 5-10x, indique que la valeur d'entreprise reste proportionnée à la capacité opérationnelle de génération de résultats — l'ensemble dessine une valorisation **raisonnable mais non décotée**.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affiche une **variation quasi nulle de +0,27%**, mais la dernière séance (J-1) a enregistré un décrochage brutal de **-3,70%**, ramenant le titre à **7 415 FCFA**. Le range de trading est large, entre un plus haut de **8 875 FCFA** et un plus bas de **7 300 FCFA**, soit un amplitude de plus de 20% qui traduit une tendance globalement **baissière depuis les sommets**, le cours actuel évoluant dans le bas de la fourchette. Les statistiques descriptives révèlent une distribution légèrement asymétrique : la moyenne (**8 108 FCFA**) est inférieure à la médiane (**8 145 FCFA**), confirmant un skewness négatif de **-0,509** — interprété comme « plus de journées au-dessus de la moyenne », mais avec des chutes ponctuelles plus marquées tirant la moyenne vers le bas. L'écart-type de **323 FCFA** avec un **CV de 4,0%** indique une dispersion modérée du cours autour de sa tendance, tandis que le kurtosis de **0,219** (mésokurtique) suggère un comportement proche d'une distribution normale, sans risque de pics extrêmes marqué. La **volatilité annualisée de 41,5%** classe le titre dans la catégorie **élevée (&gt;30%)**, ce qui est cohérent avec un titre exposé aux commodities agricoles et justifie une prime de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(**7 810,25 FCFA**) et la MM50 (**7 986,0 FCFA**) se situent toutes deux nettement au-dessus du cours actuel (7 415 FCFA), configurant une structure baissière où le prix évolue sous ses moyennes de référence. La MM20 étant elle-même inférieure à la MM50, la tendance de fond est clairement descendante, ce qui justifie la **décision de Vente** émise par le modèle.</w:t>
      </w:r>
    </w:p>
    <w:p>
      <w:pPr>
        <w:spacing w:after="120" w:line="276" w:lineRule="auto"/>
      </w:pPr>
      <w:r>
        <w:t>**Bandes de Bollinger** : Le cours (7 415 FCFA) évolue pratiquement collé à la borne inférieure (**7 409,30 FCFA**), tandis que la borne supérieure se situe à **8 211,20 FCFA**. Cette position extrême basse signale une pression vendeuse soutenue et un risque de survente technique, mais la largeur des bandes traduit une volatilité encore élevée. La **décision Neutre** reflète cette ambiguïté : proximité du support inférieur sans signal de rebond confirmé.</w:t>
      </w:r>
    </w:p>
    <w:p>
      <w:pPr>
        <w:spacing w:after="120" w:line="276" w:lineRule="auto"/>
      </w:pPr>
      <w:r>
        <w:t>**MACD** : Le MACD (**-87,665**) est inférieur à sa ligne de signal (**-62,965**), avec un histogramme négatif qui s'accentue — configuration baissière classique indiquant un momentum négatif persistant. La divergence défavorable entre les deux lignes confirme la **décision de Vente**, sans signe de retournement imminent.</w:t>
      </w:r>
    </w:p>
    <w:p>
      <w:pPr>
        <w:spacing w:after="120" w:line="276" w:lineRule="auto"/>
      </w:pPr>
      <w:r>
        <w:t>**RSI** : À **39,198**, le RSI se situe en zone neutre basse (30-70), sans atteindre le seuil de survente (&lt;30). Le titre conserve donc un potentiel de baisse résiduel avant tout rebond technique, ce qui justifie la **décision Neutre** — ni signal d'achat, ni signal de vente extrême.</w:t>
      </w:r>
    </w:p>
    <w:p>
      <w:pPr>
        <w:spacing w:after="120" w:line="276" w:lineRule="auto"/>
      </w:pPr>
      <w:r>
        <w:t>**Stochastique** : Le %K à **0,0** et le %D à **18,667** placent l'indicateur en zone de survente extrême, avec un %K au plancher absolu qui précède souvent un rebond technique à court terme. C'est le seul indicateur émettant une **décision d'Achat**, en divergence avec le reste de la grille.</w:t>
      </w:r>
    </w:p>
    <w:p>
      <w:pPr>
        <w:spacing w:after="120" w:line="276" w:lineRule="auto"/>
      </w:pPr>
      <w:r>
        <w:t>**Conclusion technique** : La configuration est majoritairement **baissière** — cours sous MM20/MM50, MACD négatif, bandes de Bollinger en position basse — mais le stochastique en survente extrême (%K=0) suggère un possible rebond technique à très court terme. La convergence des signaux de vente (MM, MACD) l'emporte sur le signal d'achat isolé du stochastique, plaidant pour une **prudence à court terme** avec surveillance du support de 7 300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et un résultat net de **12,493 milliards FCFA**, en baisse de 5% par rapport aux 13,11 milliards de 2024 (rapport 2025). La rentabilité reste solide avec un **ROE de 18,26%** (excellent, &gt;15%) et un **ROA de 13,84%**, tandis que la marge nette s'établit à **12,62%** et la marge opérationnelle à **17,24%**. La structure financière est remarquablement saine : **autonomie financière de 75,79%**, ratio d'endettement de seulement **24,21%**, et une trésorerie nette positive de **4,575 milliards FCFA**. Sur le plan opérationnel (secteur ENTREPRISE), le **BFR de 7,124 milliards FCFA** reste maîtrisé, le délai clients de **29,60 jours** est raisonnable (pas de risque trésorerie majeur), le délai fournisseurs de **31,72 jours** est équilibré, mais la **durée de stockage de 97,67 jours** traduit une immobilisation de capital notable dans les stocks (15,03 milliards FCFA), typique d'une activité agricole à cycle long.</w:t>
      </w:r>
    </w:p>
    <w:p>
      <w:pPr>
        <w:spacing w:after="120" w:line="276" w:lineRule="auto"/>
      </w:pPr>
      <w:r>
        <w:t>**Évolution et estimations** : Les rapports trimestriels 2025 (T1 au 31/03/2025, S1 au 30/06/2025, 9M au 30/09/2025) montrent une trajectoire en **ralentissement progressif** : après un T1 exceptionnel (CA +63,1%, résultat net +262,9%), la croissance s'est normalisée au S1 (+51,9% de CA, +151,6% de résultat net) puis aux 9M (+21,3% de CA, +39,5% de résultat net), sous l'effet d'une base de comparaison plus élevée et d'un S2 plus difficile (concurrence accrue sur le coagulum, baisse des cours SICOM). Sur cette base, on estime que l'exercice 2025 s'est conclu avec un résultat net de 12,49 milliards FCFA (chiffre confirmé), en repli de 5% sur 2024. La génération de cash-flow reste robuste (**CAF de 18,94 milliards**, flux opérationnel de 22,64 milliards, Free Cash Flow de 16,03 milliards), et la politique de dividende est très généreuse : **570 FCFA/action** proposés à l'AGO du 28 mai 2026 (document officiel du 19/05/2026), soit un rendement attractif de ~7,7% au cours actuel.</w:t>
      </w:r>
    </w:p>
    <w:p>
      <w:pPr>
        <w:spacing w:after="120" w:line="276" w:lineRule="auto"/>
      </w:pPr>
      <w:r>
        <w:t>**Recommandation fondamentale** : La solidité bilancielle (capitaux propres de 68,43 milliards, couverture des intérêts de 25 563%), la rentabilité élevée (ROE 18,26%) et le cash-flow abondant constituent des atouts majeurs. Les risques demeurent la **volatilité des prix des commodities** (caoutchouc, huiles), la **pression concurrentielle sur l'achat du coagulum** et le **taux de distribution très élevé** (~98% en 2024) qui limite les réinvestissements. Le profil fondamental reste **solide avec une vigilance sur les marges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marqué entre fondamental et technique**. Sur le plan de la **valorisation (Partie 0)**, les ratios (PER 12,8x, P/B 2,34x, EV/EBITDA 6,6x) indiquent une juste valorisation, sans décote ni surévaluation excessive, avec un rendement du dividende attractif (~7,7%). Le **comportement du cours (Partie 1)** est préoccupant à court terme : variation nulle sur 100 jours mais chute de -3,70% en J-1, cours dans le bas du range, volatilité élevée de 41,5%, et skewness négatif signalant des chutes ponctuelles plus marquées que les hausses. Les **signaux techniques (Partie 2)** sont majoritairement baissiers (cours sous MM20/MM50, MACD négatif, bandes de Bollinger en position basse), seul le stochastique en survente extrême (%K=0) suggérant un rebond technique. Les **fondamentaux (Partie 3)** demeurent solides (ROE 18,26%, autonomie financière 75,79%, CAF 18,94 milliards) malgré un repli de 5% du résultat net 2025 et un ralentissement de la croissance au fil des trimestres. Enfin, les **prédictions IA (J+1 à J+10)** anticipent une légère reprise de 7 415 à 7 537 FCFA (+1,6%), confirmant le scénario d'un rebond technique post-survente sans inversion de tendance de fond.</w:t>
      </w:r>
    </w:p>
    <w:p>
      <w:pPr>
        <w:spacing w:after="120" w:line="276" w:lineRule="auto"/>
      </w:pPr>
      <w:r>
        <w:t>**Recommandation finale : CONSERVER** — avec un biais défensif à court terme. La convergence est partielle : le fondamental solide et le dividende attractif soutiennent la détention, mais la technique baissière et le ralentissement des marges 2025-2026 plaident contre un renforcement immédiat. Le titre n'est ni survendu au point d'offrir une opportunité d'achat franche (RSI 39, cours proche du support 7 300), ni en configuration haussière. **Niveau de confiance : Moyen** (divergence fondamentale/technique). **Niveau de risque : Moyen à Élevé** (volatilité 41,5%, exposition commodities). **Horizon optimal : moyen terme (3-12 mois)**, en surveillant le support de 7 300 FCFA et la capacité de SOGC à stabiliser ses marges face à la concurrence sur le coagulum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+9.43%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6,945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μ=7,949 FCFA, σ=706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β=0.7078 (Défensif) — Cov=0.000053, Var(idx)=0.000075, ρ=0.220,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7,246</w:t>
            </w:r>
          </w:p>
        </w:tc>
        <w:tc>
          <w:tcPr>
            <w:tcW w:type="dxa" w:w="1440"/>
            <w:shd w:fill="FAFAFA" w:val="clear"/>
          </w:tcPr>
          <w:p>
            <w:r>
              <w:rPr>
                <w:b/>
                <w:sz w:val="17"/>
              </w:rPr>
              <w:t>7,621</w:t>
            </w:r>
          </w:p>
        </w:tc>
        <w:tc>
          <w:tcPr>
            <w:tcW w:type="dxa" w:w="1440"/>
            <w:shd w:fill="FAFAFA" w:val="clear"/>
          </w:tcPr>
          <w:p>
            <w:r>
              <w:rPr>
                <w:sz w:val="17"/>
              </w:rPr>
              <w:t>7,997</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7,057</w:t>
            </w:r>
          </w:p>
        </w:tc>
        <w:tc>
          <w:tcPr>
            <w:tcW w:type="dxa" w:w="1440"/>
            <w:shd w:fill="FAFAFA" w:val="clear"/>
          </w:tcPr>
          <w:p>
            <w:r>
              <w:rPr>
                <w:b/>
                <w:sz w:val="17"/>
              </w:rPr>
              <w:t>7,586</w:t>
            </w:r>
          </w:p>
        </w:tc>
        <w:tc>
          <w:tcPr>
            <w:tcW w:type="dxa" w:w="1440"/>
            <w:shd w:fill="FAFAFA" w:val="clear"/>
          </w:tcPr>
          <w:p>
            <w:r>
              <w:rPr>
                <w:sz w:val="17"/>
              </w:rPr>
              <w:t>8,115</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6,911</w:t>
            </w:r>
          </w:p>
        </w:tc>
        <w:tc>
          <w:tcPr>
            <w:tcW w:type="dxa" w:w="1440"/>
            <w:shd w:fill="FAFAFA" w:val="clear"/>
          </w:tcPr>
          <w:p>
            <w:r>
              <w:rPr>
                <w:b/>
                <w:sz w:val="17"/>
              </w:rPr>
              <w:t>7,557</w:t>
            </w:r>
          </w:p>
        </w:tc>
        <w:tc>
          <w:tcPr>
            <w:tcW w:type="dxa" w:w="1440"/>
            <w:shd w:fill="FAFAFA" w:val="clear"/>
          </w:tcPr>
          <w:p>
            <w:r>
              <w:rPr>
                <w:sz w:val="17"/>
              </w:rPr>
              <w:t>8,202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6,786</w:t>
            </w:r>
          </w:p>
        </w:tc>
        <w:tc>
          <w:tcPr>
            <w:tcW w:type="dxa" w:w="1440"/>
            <w:shd w:fill="FAFAFA" w:val="clear"/>
          </w:tcPr>
          <w:p>
            <w:r>
              <w:rPr>
                <w:b/>
                <w:sz w:val="17"/>
              </w:rPr>
              <w:t>7,528</w:t>
            </w:r>
          </w:p>
        </w:tc>
        <w:tc>
          <w:tcPr>
            <w:tcW w:type="dxa" w:w="1440"/>
            <w:shd w:fill="FAFAFA" w:val="clear"/>
          </w:tcPr>
          <w:p>
            <w:r>
              <w:rPr>
                <w:sz w:val="17"/>
              </w:rPr>
              <w:t>8,270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6,673</w:t>
            </w:r>
          </w:p>
        </w:tc>
        <w:tc>
          <w:tcPr>
            <w:tcW w:type="dxa" w:w="1440"/>
            <w:shd w:fill="FAFAFA" w:val="clear"/>
          </w:tcPr>
          <w:p>
            <w:r>
              <w:rPr>
                <w:b/>
                <w:sz w:val="17"/>
              </w:rPr>
              <w:t>7,500</w:t>
            </w:r>
          </w:p>
        </w:tc>
        <w:tc>
          <w:tcPr>
            <w:tcW w:type="dxa" w:w="1440"/>
            <w:shd w:fill="FAFAFA" w:val="clear"/>
          </w:tcPr>
          <w:p>
            <w:r>
              <w:rPr>
                <w:sz w:val="17"/>
              </w:rPr>
              <w:t>8,327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6,570</w:t>
            </w:r>
          </w:p>
        </w:tc>
        <w:tc>
          <w:tcPr>
            <w:tcW w:type="dxa" w:w="1440"/>
            <w:shd w:fill="FAFAFA" w:val="clear"/>
          </w:tcPr>
          <w:p>
            <w:r>
              <w:rPr>
                <w:b/>
                <w:sz w:val="17"/>
              </w:rPr>
              <w:t>7,473</w:t>
            </w:r>
          </w:p>
        </w:tc>
        <w:tc>
          <w:tcPr>
            <w:tcW w:type="dxa" w:w="1440"/>
            <w:shd w:fill="FAFAFA" w:val="clear"/>
          </w:tcPr>
          <w:p>
            <w:r>
              <w:rPr>
                <w:sz w:val="17"/>
              </w:rPr>
              <w:t>8,375</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6,475</w:t>
            </w:r>
          </w:p>
        </w:tc>
        <w:tc>
          <w:tcPr>
            <w:tcW w:type="dxa" w:w="1440"/>
            <w:shd w:fill="FFDCE0" w:val="clear"/>
          </w:tcPr>
          <w:p>
            <w:r>
              <w:rPr>
                <w:b/>
                <w:sz w:val="17"/>
              </w:rPr>
              <w:t>7,447</w:t>
            </w:r>
          </w:p>
        </w:tc>
        <w:tc>
          <w:tcPr>
            <w:tcW w:type="dxa" w:w="1440"/>
            <w:shd w:fill="FFDCE0" w:val="clear"/>
          </w:tcPr>
          <w:p>
            <w:r>
              <w:rPr>
                <w:sz w:val="17"/>
              </w:rPr>
              <w:t>8,418</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6,386</w:t>
            </w:r>
          </w:p>
        </w:tc>
        <w:tc>
          <w:tcPr>
            <w:tcW w:type="dxa" w:w="1440"/>
            <w:shd w:fill="FFDCE0" w:val="clear"/>
          </w:tcPr>
          <w:p>
            <w:r>
              <w:rPr>
                <w:b/>
                <w:sz w:val="17"/>
              </w:rPr>
              <w:t>7,421</w:t>
            </w:r>
          </w:p>
        </w:tc>
        <w:tc>
          <w:tcPr>
            <w:tcW w:type="dxa" w:w="1440"/>
            <w:shd w:fill="FFDCE0" w:val="clear"/>
          </w:tcPr>
          <w:p>
            <w:r>
              <w:rPr>
                <w:sz w:val="17"/>
              </w:rPr>
              <w:t>8,456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6,303</w:t>
            </w:r>
          </w:p>
        </w:tc>
        <w:tc>
          <w:tcPr>
            <w:tcW w:type="dxa" w:w="1440"/>
            <w:shd w:fill="FFDCE0" w:val="clear"/>
          </w:tcPr>
          <w:p>
            <w:r>
              <w:rPr>
                <w:b/>
                <w:sz w:val="17"/>
              </w:rPr>
              <w:t>7,397</w:t>
            </w:r>
          </w:p>
        </w:tc>
        <w:tc>
          <w:tcPr>
            <w:tcW w:type="dxa" w:w="1440"/>
            <w:shd w:fill="FFDCE0" w:val="clear"/>
          </w:tcPr>
          <w:p>
            <w:r>
              <w:rPr>
                <w:sz w:val="17"/>
              </w:rPr>
              <w:t>8,491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6,224</w:t>
            </w:r>
          </w:p>
        </w:tc>
        <w:tc>
          <w:tcPr>
            <w:tcW w:type="dxa" w:w="1440"/>
            <w:shd w:fill="FFDCE0" w:val="clear"/>
          </w:tcPr>
          <w:p>
            <w:r>
              <w:rPr>
                <w:b/>
                <w:sz w:val="17"/>
              </w:rPr>
              <w:t>7,374</w:t>
            </w:r>
          </w:p>
        </w:tc>
        <w:tc>
          <w:tcPr>
            <w:tcW w:type="dxa" w:w="1440"/>
            <w:shd w:fill="FFDCE0" w:val="clear"/>
          </w:tcPr>
          <w:p>
            <w:r>
              <w:rPr>
                <w:sz w:val="17"/>
              </w:rPr>
              <w:t>8,523</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 RAPPORT D'ANALYSE FINANCIÈRE — SPHC (SAPH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194,24 milliards FCFA, SPHC s'affirme comme une valeur de premier plan de la cote BRVM, représentant un pilier du secteur agro-industriel ouest-africain. Le BPA de 977 FCFA/action signifie que chaque titre génère près de 1 000 FCFA de bénéfice net, un niveau de rentabilité par action remarquable pour la place. Le PER de 7,8x se situe nettement sous la moyenne BRVM (8-12x), signalant une potentielle sous-évaluation du titre par le marché, tandis que le P/B de 1,41x indique une valorisation raisonnable, légèrement au-dessus de la valeur comptable mais cohérente avec la rentabilité des fonds propres (ROE 18,1%). Enfin, l'EV/EBITDA de 4,9x — inférieur au seuil de 5x — traduit une valorisation très attractive de la capacité opérationnelle de l'entreprise, renforçant le diagnostic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affiche une variation totale positive de +9,43%, bien que la dernière séance (J-1) ait enregistré un repli de -2,56%, ramenant le cours à 7 600 FCFA. Le range de trading s'établit entre un plus bas de 6 945 FCFA et un plus haut de 10 300 FCFA, soit une amplitude de près de 48% qui témoigne d'une forte volatilité directionnelle. La tendance générale reste haussière sur la période, mais le cours actuel (7 600 FCFA) se situe sous la moyenne (7 949 FCFA) et sous la médiane (7 685 FCFA), suggérant une phase de correction après un pic. Les statistiques descriptives révèlent un écart-type de 710 FCFA avec un coefficient de variation de 8,9%, indiquant une dispersion modérée autour de la moyenne. Le kurtosis de 2,166 (leptokurtique) signale des queues épaisses et un risque de pics de volatilité, tandis que le skewness de 1,658 (asymétrie positive) indique que davantage de journées se sont situées sous la moyenne, avec des mouvements haussiers plus amples que baissiers. La volatilité annualisée de 44,6% classe le titre dans la catégorie **élevée** (&gt;30%), exigeant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(7 822,25 FCFA) et la MM50 (8 366,5 FCFA) se situent toutes deux au-dessus du cours actuel (7 600 FCFA), avec une MM20 inférieure à la MM50 — configuration baissière caractéristique. Le cours évoluant sous ses deux moyennes mobiles, la pression vendeuse domine, justifiant la décision **Vente**.</w:t>
      </w:r>
    </w:p>
    <w:p>
      <w:pPr>
        <w:spacing w:after="120" w:line="276" w:lineRule="auto"/>
      </w:pPr>
      <w:r>
        <w:t>**Bandes de Bollinger** : Le cours (7 600 FCFA) se situe dans la moitié inférieure de la bande, entre la borne inférieure (7 485,62 FCFA) et la borne supérieure (8 158,88 FCFA), sans franchissement des extrêmes. Cette position centrale traduit une absence de signal directionnel fort, justifiant la décision **Neutre** avec une légère inclinaison baissière.</w:t>
      </w:r>
    </w:p>
    <w:p>
      <w:pPr>
        <w:spacing w:after="120" w:line="276" w:lineRule="auto"/>
      </w:pPr>
      <w:r>
        <w:t>**MACD** : La valeur du MACD (-159,185) est inférieure à son signal (-156,194), confirmant une divergence baissière persistante et un momentum négatif. L'écart entre les deux lignes reste modéré mais orienté à la baisse, justifiant la décision **Vente**.</w:t>
      </w:r>
    </w:p>
    <w:p>
      <w:pPr>
        <w:spacing w:after="120" w:line="276" w:lineRule="auto"/>
      </w:pPr>
      <w:r>
        <w:t>**RSI** : À 42,5, le RSI se situe dans la zone neutre (30-70), sans signal de surachat ni de survente. Le titre n'est ni surévalué ni survendu techniquement, ce qui justifie la décision **Neutre** et suggère une absence de catalyseur technique immédiat.</w:t>
      </w:r>
    </w:p>
    <w:p>
      <w:pPr>
        <w:spacing w:after="120" w:line="276" w:lineRule="auto"/>
      </w:pPr>
      <w:r>
        <w:t>**Stochastique** : Le %K (9,091) est très bas et inférieur au %D (19,529), plaçant le titre en zone de survente marquée. Cette configuration extrême suggère un potentiel rebond technique à court terme, justifiant la décision **Achat** — seul indicateur haussier du panel.</w:t>
      </w:r>
    </w:p>
    <w:p>
      <w:pPr>
        <w:spacing w:after="120" w:line="276" w:lineRule="auto"/>
      </w:pPr>
      <w:r>
        <w:t>**Conclusion technique** : La majorité des indicateurs (MM, MACD) penchent vers la vente, tandis que le RSI et les Bollinger restent neutres et que le Stochastique signale une survente propice à un rebond. Cette divergence crée une configuration de **prudence** : le titre est en phase corrective baissière, mais la survente stochastique pourrait générer un rebond technique limité. Un signal d'achat confirmé nécessiterait un retour du cours au-dessus de la MM20 (7 822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(279,44 Mds FCFA), avec un résultat net de 24,972 milliards FCFA (+32,9%). La rentabilité est solide : ROE de 18,10% (excellent, &gt;15%) et ROA de 11,06%, tandis que la marge nette s'établit à 7,33% et la marge opérationnelle à 11,19%. La structure financière est saine avec une autonomie financière de 61,08%, un ratio d'endettement maîtrisé de 25,81% et une couverture des intérêts de 1 094,57%. Point de vigilance : la trésorerie nette est négative (-15,413 Mds FCFA) et le BFR de 65,389 Mds FCFA (délai clients de 35 jours, durée de stockage de 72,33 jours) traduit une immobilisation de capital significative, typique du secteur agro-industriel.</w:t>
      </w:r>
    </w:p>
    <w:p>
      <w:pPr>
        <w:spacing w:after="120" w:line="276" w:lineRule="auto"/>
      </w:pPr>
      <w:r>
        <w:t>**Estimations issues des rapports trimestriels** : Le rapport T1 2026 (publié en 2026) révèle un net coup de frein : CA de 71,8 Mds FCFA (-24%), résultat net de 2,633 Mds FCFA (-78%) et marge nette réduite à 4%, pénalisés par la chute des cours mondiaux et l'engorgement du port de San-Pedro. Toutefois, le rapport au 30 septembre 2026 (analysé par GEMINI-VISION) montre un **redressement spectaculaire au T3** : le résultat net cumulé (9,703 Mds FCFA) dépasse déjà l'objectif budgétaire annuel de 10,67 Mds FCFA, porté par la hausse des cours du TSR20 (+20% sur un an à 2,13 USD/kg). On estime donc que l'exercice 2026 devrait dépasser les prévisions initiales malgré un premier semestre difficile. Le rapport MISTRAL (exercice 2025) confirme un DPA de 85,6 FCFA (+32,7%) avec un taux de distribution stable à 50,1%, tandis que l'avis de convocation à l'AG du 09 avril 2026 (document officiel BRVM) propose un dividende de **489 FCFA brut par action** — un rendement attractif de 6,4% au cours actuel.</w:t>
      </w:r>
    </w:p>
    <w:p>
      <w:pPr>
        <w:spacing w:after="120" w:line="276" w:lineRule="auto"/>
      </w:pPr>
      <w:r>
        <w:t>**Recommandation fondamentale** : La solidité bilancielle (capitaux propres de 137,94 Mds FCFA), la croissance rentable et la politique de dividende généreuse constituent des atouts majeurs. Les risques structurels (trésorerie négative, concentration sectorielle à 98,6% sur les produits fabriqués, volatilité des cours du caoutchouc) justifient une surveillance active, mais le redressement du T3 2026 et la conformité EUDR positionnent SPHC favorablement.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**décalage marqué entre les fondamentaux et le comportement du cours**. Sur le plan de la valorisation (Partie 0), les ratios PER de 7,8x, P/B de 1,41x et EV/EBITDA de 4,9x indiquent clairement une **sous-évaluation** du titre par rapport à son potentiel bénéficiaire et à sa capacité opérationnelle. Le comportement du cours (Partie 1) est toutefois préoccupant à court terme : correction de -2,56% en J-1, cours sous la moyenne et la médiane, volatilité élevée de 44,6% et skewness positif signalant une pression baissière récente. Les signaux techniques (Partie 2) sont majoritairement baissiers (MM, MACD en vente), tempérés par une survente stochastique propice à un rebond technique. Les fondamentaux (Partie 3) demeurent solides — ROE de 18,1%, croissance du CA de +22% en 2025, dividende de 489 FCFA — et le redressement du T3 2026 confirme la résilience du modèle. Les prédictions IA (J+1 à J+10) anticipent une **légère érosion** du cours de 7 621 à 7 500 FCFA, cohérente avec la pression technique baissière actuelle mais contredisant la sous-évaluation fondamentale.</w:t>
      </w:r>
    </w:p>
    <w:p>
      <w:pPr>
        <w:spacing w:after="120" w:line="276" w:lineRule="auto"/>
      </w:pPr>
      <w:r>
        <w:t>**Recommandation finale : CONSERVER** (avec biais acheteur sur repli). La convergence est **partielle** : la valorisation attractive et les fondamentaux solides plaident pour un potentiel haussier à moyen terme, mais les signaux techniques baissiers et les prédictions IA négatives à court terme justifient la patience. **Niveau de confiance : Moyen** — la divergence entre technique (baissier) et fondamental (haussier) crée une incertitude sur le timing. **Niveau de risque global : Élevé** (volatilité de 44,6%, kurtosis leptokurtique, exposition aux cours mondiaux du caoutchouc). **Horizon optimal : moyen terme (3-12 mois)**, le temps que le redressement opérationnel du T3 2026 se matérialise dans les résultats annuels et que la pression technique se dissipe. Un passage au-dessus de la MM20 (7 822 FCFA) constituerait un signal de renforcement de la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6,354 titres</w:t>
            </w:r>
          </w:p>
        </w:tc>
        <w:tc>
          <w:tcPr>
            <w:tcW w:type="dxa" w:w="2268"/>
            <w:shd w:fill="FFF2CC" w:val="clear"/>
          </w:tcPr>
          <w:p>
            <w:r>
              <w:rPr>
                <w:b/>
                <w:color w:val="503200"/>
                <w:sz w:val="16"/>
              </w:rPr>
              <w:t xml:space="preserve">Cours actuel : </w:t>
            </w:r>
            <w:r>
              <w:rPr>
                <w:color w:val="000000"/>
                <w:sz w:val="17"/>
              </w:rPr>
              <w:t>2,030 FCFA</w:t>
            </w:r>
          </w:p>
          <w:p>
            <w:r>
              <w:rPr>
                <w:b/>
                <w:color w:val="503200"/>
                <w:sz w:val="16"/>
              </w:rPr>
              <w:t xml:space="preserve">Var. 100 jours : </w:t>
            </w:r>
            <w:r>
              <w:rPr>
                <w:b/>
                <w:color w:val="B40000"/>
                <w:sz w:val="17"/>
              </w:rPr>
              <w:t>-34.83%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1,905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29.0/100 → Moyen</w:t>
      </w:r>
    </w:p>
    <w:p>
      <w:pPr>
        <w:spacing w:before="40" w:after="80"/>
      </w:pPr>
      <w:r>
        <w:rPr>
          <w:rFonts w:ascii="Courier New" w:hAnsi="Courier New"/>
          <w:color w:val="825A00"/>
          <w:sz w:val="18"/>
        </w:rPr>
        <w:t>█████░░░░░░░░░░░░░░░  29.0/100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μ=2,797 FCFA, σ=469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β=-0.0029 (Contre-cyclique) — Cov=-0.000000, Var(idx)=0.000075, ρ=-0.001,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1,858</w:t>
            </w:r>
          </w:p>
        </w:tc>
        <w:tc>
          <w:tcPr>
            <w:tcW w:type="dxa" w:w="1440"/>
            <w:shd w:fill="FAFAFA" w:val="clear"/>
          </w:tcPr>
          <w:p>
            <w:r>
              <w:rPr>
                <w:b/>
                <w:sz w:val="17"/>
              </w:rPr>
              <w:t>2,003</w:t>
            </w:r>
          </w:p>
        </w:tc>
        <w:tc>
          <w:tcPr>
            <w:tcW w:type="dxa" w:w="1440"/>
            <w:shd w:fill="FAFAFA" w:val="clear"/>
          </w:tcPr>
          <w:p>
            <w:r>
              <w:rPr>
                <w:sz w:val="17"/>
              </w:rPr>
              <w:t>2,148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1,815</w:t>
            </w:r>
          </w:p>
        </w:tc>
        <w:tc>
          <w:tcPr>
            <w:tcW w:type="dxa" w:w="1440"/>
            <w:shd w:fill="FAFAFA" w:val="clear"/>
          </w:tcPr>
          <w:p>
            <w:r>
              <w:rPr>
                <w:b/>
                <w:sz w:val="17"/>
              </w:rPr>
              <w:t>2,022</w:t>
            </w:r>
          </w:p>
        </w:tc>
        <w:tc>
          <w:tcPr>
            <w:tcW w:type="dxa" w:w="1440"/>
            <w:shd w:fill="FAFAFA" w:val="clear"/>
          </w:tcPr>
          <w:p>
            <w:r>
              <w:rPr>
                <w:sz w:val="17"/>
              </w:rPr>
              <w:t>2,230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1,779</w:t>
            </w:r>
          </w:p>
        </w:tc>
        <w:tc>
          <w:tcPr>
            <w:tcW w:type="dxa" w:w="1440"/>
            <w:shd w:fill="FAFAFA" w:val="clear"/>
          </w:tcPr>
          <w:p>
            <w:r>
              <w:rPr>
                <w:b/>
                <w:sz w:val="17"/>
              </w:rPr>
              <w:t>2,034</w:t>
            </w:r>
          </w:p>
        </w:tc>
        <w:tc>
          <w:tcPr>
            <w:tcW w:type="dxa" w:w="1440"/>
            <w:shd w:fill="FAFAFA" w:val="clear"/>
          </w:tcPr>
          <w:p>
            <w:r>
              <w:rPr>
                <w:sz w:val="17"/>
              </w:rPr>
              <w:t>2,290</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1,747</w:t>
            </w:r>
          </w:p>
        </w:tc>
        <w:tc>
          <w:tcPr>
            <w:tcW w:type="dxa" w:w="1440"/>
            <w:shd w:fill="FAFAFA" w:val="clear"/>
          </w:tcPr>
          <w:p>
            <w:r>
              <w:rPr>
                <w:b/>
                <w:sz w:val="17"/>
              </w:rPr>
              <w:t>2,043</w:t>
            </w:r>
          </w:p>
        </w:tc>
        <w:tc>
          <w:tcPr>
            <w:tcW w:type="dxa" w:w="1440"/>
            <w:shd w:fill="FAFAFA" w:val="clear"/>
          </w:tcPr>
          <w:p>
            <w:r>
              <w:rPr>
                <w:sz w:val="17"/>
              </w:rPr>
              <w:t>2,339</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1,718</w:t>
            </w:r>
          </w:p>
        </w:tc>
        <w:tc>
          <w:tcPr>
            <w:tcW w:type="dxa" w:w="1440"/>
            <w:shd w:fill="FAFAFA" w:val="clear"/>
          </w:tcPr>
          <w:p>
            <w:r>
              <w:rPr>
                <w:b/>
                <w:sz w:val="17"/>
              </w:rPr>
              <w:t>2,050</w:t>
            </w:r>
          </w:p>
        </w:tc>
        <w:tc>
          <w:tcPr>
            <w:tcW w:type="dxa" w:w="1440"/>
            <w:shd w:fill="FAFAFA" w:val="clear"/>
          </w:tcPr>
          <w:p>
            <w:r>
              <w:rPr>
                <w:sz w:val="17"/>
              </w:rPr>
              <w:t>2,382</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1,691</w:t>
            </w:r>
          </w:p>
        </w:tc>
        <w:tc>
          <w:tcPr>
            <w:tcW w:type="dxa" w:w="1440"/>
            <w:shd w:fill="FAFAFA" w:val="clear"/>
          </w:tcPr>
          <w:p>
            <w:r>
              <w:rPr>
                <w:b/>
                <w:sz w:val="17"/>
              </w:rPr>
              <w:t>2,056</w:t>
            </w:r>
          </w:p>
        </w:tc>
        <w:tc>
          <w:tcPr>
            <w:tcW w:type="dxa" w:w="1440"/>
            <w:shd w:fill="FAFAFA" w:val="clear"/>
          </w:tcPr>
          <w:p>
            <w:r>
              <w:rPr>
                <w:sz w:val="17"/>
              </w:rPr>
              <w:t>2,421</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1,666</w:t>
            </w:r>
          </w:p>
        </w:tc>
        <w:tc>
          <w:tcPr>
            <w:tcW w:type="dxa" w:w="1440"/>
            <w:shd w:fill="FAFAFA" w:val="clear"/>
          </w:tcPr>
          <w:p>
            <w:r>
              <w:rPr>
                <w:b/>
                <w:sz w:val="17"/>
              </w:rPr>
              <w:t>2,061</w:t>
            </w:r>
          </w:p>
        </w:tc>
        <w:tc>
          <w:tcPr>
            <w:tcW w:type="dxa" w:w="1440"/>
            <w:shd w:fill="FAFAFA" w:val="clear"/>
          </w:tcPr>
          <w:p>
            <w:r>
              <w:rPr>
                <w:sz w:val="17"/>
              </w:rPr>
              <w:t>2,456</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1,642</w:t>
            </w:r>
          </w:p>
        </w:tc>
        <w:tc>
          <w:tcPr>
            <w:tcW w:type="dxa" w:w="1440"/>
            <w:shd w:fill="FAFAFA" w:val="clear"/>
          </w:tcPr>
          <w:p>
            <w:r>
              <w:rPr>
                <w:b/>
                <w:sz w:val="17"/>
              </w:rPr>
              <w:t>2,065</w:t>
            </w:r>
          </w:p>
        </w:tc>
        <w:tc>
          <w:tcPr>
            <w:tcW w:type="dxa" w:w="1440"/>
            <w:shd w:fill="FAFAFA" w:val="clear"/>
          </w:tcPr>
          <w:p>
            <w:r>
              <w:rPr>
                <w:sz w:val="17"/>
              </w:rPr>
              <w:t>2,488</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1,620</w:t>
            </w:r>
          </w:p>
        </w:tc>
        <w:tc>
          <w:tcPr>
            <w:tcW w:type="dxa" w:w="1440"/>
            <w:shd w:fill="FAFAFA" w:val="clear"/>
          </w:tcPr>
          <w:p>
            <w:r>
              <w:rPr>
                <w:b/>
                <w:sz w:val="17"/>
              </w:rPr>
              <w:t>2,069</w:t>
            </w:r>
          </w:p>
        </w:tc>
        <w:tc>
          <w:tcPr>
            <w:tcW w:type="dxa" w:w="1440"/>
            <w:shd w:fill="FAFAFA" w:val="clear"/>
          </w:tcPr>
          <w:p>
            <w:r>
              <w:rPr>
                <w:sz w:val="17"/>
              </w:rPr>
              <w:t>2,519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1,598</w:t>
            </w:r>
          </w:p>
        </w:tc>
        <w:tc>
          <w:tcPr>
            <w:tcW w:type="dxa" w:w="1440"/>
            <w:shd w:fill="C6EFCE" w:val="clear"/>
          </w:tcPr>
          <w:p>
            <w:r>
              <w:rPr>
                <w:b/>
                <w:sz w:val="17"/>
              </w:rPr>
              <w:t>2,073</w:t>
            </w:r>
          </w:p>
        </w:tc>
        <w:tc>
          <w:tcPr>
            <w:tcW w:type="dxa" w:w="1440"/>
            <w:shd w:fill="C6EFCE" w:val="clear"/>
          </w:tcPr>
          <w:p>
            <w:r>
              <w:rPr>
                <w:sz w:val="17"/>
              </w:rPr>
              <w:t>2,548</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STAC (SETAO)</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**27,28 Mds FCFA**, STAC se situe dans la catégorie des petites capitalisations de la BRVM, un niveau qui la rend vulnérable aux mouvements de faible liquidité et aux anticipations spéculatives. Le BPA ressort à **-7 FCFA/action**, traduisant une société structurellement déficitaire : chaque action détruit de la valeur comptable plutôt qu'elle n'en génère. Le PER de **-282,6x** est mécaniquement négatif et donc non interprétable en termes de multiple de bénéfices — il confirme simplement l'absence de profits et rend la référence au PER moyen BRVM (8-12x) inopérante. Le ratio P/B de **76,48x** constitue le signal le plus alarmant : le marché valorise l'action à plus de 76 fois sa valeur comptable, alors que les capitaux propres ne s'élèvent qu'à 356,75 M FCFA pour une capitalisation de 27,28 Mds FCFA — une prime considérable, sans justification par les fondamentaux actuels, qui traduit une valorisation purement spéculative portée par les anticipations liées au chantier aéroportuaire. Le ratio EV/EBITDA n'est pas pertinent ici, l'EBITDA (EBE) étant négatif à **-650,13 M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-34,83%**, passant d'un plus haut de **3 640 FCFA** à un plus bas de **1 905 FCFA**, pour un cours actuel de **2 030 FCFA** — soit un effondrement caractéristique d'une tendance baissière de fond, malgré un rebond technique de **+6,56%** lors de la dernière séance (J-1). Le range de trading de 1 735 FCFA (soit près de 91% du cours bas) témoigne d'une amplitude extrême. Les statistiques descriptives révèlent une **moyenne de 2 797 FCFA** nettement supérieure à la **médiane de 2 758 FCFA**, avec un mode à 3 500 FCFA : la distribution est légèrement asymétrique à droite, le cours ayant passé davantage de temps sur des niveaux élevés avant de chuter brutalement en fin de période. L'**écart-type de 472 FCFA (CV = 16,9%)** indique une dispersion modérée en relatif, mais le **kurtosis de -0,950 (mésokurtique)** et le **skewness de 0,091 (quasi-symétrique)** suggèrent une distribution proche de la normale, sans pics extrêmes ni queue épaisse — le risque de mouvement brutal isolé est donc limité, mais la tendance baissière est régulière et persistante. La **volatilité annualisée de 60,2%** classe le titre dans la catégorie des valeurs à **volatilité élevée** (&gt;30%), ce qui est cohérent avec une petite capitalisation en difficulté fondamentale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(2 134,75 FCFA) et la MM50 (2 413,10 FCFA) se situent toutes deux au-dessus du cours actuel (2 030 FCFA), avec une MM20 inférieure à la MM50 — configuration baissière typique (croisement descendant). Le cours évolue sous ses deux moyennes, confirmant la pression vendeuse ; la décision technique est **Vente**.</w:t>
      </w:r>
    </w:p>
    <w:p>
      <w:pPr>
        <w:spacing w:after="120" w:line="276" w:lineRule="auto"/>
      </w:pPr>
      <w:r>
        <w:t>**Bandes de Bollinger** : Le cours (2 030 FCFA) se situe dans la moitié basse de la bande, entre la borne inférieure (1 904,20 FCFA) et la borne supérieure (2 365,30 FCFA), sans franchissement de borne. L'absence de signal extrême (ni surachat ni survente) justifie la décision **Neutre**, le titre évoluant dans un canal baissier sans excès ponctuel.</w:t>
      </w:r>
    </w:p>
    <w:p>
      <w:pPr>
        <w:spacing w:after="120" w:line="276" w:lineRule="auto"/>
      </w:pPr>
      <w:r>
        <w:t>**MACD** : La ligne MACD (-126,99) est inférieure à sa ligne de signal (-123,06), avec un histogramme négatif — divergence baissière persistante et momentum négatif. La décision est **Vente**, le croisement restant défavorable.</w:t>
      </w:r>
    </w:p>
    <w:p>
      <w:pPr>
        <w:spacing w:after="120" w:line="276" w:lineRule="auto"/>
      </w:pPr>
      <w:r>
        <w:t>**RSI** : À **48,06**, le RSI se situe en zone strictement neutre (30-70), sans signal de surachat (&gt;70) ni de survente (&lt;30). La décision **Neutre** reflète l'absence de pression directionnelle immédiate, le titre pouvant osciller sans catalyseur.</w:t>
      </w:r>
    </w:p>
    <w:p>
      <w:pPr>
        <w:spacing w:after="120" w:line="276" w:lineRule="auto"/>
      </w:pPr>
      <w:r>
        <w:t>**Stochastique** : Le %K (26,32) est supérieur au %D (8,77), avec un croisement haussier en zone de survente (&lt;20 pour %D) — signal potentiel de rebond de court terme, mais la décision globale reste **Neutre** car le %K n'a pas encore franchi le seuil de 20.</w:t>
      </w:r>
    </w:p>
    <w:p>
      <w:pPr>
        <w:spacing w:after="120" w:line="276" w:lineRule="auto"/>
      </w:pPr>
      <w:r>
        <w:t>**Conclusion technique** : Les indicateurs convergent majoritairement vers une **configuration baissière** (MM, MACD en Vente ; Bollinger, RSI, Stochastique en Neutre). Le seul signal positif est le croisement haussier du stochastique en zone de survente, cohérent avec le rebond de +6,56% de J-1, mais insuffisant pour inverser la tendance de fond. Le titre reste sous pression, avec un support critique à 1 905 FCFA (plus bas) et une résistance à 2 134 FCFA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 STAC (SETAO, BTP/études) affiche un chiffre d'affaires de **3,878 Mds FCFA** en 2025, en croissance spectaculaire de **+116,26%** — reflet du redémarrage du chantier aéroportuaire d'Abidjan. Cependant, cette dynamique commerciale ne se traduit pas en rentabilité : le résultat net est **négatif à -96,56 M FCFA** (marge nette -2,49%), l'EBE est profondément déficitaire à **-650,13 M FCFA** et le résultat d'exploitation à **-771,95 M FCFA** (marge opérationnelle -19,90%). Le ROE s'établit à **-27,07%** et le ROA à **-1,77%**, confirmant une destruction de valeur. La structure financière est très fragile : **autonomie financière de 6,55%** (très en dessous du seuil sain de 30%), **ratio d'endettement de 93,45%** et **dépendance financière de 129,87%** — les dettes totales (5,090 Mds FCFA) écrasent les capitaux propres (356,75 M FCFA). Point positif : le **BFR est négatif à -930,47 M FCFA** (favorable pour une entreprise) et la trésorerie nette atteint **1,330 Mds FCFA**, offrant un coussin de liquidité, bien que le flux opérationnel soit négatif à **-2,212 Mds FCFA**.</w:t>
      </w:r>
    </w:p>
    <w:p>
      <w:pPr>
        <w:spacing w:after="120" w:line="276" w:lineRule="auto"/>
      </w:pPr>
      <w:r>
        <w:t>**Évolution temporelle (rapports narratifs)** : Le rapport du **30 septembre 2025** (cumul 9 mois) confirme un CA de 3 456 M FCFA (+176%) mais une perte nette de 477 M FCFA, en réduction de 22% — la perte d'exploitation s'améliore de 50% (-456 M FCFA contre -921 M FCFA). Le rapport du **30 juin 2025** (S1) affichait un CA de 2 271 M FCFA (+290%) pour une perte de 557 M FCFA, illustrant un paradoxe : la croissance du CA s'accompagne de pertes, signe d'une structure de coûts inadaptée. Les rapports antérieurs (**exercice 2024**, **S1 2024**, **T3 2024**) documentent l'effondrement historique : CA 2024 de 1 793 M FCFA (-80,6% vs 2023), perte nette de 348 M FCFA, capitaux propres à 453 M FCFA (6,1% du bilan). À titre de comparaison, les rapports **2020-2021** montrent une société alors rentable (résultat net 2,32 Mds FCFA en 2020, marge nette 14,6%) — la dégradation est donc récente et sévère.</w:t>
      </w:r>
    </w:p>
    <w:p>
      <w:pPr>
        <w:spacing w:after="120" w:line="276" w:lineRule="auto"/>
      </w:pPr>
      <w:r>
        <w:t>**Estimation et recommandation fondamentale** : Sur la base du rapport T3 2025 (CA 9 mois de 3 456 M FCFA) et de la prévision directionnelle de 4 Mds FCFA pour 2025, on estime que l'exercice 2025 devrait se solder par une perte nette résiduelle, la trajectoire vers la rentabilité n'étant pas encore atteinte. La priorité critique reste la **sécurisation de nouveaux contrats** au-delà du chantier aéroportuaire, sous peine de nouveau trou d'air d'activité. La recommandation fondamentale est **prudente** : la solidité financière est faible (capitaux propres quasi-inexistants, endettement massif), les perspectives dépendent d'un projet unique, et l'absence de dividende depuis 2018 prive l'actionnaire de tout rendement.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une **divergence profonde entre le prix de marché et les fondamentaux**. La valorisation (Partie 0) est **extrêmement tendue** : P/B de 76,48x pour des capitaux propres de 356,75 M FCFA, PER négatif, BPA de -7 FCFA — le marché paie une prime spéculative sans contrepartie bénéficiaire. Le comportement du cours (Partie 1) est **préoccupant** : -34,83% sur 100 jours, volatilité annualisée de 60,2%, distribution quasi-normale (kurtosis -0,95, skewness 0,09) masquant une tendance baissière régulière et persistante. Les signaux techniques (Partie 2) **convergent vers la vente** (MM et MACD en Vente, autres neutres), le rebond de J-1 (+6,56%) et le croisement haussier du stochastique n'étant que des soubresauts techniques sans confirmation. Les fondamentaux (Partie 3) demeurent **fragiles** : croissance du CA (+116%) non convertie en rentabilité (perte nette -96,56 M FCFA en 2025), ROE de -27,07%, autonomie financière de 6,55%, dépendance à un projet unique. Les **prédictions IA** (J+1 à J+10) anticipent une légère reprise de 2 003 à 2 050 FCFA (+2,3%), cohérente avec le rebond technique de court terme mais **contredisant la tendance de fond** et les fondamentaux.</w:t>
      </w:r>
    </w:p>
    <w:p>
      <w:pPr>
        <w:spacing w:after="120" w:line="276" w:lineRule="auto"/>
      </w:pPr>
      <w:r>
        <w:t>**Recommandation finale : VENTE** — avec un **niveau de confiance Moyen** et un **risque global Élevé**. La convergence est claire entre valorisation surévaluée, technique baissière et fondamentaux dégradés ; seule la prédiction IA à court terme suggère un rebond technique, insuffisant pour justifier une exposition. **Horizon optimal : court terme (&lt;3 mois)** pour les détenteurs souhaitant sortir sur le rebond de J-1 ; les investisseurs spéculatifs pourraient surveiller un retour vers 2 134 FCFA (MM20) comme point de sortie, avec un stop-loss strict sous 1 905 FCFA. Un retournement durable exigerait la preuve d'une rentabilité opérationnelle récurrente et la sécurisation de nouveaux contrats — conditions non réunies à ce jour.</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383.34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4,167 titres</w:t>
            </w:r>
          </w:p>
        </w:tc>
        <w:tc>
          <w:tcPr>
            <w:tcW w:type="dxa" w:w="2268"/>
            <w:shd w:fill="FFF2CC" w:val="clear"/>
          </w:tcPr>
          <w:p>
            <w:r>
              <w:rPr>
                <w:b/>
                <w:color w:val="503200"/>
                <w:sz w:val="16"/>
              </w:rPr>
              <w:t xml:space="preserve">Cours actuel : </w:t>
            </w:r>
            <w:r>
              <w:rPr>
                <w:color w:val="000000"/>
                <w:sz w:val="17"/>
              </w:rPr>
              <w:t>21,350 FCFA</w:t>
            </w:r>
          </w:p>
          <w:p>
            <w:r>
              <w:rPr>
                <w:b/>
                <w:color w:val="503200"/>
                <w:sz w:val="16"/>
              </w:rPr>
              <w:t xml:space="preserve">Var. 100 jours : </w:t>
            </w:r>
            <w:r>
              <w:rPr>
                <w:b/>
                <w:color w:val="007800"/>
                <w:sz w:val="17"/>
              </w:rPr>
              <w:t>+0.28%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μ=22,573 FCFA, σ=1,103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β=0.4496 (Défensif) — Cov=0.000034, Var(idx)=0.000075, ρ=0.166,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21,403</w:t>
            </w:r>
          </w:p>
        </w:tc>
        <w:tc>
          <w:tcPr>
            <w:tcW w:type="dxa" w:w="1440"/>
            <w:shd w:fill="C6EFCE" w:val="clear"/>
          </w:tcPr>
          <w:p>
            <w:r>
              <w:rPr>
                <w:b/>
                <w:sz w:val="17"/>
              </w:rPr>
              <w:t>21,996</w:t>
            </w:r>
          </w:p>
        </w:tc>
        <w:tc>
          <w:tcPr>
            <w:tcW w:type="dxa" w:w="1440"/>
            <w:shd w:fill="C6EFCE" w:val="clear"/>
          </w:tcPr>
          <w:p>
            <w:r>
              <w:rPr>
                <w:sz w:val="17"/>
              </w:rPr>
              <w:t>22,589</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21,457</w:t>
            </w:r>
          </w:p>
        </w:tc>
        <w:tc>
          <w:tcPr>
            <w:tcW w:type="dxa" w:w="1440"/>
            <w:shd w:fill="C6EFCE" w:val="clear"/>
          </w:tcPr>
          <w:p>
            <w:r>
              <w:rPr>
                <w:b/>
                <w:sz w:val="17"/>
              </w:rPr>
              <w:t>22,307</w:t>
            </w:r>
          </w:p>
        </w:tc>
        <w:tc>
          <w:tcPr>
            <w:tcW w:type="dxa" w:w="1440"/>
            <w:shd w:fill="C6EFCE" w:val="clear"/>
          </w:tcPr>
          <w:p>
            <w:r>
              <w:rPr>
                <w:sz w:val="17"/>
              </w:rPr>
              <w:t>23,158</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21,545</w:t>
            </w:r>
          </w:p>
        </w:tc>
        <w:tc>
          <w:tcPr>
            <w:tcW w:type="dxa" w:w="1440"/>
            <w:shd w:fill="C6EFCE" w:val="clear"/>
          </w:tcPr>
          <w:p>
            <w:r>
              <w:rPr>
                <w:b/>
                <w:sz w:val="17"/>
              </w:rPr>
              <w:t>22,601</w:t>
            </w:r>
          </w:p>
        </w:tc>
        <w:tc>
          <w:tcPr>
            <w:tcW w:type="dxa" w:w="1440"/>
            <w:shd w:fill="C6EFCE" w:val="clear"/>
          </w:tcPr>
          <w:p>
            <w:r>
              <w:rPr>
                <w:sz w:val="17"/>
              </w:rPr>
              <w:t>23,656</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21,646</w:t>
            </w:r>
          </w:p>
        </w:tc>
        <w:tc>
          <w:tcPr>
            <w:tcW w:type="dxa" w:w="1440"/>
            <w:shd w:fill="C6EFCE" w:val="clear"/>
          </w:tcPr>
          <w:p>
            <w:r>
              <w:rPr>
                <w:b/>
                <w:sz w:val="17"/>
              </w:rPr>
              <w:t>22,880</w:t>
            </w:r>
          </w:p>
        </w:tc>
        <w:tc>
          <w:tcPr>
            <w:tcW w:type="dxa" w:w="1440"/>
            <w:shd w:fill="C6EFCE" w:val="clear"/>
          </w:tcPr>
          <w:p>
            <w:r>
              <w:rPr>
                <w:sz w:val="17"/>
              </w:rPr>
              <w:t>24,113</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21,738</w:t>
            </w:r>
          </w:p>
        </w:tc>
        <w:tc>
          <w:tcPr>
            <w:tcW w:type="dxa" w:w="1440"/>
            <w:shd w:fill="C6EFCE" w:val="clear"/>
          </w:tcPr>
          <w:p>
            <w:r>
              <w:rPr>
                <w:b/>
                <w:sz w:val="17"/>
              </w:rPr>
              <w:t>23,133</w:t>
            </w:r>
          </w:p>
        </w:tc>
        <w:tc>
          <w:tcPr>
            <w:tcW w:type="dxa" w:w="1440"/>
            <w:shd w:fill="C6EFCE" w:val="clear"/>
          </w:tcPr>
          <w:p>
            <w:r>
              <w:rPr>
                <w:sz w:val="17"/>
              </w:rPr>
              <w:t>24,527</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21,844</w:t>
            </w:r>
          </w:p>
        </w:tc>
        <w:tc>
          <w:tcPr>
            <w:tcW w:type="dxa" w:w="1440"/>
            <w:shd w:fill="C6EFCE" w:val="clear"/>
          </w:tcPr>
          <w:p>
            <w:r>
              <w:rPr>
                <w:b/>
                <w:sz w:val="17"/>
              </w:rPr>
              <w:t>23,389</w:t>
            </w:r>
          </w:p>
        </w:tc>
        <w:tc>
          <w:tcPr>
            <w:tcW w:type="dxa" w:w="1440"/>
            <w:shd w:fill="C6EFCE" w:val="clear"/>
          </w:tcPr>
          <w:p>
            <w:r>
              <w:rPr>
                <w:sz w:val="17"/>
              </w:rPr>
              <w:t>24,933</w:t>
            </w:r>
          </w:p>
        </w:tc>
        <w:tc>
          <w:tcPr>
            <w:tcW w:type="dxa" w:w="1440"/>
            <w:shd w:fill="C6EFCE" w:val="clear"/>
          </w:tcPr>
          <w:p>
            <w:r>
              <w:rPr>
                <w:b/>
                <w:color w:val="008000"/>
                <w:sz w:val="17"/>
              </w:rPr>
              <w:t>+9.5%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21,967</w:t>
            </w:r>
          </w:p>
        </w:tc>
        <w:tc>
          <w:tcPr>
            <w:tcW w:type="dxa" w:w="1440"/>
            <w:shd w:fill="C6EFCE" w:val="clear"/>
          </w:tcPr>
          <w:p>
            <w:r>
              <w:rPr>
                <w:b/>
                <w:sz w:val="17"/>
              </w:rPr>
              <w:t>23,654</w:t>
            </w:r>
          </w:p>
        </w:tc>
        <w:tc>
          <w:tcPr>
            <w:tcW w:type="dxa" w:w="1440"/>
            <w:shd w:fill="C6EFCE" w:val="clear"/>
          </w:tcPr>
          <w:p>
            <w:r>
              <w:rPr>
                <w:sz w:val="17"/>
              </w:rPr>
              <w:t>25,341</w:t>
            </w:r>
          </w:p>
        </w:tc>
        <w:tc>
          <w:tcPr>
            <w:tcW w:type="dxa" w:w="1440"/>
            <w:shd w:fill="C6EFCE" w:val="clear"/>
          </w:tcPr>
          <w:p>
            <w:r>
              <w:rPr>
                <w:b/>
                <w:color w:val="008000"/>
                <w:sz w:val="17"/>
              </w:rPr>
              <w:t>+10.8%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22,102</w:t>
            </w:r>
          </w:p>
        </w:tc>
        <w:tc>
          <w:tcPr>
            <w:tcW w:type="dxa" w:w="1440"/>
            <w:shd w:fill="C6EFCE" w:val="clear"/>
          </w:tcPr>
          <w:p>
            <w:r>
              <w:rPr>
                <w:b/>
                <w:sz w:val="17"/>
              </w:rPr>
              <w:t>23,926</w:t>
            </w:r>
          </w:p>
        </w:tc>
        <w:tc>
          <w:tcPr>
            <w:tcW w:type="dxa" w:w="1440"/>
            <w:shd w:fill="C6EFCE" w:val="clear"/>
          </w:tcPr>
          <w:p>
            <w:r>
              <w:rPr>
                <w:sz w:val="17"/>
              </w:rPr>
              <w:t>25,751</w:t>
            </w:r>
          </w:p>
        </w:tc>
        <w:tc>
          <w:tcPr>
            <w:tcW w:type="dxa" w:w="1440"/>
            <w:shd w:fill="C6EFCE" w:val="clear"/>
          </w:tcPr>
          <w:p>
            <w:r>
              <w:rPr>
                <w:b/>
                <w:color w:val="008000"/>
                <w:sz w:val="17"/>
              </w:rPr>
              <w:t>+12.1%</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22,273</w:t>
            </w:r>
          </w:p>
        </w:tc>
        <w:tc>
          <w:tcPr>
            <w:tcW w:type="dxa" w:w="1440"/>
            <w:shd w:fill="C6EFCE" w:val="clear"/>
          </w:tcPr>
          <w:p>
            <w:r>
              <w:rPr>
                <w:b/>
                <w:sz w:val="17"/>
              </w:rPr>
              <w:t>24,232</w:t>
            </w:r>
          </w:p>
        </w:tc>
        <w:tc>
          <w:tcPr>
            <w:tcW w:type="dxa" w:w="1440"/>
            <w:shd w:fill="C6EFCE" w:val="clear"/>
          </w:tcPr>
          <w:p>
            <w:r>
              <w:rPr>
                <w:sz w:val="17"/>
              </w:rPr>
              <w:t>26,192</w:t>
            </w:r>
          </w:p>
        </w:tc>
        <w:tc>
          <w:tcPr>
            <w:tcW w:type="dxa" w:w="1440"/>
            <w:shd w:fill="C6EFCE" w:val="clear"/>
          </w:tcPr>
          <w:p>
            <w:r>
              <w:rPr>
                <w:b/>
                <w:color w:val="008000"/>
                <w:sz w:val="17"/>
              </w:rPr>
              <w:t>+13.5%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22,416</w:t>
            </w:r>
          </w:p>
        </w:tc>
        <w:tc>
          <w:tcPr>
            <w:tcW w:type="dxa" w:w="1440"/>
            <w:shd w:fill="C6EFCE" w:val="clear"/>
          </w:tcPr>
          <w:p>
            <w:r>
              <w:rPr>
                <w:b/>
                <w:sz w:val="17"/>
              </w:rPr>
              <w:t>24,505</w:t>
            </w:r>
          </w:p>
        </w:tc>
        <w:tc>
          <w:tcPr>
            <w:tcW w:type="dxa" w:w="1440"/>
            <w:shd w:fill="C6EFCE" w:val="clear"/>
          </w:tcPr>
          <w:p>
            <w:r>
              <w:rPr>
                <w:sz w:val="17"/>
              </w:rPr>
              <w:t>26,594</w:t>
            </w:r>
          </w:p>
        </w:tc>
        <w:tc>
          <w:tcPr>
            <w:tcW w:type="dxa" w:w="1440"/>
            <w:shd w:fill="C6EFCE" w:val="clear"/>
          </w:tcPr>
          <w:p>
            <w:r>
              <w:rPr>
                <w:b/>
                <w:color w:val="008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383,34 milliards FCFA, un niveau qui la place parmi les valeurs les plus importantes de la cote BRVM, reflétant la stature de leader régional du tabac. Le BPA de 2 014 FCFA/action indique que chaque titre génère un bénéfice net substantiel, cohérent avec la marge nette de 13,5% affichée en 2025. Le PER de 10,6x se situe dans la fourchette modérée de la BRVM (8-12x), suggérant que les investisseurs ne paient pas de prime excessive pour les bénéfices, bien que le titre ne soit pas non plus une opportunité de sous-évaluation manifeste. En revanche, le P/B de 8,46x traduit une forte prime par rapport à la valeur comptable (capitaux propres de 45,3 Mds FCFA), ce qui est exigeant mais s'explique par la rentabilité exceptionnelle des fonds propres (ROE de 79,75%). L'EV/EBITDA de 7,6x, dans la fourchette raisonnable de 5-10x, confirme que la valeur d'entreprise reste cohérente avec la capacité opérationnelle, malgré l'absence de dette financière significative (1,4 M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nulle de +0,28%, avec une dernière séance en hausse de +0,71% à 21 350 FCFA, signalant une tentative de rebond après une période de consolidation. Le range de trading s'étend de 20 895 FCFA (plus bas) à 25 000 FCFA (plus haut), soit une amplitude de près de 20%, témoignant d'une volatilité intra-période notable malgré la stabilité globale. La tendance générale est baissière sur la période, le cours actuel se situant sous la moyenne de 22 573 FCFA et sous la médiane de 22 218 FCFA, avec un mode à 22 000 FCFA qui confirme cette zone de résistance. Les statistiques descriptives révèlent une distribution légèrement asymétrique : le skewness de 0,594 (asymétrie positive) indique que les journées sous la moyenne sont plus fréquentes, mais compensées par des pics haussiers, tandis que le kurtosis de -0,698 (mésokurtique) suggère une distribution proche de la normale, sans risque extrême de pics. L'écart-type de 1 109 FCFA avec un coefficient de variation de 4,9% traduit une dispersion modérée du cours autour de sa moyenne, et la volatilité annualisée de 36,7% positionne le titre dans la catégorie des valeurs à volatilité élevée (&gt;30%), ce qui est cohérent avec la nature cyclique et réglementaire du secteur du tabac.</w:t>
      </w:r>
    </w:p>
    <w:p>
      <w:pPr>
        <w:spacing w:after="120" w:line="276" w:lineRule="auto"/>
      </w:pPr>
      <w:r>
        <w:t>---</w:t>
      </w:r>
    </w:p>
    <w:p>
      <w:pPr>
        <w:spacing w:after="120" w:line="276" w:lineRule="auto"/>
      </w:pPr>
      <w:r>
        <w:t>## PARTIE 2 : ANALYSE TECHNIQUE DÉTAILLÉE</w:t>
      </w:r>
    </w:p>
    <w:p>
      <w:pPr>
        <w:spacing w:after="120" w:line="276" w:lineRule="auto"/>
      </w:pPr>
      <w:r>
        <w:t>**Moyennes Mobiles** : La MM20 (21 533 FCFA) et la MM50 (22 200,6 FCFA) se situent toutes deux au-dessus du cours actuel (21 350 FCFA), avec une MM20 inférieure à la MM50, configuration baissière classique. Le cours évoluant sous ses deux moyennes mobiles, la pression vendeuse domine, justifiant la décision technique de **Vente**.</w:t>
      </w:r>
    </w:p>
    <w:p>
      <w:pPr>
        <w:spacing w:after="120" w:line="276" w:lineRule="auto"/>
      </w:pPr>
      <w:r>
        <w:t>**Bandes de Bollinger** : Le cours (21 350 FCFA) se situe dans la moitié inférieure de la bande, entre la borne inférieure (20 901,9 FCFA) et la borne supérieure (22 164,1 FCFA), sans atteindre les extrêmes. Cette position centrale-basse traduit une absence de signal directionnel fort, justifiant la décision **Neutre** avec une volatilité contenue dans les bandes.</w:t>
      </w:r>
    </w:p>
    <w:p>
      <w:pPr>
        <w:spacing w:after="120" w:line="276" w:lineRule="auto"/>
      </w:pPr>
      <w:r>
        <w:t>**MACD** : La valeur du MACD (-231,287) est légèrement inférieure à son signal (-229,989), avec un histogramme négatif de -1,298, indiquant un momentum baissier persistant mais faible. La convergence des deux lignes près de zéro suggère une possible stabilisation, mais la configuration actuelle justifie la décision de **Vente**.</w:t>
      </w:r>
    </w:p>
    <w:p>
      <w:pPr>
        <w:spacing w:after="120" w:line="276" w:lineRule="auto"/>
      </w:pPr>
      <w:r>
        <w:t>**RSI** : À 48,466, le RSI se situe dans la zone neutre (30-70), légèrement sous le seuil de 50 qui sépare la zone haussière de la baissière. Cette valeur traduit un équilibre entre acheteurs et vendeurs, sans condition de surachat (&gt;70) ni de survente (&lt;30), justifiant la décision **Neutre**.</w:t>
      </w:r>
    </w:p>
    <w:p>
      <w:pPr>
        <w:spacing w:after="120" w:line="276" w:lineRule="auto"/>
      </w:pPr>
      <w:r>
        <w:t>**Stochastique** : Le %K (25,15) est supérieur au %D (10,778), avec un croisement haussier en zone de survente (sous 20 pour le %D), signalant un potentiel rebond à court terme. Cependant, la décision reste **Neutre** car le signal n'est pas encore confirmé par une remontée au-dessus de 20.</w:t>
      </w:r>
    </w:p>
    <w:p>
      <w:pPr>
        <w:spacing w:after="120" w:line="276" w:lineRule="auto"/>
      </w:pPr>
      <w:r>
        <w:t>**Conclusion technique** : Les indicateurs techniques présentent une configuration majoritairement baissière (MM, MACD) tempérée par des signaux neutres (Bollinger, RSI, Stochastique). Le cours évolue sous ses moyennes mobiles avec un momentum négatif, mais le RSI neutre et le stochastique en zone de survente suggèrent une possible exhaustion de la pression vendeuse. La convergence des signaux vers une décision de **Vente modérée** ou de **Neutre** reflète une phase de consolidation sans direction claire, dans l'attente d'un catalyseur fondamental.</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(rapports officiels du 31 décembre 2025, analysés par DEEPSEEK et GEMINI-VISION) révèlent une situation contrastée : le chiffre d'affaires s'établit à 268,537 milliards FCFA, en forte croissance de +25,3% par rapport à 2024, porté par une progression des volumes de +5,6% et un effet prix favorable. Cependant, le résultat net recule à 36,158 milliards FCFA (-17,5%), avec une marge nette en baisse à 13,46% (contre 20,7% en 2024), sous l'effet de la hausse des droits d'accise (de 49% à 70%) et d'un contrôle fiscal. La rentabilité des fonds propres reste exceptionnelle avec un ROE de 79,75% et un ROA de 48,09%, tandis que la rotation des actifs atteint 357,17%, témoignant d'une efficacité opérationnelle remarquable. La structure financière est très saine : autonomie financière de 60,3%, dépendance financière quasi nulle (0,003%), liquidité générale de 224,99% et trésorerie nette de 30,763 milliards FCFA, bien qu'en baisse de 36% suite au versement de dividendes massifs (38,1 Mds FCFA). Le BFR de 5,639 milliards FCFA (positif) et le délai client de 42,57 jours constituent des points de vigilance modérés, tandis que la durée de stockage très faible (5,73 jours) reflète une gestion efficace des approvisionnements. Les rapports trimestriels de 2026 confirment une dynamique contrastée : le T1 2026 (rapport du 31 mars 2026) affiche un CA de 68,8 Mds FCFA (+12%) avec des volumes en hausse de +10%, mais un résultat net stable à 9,3 Mds (-1%) ; le T2 2026 (rapport du 30 juin 2026) montre un CA de 70,05 Mds (+1%) et un résultat net quasi stable à 8,64 Mds (-0,2%), avec une marge nette de 12,3%. Sur la base de ces tendances, on peut estimer que l'exercice 2026 devrait maintenir un CA autour de 280-290 Mds FCFA avec une rentabilité nette stabilisée autour de 13-14%, la direction visant la consolidation des performances et le développement des volumes. La politique de dividende reste généreuse (1 940 FCFA/action proposé pour 2025, soit un rendement de ~9,1% au cours actuel), mais le taux de distribution de 84,9% limite les capacités de réinvestissement. La recommandation fondamentale est de **CONSERVER** : la solidité bilantielle, la croissance commerciale et le rendement attractif compensent la dégradation des marges et les risques réglementaires persistants.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une recommandation de **CONSERVER** avec un niveau de confiance **Moyen** et un risque global **Moyen**. Sur le plan de la valorisation (Partie 0), le PER de 10,6x et l'EV/EBITDA de 7,6x indiquent une valorisation raisonnable, mais le P/B de 8,46x traduit une prime exigeante qui limite le potentiel de revalorisation à court terme. Le comportement du cours (Partie 1) révèle une tendance baissière avec une volatilité élevée (36,7%) et une distribution asymétrique positivement (skewness 0,594), ce qui est préoccupant pour les investisseurs averses au risque, bien que le kurtosis mésokurtique (-0,698) écarte le risque de pics extrêmes. Les signaux techniques (Partie 2) sont majoritairement baissiers (MM, MACD) mais tempérés par des indicateurs neutres (RSI, Bollinger, Stochastique), suggérant une phase de consolidation sans direction claire. Les fondamentaux (Partie 3) demeurent solides : croissance du CA de +25,3% en 2025, ROE de 79,75%, trésorerie de 30,8 Mds FCFA et absence de dette, malgré la dégradation des marges et les risques fiscaux. Les prédictions IA (J+1 à J+10) anticipent une trajectoire haussière de 21 996 FCFA à 23 133 FCFA (+8,3% sur 5 jours), ce qui contredit les signaux techniques baissiers et suggère un potentiel rebond à court terme, possiblement en anticipation de l'Assemblée Générale du 15 juillet 2026 et de la distribution du dividende. La convergence entre la valorisation raisonnable, les fondamentaux solides et les prédictions haussières, tempérée par les signaux techniques baissiers et la volatilité élevée, justifie une position de **CONSERVER** plutôt qu'un achat agressif. L'horizon d'investissement optimal est le **moyen terme (3-12 mois)**, en attendant la confirmation de la stabilisation des marges et l'évolution des volumes post-augmentation des prix, avec un point d'entrée plus favorable envisageable sous 21 000 FCFA pour les investisseurs cherchant à renforcer leur position.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+8.01%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μ=3,033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β=0.0851 (Défensif) — Cov=0.000006, Var(idx)=0.000075, ρ=0.027,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2,940</w:t>
            </w:r>
          </w:p>
        </w:tc>
        <w:tc>
          <w:tcPr>
            <w:tcW w:type="dxa" w:w="1440"/>
            <w:shd w:fill="FAFAFA" w:val="clear"/>
          </w:tcPr>
          <w:p>
            <w:r>
              <w:rPr>
                <w:b/>
                <w:sz w:val="17"/>
              </w:rPr>
              <w:t>3,080</w:t>
            </w:r>
          </w:p>
        </w:tc>
        <w:tc>
          <w:tcPr>
            <w:tcW w:type="dxa" w:w="1440"/>
            <w:shd w:fill="FAFAFA" w:val="clear"/>
          </w:tcPr>
          <w:p>
            <w:r>
              <w:rPr>
                <w:sz w:val="17"/>
              </w:rPr>
              <w:t>3,219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2,879</w:t>
            </w:r>
          </w:p>
        </w:tc>
        <w:tc>
          <w:tcPr>
            <w:tcW w:type="dxa" w:w="1440"/>
            <w:shd w:fill="FAFAFA" w:val="clear"/>
          </w:tcPr>
          <w:p>
            <w:r>
              <w:rPr>
                <w:b/>
                <w:sz w:val="17"/>
              </w:rPr>
              <w:t>3,076</w:t>
            </w:r>
          </w:p>
        </w:tc>
        <w:tc>
          <w:tcPr>
            <w:tcW w:type="dxa" w:w="1440"/>
            <w:shd w:fill="FAFAFA" w:val="clear"/>
          </w:tcPr>
          <w:p>
            <w:r>
              <w:rPr>
                <w:sz w:val="17"/>
              </w:rPr>
              <w:t>3,273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2,825</w:t>
            </w:r>
          </w:p>
        </w:tc>
        <w:tc>
          <w:tcPr>
            <w:tcW w:type="dxa" w:w="1440"/>
            <w:shd w:fill="FAFAFA" w:val="clear"/>
          </w:tcPr>
          <w:p>
            <w:r>
              <w:rPr>
                <w:b/>
                <w:sz w:val="17"/>
              </w:rPr>
              <w:t>3,066</w:t>
            </w:r>
          </w:p>
        </w:tc>
        <w:tc>
          <w:tcPr>
            <w:tcW w:type="dxa" w:w="1440"/>
            <w:shd w:fill="FAFAFA" w:val="clear"/>
          </w:tcPr>
          <w:p>
            <w:r>
              <w:rPr>
                <w:sz w:val="17"/>
              </w:rPr>
              <w:t>3,307</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2,780</w:t>
            </w:r>
          </w:p>
        </w:tc>
        <w:tc>
          <w:tcPr>
            <w:tcW w:type="dxa" w:w="1440"/>
            <w:shd w:fill="FAFAFA" w:val="clear"/>
          </w:tcPr>
          <w:p>
            <w:r>
              <w:rPr>
                <w:b/>
                <w:sz w:val="17"/>
              </w:rPr>
              <w:t>3,058</w:t>
            </w:r>
          </w:p>
        </w:tc>
        <w:tc>
          <w:tcPr>
            <w:tcW w:type="dxa" w:w="1440"/>
            <w:shd w:fill="FAFAFA" w:val="clear"/>
          </w:tcPr>
          <w:p>
            <w:r>
              <w:rPr>
                <w:sz w:val="17"/>
              </w:rPr>
              <w:t>3,335</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2,741</w:t>
            </w:r>
          </w:p>
        </w:tc>
        <w:tc>
          <w:tcPr>
            <w:tcW w:type="dxa" w:w="1440"/>
            <w:shd w:fill="FAFAFA" w:val="clear"/>
          </w:tcPr>
          <w:p>
            <w:r>
              <w:rPr>
                <w:b/>
                <w:sz w:val="17"/>
              </w:rPr>
              <w:t>3,050</w:t>
            </w:r>
          </w:p>
        </w:tc>
        <w:tc>
          <w:tcPr>
            <w:tcW w:type="dxa" w:w="1440"/>
            <w:shd w:fill="FAFAFA" w:val="clear"/>
          </w:tcPr>
          <w:p>
            <w:r>
              <w:rPr>
                <w:sz w:val="17"/>
              </w:rPr>
              <w:t>3,360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2,705</w:t>
            </w:r>
          </w:p>
        </w:tc>
        <w:tc>
          <w:tcPr>
            <w:tcW w:type="dxa" w:w="1440"/>
            <w:shd w:fill="FAFAFA" w:val="clear"/>
          </w:tcPr>
          <w:p>
            <w:r>
              <w:rPr>
                <w:b/>
                <w:sz w:val="17"/>
              </w:rPr>
              <w:t>3,043</w:t>
            </w:r>
          </w:p>
        </w:tc>
        <w:tc>
          <w:tcPr>
            <w:tcW w:type="dxa" w:w="1440"/>
            <w:shd w:fill="FAFAFA" w:val="clear"/>
          </w:tcPr>
          <w:p>
            <w:r>
              <w:rPr>
                <w:sz w:val="17"/>
              </w:rPr>
              <w:t>3,381</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2,672</w:t>
            </w:r>
          </w:p>
        </w:tc>
        <w:tc>
          <w:tcPr>
            <w:tcW w:type="dxa" w:w="1440"/>
            <w:shd w:fill="FFDCE0" w:val="clear"/>
          </w:tcPr>
          <w:p>
            <w:r>
              <w:rPr>
                <w:b/>
                <w:sz w:val="17"/>
              </w:rPr>
              <w:t>3,037</w:t>
            </w:r>
          </w:p>
        </w:tc>
        <w:tc>
          <w:tcPr>
            <w:tcW w:type="dxa" w:w="1440"/>
            <w:shd w:fill="FFDCE0" w:val="clear"/>
          </w:tcPr>
          <w:p>
            <w:r>
              <w:rPr>
                <w:sz w:val="17"/>
              </w:rPr>
              <w:t>3,401</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2,642</w:t>
            </w:r>
          </w:p>
        </w:tc>
        <w:tc>
          <w:tcPr>
            <w:tcW w:type="dxa" w:w="1440"/>
            <w:shd w:fill="FFDCE0" w:val="clear"/>
          </w:tcPr>
          <w:p>
            <w:r>
              <w:rPr>
                <w:b/>
                <w:sz w:val="17"/>
              </w:rPr>
              <w:t>3,030</w:t>
            </w:r>
          </w:p>
        </w:tc>
        <w:tc>
          <w:tcPr>
            <w:tcW w:type="dxa" w:w="1440"/>
            <w:shd w:fill="FFDCE0" w:val="clear"/>
          </w:tcPr>
          <w:p>
            <w:r>
              <w:rPr>
                <w:sz w:val="17"/>
              </w:rPr>
              <w:t>3,419</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2,613</w:t>
            </w:r>
          </w:p>
        </w:tc>
        <w:tc>
          <w:tcPr>
            <w:tcW w:type="dxa" w:w="1440"/>
            <w:shd w:fill="FFDCE0" w:val="clear"/>
          </w:tcPr>
          <w:p>
            <w:r>
              <w:rPr>
                <w:b/>
                <w:sz w:val="17"/>
              </w:rPr>
              <w:t>3,024</w:t>
            </w:r>
          </w:p>
        </w:tc>
        <w:tc>
          <w:tcPr>
            <w:tcW w:type="dxa" w:w="1440"/>
            <w:shd w:fill="FFDCE0" w:val="clear"/>
          </w:tcPr>
          <w:p>
            <w:r>
              <w:rPr>
                <w:sz w:val="17"/>
              </w:rPr>
              <w:t>3,435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2,585</w:t>
            </w:r>
          </w:p>
        </w:tc>
        <w:tc>
          <w:tcPr>
            <w:tcW w:type="dxa" w:w="1440"/>
            <w:shd w:fill="FFDCE0" w:val="clear"/>
          </w:tcPr>
          <w:p>
            <w:r>
              <w:rPr>
                <w:b/>
                <w:sz w:val="17"/>
              </w:rPr>
              <w:t>3,018</w:t>
            </w:r>
          </w:p>
        </w:tc>
        <w:tc>
          <w:tcPr>
            <w:tcW w:type="dxa" w:w="1440"/>
            <w:shd w:fill="FFDCE0" w:val="clear"/>
          </w:tcPr>
          <w:p>
            <w:r>
              <w:rPr>
                <w:sz w:val="17"/>
              </w:rPr>
              <w:t>3,451</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TTLC (TotalEnergies Marketing Côte d'Ivoire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195,18 Mds FCFA, TTLC figure parmi les valeurs moyennes-capitalisations les plus liquides de la cote BRVM, ce qui lui confère une place de choix dans les portefeuilles institutionnels régionaux. Le BPA de 144 FCFA/action signifie que chaque titre génère 144 FCFA de bénéfice net annuel, un niveau qui, rapporté au cours actuel de 3 100 FCFA, se traduit par un PER de 21,5x — nettement supérieur à la moyenne BRVM (8-12x), signalant que le marché anticipe une croissance future ou valorise une prime de qualité/leadership. Le P/B de 5,39x, très au-dessus du seuil de 4x, traduit une forte prime par rapport à la valeur comptable (capitaux propres de 36,20 Mds FCFA), typique des sociétés à forte rotation d'actifs et à ROE élevé. Enfin, l'EV/EBITDA de 11,2x (fourchette 10-15x) confirme une valorisation exigeante au regard de la capacité opérationnelle, cohérente avec le statut de leader sectoriel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+8,01%, avec une dernière séance particulièrement dynamique (+3,33% en J-1), portant le cours à 3 100 FCFA. Le range de trading s'établit entre un plus bas de 2 770 FCFA et un plus haut de 3 595 FCFA, soit une amplitude de près de 30% qui témoigne d'une réelle volatilité intra-période. La tendance générale est haussière mais non linéaire, le cours actuel (3 100 FCFA) se situant au-dessus de la moyenne (3 033 FCFA) mais en dessous du plus haut, suggérant une consolidation après un pic. Les statistiques descriptives révèlent une moyenne (3 033 FCFA) légèrement supérieure à la médiane (2 990 FCFA), avec un mode à 2 850 FCFA : cet écart confirme le skewness positif de 0,793, indiquant que la distribution est asymétrique à droite — davantage de séances se sont déroulées sous la moyenne, avec quelques pics haussiers tirant la moyenne vers le haut. L'écart-type de 190 FCFA (CV de 6,3%) traduit une dispersion modérée autour de la tendance, tandis que le kurtosis de -0,381 (mésokurtique) suggère une distribution proche de la normale, sans risque excessif de pics extrêmes. La volatilité annualisée de 43,9% positionne le titre dans la catégorie **élevée** (&gt;30%), ce qui est cohérent avec une valeur de croissance à faible flottant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(3 064,25 FCFA) est inférieure à la MM50 (3 173,3 FCFA), configuration baissière de court terme, et le cours actuel (3 100 FCFA) se situe entre les deux — au-dessus de la MM20 mais sous la MM50. Cette position traduit un rebond technique fragile dans une tendance de fond encore négative, justifiant la décision **Vente** du système.</w:t>
      </w:r>
    </w:p>
    <w:p>
      <w:pPr>
        <w:spacing w:after="120" w:line="276" w:lineRule="auto"/>
      </w:pPr>
      <w:r>
        <w:t>**Bandes de Bollinger** : Le cours (3 100 FCFA) évolue dans la partie médiane de la bande, entre la borne inférieure (2 886,39 FCFA) et supérieure (3 242,11 FCFA), à environ 60% du canal. L'absence de contact avec les bornes indique une volatilité normale sans signal de rupture, d'où la décision **Neutre**.</w:t>
      </w:r>
    </w:p>
    <w:p>
      <w:pPr>
        <w:spacing w:after="120" w:line="276" w:lineRule="auto"/>
      </w:pPr>
      <w:r>
        <w:t>**MACD** : La valeur du MACD (-35,65) est supérieure à son signal (-42,965), configuration haussière avec un histogramme positif. Le momentum se redresse depuis la zone négative, suggérant un retournement progressif, ce qui justifie la décision **Achat**.</w:t>
      </w:r>
    </w:p>
    <w:p>
      <w:pPr>
        <w:spacing w:after="120" w:line="276" w:lineRule="auto"/>
      </w:pPr>
      <w:r>
        <w:t>**RSI** : À 52,174, le RSI se situe en zone parfaitement neutre (30-70), sans pression acheteuse ni vendeuse excessive. Le titre n'est ni suracheté ni survendu, d'où la décision **Neutre**.</w:t>
      </w:r>
    </w:p>
    <w:p>
      <w:pPr>
        <w:spacing w:after="120" w:line="276" w:lineRule="auto"/>
      </w:pPr>
      <w:r>
        <w:t>**Stochastique** : Le %K (68,657) est supérieur au %D (58,706), signal haussier de court terme, mais les deux courbes approchent la zone de surachat (&gt;80). Le croisement reste favorable mais la proximité du seuil limite le potentiel, justifiant la décision **Neutre**.</w:t>
      </w:r>
    </w:p>
    <w:p>
      <w:pPr>
        <w:spacing w:after="120" w:line="276" w:lineRule="auto"/>
      </w:pPr>
      <w:r>
        <w:t>**Conclusion technique** : Les indicateurs sont globalement **mitigés** — le MACD et le Stochastique émettent des signaux haussiers de court terme, tandis que les Moyennes Mobiles restent baissières et le RSI/Bollinger neutres. Cette divergence suggère un marché en phase de consolidation, sans direction claire, avec un léger avantage aux acheteurs à court terme mais une prudence de mise sur la tendance de fond.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repli de -5,21% sur un an, dans un contexte de baisse des volumes hors réseau. Le résultat net s'établit à 9,087 Mds FCFA, avec une marge nette de 1,54% — typique d'un distributeur pétrolier en volume. La rentabilité des fonds propres (ROE) atteint un niveau excellent de 25,10%, portée par un effet de levier important (capitaux propres de 36,20 Mds FCFA pour un total bilan de 188,47 Mds FCFA), tandis que le ROA de 4,82% reflète la faible intensité capitalistique du modèle. La rotation des actifs est remarquable (312,36%), confirmant un modèle de distribution à forte rotation. Le BFR est négatif (-9,662 Mds FCFA), élément favorable à la trésorerie, soutenu par un délai fournisseurs élevé de 49,72 jours et une durée de stockage courte de 13,80 jours. Cependant, la structure financière est fragile : autonomie financière de seulement 19,21% (seuil sain &gt;30%), ratio d'endettement de 90,23%, liquidité générale de 78,77% (&lt;1, insuffisante) et trésorerie nette négative de -21,926 Mds FCFA.</w:t>
      </w:r>
    </w:p>
    <w:p>
      <w:pPr>
        <w:spacing w:after="120" w:line="276" w:lineRule="auto"/>
      </w:pPr>
      <w:r>
        <w:t>**Estimations issues des rapports trimestriels** : Le rapport du **T1 2026** (publié en 2026) révèle un net redressement : CA de 154,392 Mds FCFA (+4,3%) et résultat net de 2,329 Mds FCFA (+5,5%), porté par la hausse des volumes sur tous les canaux et un réseau de 182 stations. On estime donc que l'exercice 2026 devrait renouer avec la croissance, après le repli de 2025. Le rapport annuel 2025 (publié en 2026) confirme par ailleurs une amélioration opérationnelle (EBE +12% à 22,35 Mds, résultat d'exploitation +18% à 12,33 Mds) malgré la baisse du CA, et un dividende brut de 10 Mds FCFA (payout &gt;100%, prélevé sur réserves). Les rapports antérieurs (S1 2025, T3 2025) confirment la tendance baissière de 2025 (-30,2% de résultat net à fin septembre), attribuée à l'absence de ventes exceptionnelles et à une charge fiscale anticipée.</w:t>
      </w:r>
    </w:p>
    <w:p>
      <w:pPr>
        <w:spacing w:after="120" w:line="276" w:lineRule="auto"/>
      </w:pPr>
      <w:r>
        <w:t>**Recommandation fondamentale** : TTLC est un leader sectoriel solide, à la rentabilité opérationnelle en amélioration et au dividende attractif, mais sa structure financière (endettement élevé, trésorerie nette négative, payout &gt;100%) appelle à la vigilance. La dynamique du T1 2026 est encourageante. Recommandation fondamentale : **CONSERVER**, avec un biais positif si la croissance du T1 2026 se confirme sur l'année.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 PER de 21,5x (vs 8-12x pour la BRVM), P/B de 5,39x et EV/EBITDA de 11,2x traduisent une prime de qualité déjà intégrée, laissant peu de marge de sécurité. Le comportement du cours est **modérément favorable** : tendance haussière sur 100 jours (+8,01%), mais skewness positif et volatilité élevée (43,9%) signalent un risque de correction après les pics. Les signaux techniques sont **mitigés** : MACD et Stochastique haussiers contredisent des Moyennes Mobiles baissières et un RSI neutre, plaidant pour une consolidation plutôt qu'un rallye. Les fondamentaux sont **solides mais perfectibles** : ROE excellent (25,10%), BFR négatif favorable et amélioration opérationnelle 2025, mais endettement élevé (90,23%), trésorerie nette négative (-21,93 Mds) et payout &gt;100% fragilisent la soutenabilité. Les **prédictions IA** (J+1 à J+10) anticipent une lente érosion de 3 080 à 3 050 FCFA, en légère contradiction avec le rebond J-1 (+3,33%) mais cohérentes avec la résistance de la MM50 (3 173 FCFA) et la consolidation attendue.</w:t>
      </w:r>
    </w:p>
    <w:p>
      <w:pPr>
        <w:spacing w:after="120" w:line="276" w:lineRule="auto"/>
      </w:pPr>
      <w:r>
        <w:t>**Recommandation finale : CONSERVER** — la convergence est partielle : valorisation tendue, technique neutre, fondamentaux corrects et prédictions légèrement baissières plaident pour une posture attentiste plutôt qu'un achat agressif. Le niveau de confiance est **Moyen** (signaux divergents), le risque global **Moyen à Élevé** (volatilité 43,9%, endettement, payout &gt;100%), et l'horizon optimal est le **moyen terme (3-12 mois)**, le temps de confirmer la reprise du T1 2026 et la soutenabilité du dividende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3,442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+14.06%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6.73% (Moyenne) — μ=3,724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β=0.4514 (Défensif) — Cov=0.000034, Var(idx)=0.000075, ρ=0.145,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3,518</w:t>
            </w:r>
          </w:p>
        </w:tc>
        <w:tc>
          <w:tcPr>
            <w:tcW w:type="dxa" w:w="1440"/>
            <w:shd w:fill="FAFAFA" w:val="clear"/>
          </w:tcPr>
          <w:p>
            <w:r>
              <w:rPr>
                <w:b/>
                <w:sz w:val="17"/>
              </w:rPr>
              <w:t>3,647</w:t>
            </w:r>
          </w:p>
        </w:tc>
        <w:tc>
          <w:tcPr>
            <w:tcW w:type="dxa" w:w="1440"/>
            <w:shd w:fill="FAFAFA" w:val="clear"/>
          </w:tcPr>
          <w:p>
            <w:r>
              <w:rPr>
                <w:sz w:val="17"/>
              </w:rPr>
              <w:t>3,775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3,455</w:t>
            </w:r>
          </w:p>
        </w:tc>
        <w:tc>
          <w:tcPr>
            <w:tcW w:type="dxa" w:w="1440"/>
            <w:shd w:fill="FAFAFA" w:val="clear"/>
          </w:tcPr>
          <w:p>
            <w:r>
              <w:rPr>
                <w:b/>
                <w:sz w:val="17"/>
              </w:rPr>
              <w:t>3,636</w:t>
            </w:r>
          </w:p>
        </w:tc>
        <w:tc>
          <w:tcPr>
            <w:tcW w:type="dxa" w:w="1440"/>
            <w:shd w:fill="FAFAFA" w:val="clear"/>
          </w:tcPr>
          <w:p>
            <w:r>
              <w:rPr>
                <w:sz w:val="17"/>
              </w:rPr>
              <w:t>3,818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3,407</w:t>
            </w:r>
          </w:p>
        </w:tc>
        <w:tc>
          <w:tcPr>
            <w:tcW w:type="dxa" w:w="1440"/>
            <w:shd w:fill="FAFAFA" w:val="clear"/>
          </w:tcPr>
          <w:p>
            <w:r>
              <w:rPr>
                <w:b/>
                <w:sz w:val="17"/>
              </w:rPr>
              <w:t>3,628</w:t>
            </w:r>
          </w:p>
        </w:tc>
        <w:tc>
          <w:tcPr>
            <w:tcW w:type="dxa" w:w="1440"/>
            <w:shd w:fill="FAFAFA" w:val="clear"/>
          </w:tcPr>
          <w:p>
            <w:r>
              <w:rPr>
                <w:sz w:val="17"/>
              </w:rPr>
              <w:t>3,850</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3,366</w:t>
            </w:r>
          </w:p>
        </w:tc>
        <w:tc>
          <w:tcPr>
            <w:tcW w:type="dxa" w:w="1440"/>
            <w:shd w:fill="FAFAFA" w:val="clear"/>
          </w:tcPr>
          <w:p>
            <w:r>
              <w:rPr>
                <w:b/>
                <w:sz w:val="17"/>
              </w:rPr>
              <w:t>3,621</w:t>
            </w:r>
          </w:p>
        </w:tc>
        <w:tc>
          <w:tcPr>
            <w:tcW w:type="dxa" w:w="1440"/>
            <w:shd w:fill="FAFAFA" w:val="clear"/>
          </w:tcPr>
          <w:p>
            <w:r>
              <w:rPr>
                <w:sz w:val="17"/>
              </w:rPr>
              <w:t>3,876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3,329</w:t>
            </w:r>
          </w:p>
        </w:tc>
        <w:tc>
          <w:tcPr>
            <w:tcW w:type="dxa" w:w="1440"/>
            <w:shd w:fill="FAFAFA" w:val="clear"/>
          </w:tcPr>
          <w:p>
            <w:r>
              <w:rPr>
                <w:b/>
                <w:sz w:val="17"/>
              </w:rPr>
              <w:t>3,614</w:t>
            </w:r>
          </w:p>
        </w:tc>
        <w:tc>
          <w:tcPr>
            <w:tcW w:type="dxa" w:w="1440"/>
            <w:shd w:fill="FAFAFA" w:val="clear"/>
          </w:tcPr>
          <w:p>
            <w:r>
              <w:rPr>
                <w:sz w:val="17"/>
              </w:rPr>
              <w:t>3,899</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3,296</w:t>
            </w:r>
          </w:p>
        </w:tc>
        <w:tc>
          <w:tcPr>
            <w:tcW w:type="dxa" w:w="1440"/>
            <w:shd w:fill="FAFAFA" w:val="clear"/>
          </w:tcPr>
          <w:p>
            <w:r>
              <w:rPr>
                <w:b/>
                <w:sz w:val="17"/>
              </w:rPr>
              <w:t>3,607</w:t>
            </w:r>
          </w:p>
        </w:tc>
        <w:tc>
          <w:tcPr>
            <w:tcW w:type="dxa" w:w="1440"/>
            <w:shd w:fill="FAFAFA" w:val="clear"/>
          </w:tcPr>
          <w:p>
            <w:r>
              <w:rPr>
                <w:sz w:val="17"/>
              </w:rPr>
              <w:t>3,919</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3,265</w:t>
            </w:r>
          </w:p>
        </w:tc>
        <w:tc>
          <w:tcPr>
            <w:tcW w:type="dxa" w:w="1440"/>
            <w:shd w:fill="FAFAFA" w:val="clear"/>
          </w:tcPr>
          <w:p>
            <w:r>
              <w:rPr>
                <w:b/>
                <w:sz w:val="17"/>
              </w:rPr>
              <w:t>3,601</w:t>
            </w:r>
          </w:p>
        </w:tc>
        <w:tc>
          <w:tcPr>
            <w:tcW w:type="dxa" w:w="1440"/>
            <w:shd w:fill="FAFAFA" w:val="clear"/>
          </w:tcPr>
          <w:p>
            <w:r>
              <w:rPr>
                <w:sz w:val="17"/>
              </w:rPr>
              <w:t>3,937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3,237</w:t>
            </w:r>
          </w:p>
        </w:tc>
        <w:tc>
          <w:tcPr>
            <w:tcW w:type="dxa" w:w="1440"/>
            <w:shd w:fill="FAFAFA" w:val="clear"/>
          </w:tcPr>
          <w:p>
            <w:r>
              <w:rPr>
                <w:b/>
                <w:sz w:val="17"/>
              </w:rPr>
              <w:t>3,595</w:t>
            </w:r>
          </w:p>
        </w:tc>
        <w:tc>
          <w:tcPr>
            <w:tcW w:type="dxa" w:w="1440"/>
            <w:shd w:fill="FAFAFA" w:val="clear"/>
          </w:tcPr>
          <w:p>
            <w:r>
              <w:rPr>
                <w:sz w:val="17"/>
              </w:rPr>
              <w:t>3,953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3,210</w:t>
            </w:r>
          </w:p>
        </w:tc>
        <w:tc>
          <w:tcPr>
            <w:tcW w:type="dxa" w:w="1440"/>
            <w:shd w:fill="FAFAFA" w:val="clear"/>
          </w:tcPr>
          <w:p>
            <w:r>
              <w:rPr>
                <w:b/>
                <w:sz w:val="17"/>
              </w:rPr>
              <w:t>3,589</w:t>
            </w:r>
          </w:p>
        </w:tc>
        <w:tc>
          <w:tcPr>
            <w:tcW w:type="dxa" w:w="1440"/>
            <w:shd w:fill="FAFAFA" w:val="clear"/>
          </w:tcPr>
          <w:p>
            <w:r>
              <w:rPr>
                <w:sz w:val="17"/>
              </w:rPr>
              <w:t>3,968</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3,184</w:t>
            </w:r>
          </w:p>
        </w:tc>
        <w:tc>
          <w:tcPr>
            <w:tcW w:type="dxa" w:w="1440"/>
            <w:shd w:fill="FAFAFA" w:val="clear"/>
          </w:tcPr>
          <w:p>
            <w:r>
              <w:rPr>
                <w:b/>
                <w:sz w:val="17"/>
              </w:rPr>
              <w:t>3,583</w:t>
            </w:r>
          </w:p>
        </w:tc>
        <w:tc>
          <w:tcPr>
            <w:tcW w:type="dxa" w:w="1440"/>
            <w:shd w:fill="FAFAFA" w:val="clear"/>
          </w:tcPr>
          <w:p>
            <w:r>
              <w:rPr>
                <w:sz w:val="17"/>
              </w:rPr>
              <w:t>3,983</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TTLS (TotalEnergies Marketing Sénégal)</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milliards FCFA, TTLS s'affirme comme une valeur de premier plan sur la BRVM, témoignant de la solidité de son leadership sur le marché sénégalais des produits pétroliers. Le BPA de 208 FCFA par action indique le bénéfice net généré pour chaque titre détenu. Le PER de 17,5x se situe nettement au-dessus de la moyenne BRVM (8-12x), signalant que les investisseurs acceptent de payer une prime pour la qualité et la stabilité de la société — une valorisation « modérée » mais qui n'offre pas de décote évidente. Le P/B de 4,21x traduit une forte prime par rapport à la valeur comptable (capitaux propres de 28,239 Mds FCFA), exigeante mais justifiable par la rentabilité des fonds propres (ROE de 24%). Enfin, l'EV/EBITDA de 7,4x, dans la fourchette raisonnable de 5-10x, suggère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 enregistré une progression totale de +14,06%, malgré un repli de -1,35% lors de la dernière séance, le cours s'établissant à 3 650 FCFA. Le range de trading s'est étendu de 3 200 FCFA (plus bas) à 4 500 FCFA (plus haut), soit une amplitude de 40,6% qui traduit une réelle dynamique haussière entrecoupée de corrections. La moyenne (3 724 FCFA) se situe légèrement au-dessus de la médiane (3 700 FCFA), et le mode à 3 800 FCFA confirme une concentration des échanges dans la zone haute — signe que le marché a régulièrement valorisé le titre au-dessus de son cours actuel. L'écart-type de 252 FCFA avec un coefficient de variation de 6,8% indique une dispersion modérée, tandis que le kurtosis de 0,591 (mésokurtique) suggère un comportement proche d'une distribution normale, sans risque excessif de pics extrêmes. Le skewness positif de 0,682 révèle toutefois une asymétrie à droite : davantage de journées se sont négociées sous la moyenne, ce qui peut signaler une pression vendeuse ponctuelle. La volatilité annualisée de 42,3% classe le titre dans la catégorie des valeurs à volatilité élevée (&gt;30%), caractéristique des petites capitalisations de la BRVM, exigeant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(3 706 FCFA) et la MM50 (3 750,8 FCFA) se situent toutes deux au-dessus du cours actuel (3 650 FCFA), configurant une pression baissière de court et moyen terme. La MM20 sous la MM50 confirme une tendance descendante récente, justifiant la décision technique de **Vente**.</w:t>
      </w:r>
    </w:p>
    <w:p>
      <w:pPr>
        <w:spacing w:after="120" w:line="276" w:lineRule="auto"/>
      </w:pPr>
      <w:r>
        <w:t>**Bandes de Bollinger** : Le cours (3 650 FCFA) évolue dans la partie basse de la bande, entre la borne inférieure (3 499,97 FCFA) et la borne supérieure (3 912,03 FCFA), sans franchissement des extrêmes. Cette position centrale-basse traduit une absence de signal directionnel fort, d'où la décision **Neutre** ; la largeur des bandes (412 FCFA) confirme une volatilité encore présente.</w:t>
      </w:r>
    </w:p>
    <w:p>
      <w:pPr>
        <w:spacing w:after="120" w:line="276" w:lineRule="auto"/>
      </w:pPr>
      <w:r>
        <w:t>**MACD** : La valeur du MACD (-40,278) est supérieure à son signal (-42,206), générant un croisement haussier bien que les deux indicateurs restent en territoire négatif. Ce momentum positif naissant, bien que fragile, justifie la décision d'**Achat** — un signal de retournement potentiel à surveiller.</w:t>
      </w:r>
    </w:p>
    <w:p>
      <w:pPr>
        <w:spacing w:after="120" w:line="276" w:lineRule="auto"/>
      </w:pPr>
      <w:r>
        <w:t>**RSI** : À 42,328, le RSI se situe dans la zone neutre (30-70), sans excès de surachat ni de survente. Cette position médiane reflète un équilibre entre acheteurs et vendeurs, justifiant la décision **Neutre** et l'absence de signal contrariant immédiat.</w:t>
      </w:r>
    </w:p>
    <w:p>
      <w:pPr>
        <w:spacing w:after="120" w:line="276" w:lineRule="auto"/>
      </w:pPr>
      <w:r>
        <w:t>**Stochastique** : Le %K (25,0) est nettement inférieur au %D (44,167), signalant une divergence baissière de court terme, bien que le %K en zone de survente (&lt;20 approché) suggère un potentiel de rebond technique. La décision reste **Neutre**, le croisement n'étant pas encore confirmé.</w:t>
      </w:r>
    </w:p>
    <w:p>
      <w:pPr>
        <w:spacing w:after="120" w:line="276" w:lineRule="auto"/>
      </w:pPr>
      <w:r>
        <w:t>**Conclusion technique** : Les indicateurs présentent une configuration mitigée, voire contradictoire. Les moyennes mobiles plaident pour la vente, le MACD pour un achat naissant, tandis que Bollinger, RSI et Stochastique restent neutres. Cette divergence traduit un marché en phase de consolidation, sans direction claire : le titre oscille entre pression baissière de moyen terme et tentative de rebond de court terme. La prudence s'impose avant toute décision directionnelle.</w:t>
      </w:r>
    </w:p>
    <w:p>
      <w:pPr>
        <w:spacing w:after="120" w:line="276" w:lineRule="auto"/>
      </w:pPr>
      <w:r>
        <w:t>---</w:t>
      </w:r>
    </w:p>
    <w:p>
      <w:pPr>
        <w:spacing w:after="120" w:line="276" w:lineRule="auto"/>
      </w:pPr>
      <w:r>
        <w:t>## PARTIE 3 : ANALYSE FONDAMENTALE</w:t>
      </w:r>
    </w:p>
    <w:p>
      <w:pPr>
        <w:spacing w:after="120" w:line="276" w:lineRule="auto"/>
      </w:pPr>
      <w:r>
        <w:t>Sur la base des états financiers officiels de l'exercice 2025, TTLS affiche un chiffre d'affaires de 455,209 milliards FCFA, en contraction de -6,13% par rapport à 2024 (484,945 Mds FCFA), conséquence directe de l'arrêt stratégique de la commercialisation du fuel lourd (segment à faible marge représentant 39,5 Mds FCFA en 2024). Le résultat net s'établit à 6,779 milliards FCFA (marge nette de 1,49%), en léger recul de -5,1% vs 2024, tandis que le résultat d'exploitation progresse à 8,693 Mds FCFA — signe que le recentrage sur les segments à forte valeur ajoutée (lubrifiants, GPL, réseau) porte ses fruits. Le ROE de 24,0% demeure excellent (&gt;15%), bien que le ROA de 3,95% reste modeste, caractéristique d'une activité de distribution à forte rotation d'actifs (265%). La structure financière présente des points de vigilance : l'autonomie financière de 16,44% est inférieure au seuil sain de 30%, et la liquidité générale de 93,5% (&lt;1) traduit une tension sur le fonds de roulement. Toutefois, le BFR négatif de -36,899 Mds FCFA constitue un atout majeur (financement par les fournisseurs, délai fournisseurs de 97,76 jours contre 47,43 jours clients), et la trésorerie nette positive de 13,941 Mds FCFA confirme une gestion saine du cash. Le ratio d'endettement de 52,16% et la capacité de remboursement de 0,94 an restent maîtrisés. Les rapports trimestriels récents confirment la résilience : selon le rapport du T1 2026 (publié en 2026), malgré une baisse de -10% du CA à 99,9 Mds FCFA (impact de la révision réglementaire des prix à la pompe), le résultat net progresse de +5% à 1,585 Mds FCFA et le résultat d'exploitation bondit de +28%, grâce à l'amélioration des marges sur les lubrifiants. On estime dès lors que l'exercice 2026 devrait confirmer cette tendance : contraction nominale du CA (effet prix régulé) mais amélioration de la qualité des bénéfices. La recommandation fondamentale demeure **CONSERVER** : solidité du leadership (140 stations, actionnaire TotalEnergies à 69,1%), génération de cash robuste (FCF de 17,483 Mds FCFA), mais rentabilité structurellement faible et dépendance aux décisions réglementaires de l'État sénégalais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**Côté valorisation**, le PER de 17,5x et le P/B de 4,21x indiquent une valorisation exigeante, sans décote évidente, bien que l'EV/EBITDA de 7,4x reste raisonnable — le marché intègre déjà la prime de qualité et de leadership. **Côté comportement du cours**, la tendance haussière de +14,06% sur 100 jours est tempérée par une volatilité élevée (42,3%) et un skewness positif (0,682) signalant une pression vendeuse récurrente, tandis que le kurtosis normal (0,591) écarte le risque de chocs extrêmes. **Côté technique**, la divergence des indicateurs (MM baissières, MACD haussier naissant, RSI et Stochastique neutres) plaide pour une consolidation sans direction claire, la décision globale restant prudente. **Côté fondamental**, la solidité opérationnelle (ROE 24%, FCF 17,5 Mds FCFA, BFR négatif favorable) et la résilience démontrée au T1 2026 (+28% de résultat d'exploitation) compensent la contraction du CA et la faible marge nette (1,49%). **Les prédictions IA** (J+1 à J+10) anticipent une légère dérive baissière de 3 647 à 3 614 FCFA (-0,9% sur 5 séances), cohérente avec la pression des moyennes mobiles et le skewness négatif, mais sans rupture majeure — confirmant la thèse d'une consolidation latérale. **Recommandation finale : CONSERVER**, avec un niveau de confiance **Moyen** et un risque global **Moyen**. La convergence entre valorisation exigeante, technique indécise et fondamentaux résilients ne justifie ni un achat agressif (absence de décote et de signal technique fort), ni une vente (solidité du cash-flow et perspective de dividende généreux). L'horizon optimal est le **moyen terme (3-12 mois)**, le temps que la stratégie de recentrage (lubrifiants, GPL, export) confirme sa capacité à compenser durablement la perte du fuel lourd et que la politique de dividende (traditionnellement généreuse, ~100% du résultat net) soit clarifiée.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413.25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B40000"/>
                <w:sz w:val="17"/>
              </w:rPr>
              <w:t>-22.41%</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μ=53,541 FCFA, σ=3,512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β=0.5932 (Défensif) — Cov=0.000044, Var(idx)=0.000075, ρ=0.146,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42,209</w:t>
            </w:r>
          </w:p>
        </w:tc>
        <w:tc>
          <w:tcPr>
            <w:tcW w:type="dxa" w:w="1440"/>
            <w:shd w:fill="FAFAFA" w:val="clear"/>
          </w:tcPr>
          <w:p>
            <w:r>
              <w:rPr>
                <w:b/>
                <w:sz w:val="17"/>
              </w:rPr>
              <w:t>45,008</w:t>
            </w:r>
          </w:p>
        </w:tc>
        <w:tc>
          <w:tcPr>
            <w:tcW w:type="dxa" w:w="1440"/>
            <w:shd w:fill="FAFAFA" w:val="clear"/>
          </w:tcPr>
          <w:p>
            <w:r>
              <w:rPr>
                <w:sz w:val="17"/>
              </w:rPr>
              <w:t>47,808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40,965</w:t>
            </w:r>
          </w:p>
        </w:tc>
        <w:tc>
          <w:tcPr>
            <w:tcW w:type="dxa" w:w="1440"/>
            <w:shd w:fill="FAFAFA" w:val="clear"/>
          </w:tcPr>
          <w:p>
            <w:r>
              <w:rPr>
                <w:b/>
                <w:sz w:val="17"/>
              </w:rPr>
              <w:t>44,916</w:t>
            </w:r>
          </w:p>
        </w:tc>
        <w:tc>
          <w:tcPr>
            <w:tcW w:type="dxa" w:w="1440"/>
            <w:shd w:fill="FAFAFA" w:val="clear"/>
          </w:tcPr>
          <w:p>
            <w:r>
              <w:rPr>
                <w:sz w:val="17"/>
              </w:rPr>
              <w:t>48,866</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40,070</w:t>
            </w:r>
          </w:p>
        </w:tc>
        <w:tc>
          <w:tcPr>
            <w:tcW w:type="dxa" w:w="1440"/>
            <w:shd w:fill="FAFAFA" w:val="clear"/>
          </w:tcPr>
          <w:p>
            <w:r>
              <w:rPr>
                <w:b/>
                <w:sz w:val="17"/>
              </w:rPr>
              <w:t>44,908</w:t>
            </w:r>
          </w:p>
        </w:tc>
        <w:tc>
          <w:tcPr>
            <w:tcW w:type="dxa" w:w="1440"/>
            <w:shd w:fill="FAFAFA" w:val="clear"/>
          </w:tcPr>
          <w:p>
            <w:r>
              <w:rPr>
                <w:sz w:val="17"/>
              </w:rPr>
              <w:t>49,746</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39,342</w:t>
            </w:r>
          </w:p>
        </w:tc>
        <w:tc>
          <w:tcPr>
            <w:tcW w:type="dxa" w:w="1440"/>
            <w:shd w:fill="FAFAFA" w:val="clear"/>
          </w:tcPr>
          <w:p>
            <w:r>
              <w:rPr>
                <w:b/>
                <w:sz w:val="17"/>
              </w:rPr>
              <w:t>44,931</w:t>
            </w:r>
          </w:p>
        </w:tc>
        <w:tc>
          <w:tcPr>
            <w:tcW w:type="dxa" w:w="1440"/>
            <w:shd w:fill="FAFAFA" w:val="clear"/>
          </w:tcPr>
          <w:p>
            <w:r>
              <w:rPr>
                <w:sz w:val="17"/>
              </w:rPr>
              <w:t>50,520</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38,714</w:t>
            </w:r>
          </w:p>
        </w:tc>
        <w:tc>
          <w:tcPr>
            <w:tcW w:type="dxa" w:w="1440"/>
            <w:shd w:fill="FAFAFA" w:val="clear"/>
          </w:tcPr>
          <w:p>
            <w:r>
              <w:rPr>
                <w:b/>
                <w:sz w:val="17"/>
              </w:rPr>
              <w:t>44,968</w:t>
            </w:r>
          </w:p>
        </w:tc>
        <w:tc>
          <w:tcPr>
            <w:tcW w:type="dxa" w:w="1440"/>
            <w:shd w:fill="FAFAFA" w:val="clear"/>
          </w:tcPr>
          <w:p>
            <w:r>
              <w:rPr>
                <w:sz w:val="17"/>
              </w:rPr>
              <w:t>51,221</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38,155</w:t>
            </w:r>
          </w:p>
        </w:tc>
        <w:tc>
          <w:tcPr>
            <w:tcW w:type="dxa" w:w="1440"/>
            <w:shd w:fill="FAFAFA" w:val="clear"/>
          </w:tcPr>
          <w:p>
            <w:r>
              <w:rPr>
                <w:b/>
                <w:sz w:val="17"/>
              </w:rPr>
              <w:t>45,012</w:t>
            </w:r>
          </w:p>
        </w:tc>
        <w:tc>
          <w:tcPr>
            <w:tcW w:type="dxa" w:w="1440"/>
            <w:shd w:fill="FAFAFA" w:val="clear"/>
          </w:tcPr>
          <w:p>
            <w:r>
              <w:rPr>
                <w:sz w:val="17"/>
              </w:rPr>
              <w:t>51,869</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37,646</w:t>
            </w:r>
          </w:p>
        </w:tc>
        <w:tc>
          <w:tcPr>
            <w:tcW w:type="dxa" w:w="1440"/>
            <w:shd w:fill="FAFAFA" w:val="clear"/>
          </w:tcPr>
          <w:p>
            <w:r>
              <w:rPr>
                <w:b/>
                <w:sz w:val="17"/>
              </w:rPr>
              <w:t>45,061</w:t>
            </w:r>
          </w:p>
        </w:tc>
        <w:tc>
          <w:tcPr>
            <w:tcW w:type="dxa" w:w="1440"/>
            <w:shd w:fill="FAFAFA" w:val="clear"/>
          </w:tcPr>
          <w:p>
            <w:r>
              <w:rPr>
                <w:sz w:val="17"/>
              </w:rPr>
              <w:t>52,476</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37,176</w:t>
            </w:r>
          </w:p>
        </w:tc>
        <w:tc>
          <w:tcPr>
            <w:tcW w:type="dxa" w:w="1440"/>
            <w:shd w:fill="FAFAFA" w:val="clear"/>
          </w:tcPr>
          <w:p>
            <w:r>
              <w:rPr>
                <w:b/>
                <w:sz w:val="17"/>
              </w:rPr>
              <w:t>45,112</w:t>
            </w:r>
          </w:p>
        </w:tc>
        <w:tc>
          <w:tcPr>
            <w:tcW w:type="dxa" w:w="1440"/>
            <w:shd w:fill="FAFAFA" w:val="clear"/>
          </w:tcPr>
          <w:p>
            <w:r>
              <w:rPr>
                <w:sz w:val="17"/>
              </w:rPr>
              <w:t>53,048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36,737</w:t>
            </w:r>
          </w:p>
        </w:tc>
        <w:tc>
          <w:tcPr>
            <w:tcW w:type="dxa" w:w="1440"/>
            <w:shd w:fill="FAFAFA" w:val="clear"/>
          </w:tcPr>
          <w:p>
            <w:r>
              <w:rPr>
                <w:b/>
                <w:sz w:val="17"/>
              </w:rPr>
              <w:t>45,164</w:t>
            </w:r>
          </w:p>
        </w:tc>
        <w:tc>
          <w:tcPr>
            <w:tcW w:type="dxa" w:w="1440"/>
            <w:shd w:fill="FAFAFA" w:val="clear"/>
          </w:tcPr>
          <w:p>
            <w:r>
              <w:rPr>
                <w:sz w:val="17"/>
              </w:rPr>
              <w:t>53,591</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36,324</w:t>
            </w:r>
          </w:p>
        </w:tc>
        <w:tc>
          <w:tcPr>
            <w:tcW w:type="dxa" w:w="1440"/>
            <w:shd w:fill="FAFAFA" w:val="clear"/>
          </w:tcPr>
          <w:p>
            <w:r>
              <w:rPr>
                <w:b/>
                <w:sz w:val="17"/>
              </w:rPr>
              <w:t>45,217</w:t>
            </w:r>
          </w:p>
        </w:tc>
        <w:tc>
          <w:tcPr>
            <w:tcW w:type="dxa" w:w="1440"/>
            <w:shd w:fill="FAFAFA" w:val="clear"/>
          </w:tcPr>
          <w:p>
            <w:r>
              <w:rPr>
                <w:sz w:val="17"/>
              </w:rPr>
              <w:t>54,110</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SA (UNLC)**</w:t>
        <w:br/>
        <w:t>*Bourse Régionale des Valeurs Mobilières (BRVM)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413,25 milliards FCFA, un niveau qui place la société parmi les capitalisations significatives de la BRVM, bien qu'elle demeure en deçà des poids lourds du marché comme SONATEL ou la BOA. Les ratios de valorisation classiques (BPA, PER, P/B, EV/EBITDA) ne sont pas calculables en l'état, faute de données financières structurées exploitables dans la base (états financiers annuels non disponibles au format standardisé). Cette absence empêche toute appréciation directe du caractère bon marché ou onéreux du titre par rapport aux bénéfices (référence PER BRVM ~8-12x) ou à la valeur comptable. On notera toutefois que la capitalisation de 413,25 Mds FCFA, rapportée au bénéfice net 2023 de 640,3 M FCFA, impliquerait un PER mécanique d'environ 645x — un niveau stratosphérique qui traduit davantage la faiblesse exceptionnelle du résultat que la cherté intrinsèque du titre, et qui invite à la plus grande prudence sur la soutenabilité de la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affiche une variation totale de **-22,41%**, une correction baissière marquée, tandis que la dernière séance (J-1) enregistre un rebond de **+1,33%** à 45 000 FCFA. Le range de trading est large, entre un plus haut de 59 900 FCFA et un plus bas de 44 410 FCFA, soit un écart de plus de 15 000 FCFA qui témoigne d'une pression vendeuse soutenue ; le cours actuel (45 000 FCFA) évolue d'ailleurs dans le bas de cette fourchette, à proximité immédiate du plancher. La tendance générale est donc clairement **baissière** sur la période. Les statistiques descriptives confirment ce diagnostic : la moyenne (53 541 FCFA) est légèrement inférieure à la médiane (54 000 FCFA), et le mode (58 000 FCFA) se situe nettement au-dessus des deux, signe d'une distribution asymétrique à gauche — le cours a passé davantage de temps sur des niveaux élevés avant de chuter en fin de période. L'écart-type de 3 530 FCFA (CV = 6,6%) indique une dispersion modérée des cours autour de la moyenne, mais le kurtosis de -0,213 (mésokurtique) et le skewness de -0,452 (distribution symétrique selon l'interprétation fournie, avec une légère queue à gauche) suggèrent un comportement proche d'une loi normale, sans risque de pics extrêmes marqué. La volatilité annualisée de **56,1%** classe le titre dans la catégorie **élevée** (&gt;30%), ce qui est cohérent avec la correction brutale subie et impose une gestion du risque rigoureuse.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(48 667,75 FCFA) et la MM50 (51 794,8 FCFA) se situent toutes deux au-dessus du cours actuel (45 000 FCFA), et la MM20 est elle-même inférieure à la MM50 — configuration baissière typique. Le cours évoluant sous ses deux moyennes, la pression vendeuse domine et la décision technique **Vente** est pleinement justifiée.</w:t>
      </w:r>
    </w:p>
    <w:p>
      <w:pPr>
        <w:spacing w:after="120" w:line="276" w:lineRule="auto"/>
      </w:pPr>
      <w:r>
        <w:t>**Bandes de Bollinger** : Le cours (45 000 FCFA) évolue dans la partie basse du canal, entre la borne inférieure (43 747,725 FCFA) et la borne supérieure (53 587,775 FCFA), sans toutefois toucher le plancher. La décision **Neutre** reflète cette position intermédiaire : le titre n'est ni en survente extrême (qui déclencherait un signal d'achat), ni en zone de surchauffe, mais la largeur du canal traduit une volatilité encore élevée.</w:t>
      </w:r>
    </w:p>
    <w:p>
      <w:pPr>
        <w:spacing w:after="120" w:line="276" w:lineRule="auto"/>
      </w:pPr>
      <w:r>
        <w:t>**MACD** : La valeur du MACD (-1 828,52) est inférieure à son signal (-1 494,503), et les deux restent en territoire négatif — divergence baissière persistante. Le momentum est clairement négatif et la décision **Vente** confirme l'absence de retournement imminent de tendance.</w:t>
      </w:r>
    </w:p>
    <w:p>
      <w:pPr>
        <w:spacing w:after="120" w:line="276" w:lineRule="auto"/>
      </w:pPr>
      <w:r>
        <w:t>**RSI** : À 30,456, le RSI se situe juste au-dessus du seuil de survente (30), en zone neutre basse. La décision **Neutre** est cohérente : le titre n'est pas encore techniquement en survente, mais il s'en approche, ce qui pourrait préfigurer un rebond technique — à confirmer.</w:t>
      </w:r>
    </w:p>
    <w:p>
      <w:pPr>
        <w:spacing w:after="120" w:line="276" w:lineRule="auto"/>
      </w:pPr>
      <w:r>
        <w:t>**Stochastique** : Le %K (8,953) est très bas et légèrement supérieur au %D (2,984), les deux étant en zone de survente profonde (&lt;20). La décision **Achat** traduit un signal de rebond potentiel à court terme, mais ce signal isolé doit être pondéré par la faiblesse générale des autres indicateurs.</w:t>
      </w:r>
    </w:p>
    <w:p>
      <w:pPr>
        <w:spacing w:after="120" w:line="276" w:lineRule="auto"/>
      </w:pPr>
      <w:r>
        <w:t>**Conclusion technique** : La convergence des signaux est majoritairement baissière — cours sous MM20 et MM50, MACD négatif et divergent, RSI proche de la survente. Seul le stochastique émet un signal d'achat contrarien, insuffisant à lui seul à inverser la tendance. Le titre se trouve dans une zone de survente relative qui pourrait favoriser un rebond technique de court terme, mais la structure de fond reste défavorable et aucun retournement confirmé n'est visible.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standardisées ne sont pas disponibles dans la base, mais les rapports officiels analysés (exercices 2021, 2022 et 2023, dates des rapports : 31/12/2021, 31/12/2022 et 31/12/2023 — rapports anciens) permettent de reconstituer la trajectoire financière d'UNLC. **En 2023**, le chiffre d'affaires s'établit à **24 336 010 000 FCFA**, stable par rapport à 2022, tandis que le résultat net redevient positif à **640 334 855 FCFA** après une perte massive de **-6 908 362 002 FCFA en 2022** (et une perte de -6 382 600 386 FCFA selon l'autre rapport 2022). La marge nette 2023 ressort ainsi à **2,63%**, très en deçà de la moyenne sectorielle FMCG (5-10%), et le résultat d'exploitation passe de -6 258 M FCFA en 2022 à **+3 340 M FCFA en 2023**, signe d'un redressement opérationnel réel mais fragile. La situation bilancielle demeure préoccupante : les **capitaux propres sont négatifs à -10 658 M FCFA** et le report à nouveau s'élève à **-35 635 M FCFA**, tandis que les dettes financières progressent à **4 379 M FCFA** (vs 3 827 M FCFA en 2022). Sur le plan de la rentabilité, le ROE n'est pas calculable de manière pertinente en raison de capitaux propres négatifs, et le ROA reste très faible au regard d'un actif économique dominé par des passifs. L'évolution temporelle montre une alternance de pertes et de profits modestes : bénéfice de 6 090 M FCFA en 2021 (marge 25%, portée par des éléments exceptionnels), perte de -6,4 à -6,9 Mds FCFA en 2022 (fin des produits exceptionnels liés à la cession de Lipton), puis retour à un bénéfice marginal en 2023. Aucun dividende n'a été distribué sur les trois exercices, la priorité étant la reconstitution des fonds propres. **Conclusion fondamentale** : UNLC présente un profil de redressement lent et fragile, avec une marque forte (Blue Band, Omo, etc.) et un portefeuille résilient, mais une structure financière dégradée (fonds propres négatifs, endettement croissant, absence de dividende) qui limite toute revalorisation durable. La recommandation fondamentale est **CONSERVER avec vigilance**, en attendant la confirmation d'une rentabilité pérenne et d'une reconstitution des capitaux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tableau contrasté. **Valorisation (Partie 0)** : les ratios ne sont pas calculables, mais le PER mécanique très élevé (~645x sur le bénéfice 2023) signale une valorisation non soutenue par les bénéfices actuels, sans que l'on puisse conclure à une sous-évaluation. **Comportement du cours (Partie 1)** : la tendance est baissière (-22,41% sur 100 jours), la volatilité élevée (56,1%), et les statistiques (kurtosis -0,213, skewness -0,452) indiquent un comportement proche de la normale sans risque de pics extrêmes, mais avec une asymétrie légèrement défavorable. **Signaux techniques (Partie 2)** : convergence baissière (cours sous MM20/MM50, MACD négatif divergent, RSI proche de la survente), seul le stochastique en survente profonde suggère un rebond technique contrarien. **Fondamentaux (Partie 3)** : redressement opérationnel réel en 2023 (résultat d'exploitation +3 340 M FCFA, bénéfice net 640 M FCFA) mais structure financière fragile (fonds propres négatifs, endettement en hausse, marge nette 2,63%, aucun dividende). **Prédictions IA (J+1 à J+10)** : la trajectoire prédite est quasi stable (45 008 → 44 968 FCFA), confirmant l'absence de momentum haussier et la persistance d'un palier bas autour de 45 000 FCFA. Face à cette convergence majoritairement baissière et à une valorisation non soutenue par les fondamentaux, la recommandation finale est **CONSERVER** (avec vigilance), justifiée par le redressement opérationnel naissant mais tempérée par la fragilité bilancielle et l'absence de catalyseur technique ou fondamental à court terme. Le niveau de confiance est **Moyen** (données financières anciennes, ratios de valorisation indisponibles) et le niveau de risque global est **Élevé** (volatilité 56,1%, fonds propres négatifs, absence de dividende). L'horizon d'investissement optimal est le **long terme (&gt;1 an)**, en attendant la confirmation d'une rentabilité durable et d'une reconstitution des capitaux propres avant tout renforcement de position.</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13,318 titres</w:t>
            </w:r>
          </w:p>
        </w:tc>
        <w:tc>
          <w:tcPr>
            <w:tcW w:type="dxa" w:w="2268"/>
            <w:shd w:fill="FFF2CC" w:val="clear"/>
          </w:tcPr>
          <w:p>
            <w:r>
              <w:rPr>
                <w:b/>
                <w:color w:val="503200"/>
                <w:sz w:val="16"/>
              </w:rPr>
              <w:t xml:space="preserve">Cours actuel : </w:t>
            </w:r>
            <w:r>
              <w:rPr>
                <w:color w:val="000000"/>
                <w:sz w:val="17"/>
              </w:rPr>
              <w:t>2,145 FCFA</w:t>
            </w:r>
          </w:p>
          <w:p>
            <w:r>
              <w:rPr>
                <w:b/>
                <w:color w:val="503200"/>
                <w:sz w:val="16"/>
              </w:rPr>
              <w:t xml:space="preserve">Var. 100 jours : </w:t>
            </w:r>
            <w:r>
              <w:rPr>
                <w:b/>
                <w:color w:val="007800"/>
                <w:sz w:val="17"/>
              </w:rPr>
              <w:t>+20.51%</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14.83% (Moyenne) — μ=2,042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β=0.6654 (Défensif) — Cov=0.000050, Var(idx)=0.000075, ρ=0.180,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2,062</w:t>
            </w:r>
          </w:p>
        </w:tc>
        <w:tc>
          <w:tcPr>
            <w:tcW w:type="dxa" w:w="1440"/>
            <w:shd w:fill="FAFAFA" w:val="clear"/>
          </w:tcPr>
          <w:p>
            <w:r>
              <w:rPr>
                <w:b/>
                <w:sz w:val="17"/>
              </w:rPr>
              <w:t>2,137</w:t>
            </w:r>
          </w:p>
        </w:tc>
        <w:tc>
          <w:tcPr>
            <w:tcW w:type="dxa" w:w="1440"/>
            <w:shd w:fill="FAFAFA" w:val="clear"/>
          </w:tcPr>
          <w:p>
            <w:r>
              <w:rPr>
                <w:sz w:val="17"/>
              </w:rPr>
              <w:t>2,213</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2,019</w:t>
            </w:r>
          </w:p>
        </w:tc>
        <w:tc>
          <w:tcPr>
            <w:tcW w:type="dxa" w:w="1440"/>
            <w:shd w:fill="FAFAFA" w:val="clear"/>
          </w:tcPr>
          <w:p>
            <w:r>
              <w:rPr>
                <w:b/>
                <w:sz w:val="17"/>
              </w:rPr>
              <w:t>2,125</w:t>
            </w:r>
          </w:p>
        </w:tc>
        <w:tc>
          <w:tcPr>
            <w:tcW w:type="dxa" w:w="1440"/>
            <w:shd w:fill="FAFAFA" w:val="clear"/>
          </w:tcPr>
          <w:p>
            <w:r>
              <w:rPr>
                <w:sz w:val="17"/>
              </w:rPr>
              <w:t>2,230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1,984</w:t>
            </w:r>
          </w:p>
        </w:tc>
        <w:tc>
          <w:tcPr>
            <w:tcW w:type="dxa" w:w="1440"/>
            <w:shd w:fill="FAFAFA" w:val="clear"/>
          </w:tcPr>
          <w:p>
            <w:r>
              <w:rPr>
                <w:b/>
                <w:sz w:val="17"/>
              </w:rPr>
              <w:t>2,113</w:t>
            </w:r>
          </w:p>
        </w:tc>
        <w:tc>
          <w:tcPr>
            <w:tcW w:type="dxa" w:w="1440"/>
            <w:shd w:fill="FAFAFA" w:val="clear"/>
          </w:tcPr>
          <w:p>
            <w:r>
              <w:rPr>
                <w:sz w:val="17"/>
              </w:rPr>
              <w:t>2,241</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1,953</w:t>
            </w:r>
          </w:p>
        </w:tc>
        <w:tc>
          <w:tcPr>
            <w:tcW w:type="dxa" w:w="1440"/>
            <w:shd w:fill="FFDCE0" w:val="clear"/>
          </w:tcPr>
          <w:p>
            <w:r>
              <w:rPr>
                <w:b/>
                <w:sz w:val="17"/>
              </w:rPr>
              <w:t>2,101</w:t>
            </w:r>
          </w:p>
        </w:tc>
        <w:tc>
          <w:tcPr>
            <w:tcW w:type="dxa" w:w="1440"/>
            <w:shd w:fill="FFDCE0" w:val="clear"/>
          </w:tcPr>
          <w:p>
            <w:r>
              <w:rPr>
                <w:sz w:val="17"/>
              </w:rPr>
              <w:t>2,249</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1,926</w:t>
            </w:r>
          </w:p>
        </w:tc>
        <w:tc>
          <w:tcPr>
            <w:tcW w:type="dxa" w:w="1440"/>
            <w:shd w:fill="FFDCE0" w:val="clear"/>
          </w:tcPr>
          <w:p>
            <w:r>
              <w:rPr>
                <w:b/>
                <w:sz w:val="17"/>
              </w:rPr>
              <w:t>2,090</w:t>
            </w:r>
          </w:p>
        </w:tc>
        <w:tc>
          <w:tcPr>
            <w:tcW w:type="dxa" w:w="1440"/>
            <w:shd w:fill="FFDCE0" w:val="clear"/>
          </w:tcPr>
          <w:p>
            <w:r>
              <w:rPr>
                <w:sz w:val="17"/>
              </w:rPr>
              <w:t>2,254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1,900</w:t>
            </w:r>
          </w:p>
        </w:tc>
        <w:tc>
          <w:tcPr>
            <w:tcW w:type="dxa" w:w="1440"/>
            <w:shd w:fill="FFDCE0" w:val="clear"/>
          </w:tcPr>
          <w:p>
            <w:r>
              <w:rPr>
                <w:b/>
                <w:sz w:val="17"/>
              </w:rPr>
              <w:t>2,079</w:t>
            </w:r>
          </w:p>
        </w:tc>
        <w:tc>
          <w:tcPr>
            <w:tcW w:type="dxa" w:w="1440"/>
            <w:shd w:fill="FFDCE0" w:val="clear"/>
          </w:tcPr>
          <w:p>
            <w:r>
              <w:rPr>
                <w:sz w:val="17"/>
              </w:rPr>
              <w:t>2,257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1,876</w:t>
            </w:r>
          </w:p>
        </w:tc>
        <w:tc>
          <w:tcPr>
            <w:tcW w:type="dxa" w:w="1440"/>
            <w:shd w:fill="FFDCE0" w:val="clear"/>
          </w:tcPr>
          <w:p>
            <w:r>
              <w:rPr>
                <w:b/>
                <w:sz w:val="17"/>
              </w:rPr>
              <w:t>2,068</w:t>
            </w:r>
          </w:p>
        </w:tc>
        <w:tc>
          <w:tcPr>
            <w:tcW w:type="dxa" w:w="1440"/>
            <w:shd w:fill="FFDCE0" w:val="clear"/>
          </w:tcPr>
          <w:p>
            <w:r>
              <w:rPr>
                <w:sz w:val="17"/>
              </w:rPr>
              <w:t>2,260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1,853</w:t>
            </w:r>
          </w:p>
        </w:tc>
        <w:tc>
          <w:tcPr>
            <w:tcW w:type="dxa" w:w="1440"/>
            <w:shd w:fill="FFDCE0" w:val="clear"/>
          </w:tcPr>
          <w:p>
            <w:r>
              <w:rPr>
                <w:b/>
                <w:sz w:val="17"/>
              </w:rPr>
              <w:t>2,058</w:t>
            </w:r>
          </w:p>
        </w:tc>
        <w:tc>
          <w:tcPr>
            <w:tcW w:type="dxa" w:w="1440"/>
            <w:shd w:fill="FFDCE0" w:val="clear"/>
          </w:tcPr>
          <w:p>
            <w:r>
              <w:rPr>
                <w:sz w:val="17"/>
              </w:rPr>
              <w:t>2,262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1,832</w:t>
            </w:r>
          </w:p>
        </w:tc>
        <w:tc>
          <w:tcPr>
            <w:tcW w:type="dxa" w:w="1440"/>
            <w:shd w:fill="FFDCE0" w:val="clear"/>
          </w:tcPr>
          <w:p>
            <w:r>
              <w:rPr>
                <w:b/>
                <w:sz w:val="17"/>
              </w:rPr>
              <w:t>2,048</w:t>
            </w:r>
          </w:p>
        </w:tc>
        <w:tc>
          <w:tcPr>
            <w:tcW w:type="dxa" w:w="1440"/>
            <w:shd w:fill="FFDCE0" w:val="clear"/>
          </w:tcPr>
          <w:p>
            <w:r>
              <w:rPr>
                <w:sz w:val="17"/>
              </w:rPr>
              <w:t>2,264</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1,812</w:t>
            </w:r>
          </w:p>
        </w:tc>
        <w:tc>
          <w:tcPr>
            <w:tcW w:type="dxa" w:w="1440"/>
            <w:shd w:fill="FFDCE0" w:val="clear"/>
          </w:tcPr>
          <w:p>
            <w:r>
              <w:rPr>
                <w:b/>
                <w:sz w:val="17"/>
              </w:rPr>
              <w:t>2,038</w:t>
            </w:r>
          </w:p>
        </w:tc>
        <w:tc>
          <w:tcPr>
            <w:tcW w:type="dxa" w:w="1440"/>
            <w:shd w:fill="FFDCE0" w:val="clear"/>
          </w:tcPr>
          <w:p>
            <w:r>
              <w:rPr>
                <w:sz w:val="17"/>
              </w:rPr>
              <w:t>2,264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44,51 milliards FCFA, UNIWAX se situe dans la moyenne des capitalisations de la BRVM, ce qui en fait une valeur de taille intermédiaire sur le marché régional. Le BPA ressort à -30 FCFA/action, traduisant une société encore déficitaire sur l'exercice 2025, ce qui rend le PER de -71,3x non interprétable en termes de valorisation relative (un PER négatif signale simplement l'absence de bénéfices positifs, et non une sous-évaluation). Le P/B de 1,81x indique que le marché valorise le titre à près du double de sa valeur comptable, un niveau raisonnable pour une entreprise en redressement dont les capitaux propres (24,62 Mds FCFA) restent solides. En revanche, l'EV/EBITDA de 36,4x apparaît très exigeant (seuil de référence &gt;15x), signifiant que la valeur d'entreprise intègre déjà une forte anticipation de retour à la rentabilité opérationnelle, ce qui laisse peu de marge d'erreur aux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progression totale de +20,51%, malgré un repli de -1,61% sur la dernière séance, portant le cours actuel à 2 145 FCFA. Le range de trading est particulièrement large, avec un plus haut à 2 495 FCFA et un plus bas à 1 250 FCFA, soit un écart de près de 100% entre les extrêmes, témoignant d'une forte amplitude de négociation. La tendance générale est donc nettement haussière, le cours actuel se situant à environ 72% de son range, dans la partie haute de la fourchette. Les statistiques descriptives révèlent une moyenne de 2 042 FCFA légèrement supérieure à la médiane de 1 970 FCFA (égale au mode), suggérant une distribution faiblement asymétrique tirée vers le haut par les pics de cours ; l'écart-type de 304 FCFA et le coefficient de variation de 14,9% indiquent une dispersion modérée autour de la moyenne. Le kurtosis de -0,394 (mésokurtique) signifie que la distribution est proche d'une loi normale, sans risque excessif de pics extrêmes, tandis que le skewness de -0,418 confirme une asymétrie légèrement négative (queue de distribution vers les valeurs basses). Enfin, la volatilité annualisée de 50,1%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(2 286,25 FCFA) et la MM50 (2 283,0 FCFA) sont quasi confondues et se situent toutes deux au-dessus du cours actuel (2 145 FCFA), ce qui traduit une pression baissière de court terme. Toutefois, la décision affichée est « Achat », probablement en anticipation d'un rebond technique après le repli récent, le cours évoluant sous ses moyennes dans une configuration de correction au sein d'une tendance haussière plus large.</w:t>
      </w:r>
    </w:p>
    <w:p>
      <w:pPr>
        <w:spacing w:after="120" w:line="276" w:lineRule="auto"/>
      </w:pPr>
      <w:r>
        <w:t>**Bandes de Bollinger** : Le cours (2 145 FCFA) se situe dans la partie basse de la bande, proche de la borne inférieure (2 109,44 FCFA) et loin de la borne supérieure (2 463,06 FCFA), ce qui indique une compression récente de la volatilité et un possible point de retournement. La décision « Neutre » reflète l'absence de signal directionnel clair, le titre n'étant ni en surachat ni en survente extrême au regard des bandes.</w:t>
      </w:r>
    </w:p>
    <w:p>
      <w:pPr>
        <w:spacing w:after="120" w:line="276" w:lineRule="auto"/>
      </w:pPr>
      <w:r>
        <w:t>**MACD** : La valeur du MACD (-28,991) est inférieure à sa ligne de signal (-1,994), configuration baissière classique qui traduit un momentum négatif persistant. La décision « Vente » confirme cette divergence défavorable, le MACD étant en territoire négatif et s'éloignant de sa moyenne, signalant que la dynamique de court terme reste orientée à la baisse.</w:t>
      </w:r>
    </w:p>
    <w:p>
      <w:pPr>
        <w:spacing w:after="120" w:line="276" w:lineRule="auto"/>
      </w:pPr>
      <w:r>
        <w:t>**RSI** : À 30,476, le RSI se situe juste au-dessus du seuil de survente (30), dans une zone neutre basse. La décision « Neutre » est cohérente : le titre n'est pas encore techniquement en survente, mais il s'approche d'une zone où un rebond technique devient statistiquement probable, ce qui tempère le signal baissier du MACD.</w:t>
      </w:r>
    </w:p>
    <w:p>
      <w:pPr>
        <w:spacing w:after="120" w:line="276" w:lineRule="auto"/>
      </w:pPr>
      <w:r>
        <w:t>**Stochastique** : Le %K (0,0) est au plancher absolu et le %D (3,39) est également très bas, configuration de survente extrême. La décision « Achat » s'explique par ce positionnement : un %K à 0 signale une pression vendeuse maximale qui, historiquement, précède souvent un rebond, le croisement éventuel de %K au-dessus de %D constituant le déclencheur d'achat.</w:t>
      </w:r>
    </w:p>
    <w:p>
      <w:pPr>
        <w:spacing w:after="120" w:line="276" w:lineRule="auto"/>
      </w:pPr>
      <w:r>
        <w:t>**Conclusion technique** : Les indicateurs présentent une divergence notable : le MACD est clairement baissier (Vente), les moyennes mobiles exercent une pression à la baisse, mais le RSI et surtout le stochastique (%K=0) signalent une survente extrême propice à un rebond technique. Les Bandes de Bollinger confirment cette configuration de compression. La convergence des signaux de survente (RSI bas, stochastique au plancher) face au momentum négatif du MACD suggère un titre en fin de correction, avec un potentiel de rebond à court terme mais sans confirmation franche d'inversion de tendance.</w:t>
      </w:r>
    </w:p>
    <w:p>
      <w:pPr>
        <w:spacing w:after="120" w:line="276" w:lineRule="auto"/>
      </w:pPr>
      <w:r>
        <w:t>---</w:t>
      </w:r>
    </w:p>
    <w:p>
      <w:pPr>
        <w:spacing w:after="120" w:line="276" w:lineRule="auto"/>
      </w:pPr>
      <w:r>
        <w:t>## PARTIE 3 : ANALYSE FONDAMENTALE</w:t>
      </w:r>
    </w:p>
    <w:p>
      <w:pPr>
        <w:spacing w:after="120" w:line="276" w:lineRule="auto"/>
      </w:pPr>
      <w:r>
        <w:t>Les états financiers de l'exercice 2025 (données structurées officielles) révèlent un chiffre d'affaires de 29,032 Mds FCFA, en croissance de 6,21% selon le rapport annuel 2025, pour un résultat net négatif de -624,11 M FCFA (marge nette de -2,15%), en nette amélioration par rapport à la perte de -2,19 Mds FCFA en 2024 (rapport 2025). Le ROE ressort à -2,54% et le ROA à -1,97%, traduisant une rentabilité encore négative mais en voie de redressement. La structure financière demeure très saine avec une autonomie financière de 77,58% (capitaux propres de 24,62 Mds FCFA pour un total bilan de 31,74 Mds FCFA) et un ratio d'endettement de seulement 1,50%, tandis que la liquidité générale (346,19%) et la solvabilité (445,93%) confirment l'absence de risque de défaut à court terme. L'analyse du besoin en fonds de roulement révèle des délais d'exploitation préoccupants : délai clients de 45,80 jours (risque de trésorerie modéré), délai fournisseurs de 102,43 jours (favorable à la trésorerie) et surtout une durée de stockage de 324,99 jours, extrêmement élevée, qui immobilise massivement du capital (stocks de 12,179 Mds FCFA) et explique en partie le flux opérationnel négatif de -8,124 Mds FCFA. Le rapport annuel 2025 (publié en 2025) précise que le désendettement fournisseurs (de 14,9 Mds à 5,0 Mds FCFA) a été financé par des cessions d'immobilisations pour +10,5 Mds FCFA, opération non récurrente. Les rapports trimestriels les plus récents confirment l'inflexion : le rapport du S1 2026 (publié en 2026) fait état d'un résultat d'exploitation redevenu positif à 771 M FCFA (contre -314 M au S1 2025) pour un CA de 15,752 Mds FCFA (+0,3%), avec un résultat net de 771 M FCFA — on estime donc que l'exercice 2026 pourrait marquer le retour à une rentabilité opérationnelle structurelle, le rapport T3 2025 (daté du 30/09/2025) ayant déjà signalé l'absence de perte au T3 hors éléments exceptionnels. La recommandation fondamentale est donc celle d'une société en redressement crédible mais fragile : solidité bilancielle avérée, rentabilité opérationnelle en cours de normalisation, mais dépendance passée aux cessions d'actifs et risque persistant lié à la rotation des stocks et à la concurrence des importations asiatiques.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ambigu : le PER négatif et l'EV/EBITDA de 36,4x traduisent une anticipation déjà généreuse de la reprise, tandis que le P/B de 1,81x reste raisonnable au regard des capitaux propres solides, suggérant une valorisation ni franchement sous-évaluée ni excessivement chère. Le comportement du cours (Partie 1) est haussier sur 100 jours (+20,51%) mais marqué par une volatilité élevée (50,1%) et une distribution quasi normale (kurtosis -0,394, skewness -0,418), sans risque de pics extrêmes mais avec une légère asymétrie baissière. Les signaux techniques (Partie 2) sont divergents : MACD baissier et cours sous les moyennes mobiles, mais RSI (30,5) et stochastique (%K=0) en zone de survente extrême, plaidant pour un rebond technique imminent plutôt qu'une poursuite de la baisse. Les fondamentaux (Partie 3) confirment un redressement réel — EBE positif en 2025, résultat d'exploitation positif au S1 2026 (771 M FCFA), structure financière très saine (autonomie 77,58%) — mais la rentabilité annuelle 2025 reste négative (-624 M FCFA) et dépend historiquement d'éléments non récurrents. Les prédictions IA (J+1 à J+10) anticipent une poursuite du repli de 2 137 à 2 090 FCFA, ce qui contredit le signal de rebond technique mais s'aligne sur le momentum baissier du MACD et la position du cours sous les moyennes mobiles. Sur la base de cette synthèse, la convergence est partielle : fondamental en amélioration et technique en survente plaident pour un potentiel de rebond à moyen terme, mais la prédiction IA baissière et la valorisation exigeante (EV/EBITDA) invitent à la prudence à court terme. **Recommandation finale : CONSERVER**, avec un niveau de confiance **Moyen** et un risque global **Élevé** (volatilité 50,1%, rentabilité encore fragile, dépendance aux marchés d'export Nigeria/Guinée). L'horizon optimal est le **moyen terme (3-12 mois)**, le temps que la rentabilité opérationnelle positive du S1 2026 se confirme sur l'exercice complet et que le marché valide le retour durable à l'équilibre ; un passage à l'ACHAT serait justifié en cas de confirmation d'un résultat net annuel 2026 positif et d'un retour aux dividendes.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