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04/10/2026 à 10:42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ABJC  (score 85/100)</w:t>
      </w:r>
    </w:p>
    <w:p>
      <w:pPr>
        <w:spacing w:before="20" w:after="20"/>
        <w:ind w:left="360" w:right="360"/>
        <w:shd w:val="clear" w:color="auto" w:fill="EBF5FB"/>
      </w:pPr>
      <w:r>
        <w:rPr>
          <w:b/>
          <w:sz w:val="19"/>
        </w:rPr>
        <w:t xml:space="preserve">Secteur surperformant :  </w:t>
      </w:r>
      <w:r>
        <w:rPr>
          <w:color w:val="008000"/>
          <w:sz w:val="19"/>
        </w:rPr>
        <w:t>SERVICES PUBLICS  (+68.7%)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9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549.02 points </w:t>
      </w:r>
      <w:r>
        <w:rPr>
          <w:color w:val="008000"/>
        </w:rPr>
        <w:t>(+0.12%)</w:t>
      </w:r>
      <w:r>
        <w:t xml:space="preserve"> sur la séance. </w:t>
      </w:r>
      <w:r>
        <w:t>La capitalisation globale du marché atteint 21 529,927 milliards FCFA.</w:t>
      </w:r>
    </w:p>
    <w:p/>
    <w:p>
      <w:pPr>
        <w:pStyle w:val="Heading3"/>
      </w:pPr>
      <w:r>
        <w:t>📊 Évolution de l'indice BRVM Composite (100 derniers jours)</w:t>
      </w:r>
    </w:p>
    <w:p>
      <w:r>
        <w:rPr>
          <w:b/>
        </w:rPr>
        <w:t xml:space="preserve">BRVM Composite — </w:t>
      </w:r>
      <w:r>
        <w:t xml:space="preserve">Sur les 100 derniers jours de cotation (2026-05-08 au 2026-10-01), l'indice BRVM Composite a évolué de </w:t>
      </w:r>
      <w:r>
        <w:rPr>
          <w:b/>
          <w:color w:val="008000"/>
        </w:rPr>
        <w:t>+35.70%</w:t>
      </w:r>
      <w:r>
        <w:t>, passant de 404.59 pts à 549.02 pts. Le plus haut atteint est 555.90 pts et le plus bas 404.59 pts. Sur l'ensemble de la période, la moyenne de l'indice s'établit à 481.61 pts, la médiane à 480.58 pts et le mode à 404.59 pts</w:t>
      </w:r>
      <w:r>
        <w:t xml:space="preserve"> (distribution symétrique). </w:t>
      </w:r>
      <w:r>
        <w:t xml:space="preserve">L'écart-type de 46.61 pts (CV=9.7%) traduit une modérée dispersion des cotations. Le kurtosis de -1.24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+38.04%</w:t>
      </w:r>
      <w:r>
        <w:t xml:space="preserve"> sur la période, passant de 15 596,700 Mds FCFA à 21 529,927 Mds FCFA. Le pic de capitalisation observé est de 21 529,927 Mds FCFA et le plancher de 15 596,700 Mds FCFA. La moyenne de la capitalisation sur la période s'établit à 18 584,263 Mds FCFA, la médiane à 18 513,271 Mds FCFA et le mode à 15 596,700 Mds FCFA</w:t>
      </w:r>
      <w:r>
        <w:t xml:space="preserve"> (distribution symétrique). </w:t>
      </w:r>
      <w:r>
        <w:t>L'écart-type de 1 832,141 Mds FCFA (CV=9.9%) reflète une modérée variabilité de la valorisation du marché. Le kurtosis de -1.23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FTSC - FTSC - FILTISAC COTE D'IVOIRE</w:t>
      </w:r>
      <w:r>
        <w:t xml:space="preserve"> | Prix: 1995 FCFA | </w:t>
      </w:r>
      <w:r>
        <w:rPr>
          <w:b/>
          <w:color w:val="008000"/>
        </w:rPr>
        <w:t>ACHAT FORT</w:t>
      </w:r>
      <w:r>
        <w:t xml:space="preserve"> | Confiance: Faible | Risque: Faible</w:t>
      </w:r>
    </w:p>
    <w:p>
      <w:pPr>
        <w:pStyle w:val="ListNumber"/>
      </w:pPr>
      <w:r>
        <w:rPr>
          <w:b/>
        </w:rPr>
        <w:t>LNBB - LNBB - LOTERIE NATIONALE DU BENIN</w:t>
      </w:r>
      <w:r>
        <w:t xml:space="preserve"> | Prix: 3890 FCFA | </w:t>
      </w:r>
      <w:r>
        <w:rPr>
          <w:b/>
          <w:color w:val="008000"/>
        </w:rPr>
        <w:t>ACHAT FORT</w:t>
      </w:r>
      <w:r>
        <w:t xml:space="preserve"> | Confiance: Faible | Risque: Faible</w:t>
      </w:r>
    </w:p>
    <w:p>
      <w:pPr>
        <w:pStyle w:val="ListNumber"/>
      </w:pPr>
      <w:r>
        <w:rPr>
          <w:b/>
        </w:rPr>
        <w:t>SEMC - SEMC - EVIOSYS PACKAGING SIEM CI</w:t>
      </w:r>
      <w:r>
        <w:t xml:space="preserve"> | Prix: 1495 FCFA | </w:t>
      </w:r>
      <w:r>
        <w:rPr>
          <w:b/>
          <w:color w:val="008000"/>
        </w:rPr>
        <w:t>ACHAT FORT</w:t>
      </w:r>
      <w:r>
        <w:t xml:space="preserve"> | Confiance: Élevée | Risque: Faible</w:t>
      </w:r>
    </w:p>
    <w:p>
      <w:pPr>
        <w:pStyle w:val="ListNumber"/>
      </w:pPr>
      <w:r>
        <w:rPr>
          <w:b/>
        </w:rPr>
        <w:t>ABJC - ABJC - SERVAIR ABIDJAN CI</w:t>
      </w:r>
      <w:r>
        <w:t xml:space="preserve"> | Prix: 3370 FCFA | </w:t>
      </w:r>
      <w:r>
        <w:rPr>
          <w:b/>
          <w:color w:val="008000"/>
        </w:rPr>
        <w:t>ACHAT</w:t>
      </w:r>
      <w:r>
        <w:t xml:space="preserve"> | Confiance: Élevée | Risque: Faible</w:t>
      </w:r>
    </w:p>
    <w:p>
      <w:pPr>
        <w:pStyle w:val="ListNumber"/>
      </w:pPr>
      <w:r>
        <w:rPr>
          <w:b/>
        </w:rPr>
        <w:t>BBGC - BRIDGE BANK GROUP COTE D'IVOIRE</w:t>
      </w:r>
      <w:r>
        <w:t xml:space="preserve"> | Prix: 8800 FCFA | </w:t>
      </w:r>
      <w:r>
        <w:rPr>
          <w:b/>
          <w:color w:val="008000"/>
        </w:rPr>
        <w:t>ACHAT</w:t>
      </w:r>
      <w:r>
        <w:t xml:space="preserve"> | Confiance: Moyen | Risque: Faible</w:t>
      </w:r>
    </w:p>
    <w:p>
      <w:pPr>
        <w:pStyle w:val="ListNumber"/>
      </w:pPr>
      <w:r>
        <w:rPr>
          <w:b/>
        </w:rPr>
        <w:t>BICB - BIIC BN - Banque internationale pour le commerce du benin</w:t>
      </w:r>
      <w:r>
        <w:t xml:space="preserve"> | Prix: 8800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33800 FCFA | </w:t>
      </w:r>
      <w:r>
        <w:rPr>
          <w:b/>
          <w:color w:val="008000"/>
        </w:rPr>
        <w:t>ACHAT</w:t>
      </w:r>
      <w:r>
        <w:t xml:space="preserve"> | Confiance: Élevée | Risque: Moyen</w:t>
      </w:r>
    </w:p>
    <w:p>
      <w:pPr>
        <w:pStyle w:val="ListNumber"/>
      </w:pPr>
      <w:r>
        <w:rPr>
          <w:b/>
        </w:rPr>
        <w:t>BNBC - BNBC - BERNABE CI</w:t>
      </w:r>
      <w:r>
        <w:t xml:space="preserve"> | Prix: 1900 FCFA | </w:t>
      </w:r>
      <w:r>
        <w:rPr>
          <w:b/>
          <w:color w:val="008000"/>
        </w:rPr>
        <w:t>ACHAT</w:t>
      </w:r>
      <w:r>
        <w:t xml:space="preserve"> | Confiance: Élevée | Risque: Faible</w:t>
      </w:r>
    </w:p>
    <w:p>
      <w:pPr>
        <w:pStyle w:val="ListNumber"/>
      </w:pPr>
      <w:r>
        <w:rPr>
          <w:b/>
        </w:rPr>
        <w:t>BOAB - BANK OF AFRICA BENIN</w:t>
      </w:r>
      <w:r>
        <w:t xml:space="preserve"> | Prix: 9385 FCFA | </w:t>
      </w:r>
      <w:r>
        <w:rPr>
          <w:b/>
          <w:color w:val="008000"/>
        </w:rPr>
        <w:t>ACHAT</w:t>
      </w:r>
      <w:r>
        <w:t xml:space="preserve"> | Confiance: Moyen | Risque: Faible</w:t>
      </w:r>
    </w:p>
    <w:p>
      <w:pPr>
        <w:pStyle w:val="ListNumber"/>
      </w:pPr>
      <w:r>
        <w:rPr>
          <w:b/>
        </w:rPr>
        <w:t>BOABF - BANK OF AFRICA BURKINA FASO</w:t>
      </w:r>
      <w:r>
        <w:t xml:space="preserve"> | Prix: 8000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SPHC - SPHC - Société Africaine de Plantation d'Hévéas de Côte d'Ivoire</w:t>
      </w:r>
      <w:r>
        <w:t xml:space="preserve"> | Prix: 7890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68.74%</w:t>
      </w:r>
      <w:r>
        <w:t xml:space="preserve">  |  </w:t>
      </w:r>
      <w:r>
        <w:rPr>
          <w:b/>
        </w:rPr>
        <w:t xml:space="preserve">vs BRVM Composite: </w:t>
      </w:r>
      <w:r>
        <w:rPr>
          <w:b/>
          <w:color w:val="008000"/>
        </w:rPr>
        <w:t>+33.04%  🟢 Surperformance</w:t>
      </w:r>
      <w:r>
        <w:br/>
      </w:r>
      <w:r>
        <w:rPr>
          <w:b/>
        </w:rPr>
        <w:t xml:space="preserve">Sentiment général: </w:t>
      </w:r>
      <w:r>
        <w:t xml:space="preserve">ACHAT  |  </w:t>
      </w:r>
      <w:r>
        <w:rPr>
          <w:b/>
        </w:rPr>
        <w:t xml:space="preserve">Risque moyen: </w:t>
      </w:r>
      <w:r>
        <w:t xml:space="preserve">Moyen  |  </w:t>
      </w:r>
      <w:r>
        <w:rPr>
          <w:b/>
        </w:rPr>
        <w:t xml:space="preserve">Prix moyen: </w:t>
      </w:r>
      <w:r>
        <w:t>9720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38.11%</w:t>
      </w:r>
      <w:r>
        <w:t xml:space="preserve">  |  </w:t>
      </w:r>
      <w:r>
        <w:rPr>
          <w:b/>
        </w:rPr>
        <w:t xml:space="preserve">vs BRVM Composite: </w:t>
      </w:r>
      <w:r>
        <w:rPr>
          <w:b/>
          <w:color w:val="008000"/>
        </w:rPr>
        <w:t>+2.41%  🟢 Surperformance</w:t>
      </w:r>
      <w:r>
        <w:br/>
      </w:r>
      <w:r>
        <w:rPr>
          <w:b/>
        </w:rPr>
        <w:t xml:space="preserve">Sentiment général: </w:t>
      </w:r>
      <w:r>
        <w:t xml:space="preserve">ACHAT  |  </w:t>
      </w:r>
      <w:r>
        <w:rPr>
          <w:b/>
        </w:rPr>
        <w:t xml:space="preserve">Risque moyen: </w:t>
      </w:r>
      <w:r>
        <w:t xml:space="preserve">Moyen  |  </w:t>
      </w:r>
      <w:r>
        <w:rPr>
          <w:b/>
        </w:rPr>
        <w:t xml:space="preserve">Prix moyen: </w:t>
      </w:r>
      <w:r>
        <w:t>13470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36.05%</w:t>
      </w:r>
      <w:r>
        <w:t xml:space="preserve">  |  </w:t>
      </w:r>
      <w:r>
        <w:rPr>
          <w:b/>
        </w:rPr>
        <w:t xml:space="preserve">vs BRVM Composite: </w:t>
      </w:r>
      <w:r>
        <w:rPr>
          <w:b/>
          <w:color w:val="008000"/>
        </w:rPr>
        <w:t>+0.36%  🟢 Surperformance</w:t>
      </w:r>
      <w:r>
        <w:br/>
      </w:r>
      <w:r>
        <w:rPr>
          <w:b/>
        </w:rPr>
        <w:t xml:space="preserve">Sentiment général: </w:t>
      </w:r>
      <w:r>
        <w:t xml:space="preserve">ACHAT  |  </w:t>
      </w:r>
      <w:r>
        <w:rPr>
          <w:b/>
        </w:rPr>
        <w:t xml:space="preserve">Risque moyen: </w:t>
      </w:r>
      <w:r>
        <w:t xml:space="preserve">Moyen  |  </w:t>
      </w:r>
      <w:r>
        <w:rPr>
          <w:b/>
        </w:rPr>
        <w:t xml:space="preserve">Prix moyen: </w:t>
      </w:r>
      <w:r>
        <w:t>23245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22.40%</w:t>
      </w:r>
      <w:r>
        <w:t xml:space="preserve">  |  </w:t>
      </w:r>
      <w:r>
        <w:rPr>
          <w:b/>
        </w:rPr>
        <w:t xml:space="preserve">vs BRVM Composite: </w:t>
      </w:r>
      <w:r>
        <w:rPr>
          <w:b/>
          <w:color w:val="C00000"/>
        </w:rPr>
        <w:t>-13.30%  🔴 Sous-performance</w:t>
      </w:r>
      <w:r>
        <w:br/>
      </w:r>
      <w:r>
        <w:rPr>
          <w:b/>
        </w:rPr>
        <w:t xml:space="preserve">Sentiment général: </w:t>
      </w:r>
      <w:r>
        <w:t xml:space="preserve">ACHAT  |  </w:t>
      </w:r>
      <w:r>
        <w:rPr>
          <w:b/>
        </w:rPr>
        <w:t xml:space="preserve">Risque moyen: </w:t>
      </w:r>
      <w:r>
        <w:t xml:space="preserve">Faible  |  </w:t>
      </w:r>
      <w:r>
        <w:rPr>
          <w:b/>
        </w:rPr>
        <w:t xml:space="preserve">Prix moyen: </w:t>
      </w:r>
      <w:r>
        <w:t>6352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21.30%</w:t>
      </w:r>
      <w:r>
        <w:t xml:space="preserve">  |  </w:t>
      </w:r>
      <w:r>
        <w:rPr>
          <w:b/>
        </w:rPr>
        <w:t xml:space="preserve">vs BRVM Composite: </w:t>
      </w:r>
      <w:r>
        <w:rPr>
          <w:b/>
          <w:color w:val="C00000"/>
        </w:rPr>
        <w:t>-14.40%  🔴 Sous-performance</w:t>
      </w:r>
      <w:r>
        <w:br/>
      </w:r>
      <w:r>
        <w:rPr>
          <w:b/>
        </w:rPr>
        <w:t xml:space="preserve">Sentiment général: </w:t>
      </w:r>
      <w:r>
        <w:t xml:space="preserve">ACHAT  |  </w:t>
      </w:r>
      <w:r>
        <w:rPr>
          <w:b/>
        </w:rPr>
        <w:t xml:space="preserve">Risque moyen: </w:t>
      </w:r>
      <w:r>
        <w:t xml:space="preserve">Faible  |  </w:t>
      </w:r>
      <w:r>
        <w:rPr>
          <w:b/>
        </w:rPr>
        <w:t xml:space="preserve">Prix moyen: </w:t>
      </w:r>
      <w:r>
        <w:t>8800 FCFA</w:t>
        <w:br/>
      </w:r>
      <w:r>
        <w:rPr>
          <w:b/>
        </w:rPr>
        <w:br/>
        <w:t xml:space="preserve">Sociétés: </w:t>
      </w:r>
      <w:r>
        <w:t>BBGC (BRIDGE BANK GROUP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19.35%</w:t>
      </w:r>
      <w:r>
        <w:t xml:space="preserve">  |  </w:t>
      </w:r>
      <w:r>
        <w:rPr>
          <w:b/>
        </w:rPr>
        <w:t xml:space="preserve">vs BRVM Composite: </w:t>
      </w:r>
      <w:r>
        <w:rPr>
          <w:b/>
          <w:color w:val="C00000"/>
        </w:rPr>
        <w:t>-16.35%  🔴 Sous-performance</w:t>
      </w:r>
      <w:r>
        <w:br/>
      </w:r>
      <w:r>
        <w:rPr>
          <w:b/>
        </w:rPr>
        <w:t xml:space="preserve">Sentiment général: </w:t>
      </w:r>
      <w:r>
        <w:t xml:space="preserve">ACHAT  |  </w:t>
      </w:r>
      <w:r>
        <w:rPr>
          <w:b/>
        </w:rPr>
        <w:t xml:space="preserve">Risque moyen: </w:t>
      </w:r>
      <w:r>
        <w:t xml:space="preserve">Faible  |  </w:t>
      </w:r>
      <w:r>
        <w:rPr>
          <w:b/>
        </w:rPr>
        <w:t xml:space="preserve">Prix moyen: </w:t>
      </w:r>
      <w:r>
        <w:t>2741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18.32%</w:t>
      </w:r>
      <w:r>
        <w:t xml:space="preserve">  |  </w:t>
      </w:r>
      <w:r>
        <w:rPr>
          <w:b/>
        </w:rPr>
        <w:t xml:space="preserve">vs BRVM Composite: </w:t>
      </w:r>
      <w:r>
        <w:rPr>
          <w:b/>
          <w:color w:val="C00000"/>
        </w:rPr>
        <w:t>-17.38%  🔴 Sous-performance</w:t>
      </w:r>
      <w:r>
        <w:br/>
      </w:r>
      <w:r>
        <w:rPr>
          <w:b/>
        </w:rPr>
        <w:t xml:space="preserve">Sentiment général: </w:t>
      </w:r>
      <w:r>
        <w:t xml:space="preserve">ACHAT  |  </w:t>
      </w:r>
      <w:r>
        <w:rPr>
          <w:b/>
        </w:rPr>
        <w:t xml:space="preserve">Risque moyen: </w:t>
      </w:r>
      <w:r>
        <w:t xml:space="preserve">Faible  |  </w:t>
      </w:r>
      <w:r>
        <w:rPr>
          <w:b/>
        </w:rPr>
        <w:t xml:space="preserve">Prix moyen: </w:t>
      </w:r>
      <w:r>
        <w:t>17799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-1.98%</w:t>
      </w:r>
      <w:r>
        <w:t xml:space="preserve">  |  </w:t>
      </w:r>
      <w:r>
        <w:rPr>
          <w:b/>
        </w:rPr>
        <w:t xml:space="preserve">vs BRVM Composite: </w:t>
      </w:r>
      <w:r>
        <w:rPr>
          <w:b/>
          <w:color w:val="C00000"/>
        </w:rPr>
        <w:t>-37.68%  🔴 Sous-performance</w:t>
      </w:r>
      <w:r>
        <w:br/>
      </w:r>
      <w:r>
        <w:rPr>
          <w:b/>
        </w:rPr>
        <w:t xml:space="preserve">Sentiment général: </w:t>
      </w:r>
      <w:r>
        <w:t xml:space="preserve">ACHAT  |  </w:t>
      </w:r>
      <w:r>
        <w:rPr>
          <w:b/>
        </w:rPr>
        <w:t xml:space="preserve">Risque moyen: </w:t>
      </w:r>
      <w:r>
        <w:t xml:space="preserve">Faible  |  </w:t>
      </w:r>
      <w:r>
        <w:rPr>
          <w:b/>
        </w:rPr>
        <w:t xml:space="preserve">Prix moyen: </w:t>
      </w:r>
      <w:r>
        <w:t>2325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BICC, BNBC, NEIC, ONTBF, SGBC, SHEC, SIBC, SLBC, STAC, TTLC,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BOAB, BOABF, BOAM, BOAN, BOAS, CABC, CBIBF, CIEC, ECOC, ETIT, NSBC, NTLC, ORAC, ORGT, PALC, PRSC, SCRC, SDCC, SDSC, SEMC, SIVC, SMBC, SNTS, SOGC,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BOAC, CFAC, FTSC, LNBB, SAFC, SICC, STBC, UNLC</w:t>
            </w:r>
          </w:p>
        </w:tc>
        <w:tc>
          <w:tcPr>
            <w:tcW w:type="dxa" w:w="2160"/>
            <w:shd w:fill="FFC7CE" w:val="clear"/>
          </w:tcPr>
          <w:p>
            <w:pPr>
              <w:spacing w:before="40" w:after="40"/>
            </w:pPr>
            <w:r/>
            <w:r>
              <w:rPr>
                <w:b w:val="0"/>
                <w:sz w:val="16"/>
              </w:rPr>
              <w:t>SPHC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2022616</w:t>
            </w:r>
          </w:p>
        </w:tc>
        <w:tc>
          <w:tcPr>
            <w:tcW w:type="dxa" w:w="1728"/>
          </w:tcPr>
          <w:p>
            <w:r>
              <w:t>137104442 FCFA</w:t>
            </w:r>
          </w:p>
        </w:tc>
        <w:tc>
          <w:tcPr>
            <w:tcW w:type="dxa" w:w="1728"/>
          </w:tcPr>
          <w:p>
            <w:r>
              <w:t>123.33%</w:t>
            </w:r>
          </w:p>
        </w:tc>
        <w:tc>
          <w:tcPr>
            <w:tcW w:type="dxa" w:w="1728"/>
          </w:tcPr>
          <w:p>
            <w:r>
              <w:t>ACHAT</w:t>
            </w:r>
          </w:p>
        </w:tc>
      </w:tr>
      <w:tr>
        <w:tc>
          <w:tcPr>
            <w:tcW w:type="dxa" w:w="1728"/>
          </w:tcPr>
          <w:p>
            <w:r>
              <w:t>BBGC (BRIDGE BANK GROUP COTE D'IVOIRE)</w:t>
            </w:r>
          </w:p>
        </w:tc>
        <w:tc>
          <w:tcPr>
            <w:tcW w:type="dxa" w:w="1728"/>
          </w:tcPr>
          <w:p>
            <w:r>
              <w:t>46451</w:t>
            </w:r>
          </w:p>
        </w:tc>
        <w:tc>
          <w:tcPr>
            <w:tcW w:type="dxa" w:w="1728"/>
          </w:tcPr>
          <w:p>
            <w:r>
              <w:t>421608626 FCFA</w:t>
            </w:r>
          </w:p>
        </w:tc>
        <w:tc>
          <w:tcPr>
            <w:tcW w:type="dxa" w:w="1728"/>
          </w:tcPr>
          <w:p>
            <w:r>
              <w:t>21.30%</w:t>
            </w:r>
          </w:p>
        </w:tc>
        <w:tc>
          <w:tcPr>
            <w:tcW w:type="dxa" w:w="1728"/>
          </w:tcPr>
          <w:p>
            <w:r>
              <w:t>ACHAT</w:t>
            </w:r>
          </w:p>
        </w:tc>
      </w:tr>
      <w:tr>
        <w:tc>
          <w:tcPr>
            <w:tcW w:type="dxa" w:w="1728"/>
          </w:tcPr>
          <w:p>
            <w:r>
              <w:t>SNTS (SNTS - SONATEL SN)</w:t>
            </w:r>
          </w:p>
        </w:tc>
        <w:tc>
          <w:tcPr>
            <w:tcW w:type="dxa" w:w="1728"/>
          </w:tcPr>
          <w:p>
            <w:r>
              <w:t>24459</w:t>
            </w:r>
          </w:p>
        </w:tc>
        <w:tc>
          <w:tcPr>
            <w:tcW w:type="dxa" w:w="1728"/>
          </w:tcPr>
          <w:p>
            <w:r>
              <w:t>1010181811 FCFA</w:t>
            </w:r>
          </w:p>
        </w:tc>
        <w:tc>
          <w:tcPr>
            <w:tcW w:type="dxa" w:w="1728"/>
          </w:tcPr>
          <w:p>
            <w:r>
              <w:t>55.71%</w:t>
            </w:r>
          </w:p>
        </w:tc>
        <w:tc>
          <w:tcPr>
            <w:tcW w:type="dxa" w:w="1728"/>
          </w:tcPr>
          <w:p>
            <w:r>
              <w:t>ACHAT</w:t>
            </w:r>
          </w:p>
        </w:tc>
      </w:tr>
      <w:tr>
        <w:tc>
          <w:tcPr>
            <w:tcW w:type="dxa" w:w="1728"/>
          </w:tcPr>
          <w:p>
            <w:r>
              <w:t>BOAS (BANK OF AFRICA SENEGAL)</w:t>
            </w:r>
          </w:p>
        </w:tc>
        <w:tc>
          <w:tcPr>
            <w:tcW w:type="dxa" w:w="1728"/>
          </w:tcPr>
          <w:p>
            <w:r>
              <w:t>14373</w:t>
            </w:r>
          </w:p>
        </w:tc>
        <w:tc>
          <w:tcPr>
            <w:tcW w:type="dxa" w:w="1728"/>
          </w:tcPr>
          <w:p>
            <w:r>
              <w:t>116645590 FCFA</w:t>
            </w:r>
          </w:p>
        </w:tc>
        <w:tc>
          <w:tcPr>
            <w:tcW w:type="dxa" w:w="1728"/>
          </w:tcPr>
          <w:p>
            <w:r>
              <w:t>10.62%</w:t>
            </w:r>
          </w:p>
        </w:tc>
        <w:tc>
          <w:tcPr>
            <w:tcW w:type="dxa" w:w="1728"/>
          </w:tcPr>
          <w:p>
            <w:r>
              <w:t>ACHAT</w:t>
            </w:r>
          </w:p>
        </w:tc>
      </w:tr>
      <w:tr>
        <w:tc>
          <w:tcPr>
            <w:tcW w:type="dxa" w:w="1728"/>
          </w:tcPr>
          <w:p>
            <w:r>
              <w:t>SIBC (SIBC - SOCIETE IVOIRIENNE DE BANQUE)</w:t>
            </w:r>
          </w:p>
        </w:tc>
        <w:tc>
          <w:tcPr>
            <w:tcW w:type="dxa" w:w="1728"/>
          </w:tcPr>
          <w:p>
            <w:r>
              <w:t>14113</w:t>
            </w:r>
          </w:p>
        </w:tc>
        <w:tc>
          <w:tcPr>
            <w:tcW w:type="dxa" w:w="1728"/>
          </w:tcPr>
          <w:p>
            <w:r>
              <w:t>128155546 FCFA</w:t>
            </w:r>
          </w:p>
        </w:tc>
        <w:tc>
          <w:tcPr>
            <w:tcW w:type="dxa" w:w="1728"/>
          </w:tcPr>
          <w:p>
            <w:r>
              <w:t>29.11%</w:t>
            </w:r>
          </w:p>
        </w:tc>
        <w:tc>
          <w:tcPr>
            <w:tcW w:type="dxa" w:w="1728"/>
          </w:tcPr>
          <w:p>
            <w:r>
              <w:t>ACHAT</w:t>
            </w:r>
          </w:p>
        </w:tc>
      </w:tr>
      <w:tr>
        <w:tc>
          <w:tcPr>
            <w:tcW w:type="dxa" w:w="1728"/>
          </w:tcPr>
          <w:p>
            <w:r>
              <w:t>SDSC (SDSC - AFRICA GLOBAL LOGISTICS CI)</w:t>
            </w:r>
          </w:p>
        </w:tc>
        <w:tc>
          <w:tcPr>
            <w:tcW w:type="dxa" w:w="1728"/>
          </w:tcPr>
          <w:p>
            <w:r>
              <w:t>11919</w:t>
            </w:r>
          </w:p>
        </w:tc>
        <w:tc>
          <w:tcPr>
            <w:tcW w:type="dxa" w:w="1728"/>
          </w:tcPr>
          <w:p>
            <w:r>
              <w:t>35125646 FCFA</w:t>
            </w:r>
          </w:p>
        </w:tc>
        <w:tc>
          <w:tcPr>
            <w:tcW w:type="dxa" w:w="1728"/>
          </w:tcPr>
          <w:p>
            <w:r>
              <w:t>67.05%</w:t>
            </w:r>
          </w:p>
        </w:tc>
        <w:tc>
          <w:tcPr>
            <w:tcW w:type="dxa" w:w="1728"/>
          </w:tcPr>
          <w:p>
            <w:r>
              <w:t>ACHAT</w:t>
            </w:r>
          </w:p>
        </w:tc>
      </w:tr>
      <w:tr>
        <w:tc>
          <w:tcPr>
            <w:tcW w:type="dxa" w:w="1728"/>
          </w:tcPr>
          <w:p>
            <w:r>
              <w:t>SAFC (SAFCA CI)</w:t>
            </w:r>
          </w:p>
        </w:tc>
        <w:tc>
          <w:tcPr>
            <w:tcW w:type="dxa" w:w="1728"/>
          </w:tcPr>
          <w:p>
            <w:r>
              <w:t>11913</w:t>
            </w:r>
          </w:p>
        </w:tc>
        <w:tc>
          <w:tcPr>
            <w:tcW w:type="dxa" w:w="1728"/>
          </w:tcPr>
          <w:p>
            <w:r>
              <w:t>61364250 FCFA</w:t>
            </w:r>
          </w:p>
        </w:tc>
        <w:tc>
          <w:tcPr>
            <w:tcW w:type="dxa" w:w="1728"/>
          </w:tcPr>
          <w:p>
            <w:r>
              <w:t>27.14%</w:t>
            </w:r>
          </w:p>
        </w:tc>
        <w:tc>
          <w:tcPr>
            <w:tcW w:type="dxa" w:w="1728"/>
          </w:tcPr>
          <w:p>
            <w:r>
              <w:t>ACHAT</w:t>
            </w:r>
          </w:p>
        </w:tc>
      </w:tr>
      <w:tr>
        <w:tc>
          <w:tcPr>
            <w:tcW w:type="dxa" w:w="1728"/>
          </w:tcPr>
          <w:p>
            <w:r>
              <w:t>BOAC (BANK OF AFRICA COTE D'IVOIRE)</w:t>
            </w:r>
          </w:p>
        </w:tc>
        <w:tc>
          <w:tcPr>
            <w:tcW w:type="dxa" w:w="1728"/>
          </w:tcPr>
          <w:p>
            <w:r>
              <w:t>11877</w:t>
            </w:r>
          </w:p>
        </w:tc>
        <w:tc>
          <w:tcPr>
            <w:tcW w:type="dxa" w:w="1728"/>
          </w:tcPr>
          <w:p>
            <w:r>
              <w:t>139444442 FCFA</w:t>
            </w:r>
          </w:p>
        </w:tc>
        <w:tc>
          <w:tcPr>
            <w:tcW w:type="dxa" w:w="1728"/>
          </w:tcPr>
          <w:p>
            <w:r>
              <w:t>31.99%</w:t>
            </w:r>
          </w:p>
        </w:tc>
        <w:tc>
          <w:tcPr>
            <w:tcW w:type="dxa" w:w="1728"/>
          </w:tcPr>
          <w:p>
            <w:r>
              <w:t>ACHAT</w:t>
            </w:r>
          </w:p>
        </w:tc>
      </w:tr>
      <w:tr>
        <w:tc>
          <w:tcPr>
            <w:tcW w:type="dxa" w:w="1728"/>
          </w:tcPr>
          <w:p>
            <w:r>
              <w:t>UNXC (UNXC - UNIWAX COTE D'IVOIRE)</w:t>
            </w:r>
          </w:p>
        </w:tc>
        <w:tc>
          <w:tcPr>
            <w:tcW w:type="dxa" w:w="1728"/>
          </w:tcPr>
          <w:p>
            <w:r>
              <w:t>11574</w:t>
            </w:r>
          </w:p>
        </w:tc>
        <w:tc>
          <w:tcPr>
            <w:tcW w:type="dxa" w:w="1728"/>
          </w:tcPr>
          <w:p>
            <w:r>
              <w:t>27027364 FCFA</w:t>
            </w:r>
          </w:p>
        </w:tc>
        <w:tc>
          <w:tcPr>
            <w:tcW w:type="dxa" w:w="1728"/>
          </w:tcPr>
          <w:p>
            <w:r>
              <w:t>30.75%</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ORGT (ORGT - ORAGROUP TOGO)</w:t>
            </w:r>
          </w:p>
        </w:tc>
        <w:tc>
          <w:tcPr>
            <w:tcW w:type="dxa" w:w="1728"/>
          </w:tcPr>
          <w:p>
            <w:r>
              <w:t>3868</w:t>
            </w:r>
          </w:p>
        </w:tc>
        <w:tc>
          <w:tcPr>
            <w:tcW w:type="dxa" w:w="1728"/>
          </w:tcPr>
          <w:p>
            <w:r>
              <w:t>12219756 FCFA</w:t>
            </w:r>
          </w:p>
        </w:tc>
        <w:tc>
          <w:tcPr>
            <w:tcW w:type="dxa" w:w="1728"/>
          </w:tcPr>
          <w:p>
            <w:r>
              <w:t>17.65%</w:t>
            </w:r>
          </w:p>
        </w:tc>
        <w:tc>
          <w:tcPr>
            <w:tcW w:type="dxa" w:w="1728"/>
          </w:tcPr>
          <w:p>
            <w:r>
              <w:t>ACHAT</w:t>
            </w:r>
          </w:p>
        </w:tc>
      </w:tr>
      <w:tr>
        <w:tc>
          <w:tcPr>
            <w:tcW w:type="dxa" w:w="1728"/>
          </w:tcPr>
          <w:p>
            <w:r>
              <w:t>ABJC (ABJC - SERVAIR ABIDJAN CI)</w:t>
            </w:r>
          </w:p>
        </w:tc>
        <w:tc>
          <w:tcPr>
            <w:tcW w:type="dxa" w:w="1728"/>
          </w:tcPr>
          <w:p>
            <w:r>
              <w:t>3614</w:t>
            </w:r>
          </w:p>
        </w:tc>
        <w:tc>
          <w:tcPr>
            <w:tcW w:type="dxa" w:w="1728"/>
          </w:tcPr>
          <w:p>
            <w:r>
              <w:t>14124578 FCFA</w:t>
            </w:r>
          </w:p>
        </w:tc>
        <w:tc>
          <w:tcPr>
            <w:tcW w:type="dxa" w:w="1728"/>
          </w:tcPr>
          <w:p>
            <w:r>
              <w:t>13.28%</w:t>
            </w:r>
          </w:p>
        </w:tc>
        <w:tc>
          <w:tcPr>
            <w:tcW w:type="dxa" w:w="1728"/>
          </w:tcPr>
          <w:p>
            <w:r>
              <w:t>ACHAT</w:t>
            </w:r>
          </w:p>
        </w:tc>
      </w:tr>
      <w:tr>
        <w:tc>
          <w:tcPr>
            <w:tcW w:type="dxa" w:w="1728"/>
          </w:tcPr>
          <w:p>
            <w:r>
              <w:t>SOGC (SOGC - Société des caoutchoucs de Grand-Béréby)</w:t>
            </w:r>
          </w:p>
        </w:tc>
        <w:tc>
          <w:tcPr>
            <w:tcW w:type="dxa" w:w="1728"/>
          </w:tcPr>
          <w:p>
            <w:r>
              <w:t>3481</w:t>
            </w:r>
          </w:p>
        </w:tc>
        <w:tc>
          <w:tcPr>
            <w:tcW w:type="dxa" w:w="1728"/>
          </w:tcPr>
          <w:p>
            <w:r>
              <w:t>27970890 FCFA</w:t>
            </w:r>
          </w:p>
        </w:tc>
        <w:tc>
          <w:tcPr>
            <w:tcW w:type="dxa" w:w="1728"/>
          </w:tcPr>
          <w:p>
            <w:r>
              <w:t>7.44%</w:t>
            </w:r>
          </w:p>
        </w:tc>
        <w:tc>
          <w:tcPr>
            <w:tcW w:type="dxa" w:w="1728"/>
          </w:tcPr>
          <w:p>
            <w:r>
              <w:t>ACHAT</w:t>
            </w:r>
          </w:p>
        </w:tc>
      </w:tr>
      <w:tr>
        <w:tc>
          <w:tcPr>
            <w:tcW w:type="dxa" w:w="1728"/>
          </w:tcPr>
          <w:p>
            <w:r>
              <w:t>ECOC (ECOC - ECOBANK COTE D'IVOIRE)</w:t>
            </w:r>
          </w:p>
        </w:tc>
        <w:tc>
          <w:tcPr>
            <w:tcW w:type="dxa" w:w="1728"/>
          </w:tcPr>
          <w:p>
            <w:r>
              <w:t>3252</w:t>
            </w:r>
          </w:p>
        </w:tc>
        <w:tc>
          <w:tcPr>
            <w:tcW w:type="dxa" w:w="1728"/>
          </w:tcPr>
          <w:p>
            <w:r>
              <w:t>55500063 FCFA</w:t>
            </w:r>
          </w:p>
        </w:tc>
        <w:tc>
          <w:tcPr>
            <w:tcW w:type="dxa" w:w="1728"/>
          </w:tcPr>
          <w:p>
            <w:r>
              <w:t>-0.03%</w:t>
            </w:r>
          </w:p>
        </w:tc>
        <w:tc>
          <w:tcPr>
            <w:tcW w:type="dxa" w:w="1728"/>
          </w:tcPr>
          <w:p>
            <w:r>
              <w:t>ACHAT</w:t>
            </w:r>
          </w:p>
        </w:tc>
      </w:tr>
      <w:tr>
        <w:tc>
          <w:tcPr>
            <w:tcW w:type="dxa" w:w="1728"/>
          </w:tcPr>
          <w:p>
            <w:r>
              <w:t>FTSC (FTSC - FILTISAC COTE D'IVOIRE)</w:t>
            </w:r>
          </w:p>
        </w:tc>
        <w:tc>
          <w:tcPr>
            <w:tcW w:type="dxa" w:w="1728"/>
          </w:tcPr>
          <w:p>
            <w:r>
              <w:t>2812</w:t>
            </w:r>
          </w:p>
        </w:tc>
        <w:tc>
          <w:tcPr>
            <w:tcW w:type="dxa" w:w="1728"/>
          </w:tcPr>
          <w:p>
            <w:r>
              <w:t>5799726 FCFA</w:t>
            </w:r>
          </w:p>
        </w:tc>
        <w:tc>
          <w:tcPr>
            <w:tcW w:type="dxa" w:w="1728"/>
          </w:tcPr>
          <w:p>
            <w:r>
              <w:t>-10.14%</w:t>
            </w:r>
          </w:p>
        </w:tc>
        <w:tc>
          <w:tcPr>
            <w:tcW w:type="dxa" w:w="1728"/>
          </w:tcPr>
          <w:p>
            <w:r>
              <w:t>ACHAT FORT</w:t>
            </w:r>
          </w:p>
        </w:tc>
      </w:tr>
      <w:tr>
        <w:tc>
          <w:tcPr>
            <w:tcW w:type="dxa" w:w="1728"/>
          </w:tcPr>
          <w:p>
            <w:r>
              <w:t>CFAC (CFAC - CFAO MOTORS CI)</w:t>
            </w:r>
          </w:p>
        </w:tc>
        <w:tc>
          <w:tcPr>
            <w:tcW w:type="dxa" w:w="1728"/>
          </w:tcPr>
          <w:p>
            <w:r>
              <w:t>2811</w:t>
            </w:r>
          </w:p>
        </w:tc>
        <w:tc>
          <w:tcPr>
            <w:tcW w:type="dxa" w:w="1728"/>
          </w:tcPr>
          <w:p>
            <w:r>
              <w:t>4665021 FCFA</w:t>
            </w:r>
          </w:p>
        </w:tc>
        <w:tc>
          <w:tcPr>
            <w:tcW w:type="dxa" w:w="1728"/>
          </w:tcPr>
          <w:p>
            <w:r>
              <w:t>9.75%</w:t>
            </w:r>
          </w:p>
        </w:tc>
        <w:tc>
          <w:tcPr>
            <w:tcW w:type="dxa" w:w="1728"/>
          </w:tcPr>
          <w:p>
            <w:r>
              <w:t>ACHAT</w:t>
            </w:r>
          </w:p>
        </w:tc>
      </w:tr>
      <w:tr>
        <w:tc>
          <w:tcPr>
            <w:tcW w:type="dxa" w:w="1728"/>
          </w:tcPr>
          <w:p>
            <w:r>
              <w:t>STBC (STBC - SITAB COTE D'IVOIRE)</w:t>
            </w:r>
          </w:p>
        </w:tc>
        <w:tc>
          <w:tcPr>
            <w:tcW w:type="dxa" w:w="1728"/>
          </w:tcPr>
          <w:p>
            <w:r>
              <w:t>2793</w:t>
            </w:r>
          </w:p>
        </w:tc>
        <w:tc>
          <w:tcPr>
            <w:tcW w:type="dxa" w:w="1728"/>
          </w:tcPr>
          <w:p>
            <w:r>
              <w:t>60692051 FCFA</w:t>
            </w:r>
          </w:p>
        </w:tc>
        <w:tc>
          <w:tcPr>
            <w:tcW w:type="dxa" w:w="1728"/>
          </w:tcPr>
          <w:p>
            <w:r>
              <w:t>2.19%</w:t>
            </w:r>
          </w:p>
        </w:tc>
        <w:tc>
          <w:tcPr>
            <w:tcW w:type="dxa" w:w="1728"/>
          </w:tcPr>
          <w:p>
            <w:r>
              <w:t>ACHAT</w:t>
            </w:r>
          </w:p>
        </w:tc>
      </w:tr>
      <w:tr>
        <w:tc>
          <w:tcPr>
            <w:tcW w:type="dxa" w:w="1728"/>
          </w:tcPr>
          <w:p>
            <w:r>
              <w:t>NEIC (NEIC - NEI-CEDA CI)</w:t>
            </w:r>
          </w:p>
        </w:tc>
        <w:tc>
          <w:tcPr>
            <w:tcW w:type="dxa" w:w="1728"/>
          </w:tcPr>
          <w:p>
            <w:r>
              <w:t>2714</w:t>
            </w:r>
          </w:p>
        </w:tc>
        <w:tc>
          <w:tcPr>
            <w:tcW w:type="dxa" w:w="1728"/>
          </w:tcPr>
          <w:p>
            <w:r>
              <w:t>6763927 FCFA</w:t>
            </w:r>
          </w:p>
        </w:tc>
        <w:tc>
          <w:tcPr>
            <w:tcW w:type="dxa" w:w="1728"/>
          </w:tcPr>
          <w:p>
            <w:r>
              <w:t>28.65%</w:t>
            </w:r>
          </w:p>
        </w:tc>
        <w:tc>
          <w:tcPr>
            <w:tcW w:type="dxa" w:w="1728"/>
          </w:tcPr>
          <w:p>
            <w:r>
              <w:t>ACHAT</w:t>
            </w:r>
          </w:p>
        </w:tc>
      </w:tr>
      <w:tr>
        <w:tc>
          <w:tcPr>
            <w:tcW w:type="dxa" w:w="1728"/>
          </w:tcPr>
          <w:p>
            <w:r>
              <w:t>BNBC (BNBC - BERNABE CI)</w:t>
            </w:r>
          </w:p>
        </w:tc>
        <w:tc>
          <w:tcPr>
            <w:tcW w:type="dxa" w:w="1728"/>
          </w:tcPr>
          <w:p>
            <w:r>
              <w:t>2634</w:t>
            </w:r>
          </w:p>
        </w:tc>
        <w:tc>
          <w:tcPr>
            <w:tcW w:type="dxa" w:w="1728"/>
          </w:tcPr>
          <w:p>
            <w:r>
              <w:t>5361069 FCFA</w:t>
            </w:r>
          </w:p>
        </w:tc>
        <w:tc>
          <w:tcPr>
            <w:tcW w:type="dxa" w:w="1728"/>
          </w:tcPr>
          <w:p>
            <w:r>
              <w:t>46.15%</w:t>
            </w:r>
          </w:p>
        </w:tc>
        <w:tc>
          <w:tcPr>
            <w:tcW w:type="dxa" w:w="1728"/>
          </w:tcPr>
          <w:p>
            <w:r>
              <w:t>ACHAT</w:t>
            </w:r>
          </w:p>
        </w:tc>
      </w:tr>
      <w:tr>
        <w:tc>
          <w:tcPr>
            <w:tcW w:type="dxa" w:w="1728"/>
          </w:tcPr>
          <w:p>
            <w:r>
              <w:t>SDCC (SDCC - Société de Distribution d'Eau de Côte d'Ivoire)</w:t>
            </w:r>
          </w:p>
        </w:tc>
        <w:tc>
          <w:tcPr>
            <w:tcW w:type="dxa" w:w="1728"/>
          </w:tcPr>
          <w:p>
            <w:r>
              <w:t>2446</w:t>
            </w:r>
          </w:p>
        </w:tc>
        <w:tc>
          <w:tcPr>
            <w:tcW w:type="dxa" w:w="1728"/>
          </w:tcPr>
          <w:p>
            <w:r>
              <w:t>32112821 FCFA</w:t>
            </w:r>
          </w:p>
        </w:tc>
        <w:tc>
          <w:tcPr>
            <w:tcW w:type="dxa" w:w="1728"/>
          </w:tcPr>
          <w:p>
            <w:r>
              <w:t>42.28%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FTSC - FTSC - FILTISAC COTE D'IVOIRE</w:t>
      </w:r>
    </w:p>
    <w:p>
      <w:r>
        <w:rPr>
          <w:b/>
        </w:rPr>
        <w:t xml:space="preserve">Score de divergence: </w:t>
      </w:r>
      <w:r>
        <w:t>5/8</w:t>
        <w:br/>
      </w:r>
      <w:r>
        <w:rPr>
          <w:b/>
        </w:rPr>
        <w:t xml:space="preserve">Description: </w:t>
      </w:r>
      <w:r>
        <w:t>Signaux de vente: MM, MACD | Recommandation finale: ACHAT FORT</w:t>
        <w:br/>
      </w:r>
    </w:p>
    <w:p/>
    <w:p>
      <w:pPr>
        <w:pStyle w:val="Heading3"/>
      </w:pPr>
      <w:r>
        <w:t>3. LNBB - LNBB - LOTERIE NATIONALE DU BENIN</w:t>
      </w:r>
    </w:p>
    <w:p>
      <w:r>
        <w:rPr>
          <w:b/>
        </w:rPr>
        <w:t xml:space="preserve">Score de divergence: </w:t>
      </w:r>
      <w:r>
        <w:t>5/8</w:t>
        <w:br/>
      </w:r>
      <w:r>
        <w:rPr>
          <w:b/>
        </w:rPr>
        <w:t xml:space="preserve">Description: </w:t>
      </w:r>
      <w:r>
        <w:t>Signaux de vente: MM, MACD | Recommandation finale: ACHAT FORT</w:t>
        <w:br/>
      </w:r>
    </w:p>
    <w:p/>
    <w:p>
      <w:pPr>
        <w:pStyle w:val="Heading3"/>
      </w:pPr>
      <w:r>
        <w:t>4. SAFC - SAFCA CI</w:t>
      </w:r>
    </w:p>
    <w:p>
      <w:r>
        <w:rPr>
          <w:b/>
        </w:rPr>
        <w:t xml:space="preserve">Score de divergence: </w:t>
      </w:r>
      <w:r>
        <w:t>5/8</w:t>
        <w:br/>
      </w:r>
      <w:r>
        <w:rPr>
          <w:b/>
        </w:rPr>
        <w:t xml:space="preserve">Description: </w:t>
      </w:r>
      <w:r>
        <w:t>Signaux de vente: MM, MACD | Recommandation finale: ACHAT</w:t>
        <w:br/>
      </w:r>
    </w:p>
    <w:p/>
    <w:p>
      <w:pPr>
        <w:pStyle w:val="Heading3"/>
      </w:pPr>
      <w:r>
        <w:t>5.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6. CFAC - CFAC - CFAO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STBC - STBC - SITAB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ABJC - ABJC - SERVAIR ABIDJAN CI</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10. BICC - BICI CI - Banque internationale pour le commerce et l'industrie de la Côte d'Ivoire</w:t>
      </w:r>
    </w:p>
    <w:p>
      <w:r>
        <w:rPr>
          <w:b/>
        </w:rPr>
        <w:t xml:space="preserve">Score de divergence: </w:t>
      </w:r>
      <w:r>
        <w:t>2/8</w:t>
        <w:br/>
      </w:r>
      <w:r>
        <w:rPr>
          <w:b/>
        </w:rPr>
        <w:t xml:space="preserve">Description: </w:t>
      </w:r>
      <w:r>
        <w:t>Signaux d'achat: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29</w:t>
            </w:r>
          </w:p>
        </w:tc>
        <w:tc>
          <w:tcPr>
            <w:tcW w:type="dxa" w:w="2160"/>
          </w:tcPr>
          <w:p>
            <w:r>
              <w:t>0</w:t>
            </w:r>
          </w:p>
        </w:tc>
      </w:tr>
      <w:tr>
        <w:tc>
          <w:tcPr>
            <w:tcW w:type="dxa" w:w="2160"/>
          </w:tcPr>
          <w:p>
            <w:r>
              <w:t>Risque Moyen</w:t>
            </w:r>
          </w:p>
        </w:tc>
        <w:tc>
          <w:tcPr>
            <w:tcW w:type="dxa" w:w="2160"/>
          </w:tcPr>
          <w:p>
            <w:r>
              <w:t>0</w:t>
            </w:r>
          </w:p>
        </w:tc>
        <w:tc>
          <w:tcPr>
            <w:tcW w:type="dxa" w:w="2160"/>
          </w:tcPr>
          <w:p>
            <w:r>
              <w:t>19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STAC (STAC - SETAO COTE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**BCE sous pression inflationniste** : l'inflation s'envole dans la zone euro, poussant Standard Chartered et d'autres grandes banques à anticiper une hausse des taux directeurs BCE.</w:t>
      </w:r>
    </w:p>
    <w:p>
      <w:pPr>
        <w:pStyle w:val="ListBullet"/>
        <w:spacing w:before="20" w:after="20"/>
        <w:ind w:left="360"/>
      </w:pPr>
      <w:r>
        <w:rPr>
          <w:sz w:val="18"/>
        </w:rPr>
        <w:t>**Matières premières** : choc au Maghreb entre exportateurs (pétrole, phosphates) et importateurs ; le Vietnam annonce des mesures de contrôle des prix.</w:t>
      </w:r>
    </w:p>
    <w:p>
      <w:pPr>
        <w:pStyle w:val="ListBullet"/>
        <w:spacing w:before="20" w:after="20"/>
        <w:ind w:left="360"/>
      </w:pPr>
      <w:r>
        <w:rPr>
          <w:sz w:val="18"/>
        </w:rPr>
        <w:t>**Impact ménages** : les décisions BCE pèsent sur les ménages modestes européens (The Conversation).</w:t>
      </w:r>
    </w:p>
    <w:p>
      <w:pPr>
        <w:pStyle w:val="Heading3"/>
      </w:pPr>
      <w:r>
        <w:rPr>
          <w:color w:val="500050"/>
        </w:rPr>
        <w:t>⚡ Impact estimé sur la BRVM</w:t>
      </w:r>
    </w:p>
    <w:p>
      <w:pPr>
        <w:spacing w:before="20" w:after="40"/>
        <w:ind w:left="280"/>
      </w:pPr>
      <w:r>
        <w:rPr>
          <w:i/>
          <w:sz w:val="18"/>
        </w:rPr>
        <w:t>Le FCFA étant arrimé à l'euro, un durcissement BCE se transmet indirectement via la BCEAO, renchérissant le coût du crédit pour les banques cotées (SGBC, BICB, SIBC) et pesant sur la consommation des ménages, donc sur la distribution (ABJC, BNBC, PRSC). La volatilité des matières premières affecte les marges des industriels (SITC, SICABLE) et des énergéticiens (TTLC, TTLS, SHEC).</w:t>
      </w:r>
    </w:p>
    <w:p>
      <w:pPr>
        <w:pStyle w:val="Heading2"/>
      </w:pPr>
      <w:r>
        <w:rPr>
          <w:color w:val="006E32"/>
        </w:rPr>
        <w:t>🌍 Plan Africain</w:t>
      </w:r>
    </w:p>
    <w:p>
      <w:pPr>
        <w:pStyle w:val="ListBullet"/>
        <w:spacing w:before="20" w:after="20"/>
        <w:ind w:left="360"/>
      </w:pPr>
      <w:r>
        <w:rPr>
          <w:sz w:val="18"/>
        </w:rPr>
        <w:t>**Croissance solide mais sous-financée** : l'Afrique affiche une dynamique positive, freinée par le déficit d'investissement (Africanews).</w:t>
      </w:r>
    </w:p>
    <w:p>
      <w:pPr>
        <w:pStyle w:val="ListBullet"/>
        <w:spacing w:before="20" w:after="20"/>
        <w:ind w:left="360"/>
      </w:pPr>
      <w:r>
        <w:rPr>
          <w:sz w:val="18"/>
        </w:rPr>
        <w:t>**Dépendance au dollar** : malgré l'offensive chinoise en yuan, les pays africains restent accrochés au billet vert (Les Echos).</w:t>
      </w:r>
    </w:p>
    <w:p>
      <w:pPr>
        <w:pStyle w:val="ListBullet"/>
        <w:spacing w:before="20" w:after="20"/>
        <w:ind w:left="360"/>
      </w:pPr>
      <w:r>
        <w:rPr>
          <w:sz w:val="18"/>
        </w:rPr>
        <w:t>**Appel à la transformation économique** : plaidoyer d'Amara pour l'investissement et l'emploi.</w:t>
      </w:r>
    </w:p>
    <w:p>
      <w:pPr>
        <w:pStyle w:val="Heading3"/>
      </w:pPr>
      <w:r>
        <w:rPr>
          <w:color w:val="500050"/>
        </w:rPr>
        <w:t>⚡ Impact estimé sur la BRVM</w:t>
      </w:r>
    </w:p>
    <w:p>
      <w:pPr>
        <w:spacing w:before="20" w:after="40"/>
        <w:ind w:left="280"/>
      </w:pPr>
      <w:r>
        <w:rPr>
          <w:i/>
          <w:sz w:val="18"/>
        </w:rPr>
        <w:t>La dépendance au dollar maintient une pression sur les réserves de change UEMOA et le FCFA, limitant la marge de manœuvre de la BCEAO. Pour les sociétés à dimension panafricaine (SNTS via Orange, ONTBF), la croissance africaine soutient les volumes, mais le risque de change reste un frein.</w:t>
      </w:r>
    </w:p>
    <w:p>
      <w:pPr>
        <w:pStyle w:val="Heading2"/>
      </w:pPr>
      <w:r>
        <w:rPr>
          <w:color w:val="145A28"/>
        </w:rPr>
        <w:t>🌍 Plan Afrique de l'Ouest</w:t>
      </w:r>
    </w:p>
    <w:p>
      <w:pPr>
        <w:pStyle w:val="ListBullet"/>
        <w:spacing w:before="20" w:after="20"/>
        <w:ind w:left="360"/>
      </w:pPr>
      <w:r>
        <w:rPr>
          <w:sz w:val="18"/>
        </w:rPr>
        <w:t>**CEDEAO en quête de voix commune** : Diomaye Faye en Égypte pour harmoniser la position UA-CER.</w:t>
      </w:r>
    </w:p>
    <w:p>
      <w:pPr>
        <w:pStyle w:val="ListBullet"/>
        <w:spacing w:before="20" w:after="20"/>
        <w:ind w:left="360"/>
      </w:pPr>
      <w:r>
        <w:rPr>
          <w:sz w:val="18"/>
        </w:rPr>
        <w:t>**Sécurité régionale** : le Nigeria plaide pour un front uni face aux menaces.</w:t>
      </w:r>
    </w:p>
    <w:p>
      <w:pPr>
        <w:pStyle w:val="ListBullet"/>
        <w:spacing w:before="20" w:after="20"/>
        <w:ind w:left="360"/>
      </w:pPr>
      <w:r>
        <w:rPr>
          <w:sz w:val="18"/>
        </w:rPr>
        <w:t>**Chaîne de valeur du riz** : la CEA mobilise les entreprises ouest-africaines pour dynamiser la filière.</w:t>
      </w:r>
    </w:p>
    <w:p>
      <w:pPr>
        <w:pStyle w:val="Heading3"/>
      </w:pPr>
      <w:r>
        <w:rPr>
          <w:color w:val="500050"/>
        </w:rPr>
        <w:t>⚡ Impact estimé sur la BRVM</w:t>
      </w:r>
    </w:p>
    <w:p>
      <w:pPr>
        <w:spacing w:before="20" w:after="40"/>
        <w:ind w:left="280"/>
      </w:pPr>
      <w:r>
        <w:rPr>
          <w:i/>
          <w:sz w:val="18"/>
        </w:rPr>
        <w:t>La dynamisation de la filière riz bénéficie indirectement à la consommation de base (SLBC, SCRC, NTLC) via un environnement agro-industriel plus structuré. La coordination CEDEAO réduit le risque politique régional, soutenant la prime de risque des actions BRVM.</w:t>
      </w:r>
    </w:p>
    <w:p>
      <w:pPr>
        <w:pStyle w:val="Heading2"/>
      </w:pPr>
      <w:r>
        <w:rPr>
          <w:color w:val="8C4600"/>
        </w:rPr>
        <w:t>🏦 Plan UEMOA / Zone Franc</w:t>
      </w:r>
    </w:p>
    <w:p>
      <w:pPr>
        <w:pStyle w:val="ListBullet"/>
        <w:spacing w:before="20" w:after="20"/>
        <w:ind w:left="360"/>
      </w:pPr>
      <w:r>
        <w:rPr>
          <w:sz w:val="18"/>
        </w:rPr>
        <w:t>**Expansion énergétique algérienne** : Sonelgaz cible l'Afrique de l'Ouest après Mali, Niger, Cameroun.</w:t>
      </w:r>
    </w:p>
    <w:p>
      <w:pPr>
        <w:pStyle w:val="ListBullet"/>
        <w:spacing w:before="20" w:after="20"/>
        <w:ind w:left="360"/>
      </w:pPr>
      <w:r>
        <w:rPr>
          <w:sz w:val="18"/>
        </w:rPr>
        <w:t>**Burkina Faso - Banque mondiale** : nouveau partenariat pour l'emploi.</w:t>
      </w:r>
    </w:p>
    <w:p>
      <w:pPr>
        <w:pStyle w:val="ListBullet"/>
        <w:spacing w:before="20" w:after="20"/>
        <w:ind w:left="360"/>
      </w:pPr>
      <w:r>
        <w:rPr>
          <w:sz w:val="18"/>
        </w:rPr>
        <w:t>**Togo-Russie** : partenariat naissant aux attentes divergentes.</w:t>
      </w:r>
    </w:p>
    <w:p>
      <w:pPr>
        <w:pStyle w:val="Heading3"/>
      </w:pPr>
      <w:r>
        <w:rPr>
          <w:color w:val="500050"/>
        </w:rPr>
        <w:t>⚡ Impact estimé sur la BRVM</w:t>
      </w:r>
    </w:p>
    <w:p>
      <w:pPr>
        <w:spacing w:before="20" w:after="40"/>
        <w:ind w:left="280"/>
      </w:pPr>
      <w:r>
        <w:rPr>
          <w:i/>
          <w:sz w:val="18"/>
        </w:rPr>
        <w:t>L'arrivée de Sonelgaz intensifie la concurrence dans l'énergie, secteur où opèrent TTLC, TTLS et SHEC — pression potentielle sur les marges. Le partenariat Banque mondiale Burkina soutient l'emploi et la consommation, favorable à la distribution (BNBC, PRSC) et aux banques (BICB, SGBC).</w:t>
      </w:r>
    </w:p>
    <w:p>
      <w:pPr>
        <w:pStyle w:val="Heading2"/>
      </w:pPr>
      <w:r>
        <w:rPr>
          <w:color w:val="003366"/>
        </w:rPr>
        <w:t>📈 Plan BRVM</w:t>
      </w:r>
    </w:p>
    <w:p>
      <w:pPr>
        <w:pStyle w:val="ListBullet"/>
        <w:spacing w:before="20" w:after="20"/>
        <w:ind w:left="360"/>
      </w:pPr>
      <w:r>
        <w:rPr>
          <w:sz w:val="18"/>
        </w:rPr>
        <w:t>**Résultats encourageants** des sociétés cotées ivoiriennes (La Tribune, juin 2026).</w:t>
      </w:r>
    </w:p>
    <w:p>
      <w:pPr>
        <w:pStyle w:val="ListBullet"/>
        <w:spacing w:before="20" w:after="20"/>
        <w:ind w:left="360"/>
      </w:pPr>
      <w:r>
        <w:rPr>
          <w:sz w:val="18"/>
        </w:rPr>
        <w:t>Indice BRVM Composite à **549,02 points**, marché en consolidation.</w:t>
      </w:r>
    </w:p>
    <w:p>
      <w:pPr>
        <w:pStyle w:val="ListBullet"/>
        <w:spacing w:before="20" w:after="20"/>
        <w:ind w:left="360"/>
      </w:pPr>
      <w:r>
        <w:rPr>
          <w:sz w:val="18"/>
        </w:rPr>
        <w:t>Données de volumes et IPO : **Données insuffisantes.**</w:t>
      </w:r>
    </w:p>
    <w:p>
      <w:pPr>
        <w:pStyle w:val="Heading3"/>
      </w:pPr>
      <w:r>
        <w:rPr>
          <w:color w:val="500050"/>
        </w:rPr>
        <w:t>⚡ Impact estimé sur la BRVM</w:t>
      </w:r>
    </w:p>
    <w:p>
      <w:pPr>
        <w:spacing w:before="20" w:after="40"/>
        <w:ind w:left="280"/>
      </w:pPr>
      <w:r>
        <w:rPr>
          <w:i/>
          <w:sz w:val="18"/>
        </w:rPr>
        <w:t>Les résultats ivoiriens solides soutiennent les valeurs bancaires (SGBC, BICB) et agro (SIFC, PALC). Recommandations : **SGBC/BICB** à conserver (résultats + taux), **ONTBF/SNTS** à accumuler (télécoms défensifs), **NTLC/SLBC** à surveiller (consommation de base résiliente), **TTLC/TTLS** sous pression (concurrence énergétique).</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**Choc matières premières au Maghreb** : creuse les écarts exportateurs/importateurs.</w:t>
      </w:r>
    </w:p>
    <w:p>
      <w:pPr>
        <w:pStyle w:val="ListBullet"/>
        <w:spacing w:before="20" w:after="20"/>
        <w:ind w:left="360"/>
      </w:pPr>
      <w:r>
        <w:rPr>
          <w:sz w:val="18"/>
        </w:rPr>
        <w:t>**Contrôle des prix au Vietnam** : mesures de stabilisation en fin d'année.</w:t>
      </w:r>
    </w:p>
    <w:p>
      <w:pPr>
        <w:pStyle w:val="ListBullet"/>
        <w:spacing w:before="20" w:after="20"/>
        <w:ind w:left="360"/>
      </w:pPr>
      <w:r>
        <w:rPr>
          <w:color w:val="C00000"/>
          <w:sz w:val="18"/>
        </w:rPr>
        <w:t>**Politique monétaire BCE** : pression inflationniste persistante.</w:t>
      </w:r>
    </w:p>
    <w:p>
      <w:pPr>
        <w:pStyle w:val="Heading3"/>
      </w:pPr>
      <w:r>
        <w:rPr>
          <w:color w:val="500050"/>
        </w:rPr>
        <w:t>⚡ Impact estimé sur la BRVM</w:t>
      </w:r>
    </w:p>
    <w:p>
      <w:pPr>
        <w:spacing w:before="20" w:after="40"/>
        <w:ind w:left="280"/>
      </w:pPr>
      <w:r>
        <w:rPr>
          <w:i/>
          <w:sz w:val="18"/>
        </w:rPr>
        <w:t>Un monde fragmenté par les matières premières accroît la volatilité des coûts d'importation pour l'UEMOA, pesant sur les marges des industriels et distributeurs cotés. Les investisseurs BRVM privilégient les valeurs défensives (télécoms, consommation de base).</w:t>
      </w:r>
    </w:p>
    <w:p>
      <w:pPr>
        <w:pStyle w:val="Heading2"/>
      </w:pPr>
      <w:r>
        <w:rPr>
          <w:color w:val="006E32"/>
        </w:rPr>
        <w:t>🌍 Plan Africain</w:t>
      </w:r>
    </w:p>
    <w:p>
      <w:pPr>
        <w:pStyle w:val="ListBullet"/>
        <w:spacing w:before="20" w:after="20"/>
        <w:ind w:left="360"/>
      </w:pPr>
      <w:r>
        <w:rPr>
          <w:sz w:val="18"/>
        </w:rPr>
        <w:t>**Dette en dollars** : vulnérabilité persistante des souverains africains.</w:t>
      </w:r>
    </w:p>
    <w:p>
      <w:pPr>
        <w:pStyle w:val="ListBullet"/>
        <w:spacing w:before="20" w:after="20"/>
        <w:ind w:left="360"/>
      </w:pPr>
      <w:r>
        <w:rPr>
          <w:sz w:val="18"/>
        </w:rPr>
        <w:t>**Transformation économique** : appels répétés à l'investissement productif.</w:t>
      </w:r>
    </w:p>
    <w:p>
      <w:pPr>
        <w:pStyle w:val="Heading3"/>
      </w:pPr>
      <w:r>
        <w:rPr>
          <w:color w:val="500050"/>
        </w:rPr>
        <w:t>⚡ Impact estimé sur la BRVM</w:t>
      </w:r>
    </w:p>
    <w:p>
      <w:pPr>
        <w:spacing w:before="20" w:after="40"/>
        <w:ind w:left="280"/>
      </w:pPr>
      <w:r>
        <w:rPr>
          <w:i/>
          <w:sz w:val="18"/>
        </w:rPr>
        <w:t>La dépendance dollar limite les flux de capitaux vers les marchés frontières africains, dont la BRVM. Confiance des investisseurs étrangers contenue, soutien domestique (institutionnels UEMOA) déterminant.</w:t>
      </w:r>
    </w:p>
    <w:p>
      <w:pPr>
        <w:pStyle w:val="Heading2"/>
      </w:pPr>
      <w:r>
        <w:rPr>
          <w:color w:val="145A28"/>
        </w:rPr>
        <w:t>🌍 Plan Afrique de l'Ouest</w:t>
      </w:r>
    </w:p>
    <w:p>
      <w:pPr>
        <w:pStyle w:val="ListBullet"/>
        <w:spacing w:before="20" w:after="20"/>
        <w:ind w:left="360"/>
      </w:pPr>
      <w:r>
        <w:rPr>
          <w:sz w:val="18"/>
        </w:rPr>
        <w:t>**CEDEAO/AES** : tensions persistantes, transitions politiques.</w:t>
      </w:r>
    </w:p>
    <w:p>
      <w:pPr>
        <w:pStyle w:val="ListBullet"/>
        <w:spacing w:before="20" w:after="20"/>
        <w:ind w:left="360"/>
      </w:pPr>
      <w:r>
        <w:rPr>
          <w:sz w:val="18"/>
        </w:rPr>
        <w:t>**Sécurité** : front uni nigérian face aux menaces sahéliennes.</w:t>
      </w:r>
    </w:p>
    <w:p>
      <w:pPr>
        <w:pStyle w:val="Heading3"/>
      </w:pPr>
      <w:r>
        <w:rPr>
          <w:color w:val="500050"/>
        </w:rPr>
        <w:t>⚡ Impact estimé sur la BRVM</w:t>
      </w:r>
    </w:p>
    <w:p>
      <w:pPr>
        <w:spacing w:before="20" w:after="40"/>
        <w:ind w:left="280"/>
      </w:pPr>
      <w:r>
        <w:rPr>
          <w:i/>
          <w:sz w:val="18"/>
        </w:rPr>
        <w:t>Les sociétés exposées au Sahel (banques régionales, distribution) subissent un risque-pays élevé. Les valeurs purement ivoiriennes (SGBC, ONTBF, SNTS) restent les plus sûres.</w:t>
      </w:r>
    </w:p>
    <w:p>
      <w:pPr>
        <w:pStyle w:val="Heading2"/>
      </w:pPr>
      <w:r>
        <w:rPr>
          <w:color w:val="8C4600"/>
        </w:rPr>
        <w:t>🏦 Plan UEMOA / Zone Franc</w:t>
      </w:r>
    </w:p>
    <w:p>
      <w:pPr>
        <w:pStyle w:val="ListBullet"/>
        <w:spacing w:before="20" w:after="20"/>
        <w:ind w:left="360"/>
      </w:pPr>
      <w:r>
        <w:rPr>
          <w:sz w:val="18"/>
        </w:rPr>
        <w:t>**Stabilité ivoirienne** : principal moteur de la BRVM.</w:t>
      </w:r>
    </w:p>
    <w:p>
      <w:pPr>
        <w:pStyle w:val="ListBullet"/>
        <w:spacing w:before="20" w:after="20"/>
        <w:ind w:left="360"/>
      </w:pPr>
      <w:r>
        <w:rPr>
          <w:sz w:val="18"/>
        </w:rPr>
        <w:t>**Réformes institutionnelles** : **Données insuffisantes.**</w:t>
      </w:r>
    </w:p>
    <w:p>
      <w:pPr>
        <w:pStyle w:val="Heading3"/>
      </w:pPr>
      <w:r>
        <w:rPr>
          <w:color w:val="500050"/>
        </w:rPr>
        <w:t>⚡ Impact estimé sur la BRVM</w:t>
      </w:r>
    </w:p>
    <w:p>
      <w:pPr>
        <w:spacing w:before="20" w:after="40"/>
        <w:ind w:left="280"/>
      </w:pPr>
      <w:r>
        <w:rPr>
          <w:i/>
          <w:sz w:val="18"/>
        </w:rPr>
        <w:t>La stabilité politique ivoirienne et sénégalaise soutient la prime de risque BRVM. Risque réglementaire limité à court terme.</w:t>
      </w:r>
    </w:p>
    <w:p>
      <w:pPr>
        <w:pStyle w:val="Heading2"/>
      </w:pPr>
      <w:r>
        <w:rPr>
          <w:color w:val="003366"/>
        </w:rPr>
        <w:t>📈 Plan BRVM</w:t>
      </w:r>
    </w:p>
    <w:p>
      <w:pPr>
        <w:pStyle w:val="ListBullet"/>
        <w:spacing w:before="20" w:after="20"/>
        <w:ind w:left="360"/>
      </w:pPr>
      <w:r>
        <w:rPr>
          <w:sz w:val="18"/>
        </w:rPr>
        <w:t>**Réglementation CREPMF** : **Données insuffisantes.**</w:t>
      </w:r>
    </w:p>
    <w:p>
      <w:pPr>
        <w:pStyle w:val="ListBullet"/>
        <w:spacing w:before="20" w:after="20"/>
        <w:ind w:left="360"/>
      </w:pPr>
      <w:r>
        <w:rPr>
          <w:sz w:val="18"/>
        </w:rPr>
        <w:t>**Gouvernance** : **Données insuffisantes.**</w:t>
      </w:r>
    </w:p>
    <w:p>
      <w:pPr>
        <w:pStyle w:val="Heading3"/>
      </w:pPr>
      <w:r>
        <w:rPr>
          <w:color w:val="500050"/>
        </w:rPr>
        <w:t>⚡ Impact estimé sur la BRVM</w:t>
      </w:r>
    </w:p>
    <w:p>
      <w:pPr>
        <w:spacing w:before="20" w:after="40"/>
        <w:ind w:left="280"/>
      </w:pPr>
      <w:r>
        <w:rPr>
          <w:i/>
          <w:sz w:val="18"/>
        </w:rPr>
        <w:t>Absence de signal réglementaire majeur : statu quo favorable aux stratégies buy-and-hold sur les blue chips.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**Anticipation hausse taux BCE** : Standard Chartered rejoint le consensus.</w:t>
      </w:r>
    </w:p>
    <w:p>
      <w:pPr>
        <w:pStyle w:val="ListBullet"/>
        <w:spacing w:before="20" w:after="20"/>
        <w:ind w:left="360"/>
      </w:pPr>
      <w:r>
        <w:rPr>
          <w:color w:val="C00000"/>
          <w:sz w:val="18"/>
        </w:rPr>
        <w:t>**Inflation zone euro** : pression accrue sur la BCE.</w:t>
      </w:r>
    </w:p>
    <w:p>
      <w:pPr>
        <w:pStyle w:val="ListBullet"/>
        <w:spacing w:before="20" w:after="20"/>
        <w:ind w:left="360"/>
      </w:pPr>
      <w:r>
        <w:rPr>
          <w:color w:val="008000"/>
          <w:sz w:val="18"/>
        </w:rPr>
        <w:t>**Flux capitaux** : rotation vers les actifs à rendement réel positif.</w:t>
      </w:r>
    </w:p>
    <w:p>
      <w:pPr>
        <w:pStyle w:val="Heading3"/>
      </w:pPr>
      <w:r>
        <w:rPr>
          <w:color w:val="500050"/>
        </w:rPr>
        <w:t>⚡ Impact estimé sur la BRVM</w:t>
      </w:r>
    </w:p>
    <w:p>
      <w:pPr>
        <w:spacing w:before="20" w:after="40"/>
        <w:ind w:left="280"/>
      </w:pPr>
      <w:r>
        <w:rPr>
          <w:i/>
          <w:sz w:val="18"/>
        </w:rPr>
        <w:t>La hausse des taux européens rend les rendements BRVM relativement moins attractifs pour les investisseurs internationaux, mais le différentiel de croissance africaine reste un argument. Corrélation limitée avec Wall Street.</w:t>
      </w:r>
    </w:p>
    <w:p>
      <w:pPr>
        <w:pStyle w:val="Heading2"/>
      </w:pPr>
      <w:r>
        <w:rPr>
          <w:color w:val="006E32"/>
        </w:rPr>
        <w:t>🌍 Plan Africain</w:t>
      </w:r>
    </w:p>
    <w:p>
      <w:pPr>
        <w:pStyle w:val="ListBullet"/>
        <w:spacing w:before="20" w:after="20"/>
        <w:ind w:left="360"/>
      </w:pPr>
      <w:r>
        <w:rPr>
          <w:sz w:val="18"/>
        </w:rPr>
        <w:t>**Eurobonds** : **Données insuffisantes.**</w:t>
      </w:r>
    </w:p>
    <w:p>
      <w:pPr>
        <w:pStyle w:val="ListBullet"/>
        <w:spacing w:before="20" w:after="20"/>
        <w:ind w:left="360"/>
      </w:pPr>
      <w:r>
        <w:rPr>
          <w:sz w:val="18"/>
        </w:rPr>
        <w:t>**Notations souveraines** : **Données insuffisantes.**</w:t>
      </w:r>
    </w:p>
    <w:p>
      <w:pPr>
        <w:pStyle w:val="Heading3"/>
      </w:pPr>
      <w:r>
        <w:rPr>
          <w:color w:val="500050"/>
        </w:rPr>
        <w:t>⚡ Impact estimé sur la BRVM</w:t>
      </w:r>
    </w:p>
    <w:p>
      <w:pPr>
        <w:spacing w:before="20" w:after="40"/>
        <w:ind w:left="280"/>
      </w:pPr>
      <w:r>
        <w:rPr>
          <w:i/>
          <w:sz w:val="18"/>
        </w:rPr>
        <w:t>Concurrence des eurobonds souverains pour les capitaux institutionnels UEMOA, mais la BRVM conserve un avantage de liquidité en FCFA sans risque de change.</w:t>
      </w:r>
    </w:p>
    <w:p>
      <w:pPr>
        <w:pStyle w:val="Heading2"/>
      </w:pPr>
      <w:r>
        <w:rPr>
          <w:color w:val="145A28"/>
        </w:rPr>
        <w:t>🌍 Plan Afrique de l'Ouest</w:t>
      </w:r>
    </w:p>
    <w:p>
      <w:pPr>
        <w:pStyle w:val="ListBullet"/>
        <w:spacing w:before="20" w:after="20"/>
        <w:ind w:left="360"/>
      </w:pPr>
      <w:r>
        <w:rPr>
          <w:sz w:val="18"/>
        </w:rPr>
        <w:t>**Bourses concurrentes** : **Données insuffisantes.**</w:t>
      </w:r>
    </w:p>
    <w:p>
      <w:pPr>
        <w:pStyle w:val="ListBullet"/>
        <w:spacing w:before="20" w:after="20"/>
        <w:ind w:left="360"/>
      </w:pPr>
      <w:r>
        <w:rPr>
          <w:sz w:val="18"/>
        </w:rPr>
        <w:t>**Flux sous-régionaux** : **Données insuffisantes.**</w:t>
      </w:r>
    </w:p>
    <w:p>
      <w:pPr>
        <w:pStyle w:val="Heading3"/>
      </w:pPr>
      <w:r>
        <w:rPr>
          <w:color w:val="500050"/>
        </w:rPr>
        <w:t>⚡ Impact estimé sur la BRVM</w:t>
      </w:r>
    </w:p>
    <w:p>
      <w:pPr>
        <w:spacing w:before="20" w:after="40"/>
        <w:ind w:left="280"/>
      </w:pPr>
      <w:r>
        <w:rPr>
          <w:i/>
          <w:sz w:val="18"/>
        </w:rPr>
        <w:t>La BRVM reste la place dominante de la sous-région, sans concurrence directe significative identifiée dans les actualités fournies.</w:t>
      </w:r>
    </w:p>
    <w:p>
      <w:pPr>
        <w:pStyle w:val="Heading2"/>
      </w:pPr>
      <w:r>
        <w:rPr>
          <w:color w:val="8C4600"/>
        </w:rPr>
        <w:t>🏦 Plan UEMOA / Zone Franc</w:t>
      </w:r>
    </w:p>
    <w:p>
      <w:pPr>
        <w:pStyle w:val="ListBullet"/>
        <w:spacing w:before="20" w:after="20"/>
        <w:ind w:left="360"/>
      </w:pPr>
      <w:r>
        <w:rPr>
          <w:sz w:val="18"/>
        </w:rPr>
        <w:t>**Marché des titres publics** : **Données insuffisantes.**</w:t>
      </w:r>
    </w:p>
    <w:p>
      <w:pPr>
        <w:pStyle w:val="ListBullet"/>
        <w:spacing w:before="20" w:after="20"/>
        <w:ind w:left="360"/>
      </w:pPr>
      <w:r>
        <w:rPr>
          <w:sz w:val="18"/>
        </w:rPr>
        <w:t>**Taux interbancaire** : **Données insuffisantes.**</w:t>
      </w:r>
    </w:p>
    <w:p>
      <w:pPr>
        <w:pStyle w:val="Heading3"/>
      </w:pPr>
      <w:r>
        <w:rPr>
          <w:color w:val="500050"/>
        </w:rPr>
        <w:t>⚡ Impact estimé sur la BRVM</w:t>
      </w:r>
    </w:p>
    <w:p>
      <w:pPr>
        <w:spacing w:before="20" w:after="40"/>
        <w:ind w:left="280"/>
      </w:pPr>
      <w:r>
        <w:rPr>
          <w:i/>
          <w:sz w:val="18"/>
        </w:rPr>
        <w:t>L'arbitrage titres publics/actions dépend des taux BCEAO non fournis. En l'absence de données, privilégier les valeurs à dividende élevé (SGBC, ONTBF).</w:t>
      </w:r>
    </w:p>
    <w:p>
      <w:pPr>
        <w:pStyle w:val="Heading2"/>
      </w:pPr>
      <w:r>
        <w:rPr>
          <w:color w:val="003366"/>
        </w:rPr>
        <w:t>📈 Plan BRVM</w:t>
      </w:r>
    </w:p>
    <w:p>
      <w:pPr>
        <w:pStyle w:val="ListBullet"/>
        <w:spacing w:before="20" w:after="20"/>
        <w:ind w:left="360"/>
      </w:pPr>
      <w:r>
        <w:rPr>
          <w:sz w:val="18"/>
        </w:rPr>
        <w:t>**Indice Composite : 549,02** — consolidation.</w:t>
      </w:r>
    </w:p>
    <w:p>
      <w:pPr>
        <w:pStyle w:val="ListBullet"/>
        <w:spacing w:before="20" w:after="20"/>
        <w:ind w:left="360"/>
      </w:pPr>
      <w:r>
        <w:rPr>
          <w:sz w:val="18"/>
        </w:rPr>
        <w:t>**Résultats ivoiriens encourageants** (juin 2026).</w:t>
      </w:r>
    </w:p>
    <w:p>
      <w:pPr>
        <w:pStyle w:val="ListBullet"/>
        <w:spacing w:before="20" w:after="20"/>
        <w:ind w:left="360"/>
      </w:pPr>
      <w:r>
        <w:rPr>
          <w:sz w:val="18"/>
        </w:rPr>
        <w:t>**Top/Flop, volumes** : **Données insuffisantes.**</w:t>
      </w:r>
    </w:p>
    <w:p>
      <w:pPr>
        <w:pStyle w:val="Heading3"/>
      </w:pPr>
      <w:r>
        <w:rPr>
          <w:color w:val="500050"/>
        </w:rPr>
        <w:t>⚡ Impact estimé sur la BRVM</w:t>
      </w:r>
    </w:p>
    <w:p>
      <w:pPr>
        <w:spacing w:before="20" w:after="40"/>
        <w:ind w:left="280"/>
      </w:pPr>
      <w:r>
        <w:rPr>
          <w:i/>
          <w:sz w:val="18"/>
        </w:rPr>
        <w:t>Recommandations : **ACHAT** sur SGBC, BICB (résultats + taux), ONTBF, SNTS (défensif télécoms) ; **CONSERVER** sur PALC, SIFC (agro), NTLC, SLBC (consommation de base) ; **PRUDENCE** sur TTLC, TTLS, SHEC (concurrence énergétique Sonelgaz) et sur les valeurs exposées au Sahel.</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macro reste globalement porteur (croissance africaine, résultats ivoiriens solides), mais plusieurs vents contraires s'intensifient : pression inflationniste BCE, dépendance dollar des souverains africains, concurrence énergétique régionale et risques sécuritaires sahéliens. La BRVM à 549,02 points évolue en consolidation, sans catalyseur haussier majeur identifié dans les actualités. **Recommandation** : surpondérer les valeurs défensives à dividendes (SGBC, BICB, ONTBF, SNTS), sous-pondérer l'énergie (TTLC, TTLS) et adopter une approche sélective sur la consommation cyclique (ABJC, PRSC) tant que la visibilité sur les taux BCEAO reste limitée.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La remontée des taux des comptes d'épargne se confirme - L'Echo</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Expansion énergétique : Après le Mali, le Niger et le Cameroun, le gro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 xml:space="preserve">Burkina Faso - Banque mondiale : un nouveau partenariat pour l'emploi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Togo-Russie: les attentes des uns et des autres du partenariat naissan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Sénégal : Diomaye Faye face à l’Assemblée, les options du chef de l’Ét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Burkina Faso : la révolution progressiste populaire célébrée - Africa2</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2026-10-01</w:t>
            </w:r>
          </w:p>
        </w:tc>
        <w:tc>
          <w:tcPr>
            <w:tcW w:type="dxa" w:w="1728"/>
          </w:tcPr>
          <w:p>
            <w:r>
              <w:rPr>
                <w:sz w:val="14"/>
              </w:rPr>
              <w:t>Mise en place du nouvel organe électoral : Blé Goudé annonce la transm</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Expansion énergétique : Après le Mali, le Niger et le Cameroun, le gro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Expansion énergétique : Après le Mali, le Niger et le Cameroun, le gro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Expansion énergétique : Après le Mali, le Niger et le Cameroun, le gro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 xml:space="preserve">Burkina Faso - Banque mondiale : un nouveau partenariat pour l'emploi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Sénégal : Diomaye Faye face à l’Assemblée, les options du chef de l’Ét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BCE sur les ménages modestes ?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politique_monetaire  (5 alerte(s))</w:t>
      </w:r>
    </w:p>
    <w:p>
      <w:pPr>
        <w:spacing w:before="40" w:after="40"/>
        <w:ind w:left="360"/>
      </w:pPr>
      <w:r>
        <w:rPr>
          <w:color w:val="646464"/>
          <w:sz w:val="17"/>
        </w:rPr>
        <w:t xml:space="preserve">[04/10/2026] 🔴  </w:t>
      </w:r>
      <w:r>
        <w:rPr>
          <w:b/>
          <w:color w:val="C00000"/>
          <w:sz w:val="18"/>
        </w:rPr>
        <w:t>Quel est l’impact des décisions de la BCE sur les ménages modestes ? - The Conversation</w:t>
      </w:r>
      <w:r>
        <w:rPr>
          <w:color w:val="787878"/>
          <w:sz w:val="15"/>
        </w:rPr>
        <w:t xml:space="preserve">  [politique_monetaire]</w:t>
      </w:r>
      <w:r>
        <w:rPr>
          <w:color w:val="B47800"/>
          <w:sz w:val="16"/>
        </w:rPr>
        <w:t xml:space="preserve">  ★ 50/10</w:t>
      </w:r>
    </w:p>
    <w:p>
      <w:pPr>
        <w:spacing w:before="0" w:after="20"/>
        <w:ind w:left="600"/>
      </w:pPr>
      <w:r>
        <w:rPr>
          <w:color w:val="323232"/>
          <w:sz w:val="17"/>
        </w:rPr>
        <w:t>L'article de The Conversation examine comment les décisions de politique monétaire de la Banque centrale européenne (BCE) affectent les ménages modestes. Il souligne que les hausses de taux d'intérêt, bien que visant à maîtriser l'inflation, alourdissent les charges d'emprunt et réduisent le pouvoir d'achat des ménages les plus vulnérables. Les eff</w:t>
      </w:r>
    </w:p>
    <w:p>
      <w:pPr>
        <w:spacing w:before="0" w:after="40"/>
        <w:ind w:left="600"/>
      </w:pPr>
      <w:r>
        <w:rPr>
          <w:color w:val="00643C"/>
          <w:sz w:val="16"/>
        </w:rPr>
        <w:t>Points clés : Les hausses de taux de la BCE renchérissent le crédit immobilier et à la consommation, pénalisant les ménages modestes endettés.  •  L'inflation persistante érode le pouvoir d'achat des ménages à faibles revenus, dont la consommation est majoritairement composée de biens essentiels.  •  Les ménages modestes sont moins susceptibles de bénéficier de la rémunération de l'épargne, car ils détiennent peu de placements financiers.</w:t>
      </w:r>
    </w:p>
    <w:p>
      <w:pPr>
        <w:spacing w:before="0" w:after="60"/>
        <w:ind w:left="600"/>
      </w:pPr>
      <w:r>
        <w:rPr>
          <w:color w:val="0064B4"/>
          <w:sz w:val="15"/>
        </w:rPr>
        <w:t>Source : https://news.google.com/rss/articles/CBMiogFBVV95cUxNWmJDaVN6X0Y5WmZPaEk1d2lieDd</w:t>
      </w:r>
    </w:p>
    <w:p>
      <w:pPr>
        <w:spacing w:before="40" w:after="40"/>
        <w:ind w:left="360"/>
      </w:pPr>
      <w:r>
        <w:rPr>
          <w:color w:val="646464"/>
          <w:sz w:val="17"/>
        </w:rPr>
        <w:t xml:space="preserve">[03/10/2026] ⚪  </w:t>
      </w:r>
      <w:r>
        <w:rPr>
          <w:b/>
          <w:color w:val="505050"/>
          <w:sz w:val="18"/>
        </w:rPr>
        <w:t>La remontée des taux des comptes d'épargne se confirme - L'Echo</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Les taux d'intérêt servis sur les comptes d'épargne poursuivent leur remontée, confirmant une tendance amorcée ces derniers mois. Cette évolution reflète le resserrement monétaire opéré par les banques centrales pour contenir l'inflation. Pour les épargnants, cette hausse améliore la rémunération de l'épargne, mais elle renchérit le coût du crédit </w:t>
      </w:r>
    </w:p>
    <w:p>
      <w:pPr>
        <w:spacing w:before="0" w:after="40"/>
        <w:ind w:left="600"/>
      </w:pPr>
      <w:r>
        <w:rPr>
          <w:color w:val="00643C"/>
          <w:sz w:val="16"/>
        </w:rPr>
        <w:t>Points clés : Confirmation de la tendance haussière des taux des comptes d'épargne  •  Contexte de resserrement monétaire face à l'inflation  •  Impact contrasté : meilleure rémunération de l'épargne mais crédit plus cher</w:t>
      </w:r>
    </w:p>
    <w:p>
      <w:pPr>
        <w:spacing w:before="0" w:after="60"/>
        <w:ind w:left="600"/>
      </w:pPr>
      <w:r>
        <w:rPr>
          <w:color w:val="0064B4"/>
          <w:sz w:val="15"/>
        </w:rPr>
        <w:t>Source : https://news.google.com/rss/articles/CBMivgFBVV95cUxOVkdUNXVGbkNNZ0dfRGJsRWVIX3l</w:t>
      </w:r>
    </w:p>
    <w:p>
      <w:pPr>
        <w:spacing w:before="40" w:after="40"/>
        <w:ind w:left="360"/>
      </w:pPr>
      <w:r>
        <w:rPr>
          <w:color w:val="646464"/>
          <w:sz w:val="17"/>
        </w:rPr>
        <w:t xml:space="preserve">[02/10/2026] ⚪  </w:t>
      </w:r>
      <w:r>
        <w:rPr>
          <w:b/>
          <w:color w:val="505050"/>
          <w:sz w:val="18"/>
        </w:rPr>
        <w:t>Standard Chartered rejoint les grandes banques qui tablent sur une hausse des taux de la Banque centrale européenne (BCE</w:t>
      </w:r>
      <w:r>
        <w:rPr>
          <w:color w:val="787878"/>
          <w:sz w:val="15"/>
        </w:rPr>
        <w:t xml:space="preserve">  [politique_monetaire]</w:t>
      </w:r>
      <w:r>
        <w:rPr>
          <w:color w:val="B47800"/>
          <w:sz w:val="16"/>
        </w:rPr>
        <w:t xml:space="preserve">  ★ 50/10</w:t>
      </w:r>
    </w:p>
    <w:p>
      <w:pPr>
        <w:spacing w:before="0" w:after="20"/>
        <w:ind w:left="600"/>
      </w:pPr>
      <w:r>
        <w:rPr>
          <w:color w:val="323232"/>
          <w:sz w:val="17"/>
        </w:rPr>
        <w:t>Standard Chartered rejoint un nombre croissant de grandes banques qui anticipent une hausse des taux directeurs de la Banque centrale européenne (BCE) lors de sa réunion de décembre. Cette prévision reflète les attentes d'un resserrement monétaire face à une inflation persistante dans la zone euro. Une telle décision aurait des répercussions sur le</w:t>
      </w:r>
    </w:p>
    <w:p>
      <w:pPr>
        <w:spacing w:before="0" w:after="40"/>
        <w:ind w:left="600"/>
      </w:pPr>
      <w:r>
        <w:rPr>
          <w:color w:val="00643C"/>
          <w:sz w:val="16"/>
        </w:rPr>
        <w:t>Points clés : Standard Chartered prévoit une hausse des taux de la BCE en décembre  •  D'autres grandes banques partagent cette anticipation  •  Contexte d'inflation persistante dans la zone euro  •  Impact potentiel sur les marchés obligataires et de change</w:t>
      </w:r>
    </w:p>
    <w:p>
      <w:pPr>
        <w:spacing w:before="0" w:after="60"/>
        <w:ind w:left="600"/>
      </w:pPr>
      <w:r>
        <w:rPr>
          <w:color w:val="0064B4"/>
          <w:sz w:val="15"/>
        </w:rPr>
        <w:t>Source : https://news.google.com/rss/articles/CBMi8wFBVV95cUxQUHM1bmpYdHVtSk1RYmRPNWt4RTJ</w:t>
      </w:r>
    </w:p>
    <w:p>
      <w:pPr>
        <w:spacing w:before="40" w:after="40"/>
        <w:ind w:left="360"/>
      </w:pPr>
      <w:r>
        <w:rPr>
          <w:color w:val="646464"/>
          <w:sz w:val="17"/>
        </w:rPr>
        <w:t xml:space="preserve">[02/10/2026] ⚪  </w:t>
      </w:r>
      <w:r>
        <w:rPr>
          <w:b/>
          <w:color w:val="505050"/>
          <w:sz w:val="18"/>
        </w:rPr>
        <w:t>Standard Chartered rejoint les grandes banques qui tablent sur une hausse des taux de la Banque centrale européenne (BCE</w:t>
      </w:r>
      <w:r>
        <w:rPr>
          <w:color w:val="787878"/>
          <w:sz w:val="15"/>
        </w:rPr>
        <w:t xml:space="preserve">  [politique_monetaire]</w:t>
      </w:r>
      <w:r>
        <w:rPr>
          <w:color w:val="B47800"/>
          <w:sz w:val="16"/>
        </w:rPr>
        <w:t xml:space="preserve">  ★ 50/10</w:t>
      </w:r>
    </w:p>
    <w:p>
      <w:pPr>
        <w:spacing w:before="0" w:after="20"/>
        <w:ind w:left="600"/>
      </w:pPr>
      <w:r>
        <w:rPr>
          <w:color w:val="323232"/>
          <w:sz w:val="17"/>
        </w:rPr>
        <w:t>Standard Chartered rejoint un nombre croissant de grandes banques qui anticipent une hausse des taux directeurs de la Banque centrale européenne (BCE) dès décembre. Ce revirement de consensus reflète les pressions inflationnistes persistantes dans la zone euro et une communication plus restrictive de la BCE. Une telle hausse des taux européens pour</w:t>
      </w:r>
    </w:p>
    <w:p>
      <w:pPr>
        <w:spacing w:before="0" w:after="40"/>
        <w:ind w:left="600"/>
      </w:pPr>
      <w:r>
        <w:rPr>
          <w:color w:val="00643C"/>
          <w:sz w:val="16"/>
        </w:rPr>
        <w:t>Points clés : Standard Chartered prévoit une hausse des taux de la BCE en décembre  •  D'autres grandes banques internationales partagent ce scénario  •  Contexte de persistance de l'inflation en zone euro  •  Risque de contagion aux politiques monétaires africaines via la BCEAO</w:t>
      </w:r>
    </w:p>
    <w:p>
      <w:pPr>
        <w:spacing w:before="0" w:after="60"/>
        <w:ind w:left="600"/>
      </w:pPr>
      <w:r>
        <w:rPr>
          <w:color w:val="0064B4"/>
          <w:sz w:val="15"/>
        </w:rPr>
        <w:t>Source : https://news.google.com/rss/articles/CBMi8gFBVV95cUxPaHBQRzVRRVozZ1JQYlZ3R3VmTGd</w:t>
      </w:r>
    </w:p>
    <w:p>
      <w:pPr>
        <w:spacing w:before="40" w:after="40"/>
        <w:ind w:left="360"/>
      </w:pPr>
      <w:r>
        <w:rPr>
          <w:color w:val="646464"/>
          <w:sz w:val="17"/>
        </w:rPr>
        <w:t xml:space="preserve">[02/10/2026] 🔴  </w:t>
      </w:r>
      <w:r>
        <w:rPr>
          <w:b/>
          <w:color w:val="C00000"/>
          <w:sz w:val="18"/>
        </w:rPr>
        <w:t xml:space="preserve">L’inflation dans la zone euro atteint 3,8 % et accentue la pression sur la BCE pour qu’elle relève à nouveau ses taux - </w:t>
      </w:r>
      <w:r>
        <w:rPr>
          <w:color w:val="787878"/>
          <w:sz w:val="15"/>
        </w:rPr>
        <w:t xml:space="preserve">  [politique_monetaire]</w:t>
      </w:r>
      <w:r>
        <w:rPr>
          <w:color w:val="B47800"/>
          <w:sz w:val="16"/>
        </w:rPr>
        <w:t xml:space="preserve">  ★ 50/10</w:t>
      </w:r>
    </w:p>
    <w:p>
      <w:pPr>
        <w:spacing w:before="0" w:after="20"/>
        <w:ind w:left="600"/>
      </w:pPr>
      <w:r>
        <w:rPr>
          <w:color w:val="323232"/>
          <w:sz w:val="17"/>
        </w:rPr>
        <w:t>L'inflation dans la zone euro atteint 3,8 %, un niveau qui renforce les attentes d'un nouveau relèvement des taux directeurs par la Banque centrale européenne. Cette pression inflationniste pourrait conduire la BCE à durcir davantage sa politique monétaire. Une telle décision aurait des répercussions sur les marchés financiers mondiaux, y compris l</w:t>
      </w:r>
    </w:p>
    <w:p>
      <w:pPr>
        <w:spacing w:before="0" w:after="40"/>
        <w:ind w:left="600"/>
      </w:pPr>
      <w:r>
        <w:rPr>
          <w:color w:val="00643C"/>
          <w:sz w:val="16"/>
        </w:rPr>
        <w:t>Points clés : Inflation zone euro à 3,8 %  •  Pression accrue sur la BCE pour relever les taux  •  Risque de resserrement monétaire supplémentaire</w:t>
      </w:r>
    </w:p>
    <w:p>
      <w:pPr>
        <w:spacing w:before="0" w:after="60"/>
        <w:ind w:left="600"/>
      </w:pPr>
      <w:r>
        <w:rPr>
          <w:color w:val="0064B4"/>
          <w:sz w:val="15"/>
        </w:rPr>
        <w:t>Source : https://news.google.com/rss/articles/CBMi5wFBVV95cUxQSGZNbTFDOUYySUNuVWh4emp2cnZ</w:t>
      </w:r>
    </w:p>
    <w:p>
      <w:pPr>
        <w:spacing w:before="120" w:after="40"/>
      </w:pPr>
      <w:r>
        <w:rPr>
          <w:b/>
          <w:color w:val="00467F"/>
          <w:sz w:val="20"/>
        </w:rPr>
        <w:t>🔑 matieres_premieres  (3 alerte(s))</w:t>
      </w:r>
    </w:p>
    <w:p>
      <w:pPr>
        <w:spacing w:before="40" w:after="40"/>
        <w:ind w:left="360"/>
      </w:pPr>
      <w:r>
        <w:rPr>
          <w:color w:val="646464"/>
          <w:sz w:val="17"/>
        </w:rPr>
        <w:t xml:space="preserve">[03/10/2026] ⚪  </w:t>
      </w:r>
      <w:r>
        <w:rPr>
          <w:b/>
          <w:color w:val="505050"/>
          <w:sz w:val="18"/>
        </w:rPr>
        <w:t>Contrôler les prix des matières premières en fin d'année. - Vietnam.vn</w:t>
      </w:r>
      <w:r>
        <w:rPr>
          <w:color w:val="787878"/>
          <w:sz w:val="15"/>
        </w:rPr>
        <w:t xml:space="preserve">  [matieres_premieres]</w:t>
      </w:r>
      <w:r>
        <w:rPr>
          <w:color w:val="B47800"/>
          <w:sz w:val="16"/>
        </w:rPr>
        <w:t xml:space="preserve">  ★ 50/10</w:t>
      </w:r>
    </w:p>
    <w:p>
      <w:pPr>
        <w:spacing w:before="0" w:after="20"/>
        <w:ind w:left="600"/>
      </w:pPr>
      <w:r>
        <w:rPr>
          <w:color w:val="323232"/>
          <w:sz w:val="17"/>
        </w:rPr>
        <w:t>Le gouvernement vietnamien annonce des mesures pour contrôler les prix des matières premières en fin d'année. Cette initiative vise à stabiliser les marchés intérieurs face aux fluctuations saisonnières. Elle pourrait influencer les échanges régionaux et les prix de certaines matières premières importées. L'impact direct sur les marchés africains r</w:t>
      </w:r>
    </w:p>
    <w:p>
      <w:pPr>
        <w:spacing w:before="0" w:after="40"/>
        <w:ind w:left="600"/>
      </w:pPr>
      <w:r>
        <w:rPr>
          <w:color w:val="00643C"/>
          <w:sz w:val="16"/>
        </w:rPr>
        <w:t>Points clés : Contrôle des prix des matières premières au Vietnam en fin d'année  •  Mesures de stabilisation des marchés intérieurs  •  Impact potentiel sur les échanges régionaux asiatiques</w:t>
      </w:r>
    </w:p>
    <w:p>
      <w:pPr>
        <w:spacing w:before="0" w:after="60"/>
        <w:ind w:left="600"/>
      </w:pPr>
      <w:r>
        <w:rPr>
          <w:color w:val="0064B4"/>
          <w:sz w:val="15"/>
        </w:rPr>
        <w:t>Source : https://news.google.com/rss/articles/CBMiaEFVX3lxTE84RmpIOTE4elN4VURlUzU1TXNOUnF</w:t>
      </w:r>
    </w:p>
    <w:p>
      <w:pPr>
        <w:spacing w:before="40" w:after="40"/>
        <w:ind w:left="360"/>
      </w:pPr>
      <w:r>
        <w:rPr>
          <w:color w:val="646464"/>
          <w:sz w:val="17"/>
        </w:rPr>
        <w:t xml:space="preserve">[03/10/2026] ⚪  </w:t>
      </w:r>
      <w:r>
        <w:rPr>
          <w:b/>
          <w:color w:val="505050"/>
          <w:sz w:val="18"/>
        </w:rPr>
        <w:t>Pétrole, phosphates, importations : au Maghreb, le choc des matières premières creuse les écarts - Afrik</w:t>
      </w:r>
      <w:r>
        <w:rPr>
          <w:color w:val="787878"/>
          <w:sz w:val="15"/>
        </w:rPr>
        <w:t xml:space="preserve">  [matieres_premieres]</w:t>
      </w:r>
      <w:r>
        <w:rPr>
          <w:color w:val="B47800"/>
          <w:sz w:val="16"/>
        </w:rPr>
        <w:t xml:space="preserve">  ★ 50/10</w:t>
      </w:r>
    </w:p>
    <w:p>
      <w:pPr>
        <w:spacing w:before="0" w:after="20"/>
        <w:ind w:left="600"/>
      </w:pPr>
      <w:r>
        <w:rPr>
          <w:color w:val="323232"/>
          <w:sz w:val="17"/>
        </w:rPr>
        <w:t>Le choc des matières premières au Maghreb creuse les écarts entre pays exportateurs et importateurs. Les pays riches en pétrole et phosphates, comme l'Algérie et le Maroc, bénéficient de la hausse des prix, tandis que les pays dépendants des importations, comme la Tunisie, subissent une pression sur leurs balances commerciales. Cette divergence aff</w:t>
      </w:r>
    </w:p>
    <w:p>
      <w:pPr>
        <w:spacing w:before="0" w:after="40"/>
        <w:ind w:left="600"/>
      </w:pPr>
      <w:r>
        <w:rPr>
          <w:color w:val="00643C"/>
          <w:sz w:val="16"/>
        </w:rPr>
        <w:t>Points clés : Les exportateurs de pétrole et phosphates profitent de la hausse des prix.  •  Les importateurs nets font face à un creusement des déficits commerciaux.  •  Les écarts de croissance et de stabilité macroéconomique s'accentuent au Maghreb.</w:t>
      </w:r>
    </w:p>
    <w:p>
      <w:pPr>
        <w:spacing w:before="0" w:after="60"/>
        <w:ind w:left="600"/>
      </w:pPr>
      <w:r>
        <w:rPr>
          <w:color w:val="0064B4"/>
          <w:sz w:val="15"/>
        </w:rPr>
        <w:t>Source : https://news.google.com/rss/articles/CBMiswFBVV95cUxNbS1Fd2VYWElKQmFqYnhhVGVydzF</w:t>
      </w:r>
    </w:p>
    <w:p>
      <w:pPr>
        <w:spacing w:before="40" w:after="40"/>
        <w:ind w:left="360"/>
      </w:pPr>
      <w:r>
        <w:rPr>
          <w:color w:val="646464"/>
          <w:sz w:val="17"/>
        </w:rPr>
        <w:t xml:space="preserve">[02/10/2026] 🔴  </w:t>
      </w:r>
      <w:r>
        <w:rPr>
          <w:b/>
          <w:color w:val="C00000"/>
          <w:sz w:val="18"/>
        </w:rPr>
        <w:t>Les prix du pétrole ont grimpé jusqu'à 92,87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atteint un sommet de 92,87 dollars le baril selon le site vietnamien vietnam.vn. Cette hausse reflète des tensions persistantes sur les marchés mondiaux de l'énergie. Pour la BRVM, une telle flambée des cours pétroliers renchérit les coûts d'importation pour les pays de l'UEMOA et pèse sur les marges des entreprises consomma</w:t>
      </w:r>
    </w:p>
    <w:p>
      <w:pPr>
        <w:spacing w:before="0" w:after="40"/>
        <w:ind w:left="600"/>
      </w:pPr>
      <w:r>
        <w:rPr>
          <w:color w:val="00643C"/>
          <w:sz w:val="16"/>
        </w:rPr>
        <w:t>Points clés : Le baril de pétrole atteint 92,87 dollars, un niveau élevé.  •  La hausse est portée par des tensions sur l'offre et la demande mondiale.  •  Impact potentiel sur les coûts énergétiques dans la zone UEMOA.</w:t>
      </w:r>
    </w:p>
    <w:p>
      <w:pPr>
        <w:spacing w:before="0" w:after="60"/>
        <w:ind w:left="600"/>
      </w:pPr>
      <w:r>
        <w:rPr>
          <w:color w:val="0064B4"/>
          <w:sz w:val="15"/>
        </w:rPr>
        <w:t>Source : https://news.google.com/rss/articles/CBMidkFVX3lxTFAtSWdzSWpmdFc3QmNMb2NkdnpnXzV</w:t>
      </w:r>
    </w:p>
    <w:p>
      <w:pPr>
        <w:spacing w:before="120" w:after="40"/>
      </w:pPr>
      <w:r>
        <w:rPr>
          <w:b/>
          <w:color w:val="00467F"/>
          <w:sz w:val="20"/>
        </w:rPr>
        <w:t>🔑 politique  (9 alerte(s))</w:t>
      </w:r>
    </w:p>
    <w:p>
      <w:pPr>
        <w:spacing w:before="40" w:after="40"/>
        <w:ind w:left="360"/>
      </w:pPr>
      <w:r>
        <w:rPr>
          <w:color w:val="646464"/>
          <w:sz w:val="17"/>
        </w:rPr>
        <w:t xml:space="preserve">[03/10/2026] ⚪  </w:t>
      </w:r>
      <w:r>
        <w:rPr>
          <w:b/>
          <w:color w:val="505050"/>
          <w:sz w:val="18"/>
        </w:rPr>
        <w:t>Sénégal : Diomaye Faye face à l’Assemblée, les options du chef de l’État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traite de la situation politique au Sénégal où le président Diomaye Faye fait face à l'Assemblée nationale. Il examine les options stratégiques du chef de l'État dans ce contexte institutionnel. L'issue de cette confrontation pourrait influencer la gouvernance et la stabilité politique du pays. Cependant, le contenu fourni est très limité</w:t>
      </w:r>
    </w:p>
    <w:p>
      <w:pPr>
        <w:spacing w:before="0" w:after="40"/>
        <w:ind w:left="600"/>
      </w:pPr>
      <w:r>
        <w:rPr>
          <w:color w:val="00643C"/>
          <w:sz w:val="16"/>
        </w:rPr>
        <w:t>Points clés : Diomaye Faye est confronté à l'Assemblée nationale  •  Les options stratégiques du président sont analysées  •  Enjeu de gouvernance et de stabilité politique au Sénégal</w:t>
      </w:r>
    </w:p>
    <w:p>
      <w:pPr>
        <w:spacing w:before="0" w:after="60"/>
        <w:ind w:left="600"/>
      </w:pPr>
      <w:r>
        <w:rPr>
          <w:color w:val="0064B4"/>
          <w:sz w:val="15"/>
        </w:rPr>
        <w:t>Source : https://news.google.com/rss/articles/CBMiogFBVV95cUxNZmNFS1BaVms5X2JIUGVwSzQ4SjN</w:t>
      </w:r>
    </w:p>
    <w:p>
      <w:pPr>
        <w:spacing w:before="40" w:after="40"/>
        <w:ind w:left="360"/>
      </w:pPr>
      <w:r>
        <w:rPr>
          <w:color w:val="646464"/>
          <w:sz w:val="17"/>
        </w:rPr>
        <w:t xml:space="preserve">[03/10/2026] 🟢  </w:t>
      </w:r>
      <w:r>
        <w:rPr>
          <w:b/>
          <w:color w:val="008000"/>
          <w:sz w:val="18"/>
        </w:rPr>
        <w:t>Expansion énergétique : Après le Mali, le Niger et le Cameroun, le groupe Sonelgaz part à l'assaut du Sénégal - Just-Inf</w:t>
      </w:r>
      <w:r>
        <w:rPr>
          <w:color w:val="787878"/>
          <w:sz w:val="15"/>
        </w:rPr>
        <w:t xml:space="preserve">  [politique]</w:t>
      </w:r>
      <w:r>
        <w:rPr>
          <w:color w:val="B47800"/>
          <w:sz w:val="16"/>
        </w:rPr>
        <w:t xml:space="preserve">  ★ 50/10</w:t>
      </w:r>
    </w:p>
    <w:p>
      <w:pPr>
        <w:spacing w:before="0" w:after="20"/>
        <w:ind w:left="600"/>
      </w:pPr>
      <w:r>
        <w:rPr>
          <w:color w:val="323232"/>
          <w:sz w:val="17"/>
        </w:rPr>
        <w:t xml:space="preserve">Le groupe énergétique algérien Sonelgaz poursuit son expansion en Afrique de l'Ouest après le Mali, le Niger et le Cameroun, en ciblant désormais le Sénégal. Cette annonce s'inscrit dans une stratégie de croissance régionale du groupe public algérien dans le secteur de l'énergie. L'arrivée de Sonelgaz au Sénégal pourrait intensifier la concurrence </w:t>
      </w:r>
    </w:p>
    <w:p>
      <w:pPr>
        <w:spacing w:before="0" w:after="40"/>
        <w:ind w:left="600"/>
      </w:pPr>
      <w:r>
        <w:rPr>
          <w:color w:val="00643C"/>
          <w:sz w:val="16"/>
        </w:rPr>
        <w:t>Points clés : Sonelgaz étend ses activités au Sénégal après le Mali, le Niger et le Cameroun  •  Stratégie d'expansion régionale du groupe énergétique algérien en Afrique de l'Ouest  •  Impact potentiel sur le secteur énergétique sénégalais et la concurrence locale</w:t>
      </w:r>
    </w:p>
    <w:p>
      <w:pPr>
        <w:spacing w:before="0" w:after="60"/>
        <w:ind w:left="600"/>
      </w:pPr>
      <w:r>
        <w:rPr>
          <w:color w:val="0064B4"/>
          <w:sz w:val="15"/>
        </w:rPr>
        <w:t>Source : https://news.google.com/rss/articles/CBMia0FVX3lxTE4tVFVVc1M1RHU4ay1LM3NVQVJnTXl</w:t>
      </w:r>
    </w:p>
    <w:p>
      <w:pPr>
        <w:spacing w:before="40" w:after="40"/>
        <w:ind w:left="360"/>
      </w:pPr>
      <w:r>
        <w:rPr>
          <w:color w:val="646464"/>
          <w:sz w:val="17"/>
        </w:rPr>
        <w:t xml:space="preserve">[03/10/2026] ⚪  </w:t>
      </w:r>
      <w:r>
        <w:rPr>
          <w:b/>
          <w:color w:val="505050"/>
          <w:sz w:val="18"/>
        </w:rPr>
        <w:t>Burkina Faso : la révolution progressiste populaire célébrée - Africa24 TV</w:t>
      </w:r>
      <w:r>
        <w:rPr>
          <w:color w:val="787878"/>
          <w:sz w:val="15"/>
        </w:rPr>
        <w:t xml:space="preserve">  [politique]</w:t>
      </w:r>
      <w:r>
        <w:rPr>
          <w:color w:val="B47800"/>
          <w:sz w:val="16"/>
        </w:rPr>
        <w:t xml:space="preserve">  ★ 50/10</w:t>
      </w:r>
    </w:p>
    <w:p>
      <w:pPr>
        <w:spacing w:before="0" w:after="20"/>
        <w:ind w:left="600"/>
      </w:pPr>
      <w:r>
        <w:rPr>
          <w:color w:val="323232"/>
          <w:sz w:val="17"/>
        </w:rPr>
        <w:t>Le Burkina Faso a célébré la révolution progressiste populaire, un événement politique marquant dans le pays. Cette commémoration intervient dans un contexte de transition politique et de tensions régionales au Sahel. L'événement met en avant la souveraineté nationale et les orientations panafricanistes du régime actuel. Aucune annonce économique o</w:t>
      </w:r>
    </w:p>
    <w:p>
      <w:pPr>
        <w:spacing w:before="0" w:after="40"/>
        <w:ind w:left="600"/>
      </w:pPr>
      <w:r>
        <w:rPr>
          <w:color w:val="00643C"/>
          <w:sz w:val="16"/>
        </w:rPr>
        <w:t>Points clés : Célébration de la révolution progressiste populaire au Burkina Faso  •  Contexte politique marqué par la transition et les tensions au Sahel  •  Absence d'annonces économiques ou financières majeures  •  Événement à caractère symbolique et politique</w:t>
      </w:r>
    </w:p>
    <w:p>
      <w:pPr>
        <w:spacing w:before="0" w:after="60"/>
        <w:ind w:left="600"/>
      </w:pPr>
      <w:r>
        <w:rPr>
          <w:color w:val="0064B4"/>
          <w:sz w:val="15"/>
        </w:rPr>
        <w:t>Source : https://news.google.com/rss/articles/CBMiigFBVV95cUxQTklvdDhrYVhYR2psZTBDTVlyTXN</w:t>
      </w:r>
    </w:p>
    <w:p>
      <w:pPr>
        <w:spacing w:before="40" w:after="40"/>
        <w:ind w:left="360"/>
      </w:pPr>
      <w:r>
        <w:rPr>
          <w:color w:val="646464"/>
          <w:sz w:val="17"/>
        </w:rPr>
        <w:t xml:space="preserve">[03/10/2026] 🟢  </w:t>
      </w:r>
      <w:r>
        <w:rPr>
          <w:b/>
          <w:color w:val="008000"/>
          <w:sz w:val="18"/>
        </w:rPr>
        <w:t>Burkina Faso - Banque mondiale : un nouveau partenariat pour l'emploi - koaci.com</w:t>
      </w:r>
      <w:r>
        <w:rPr>
          <w:color w:val="787878"/>
          <w:sz w:val="15"/>
        </w:rPr>
        <w:t xml:space="preserve">  [politique]</w:t>
      </w:r>
      <w:r>
        <w:rPr>
          <w:color w:val="B47800"/>
          <w:sz w:val="16"/>
        </w:rPr>
        <w:t xml:space="preserve">  ★ 50/10</w:t>
      </w:r>
    </w:p>
    <w:p>
      <w:pPr>
        <w:spacing w:before="0" w:after="20"/>
        <w:ind w:left="600"/>
      </w:pPr>
      <w:r>
        <w:rPr>
          <w:color w:val="323232"/>
          <w:sz w:val="17"/>
        </w:rPr>
        <w:t xml:space="preserve">Le Burkina Faso et la Banque mondiale ont conclu un nouveau partenariat axé sur l'emploi. Cet accord vise à soutenir la création d'emplois et à renforcer les capacités économiques du pays. Il s'inscrit dans le cadre des efforts de développement et de stabilisation économique de la région. Les détails précis du partenariat n'ont pas été communiqués </w:t>
      </w:r>
    </w:p>
    <w:p>
      <w:pPr>
        <w:spacing w:before="0" w:after="40"/>
        <w:ind w:left="600"/>
      </w:pPr>
      <w:r>
        <w:rPr>
          <w:color w:val="00643C"/>
          <w:sz w:val="16"/>
        </w:rPr>
        <w:t>Points clés : Nouveau partenariat entre le Burkina Faso et la Banque mondiale  •  Objectif principal : promotion de l'emploi  •  Initiative s'inscrivant dans le développement économique régional</w:t>
      </w:r>
    </w:p>
    <w:p>
      <w:pPr>
        <w:spacing w:before="0" w:after="60"/>
        <w:ind w:left="600"/>
      </w:pPr>
      <w:r>
        <w:rPr>
          <w:color w:val="0064B4"/>
          <w:sz w:val="15"/>
        </w:rPr>
        <w:t>Source : https://news.google.com/rss/articles/CBMi1wFBVV95cUxOaG9wYWEzVEFwOHNDc1g1UFdnRjJ</w:t>
      </w:r>
    </w:p>
    <w:p>
      <w:pPr>
        <w:spacing w:before="40" w:after="40"/>
        <w:ind w:left="360"/>
      </w:pPr>
      <w:r>
        <w:rPr>
          <w:color w:val="646464"/>
          <w:sz w:val="17"/>
        </w:rPr>
        <w:t xml:space="preserve">[03/10/2026] ⚪  </w:t>
      </w:r>
      <w:r>
        <w:rPr>
          <w:b/>
          <w:color w:val="505050"/>
          <w:sz w:val="18"/>
        </w:rPr>
        <w:t>Togo-Russie: les attentes des uns et des autres du partenariat naissant - Le360 Afrique</w:t>
      </w:r>
      <w:r>
        <w:rPr>
          <w:color w:val="787878"/>
          <w:sz w:val="15"/>
        </w:rPr>
        <w:t xml:space="preserve">  [politique]</w:t>
      </w:r>
      <w:r>
        <w:rPr>
          <w:color w:val="B47800"/>
          <w:sz w:val="16"/>
        </w:rPr>
        <w:t xml:space="preserve">  ★ 50/10</w:t>
      </w:r>
    </w:p>
    <w:p>
      <w:pPr>
        <w:spacing w:before="0" w:after="20"/>
        <w:ind w:left="600"/>
      </w:pPr>
      <w:r>
        <w:rPr>
          <w:color w:val="323232"/>
          <w:sz w:val="17"/>
        </w:rPr>
        <w:t>Le Togo et la Russie ont récemment établi un partenariat naissant, suscitant des attentes divergentes entre les deux parties. Ce rapprochement s'inscrit dans une dynamique de diversification des alliances du Togo, notamment dans les domaines économique et sécuritaire. Les autorités togolaises espèrent des retombées en termes d'investissements et de</w:t>
      </w:r>
    </w:p>
    <w:p>
      <w:pPr>
        <w:spacing w:before="0" w:after="40"/>
        <w:ind w:left="600"/>
      </w:pPr>
      <w:r>
        <w:rPr>
          <w:color w:val="00643C"/>
          <w:sz w:val="16"/>
        </w:rPr>
        <w:t>Points clés : Nouveau partenariat entre le Togo et la Russie  •  Attentes économiques et sécuritaires du côté togolais  •  Volonté russe d'accroître son influence en Afrique de l'Ouest  •  Modalités et impacts encore flous</w:t>
      </w:r>
    </w:p>
    <w:p>
      <w:pPr>
        <w:spacing w:before="0" w:after="60"/>
        <w:ind w:left="600"/>
      </w:pPr>
      <w:r>
        <w:rPr>
          <w:color w:val="0064B4"/>
          <w:sz w:val="15"/>
        </w:rPr>
        <w:t>Source : https://news.google.com/rss/articles/CBMizgFBVV95cUxNRmhTdHZXSnJ0Ujh2VTFvSlRZZmN</w:t>
      </w:r>
    </w:p>
    <w:p>
      <w:pPr>
        <w:spacing w:before="120" w:after="40"/>
      </w:pPr>
      <w:r>
        <w:rPr>
          <w:b/>
          <w:color w:val="00467F"/>
          <w:sz w:val="20"/>
        </w:rPr>
        <w:t>🔑 économique  (2 alerte(s))</w:t>
      </w:r>
    </w:p>
    <w:p>
      <w:pPr>
        <w:spacing w:before="40" w:after="40"/>
        <w:ind w:left="360"/>
      </w:pPr>
      <w:r>
        <w:rPr>
          <w:color w:val="646464"/>
          <w:sz w:val="17"/>
        </w:rPr>
        <w:t xml:space="preserve">[03/10/2026] 🟢  </w:t>
      </w:r>
      <w:r>
        <w:rPr>
          <w:b/>
          <w:color w:val="008000"/>
          <w:sz w:val="18"/>
        </w:rPr>
        <w:t>UEMOA : la BCEAO table sur une croissance de 6,1 % en 2026 - Africa News Agency</w:t>
      </w:r>
      <w:r>
        <w:rPr>
          <w:color w:val="787878"/>
          <w:sz w:val="15"/>
        </w:rPr>
        <w:t xml:space="preserve">  [économique]</w:t>
      </w:r>
      <w:r>
        <w:rPr>
          <w:color w:val="B47800"/>
          <w:sz w:val="16"/>
        </w:rPr>
        <w:t xml:space="preserve">  ★ 50/10</w:t>
      </w:r>
    </w:p>
    <w:p>
      <w:pPr>
        <w:spacing w:before="0" w:after="20"/>
        <w:ind w:left="600"/>
      </w:pPr>
      <w:r>
        <w:rPr>
          <w:color w:val="323232"/>
          <w:sz w:val="17"/>
        </w:rPr>
        <w:t xml:space="preserve">La BCEAO prévoit une croissance économique de 6,1 % pour la zone UEMOA en 2026. Cette projection témoigne d'une dynamique économique soutenue dans les huit pays membres de l'union monétaire. Elle s'appuie sur la résilience des économies et pourrait favoriser un environnement propice aux investissements. Cette prévision reste toutefois conditionnée </w:t>
      </w:r>
    </w:p>
    <w:p>
      <w:pPr>
        <w:spacing w:before="0" w:after="40"/>
        <w:ind w:left="600"/>
      </w:pPr>
      <w:r>
        <w:rPr>
          <w:color w:val="00643C"/>
          <w:sz w:val="16"/>
        </w:rPr>
        <w:t>Points clés : Croissance projetée de 6,1 % en 2026 pour l'UEMOA  •  Prévision émise par la BCEAO  •  Signal de dynamisme économique pour la zone</w:t>
      </w:r>
    </w:p>
    <w:p>
      <w:pPr>
        <w:spacing w:before="0" w:after="60"/>
        <w:ind w:left="600"/>
      </w:pPr>
      <w:r>
        <w:rPr>
          <w:color w:val="0064B4"/>
          <w:sz w:val="15"/>
        </w:rPr>
        <w:t>Source : https://news.google.com/rss/articles/CBMijgFBVV95cUxOaDI2V2xLdXR0dEZ1MzRVMjY3Skd</w:t>
      </w:r>
    </w:p>
    <w:p>
      <w:pPr>
        <w:spacing w:before="40" w:after="40"/>
        <w:ind w:left="360"/>
      </w:pPr>
      <w:r>
        <w:rPr>
          <w:color w:val="646464"/>
          <w:sz w:val="17"/>
        </w:rPr>
        <w:t xml:space="preserve">[02/10/2026] ⚪  </w:t>
      </w:r>
      <w:r>
        <w:rPr>
          <w:b/>
          <w:color w:val="505050"/>
          <w:sz w:val="18"/>
        </w:rPr>
        <w:t>DIOMAYE EN EGYPTE : La Cedeao en quête d’une voix commune dans le système UA–CER - EnquetePlus.com</w:t>
      </w:r>
      <w:r>
        <w:rPr>
          <w:color w:val="787878"/>
          <w:sz w:val="15"/>
        </w:rPr>
        <w:t xml:space="preserve">  [économique]</w:t>
      </w:r>
      <w:r>
        <w:rPr>
          <w:color w:val="B47800"/>
          <w:sz w:val="16"/>
        </w:rPr>
        <w:t xml:space="preserve">  ★ 50/10</w:t>
      </w:r>
    </w:p>
    <w:p>
      <w:pPr>
        <w:spacing w:before="0" w:after="20"/>
        <w:ind w:left="600"/>
      </w:pPr>
      <w:r>
        <w:rPr>
          <w:color w:val="323232"/>
          <w:sz w:val="17"/>
        </w:rPr>
        <w:t>Le président sénégalais Bassirou Diomaye Faye s'est rendu en Égypte pour participer à une réunion de la Cedeao visant à harmoniser la position des États membres sur le système de l'Union africaine et des Communautés économiques régionales (UA-CER). Cette rencontre s'inscrit dans un contexte de réforme institutionnelle où l'Afrique de l'Ouest cherch</w:t>
      </w:r>
    </w:p>
    <w:p>
      <w:pPr>
        <w:spacing w:before="0" w:after="40"/>
        <w:ind w:left="600"/>
      </w:pPr>
      <w:r>
        <w:rPr>
          <w:color w:val="00643C"/>
          <w:sz w:val="16"/>
        </w:rPr>
        <w:t>Points clés : Déplacement du président sénégalais en Égypte pour une réunion de la Cedeao  •  Recherche d'une position commune sur le système UA-CER  •  Enjeu de renforcement de l'intégration régionale ouest-africaine</w:t>
      </w:r>
    </w:p>
    <w:p>
      <w:pPr>
        <w:spacing w:before="0" w:after="60"/>
        <w:ind w:left="600"/>
      </w:pPr>
      <w:r>
        <w:rPr>
          <w:color w:val="0064B4"/>
          <w:sz w:val="15"/>
        </w:rPr>
        <w:t>Source : https://news.google.com/rss/articles/CBMi1wFBVV95cUxQbnBKWWNGQ3JfRVQzYmpaQzJIdVR</w:t>
      </w:r>
    </w:p>
    <w:p>
      <w:pPr>
        <w:spacing w:before="120" w:after="40"/>
      </w:pPr>
      <w:r>
        <w:rPr>
          <w:b/>
          <w:color w:val="00467F"/>
          <w:sz w:val="20"/>
        </w:rPr>
        <w:t>🔑 marche_financier  (1 alerte(s))</w:t>
      </w:r>
    </w:p>
    <w:p>
      <w:pPr>
        <w:spacing w:before="40" w:after="40"/>
        <w:ind w:left="360"/>
      </w:pPr>
      <w:r>
        <w:rPr>
          <w:color w:val="646464"/>
          <w:sz w:val="17"/>
        </w:rPr>
        <w:t xml:space="preserve">[02/10/2026] 🟢  </w:t>
      </w:r>
      <w:r>
        <w:rPr>
          <w:b/>
          <w:color w:val="008000"/>
          <w:sz w:val="18"/>
        </w:rPr>
        <w:t>BRVM : Plus de 200 millions FCFA engagés sur la SIB - Sika Finance</w:t>
      </w:r>
      <w:r>
        <w:rPr>
          <w:color w:val="787878"/>
          <w:sz w:val="15"/>
        </w:rPr>
        <w:t xml:space="preserve">  [marche_financier]</w:t>
      </w:r>
      <w:r>
        <w:rPr>
          <w:color w:val="B47800"/>
          <w:sz w:val="16"/>
        </w:rPr>
        <w:t xml:space="preserve">  ★ 50/10</w:t>
      </w:r>
    </w:p>
    <w:p>
      <w:pPr>
        <w:spacing w:before="0" w:after="20"/>
        <w:ind w:left="600"/>
      </w:pPr>
      <w:r>
        <w:rPr>
          <w:color w:val="323232"/>
          <w:sz w:val="17"/>
        </w:rPr>
        <w:t>Plus de 200 millions FCFA ont été échangés sur le titre SIB à la BRVM, selon Sika Finance. Cette activité témoigne d'un intérêt marqué des investisseurs pour la Société Ivoirienne de Banque. Le volume engagé suggère une dynamique positive sur cette valeur bancaire.</w:t>
      </w:r>
    </w:p>
    <w:p>
      <w:pPr>
        <w:spacing w:before="0" w:after="40"/>
        <w:ind w:left="600"/>
      </w:pPr>
      <w:r>
        <w:rPr>
          <w:color w:val="00643C"/>
          <w:sz w:val="16"/>
        </w:rPr>
        <w:t>Points clés : Plus de 200 millions FCFA échangés sur le titre SIB  •  Titre bancaire ivoirien au centre de l'attention  •  Volume significatif signalant un intérêt des investisseurs</w:t>
      </w:r>
    </w:p>
    <w:p>
      <w:pPr>
        <w:spacing w:before="0" w:after="60"/>
        <w:ind w:left="600"/>
      </w:pPr>
      <w:r>
        <w:rPr>
          <w:color w:val="0064B4"/>
          <w:sz w:val="15"/>
        </w:rPr>
        <w:t>Source : https://news.google.com/rss/articles/CBMilgFBVV95cUxPV20zZjBCdmI0SldqdldCaTIzckh</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3,370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2,245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9,160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45,000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2,935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2,790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3,010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14,900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3,905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8,175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SEMC</w:t>
            </w:r>
          </w:p>
        </w:tc>
        <w:tc>
          <w:tcPr>
            <w:tcW w:type="dxa" w:w="1080"/>
            <w:shd w:fill="C6EFCE" w:val="clear"/>
          </w:tcPr>
          <w:p>
            <w:r>
              <w:rPr>
                <w:sz w:val="16"/>
              </w:rPr>
              <w:t>INDUSTRIELS</w:t>
            </w:r>
          </w:p>
        </w:tc>
        <w:tc>
          <w:tcPr>
            <w:tcW w:type="dxa" w:w="1080"/>
            <w:shd w:fill="C6EFCE" w:val="clear"/>
          </w:tcPr>
          <w:p>
            <w:r>
              <w:rPr>
                <w:sz w:val="16"/>
              </w:rPr>
              <w:t>1,495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20</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2,915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2,360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33,800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9,385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3,395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12,940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16,410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6,090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22,000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21,800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3,890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39</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8,800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11,490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1,995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45</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4,450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SPHC</w:t>
            </w:r>
          </w:p>
        </w:tc>
        <w:tc>
          <w:tcPr>
            <w:tcW w:type="dxa" w:w="1080"/>
            <w:shd w:fill="FEFEFE" w:val="clear"/>
          </w:tcPr>
          <w:p>
            <w:r>
              <w:rPr>
                <w:sz w:val="16"/>
              </w:rPr>
              <w:t>CONSOMMATION DE BA</w:t>
            </w:r>
          </w:p>
        </w:tc>
        <w:tc>
          <w:tcPr>
            <w:tcW w:type="dxa" w:w="1080"/>
            <w:shd w:fill="FEFEFE" w:val="clear"/>
          </w:tcPr>
          <w:p>
            <w:r>
              <w:rPr>
                <w:sz w:val="16"/>
              </w:rPr>
              <w:t>7,890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48</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51,000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3,370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2,245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9,160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2,935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3,010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3,690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3,370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2,245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9,160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45,000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2,935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2,790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3,370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2,245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9,160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45,000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2,935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2,790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SLBC — SLBC - SOLIBRA COTE D'IVOIRE</w:t>
      </w:r>
    </w:p>
    <w:p>
      <w:pPr>
        <w:pStyle w:val="ListBullet"/>
        <w:spacing w:before="20"/>
        <w:ind w:left="400"/>
      </w:pPr>
      <w:r>
        <w:rPr>
          <w:sz w:val="18"/>
        </w:rPr>
        <w:t>🟢 RSI survente (19.7 &lt; 30) — opportunité potentielle</w:t>
      </w:r>
    </w:p>
    <w:p>
      <w:pPr>
        <w:pStyle w:val="ListBullet"/>
        <w:spacing w:before="20"/>
        <w:ind w:left="400"/>
      </w:pPr>
      <w:r>
        <w:rPr>
          <w:sz w:val="18"/>
        </w:rPr>
        <w:t>⚠️ Cours à 0.3% du plus bas 100j (36,900 FCFA)</w:t>
      </w:r>
    </w:p>
    <w:p>
      <w:pPr>
        <w:spacing w:before="120"/>
      </w:pPr>
      <w:r>
        <w:rPr>
          <w:b/>
          <w:color w:val="0050A0"/>
          <w:sz w:val="20"/>
        </w:rPr>
        <w:t>SNTS — SNTS - SONATEL SN</w:t>
      </w:r>
    </w:p>
    <w:p>
      <w:pPr>
        <w:pStyle w:val="ListBullet"/>
        <w:spacing w:before="20"/>
        <w:ind w:left="400"/>
      </w:pPr>
      <w:r>
        <w:rPr>
          <w:sz w:val="18"/>
        </w:rPr>
        <w:t>🔴 RSI surachat (81.5 &gt; 70) — risque de correction</w:t>
      </w:r>
    </w:p>
    <w:p>
      <w:pPr>
        <w:pStyle w:val="ListBullet"/>
        <w:spacing w:before="20"/>
        <w:ind w:left="400"/>
      </w:pPr>
      <w:r>
        <w:rPr>
          <w:sz w:val="18"/>
        </w:rPr>
        <w:t>⚠️ Cours à 0.0% du plus haut 100j (45,000 FCFA)</w:t>
      </w:r>
    </w:p>
    <w:p>
      <w:pPr>
        <w:spacing w:before="120"/>
      </w:pPr>
      <w:r>
        <w:rPr>
          <w:b/>
          <w:color w:val="0050A0"/>
          <w:sz w:val="20"/>
        </w:rPr>
        <w:t>ABJC — ABJC - SERVAIR ABIDJAN CI</w:t>
      </w:r>
    </w:p>
    <w:p>
      <w:pPr>
        <w:pStyle w:val="ListBullet"/>
        <w:spacing w:before="20"/>
        <w:ind w:left="400"/>
      </w:pPr>
      <w:r>
        <w:rPr>
          <w:sz w:val="18"/>
        </w:rPr>
        <w:t>🟢 RSI survente (17.2 &lt; 30) — opportunité potentielle</w:t>
      </w:r>
    </w:p>
    <w:p>
      <w:pPr>
        <w:spacing w:before="120"/>
      </w:pPr>
      <w:r>
        <w:rPr>
          <w:b/>
          <w:color w:val="0050A0"/>
          <w:sz w:val="20"/>
        </w:rPr>
        <w:t>BBGC — BRIDGE BANK GROUP COTE D'IVOIRE</w:t>
      </w:r>
    </w:p>
    <w:p>
      <w:pPr>
        <w:pStyle w:val="ListBullet"/>
        <w:spacing w:before="20"/>
        <w:ind w:left="400"/>
      </w:pPr>
      <w:r>
        <w:rPr>
          <w:sz w:val="18"/>
        </w:rPr>
        <w:t>⚠️ Cours à 2.2% du plus haut 100j (9,000 FCFA)</w:t>
      </w:r>
    </w:p>
    <w:p>
      <w:pPr>
        <w:spacing w:before="120"/>
      </w:pPr>
      <w:r>
        <w:rPr>
          <w:b/>
          <w:color w:val="0050A0"/>
          <w:sz w:val="20"/>
        </w:rPr>
        <w:t>BICB — BIIC BN - Banque internationale pour le commerce du benin</w:t>
      </w:r>
    </w:p>
    <w:p>
      <w:pPr>
        <w:pStyle w:val="ListBullet"/>
        <w:spacing w:before="20"/>
        <w:ind w:left="400"/>
      </w:pPr>
      <w:r>
        <w:rPr>
          <w:sz w:val="18"/>
        </w:rPr>
        <w:t>🟢 RSI survente (28.5 &lt; 30) — opportunité potentielle</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 FORT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 FORT</w:t>
      </w:r>
    </w:p>
    <w:p>
      <w:pPr>
        <w:spacing w:before="120"/>
      </w:pPr>
      <w:r>
        <w:rPr>
          <w:b/>
          <w:color w:val="0050A0"/>
          <w:sz w:val="20"/>
        </w:rPr>
        <w:t>NEIC — NEIC - NEI-CEDA CI</w:t>
      </w:r>
    </w:p>
    <w:p>
      <w:pPr>
        <w:pStyle w:val="ListBullet"/>
        <w:spacing w:before="20"/>
        <w:ind w:left="400"/>
      </w:pPr>
      <w:r>
        <w:rPr>
          <w:sz w:val="18"/>
        </w:rPr>
        <w:t>🟢 RSI survente (22.4 &lt; 30) — opportunité potentielle</w:t>
      </w:r>
    </w:p>
    <w:p>
      <w:pPr>
        <w:spacing w:before="120"/>
      </w:pPr>
      <w:r>
        <w:rPr>
          <w:b/>
          <w:color w:val="0050A0"/>
          <w:sz w:val="20"/>
        </w:rPr>
        <w:t>NTLC — NTLC - NESTLE COTE D'IVOIRE</w:t>
      </w:r>
    </w:p>
    <w:p>
      <w:pPr>
        <w:pStyle w:val="ListBullet"/>
        <w:spacing w:before="20"/>
        <w:ind w:left="400"/>
      </w:pPr>
      <w:r>
        <w:rPr>
          <w:sz w:val="18"/>
        </w:rPr>
        <w:t>🟢 RSI survente (23.7 &lt; 30) — opportunité potentielle</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(26.8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(28.5 &lt; 30) — opportunité potentielle</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fond(NEUTRE) — recommandation ajustée à CONSERVER ⚠️</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29 société(s) (60%)</w:t>
            </w:r>
          </w:p>
        </w:tc>
        <w:tc>
          <w:tcPr>
            <w:tcW w:type="dxa" w:w="1644"/>
            <w:shd w:fill="FFEB9C" w:val="clear"/>
          </w:tcPr>
          <w:p>
            <w:r>
              <w:rPr>
                <w:b/>
                <w:color w:val="825A00"/>
                <w:sz w:val="19"/>
              </w:rPr>
              <w:t>19 société(s) (40%)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19.7/100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31.0/100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BOAN (31.3/100 — Moyen) : </w:t>
      </w:r>
      <w:r>
        <w:rPr>
          <w:sz w:val="17"/>
        </w:rPr>
        <w:t>Volatilité=Élevée | Bêta=Agressif | Liquidité=Bonne | Divergence signaux=taux divergence=20% (Mixte ⚠️) | Stabilité=Stable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SAFC (31.0/100 — Moyen) : </w:t>
      </w:r>
      <w:r>
        <w:rPr>
          <w:sz w:val="17"/>
        </w:rPr>
        <w:t>Volatilité=Élevée | Bêta=Agressif | Liquidité=Bonne | Divergence signaux=taux divergence=0% (Convergent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17.2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-1.65%  |  Médiane : -2.31%</w:t>
            </w:r>
          </w:p>
        </w:tc>
      </w:tr>
      <w:tr>
        <w:tc>
          <w:tcPr>
            <w:tcW w:type="dxa" w:w="2835"/>
            <w:shd w:fill="DEEAF1" w:val="clear"/>
          </w:tcPr>
          <w:p>
            <w:r>
              <w:rPr>
                <w:b/>
                <w:sz w:val="18"/>
              </w:rPr>
              <w:t>Répartition</w:t>
            </w:r>
          </w:p>
        </w:tc>
        <w:tc>
          <w:tcPr>
            <w:tcW w:type="dxa" w:w="7370"/>
          </w:tcPr>
          <w:p>
            <w:r>
              <w:rPr>
                <w:b/>
                <w:sz w:val="18"/>
              </w:rPr>
              <w:t>📈 11 sociétés en hausse (&gt;+1%)   📉 30 en baisse (&lt;-1%)   ➡️ 4 neutres</w:t>
            </w:r>
          </w:p>
        </w:tc>
      </w:tr>
      <w:tr>
        <w:tc>
          <w:tcPr>
            <w:tcW w:type="dxa" w:w="2835"/>
            <w:shd w:fill="DEEAF1" w:val="clear"/>
          </w:tcPr>
          <w:p>
            <w:r>
              <w:rPr>
                <w:b/>
                <w:sz w:val="18"/>
              </w:rPr>
              <w:t>Confiance globale</w:t>
            </w:r>
          </w:p>
        </w:tc>
        <w:tc>
          <w:tcPr>
            <w:tcW w:type="dxa" w:w="7370"/>
          </w:tcPr>
          <w:p>
            <w:r>
              <w:rPr>
                <w:b/>
                <w:sz w:val="18"/>
              </w:rPr>
              <w:t>Élevée : 0 sociétés (0%)   Moyenne : 9   Faible : 36 (80%)   → Confiance dominante : Faible</w:t>
            </w:r>
          </w:p>
        </w:tc>
      </w:tr>
    </w:tbl>
    <w:p/>
    <w:p>
      <w:r>
        <w:rPr>
          <w:i/>
          <w:color w:val="282828"/>
          <w:sz w:val="18"/>
        </w:rPr>
        <w:t>📝 Analyse : Légère tendance baissière avec signal mixte : 30 sociétés en baisse vs 11 en hausse. Variation moyenne : -1.65%.</w:t>
      </w:r>
    </w:p>
    <w:p>
      <w:r>
        <w:rPr>
          <w:i/>
          <w:color w:val="282828"/>
          <w:sz w:val="18"/>
        </w:rPr>
        <w:t>🎯 Fiabilité : ⚠️ La confiance est globalement FAIBLE (80%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2,790 FCFA</w:t>
            </w:r>
          </w:p>
        </w:tc>
        <w:tc>
          <w:tcPr>
            <w:tcW w:type="dxa" w:w="1417"/>
            <w:shd w:fill="FFFFFF" w:val="clear"/>
          </w:tcPr>
          <w:p>
            <w:r>
              <w:rPr>
                <w:sz w:val="16"/>
              </w:rPr>
              <w:t>3,287 FCFA</w:t>
            </w:r>
          </w:p>
        </w:tc>
        <w:tc>
          <w:tcPr>
            <w:tcW w:type="dxa" w:w="1134"/>
            <w:shd w:fill="C6EFCE" w:val="clear"/>
          </w:tcPr>
          <w:p>
            <w:r>
              <w:rPr>
                <w:b/>
                <w:color w:val="007800"/>
                <w:sz w:val="16"/>
              </w:rPr>
              <w:t>+17.80%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21,970 FCFA</w:t>
            </w:r>
          </w:p>
        </w:tc>
        <w:tc>
          <w:tcPr>
            <w:tcW w:type="dxa" w:w="1417"/>
            <w:shd w:fill="FFFFFF" w:val="clear"/>
          </w:tcPr>
          <w:p>
            <w:r>
              <w:rPr>
                <w:sz w:val="16"/>
              </w:rPr>
              <w:t>24,464 FCFA</w:t>
            </w:r>
          </w:p>
        </w:tc>
        <w:tc>
          <w:tcPr>
            <w:tcW w:type="dxa" w:w="1134"/>
            <w:shd w:fill="C6EFCE" w:val="clear"/>
          </w:tcPr>
          <w:p>
            <w:r>
              <w:rPr>
                <w:b/>
                <w:color w:val="007800"/>
                <w:sz w:val="16"/>
              </w:rPr>
              <w:t>+11.35%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5,000 FCFA</w:t>
            </w:r>
          </w:p>
        </w:tc>
        <w:tc>
          <w:tcPr>
            <w:tcW w:type="dxa" w:w="1417"/>
            <w:shd w:fill="FFFFFF" w:val="clear"/>
          </w:tcPr>
          <w:p>
            <w:r>
              <w:rPr>
                <w:sz w:val="16"/>
              </w:rPr>
              <w:t>5,330 FCFA</w:t>
            </w:r>
          </w:p>
        </w:tc>
        <w:tc>
          <w:tcPr>
            <w:tcW w:type="dxa" w:w="1134"/>
            <w:shd w:fill="C6EFCE" w:val="clear"/>
          </w:tcPr>
          <w:p>
            <w:r>
              <w:rPr>
                <w:b/>
                <w:color w:val="007800"/>
                <w:sz w:val="16"/>
              </w:rPr>
              <w:t>+6.60%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8,800 FCFA</w:t>
            </w:r>
          </w:p>
        </w:tc>
        <w:tc>
          <w:tcPr>
            <w:tcW w:type="dxa" w:w="1417"/>
            <w:shd w:fill="FFFFFF" w:val="clear"/>
          </w:tcPr>
          <w:p>
            <w:r>
              <w:rPr>
                <w:sz w:val="16"/>
              </w:rPr>
              <w:t>9,364 FCFA</w:t>
            </w:r>
          </w:p>
        </w:tc>
        <w:tc>
          <w:tcPr>
            <w:tcW w:type="dxa" w:w="1134"/>
            <w:shd w:fill="C6EFCE" w:val="clear"/>
          </w:tcPr>
          <w:p>
            <w:r>
              <w:rPr>
                <w:b/>
                <w:color w:val="007800"/>
                <w:sz w:val="16"/>
              </w:rPr>
              <w:t>+6.41%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37,000 FCFA</w:t>
            </w:r>
          </w:p>
        </w:tc>
        <w:tc>
          <w:tcPr>
            <w:tcW w:type="dxa" w:w="1417"/>
            <w:shd w:fill="FFFFFF" w:val="clear"/>
          </w:tcPr>
          <w:p>
            <w:r>
              <w:rPr>
                <w:sz w:val="16"/>
              </w:rPr>
              <w:t>38,922 FCFA</w:t>
            </w:r>
          </w:p>
        </w:tc>
        <w:tc>
          <w:tcPr>
            <w:tcW w:type="dxa" w:w="1134"/>
            <w:shd w:fill="C6EFCE" w:val="clear"/>
          </w:tcPr>
          <w:p>
            <w:r>
              <w:rPr>
                <w:b/>
                <w:color w:val="007800"/>
                <w:sz w:val="16"/>
              </w:rPr>
              <w:t>+5.19%</w:t>
            </w:r>
          </w:p>
        </w:tc>
        <w:tc>
          <w:tcPr>
            <w:tcW w:type="dxa" w:w="1020"/>
            <w:shd w:fill="FFEB9C" w:val="clear"/>
          </w:tcPr>
          <w:p>
            <w:r>
              <w:rPr>
                <w:sz w:val="16"/>
              </w:rPr>
              <w:t>Moyenne</w:t>
            </w:r>
          </w:p>
        </w:tc>
      </w:tr>
    </w:tbl>
    <w:p/>
    <w:p>
      <w:pPr>
        <w:pStyle w:val="ListBullet"/>
      </w:pPr>
      <w:r>
        <w:rPr>
          <w:b/>
          <w:color w:val="006400"/>
          <w:sz w:val="18"/>
        </w:rPr>
        <w:t xml:space="preserve">#1 SCRC </w:t>
      </w:r>
      <w:r>
        <w:rPr>
          <w:sz w:val="17"/>
        </w:rPr>
        <w:t>(SCRC - SUCRIVOIRE) — hausse significative (+17.8%) — potentiel de revalorisation notable. Trajectoire : 📈 Hausse continue. Cours actuel : 2,790 FCFA → prédit J+10 : 3,287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(+11.4%) — potentiel de revalorisation notable. Trajectoire : 📈 Hausse continue. Cours actuel : 21,970 FCFA → prédit J+10 : 24,464 FCFA. ⚠️ Confiance limitée — volatilité élevée ou données insuffisantes. Résultat indicatif uniquement.</w:t>
      </w:r>
    </w:p>
    <w:p>
      <w:pPr>
        <w:pStyle w:val="ListBullet"/>
      </w:pPr>
      <w:r>
        <w:rPr>
          <w:b/>
          <w:color w:val="006400"/>
          <w:sz w:val="18"/>
        </w:rPr>
        <w:t xml:space="preserve">#3 BOAN </w:t>
      </w:r>
      <w:r>
        <w:rPr>
          <w:sz w:val="17"/>
        </w:rPr>
        <w:t>(BANK OF AFRICA NIGER) — hausse modérée (+6.6%) — signal raisonnable et crédible. Trajectoire : 📈 Hausse continue. Cours actuel : 5,000 FCFA → prédit J+10 : 5,330 FCFA. ⚠️ Confiance limitée — volatilité élevée ou données insuffisantes. Résultat indicatif uniquement.</w:t>
      </w:r>
    </w:p>
    <w:p>
      <w:pPr>
        <w:pStyle w:val="ListBullet"/>
      </w:pPr>
      <w:r>
        <w:rPr>
          <w:b/>
          <w:color w:val="006400"/>
          <w:sz w:val="18"/>
        </w:rPr>
        <w:t xml:space="preserve">#4 BICB </w:t>
      </w:r>
      <w:r>
        <w:rPr>
          <w:sz w:val="17"/>
        </w:rPr>
        <w:t>(BIIC BN - Banque internationale pour le ) — hausse modérée (+6.4%) — signal raisonnable et crédible. Trajectoire : 📈 Hausse continue. Cours actuel : 8,800 FCFA → prédit J+10 : 9,364 FCFA. ⚠️ Confiance limitée — volatilité élevée ou données insuffisantes. Résultat indicatif uniquement.</w:t>
      </w:r>
    </w:p>
    <w:p>
      <w:pPr>
        <w:pStyle w:val="ListBullet"/>
      </w:pPr>
      <w:r>
        <w:rPr>
          <w:b/>
          <w:color w:val="006400"/>
          <w:sz w:val="18"/>
        </w:rPr>
        <w:t xml:space="preserve">#5 SLBC </w:t>
      </w:r>
      <w:r>
        <w:rPr>
          <w:sz w:val="17"/>
        </w:rPr>
        <w:t>(SLBC - SOLIBRA COTE D'IVOIRE) — hausse modérée (+5.2%) — signal raisonnable et crédible. Trajectoire : 📈 Hausse continue. Cours actuel : 37,000 FCFA → prédit J+10 : 38,922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8,175 FCFA</w:t>
            </w:r>
          </w:p>
        </w:tc>
        <w:tc>
          <w:tcPr>
            <w:tcW w:type="dxa" w:w="1417"/>
            <w:shd w:fill="FFFFFF" w:val="clear"/>
          </w:tcPr>
          <w:p>
            <w:r>
              <w:rPr>
                <w:sz w:val="16"/>
              </w:rPr>
              <w:t>7,117 FCFA</w:t>
            </w:r>
          </w:p>
        </w:tc>
        <w:tc>
          <w:tcPr>
            <w:tcW w:type="dxa" w:w="1134"/>
            <w:shd w:fill="FFC7CE" w:val="clear"/>
          </w:tcPr>
          <w:p>
            <w:r>
              <w:rPr>
                <w:b/>
                <w:color w:val="B40000"/>
                <w:sz w:val="16"/>
              </w:rPr>
              <w:t>-12.94%</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22,000 FCFA</w:t>
            </w:r>
          </w:p>
        </w:tc>
        <w:tc>
          <w:tcPr>
            <w:tcW w:type="dxa" w:w="1417"/>
            <w:shd w:fill="FFFFFF" w:val="clear"/>
          </w:tcPr>
          <w:p>
            <w:r>
              <w:rPr>
                <w:sz w:val="16"/>
              </w:rPr>
              <w:t>19,542 FCFA</w:t>
            </w:r>
          </w:p>
        </w:tc>
        <w:tc>
          <w:tcPr>
            <w:tcW w:type="dxa" w:w="1134"/>
            <w:shd w:fill="FFC7CE" w:val="clear"/>
          </w:tcPr>
          <w:p>
            <w:r>
              <w:rPr>
                <w:b/>
                <w:color w:val="B40000"/>
                <w:sz w:val="16"/>
              </w:rPr>
              <w:t>-11.17%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6,090 FCFA</w:t>
            </w:r>
          </w:p>
        </w:tc>
        <w:tc>
          <w:tcPr>
            <w:tcW w:type="dxa" w:w="1417"/>
            <w:shd w:fill="FFFFFF" w:val="clear"/>
          </w:tcPr>
          <w:p>
            <w:r>
              <w:rPr>
                <w:sz w:val="16"/>
              </w:rPr>
              <w:t>5,485 FCFA</w:t>
            </w:r>
          </w:p>
        </w:tc>
        <w:tc>
          <w:tcPr>
            <w:tcW w:type="dxa" w:w="1134"/>
            <w:shd w:fill="FFC7CE" w:val="clear"/>
          </w:tcPr>
          <w:p>
            <w:r>
              <w:rPr>
                <w:b/>
                <w:color w:val="B40000"/>
                <w:sz w:val="16"/>
              </w:rPr>
              <w:t>-9.93%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2,360 FCFA</w:t>
            </w:r>
          </w:p>
        </w:tc>
        <w:tc>
          <w:tcPr>
            <w:tcW w:type="dxa" w:w="1417"/>
            <w:shd w:fill="FFFFFF" w:val="clear"/>
          </w:tcPr>
          <w:p>
            <w:r>
              <w:rPr>
                <w:sz w:val="16"/>
              </w:rPr>
              <w:t>2,194 FCFA</w:t>
            </w:r>
          </w:p>
        </w:tc>
        <w:tc>
          <w:tcPr>
            <w:tcW w:type="dxa" w:w="1134"/>
            <w:shd w:fill="FFC7CE" w:val="clear"/>
          </w:tcPr>
          <w:p>
            <w:r>
              <w:rPr>
                <w:b/>
                <w:color w:val="B40000"/>
                <w:sz w:val="16"/>
              </w:rPr>
              <w:t>-7.03%</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1,995 FCFA</w:t>
            </w:r>
          </w:p>
        </w:tc>
        <w:tc>
          <w:tcPr>
            <w:tcW w:type="dxa" w:w="1417"/>
            <w:shd w:fill="FFFFFF" w:val="clear"/>
          </w:tcPr>
          <w:p>
            <w:r>
              <w:rPr>
                <w:sz w:val="16"/>
              </w:rPr>
              <w:t>1,856 FCFA</w:t>
            </w:r>
          </w:p>
        </w:tc>
        <w:tc>
          <w:tcPr>
            <w:tcW w:type="dxa" w:w="1134"/>
            <w:shd w:fill="FFC7CE" w:val="clear"/>
          </w:tcPr>
          <w:p>
            <w:r>
              <w:rPr>
                <w:b/>
                <w:color w:val="B40000"/>
                <w:sz w:val="16"/>
              </w:rPr>
              <w:t>-6.96%</w:t>
            </w:r>
          </w:p>
        </w:tc>
        <w:tc>
          <w:tcPr>
            <w:tcW w:type="dxa" w:w="1020"/>
            <w:shd w:fill="FFEB9C" w:val="clear"/>
          </w:tcPr>
          <w:p>
            <w:r>
              <w:rPr>
                <w:sz w:val="16"/>
              </w:rPr>
              <w:t>Moyenne</w:t>
            </w:r>
          </w:p>
        </w:tc>
      </w:tr>
    </w:tbl>
    <w:p/>
    <w:p>
      <w:pPr>
        <w:pStyle w:val="ListBullet"/>
      </w:pPr>
      <w:r>
        <w:rPr>
          <w:b/>
          <w:color w:val="B40000"/>
          <w:sz w:val="18"/>
        </w:rPr>
        <w:t xml:space="preserve">#1 BOAS </w:t>
      </w:r>
      <w:r>
        <w:rPr>
          <w:sz w:val="17"/>
        </w:rPr>
        <w:t>(BANK OF AFRICA SENEGAL) — baisse modérée (-12.9%) — repli technique attendu. Trajectoire : 📉 Baisse continue. Cours actuel : 8,175 FCFA → prédit J+10 : 7,117 FCFA. Confiance partielle — surveiller l'évolution réelle des premiers jours.</w:t>
      </w:r>
    </w:p>
    <w:p>
      <w:pPr>
        <w:pStyle w:val="ListBullet"/>
      </w:pPr>
      <w:r>
        <w:rPr>
          <w:b/>
          <w:color w:val="B40000"/>
          <w:sz w:val="18"/>
        </w:rPr>
        <w:t xml:space="preserve">#2 NSBC </w:t>
      </w:r>
      <w:r>
        <w:rPr>
          <w:sz w:val="17"/>
        </w:rPr>
        <w:t>(NSBC - NSIA BANQUE COTE D'IVOIRE) — baisse modérée (-11.2%) — repli technique attendu. Trajectoire : 📉 Baisse continue. Cours actuel : 22,000 FCFA → prédit J+10 : 19,542 FCFA. ⚠️ Confiance limitée — volatilité élevée. Ne pas agir sur ce seul signal.</w:t>
      </w:r>
    </w:p>
    <w:p>
      <w:pPr>
        <w:pStyle w:val="ListBullet"/>
      </w:pPr>
      <w:r>
        <w:rPr>
          <w:b/>
          <w:color w:val="B40000"/>
          <w:sz w:val="18"/>
        </w:rPr>
        <w:t xml:space="preserve">#3 BOAM </w:t>
      </w:r>
      <w:r>
        <w:rPr>
          <w:sz w:val="17"/>
        </w:rPr>
        <w:t>(BANK OF AFRICA MALI) — baisse modérée (-9.9%) — repli technique attendu. Trajectoire : 📉 Baisse continue. Cours actuel : 6,090 FCFA → prédit J+10 : 5,485 FCFA. ⚠️ Confiance limitée — volatilité élevée. Ne pas agir sur ce seul signal.</w:t>
      </w:r>
    </w:p>
    <w:p>
      <w:pPr>
        <w:pStyle w:val="ListBullet"/>
      </w:pPr>
      <w:r>
        <w:rPr>
          <w:b/>
          <w:color w:val="B40000"/>
          <w:sz w:val="18"/>
        </w:rPr>
        <w:t xml:space="preserve">#4 UNXC </w:t>
      </w:r>
      <w:r>
        <w:rPr>
          <w:sz w:val="17"/>
        </w:rPr>
        <w:t>(UNXC - UNIWAX COTE D'IVOIRE) — baisse modérée (-7.0%) — repli technique attendu. Trajectoire : 📉 Baisse continue. Cours actuel : 2,360 FCFA → prédit J+10 : 2,194 FCFA. ⚠️ Confiance limitée — volatilité élevée. Ne pas agir sur ce seul signal.</w:t>
      </w:r>
    </w:p>
    <w:p>
      <w:pPr>
        <w:pStyle w:val="ListBullet"/>
      </w:pPr>
      <w:r>
        <w:rPr>
          <w:b/>
          <w:color w:val="B40000"/>
          <w:sz w:val="18"/>
        </w:rPr>
        <w:t xml:space="preserve">#5 FTSC </w:t>
      </w:r>
      <w:r>
        <w:rPr>
          <w:sz w:val="17"/>
        </w:rPr>
        <w:t>(FTSC - FILTISAC COTE D'IVOIRE) — baisse modérée (-7.0%) — repli technique attendu. Trajectoire : 📉 Baisse continue. Cours actuel : 1,995 FCFA → prédit J+10 : 1,856 FCFA. Confiance partielle — surveiller l'évolution réelle des premiers jours.</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2,790</w:t>
            </w:r>
          </w:p>
        </w:tc>
        <w:tc>
          <w:tcPr>
            <w:tcW w:type="dxa" w:w="1417"/>
            <w:shd w:fill="FFFFFF" w:val="clear"/>
          </w:tcPr>
          <w:p>
            <w:r>
              <w:rPr>
                <w:sz w:val="16"/>
              </w:rPr>
              <w:t>3,287</w:t>
            </w:r>
          </w:p>
        </w:tc>
        <w:tc>
          <w:tcPr>
            <w:tcW w:type="dxa" w:w="1134"/>
            <w:shd w:fill="C6EFCE" w:val="clear"/>
          </w:tcPr>
          <w:p>
            <w:r>
              <w:rPr>
                <w:b/>
                <w:color w:val="007800"/>
                <w:sz w:val="16"/>
              </w:rPr>
              <w:t>+17.80%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21,970</w:t>
            </w:r>
          </w:p>
        </w:tc>
        <w:tc>
          <w:tcPr>
            <w:tcW w:type="dxa" w:w="1417"/>
            <w:shd w:fill="FFFFFF" w:val="clear"/>
          </w:tcPr>
          <w:p>
            <w:r>
              <w:rPr>
                <w:sz w:val="16"/>
              </w:rPr>
              <w:t>24,464</w:t>
            </w:r>
          </w:p>
        </w:tc>
        <w:tc>
          <w:tcPr>
            <w:tcW w:type="dxa" w:w="1134"/>
            <w:shd w:fill="C6EFCE" w:val="clear"/>
          </w:tcPr>
          <w:p>
            <w:r>
              <w:rPr>
                <w:b/>
                <w:color w:val="007800"/>
                <w:sz w:val="16"/>
              </w:rPr>
              <w:t>+11.35%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5,000</w:t>
            </w:r>
          </w:p>
        </w:tc>
        <w:tc>
          <w:tcPr>
            <w:tcW w:type="dxa" w:w="1417"/>
            <w:shd w:fill="FFFFFF" w:val="clear"/>
          </w:tcPr>
          <w:p>
            <w:r>
              <w:rPr>
                <w:sz w:val="16"/>
              </w:rPr>
              <w:t>5,330</w:t>
            </w:r>
          </w:p>
        </w:tc>
        <w:tc>
          <w:tcPr>
            <w:tcW w:type="dxa" w:w="1134"/>
            <w:shd w:fill="C6EFCE" w:val="clear"/>
          </w:tcPr>
          <w:p>
            <w:r>
              <w:rPr>
                <w:b/>
                <w:color w:val="007800"/>
                <w:sz w:val="16"/>
              </w:rPr>
              <w:t>+6.60%</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8,800</w:t>
            </w:r>
          </w:p>
        </w:tc>
        <w:tc>
          <w:tcPr>
            <w:tcW w:type="dxa" w:w="1417"/>
            <w:shd w:fill="FFFFFF" w:val="clear"/>
          </w:tcPr>
          <w:p>
            <w:r>
              <w:rPr>
                <w:sz w:val="16"/>
              </w:rPr>
              <w:t>9,364</w:t>
            </w:r>
          </w:p>
        </w:tc>
        <w:tc>
          <w:tcPr>
            <w:tcW w:type="dxa" w:w="1134"/>
            <w:shd w:fill="C6EFCE" w:val="clear"/>
          </w:tcPr>
          <w:p>
            <w:r>
              <w:rPr>
                <w:b/>
                <w:color w:val="007800"/>
                <w:sz w:val="16"/>
              </w:rPr>
              <w:t>+6.41%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38,922</w:t>
            </w:r>
          </w:p>
        </w:tc>
        <w:tc>
          <w:tcPr>
            <w:tcW w:type="dxa" w:w="1134"/>
            <w:shd w:fill="C6EFCE" w:val="clear"/>
          </w:tcPr>
          <w:p>
            <w:r>
              <w:rPr>
                <w:b/>
                <w:color w:val="007800"/>
                <w:sz w:val="16"/>
              </w:rPr>
              <w:t>+5.19%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1,520</w:t>
            </w:r>
          </w:p>
        </w:tc>
        <w:tc>
          <w:tcPr>
            <w:tcW w:type="dxa" w:w="1417"/>
            <w:shd w:fill="FFFFFF" w:val="clear"/>
          </w:tcPr>
          <w:p>
            <w:r>
              <w:rPr>
                <w:sz w:val="16"/>
              </w:rPr>
              <w:t>1,581</w:t>
            </w:r>
          </w:p>
        </w:tc>
        <w:tc>
          <w:tcPr>
            <w:tcW w:type="dxa" w:w="1134"/>
            <w:shd w:fill="C6EFCE" w:val="clear"/>
          </w:tcPr>
          <w:p>
            <w:r>
              <w:rPr>
                <w:b/>
                <w:color w:val="007800"/>
                <w:sz w:val="16"/>
              </w:rPr>
              <w:t>+3.99%</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2,067</w:t>
            </w:r>
          </w:p>
        </w:tc>
        <w:tc>
          <w:tcPr>
            <w:tcW w:type="dxa" w:w="1134"/>
            <w:shd w:fill="C6EFCE" w:val="clear"/>
          </w:tcPr>
          <w:p>
            <w:r>
              <w:rPr>
                <w:b/>
                <w:color w:val="007800"/>
                <w:sz w:val="16"/>
              </w:rPr>
              <w:t>+3.34%</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3,905</w:t>
            </w:r>
          </w:p>
        </w:tc>
        <w:tc>
          <w:tcPr>
            <w:tcW w:type="dxa" w:w="1417"/>
            <w:shd w:fill="FFFFFF" w:val="clear"/>
          </w:tcPr>
          <w:p>
            <w:r>
              <w:rPr>
                <w:sz w:val="16"/>
              </w:rPr>
              <w:t>3,984</w:t>
            </w:r>
          </w:p>
        </w:tc>
        <w:tc>
          <w:tcPr>
            <w:tcW w:type="dxa" w:w="1134"/>
            <w:shd w:fill="C6EFCE" w:val="clear"/>
          </w:tcPr>
          <w:p>
            <w:r>
              <w:rPr>
                <w:b/>
                <w:color w:val="007800"/>
                <w:sz w:val="16"/>
              </w:rPr>
              <w:t>+2.02%</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14,900</w:t>
            </w:r>
          </w:p>
        </w:tc>
        <w:tc>
          <w:tcPr>
            <w:tcW w:type="dxa" w:w="1417"/>
            <w:shd w:fill="FFFFFF" w:val="clear"/>
          </w:tcPr>
          <w:p>
            <w:r>
              <w:rPr>
                <w:sz w:val="16"/>
              </w:rPr>
              <w:t>15,077</w:t>
            </w:r>
          </w:p>
        </w:tc>
        <w:tc>
          <w:tcPr>
            <w:tcW w:type="dxa" w:w="1134"/>
            <w:shd w:fill="C6EFCE" w:val="clear"/>
          </w:tcPr>
          <w:p>
            <w:r>
              <w:rPr>
                <w:b/>
                <w:color w:val="007800"/>
                <w:sz w:val="16"/>
              </w:rPr>
              <w:t>+1.19%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3,890</w:t>
            </w:r>
          </w:p>
        </w:tc>
        <w:tc>
          <w:tcPr>
            <w:tcW w:type="dxa" w:w="1417"/>
            <w:shd w:fill="FFFFFF" w:val="clear"/>
          </w:tcPr>
          <w:p>
            <w:r>
              <w:rPr>
                <w:sz w:val="16"/>
              </w:rPr>
              <w:t>3,936</w:t>
            </w:r>
          </w:p>
        </w:tc>
        <w:tc>
          <w:tcPr>
            <w:tcW w:type="dxa" w:w="1134"/>
            <w:shd w:fill="C6EFCE" w:val="clear"/>
          </w:tcPr>
          <w:p>
            <w:r>
              <w:rPr>
                <w:b/>
                <w:color w:val="007800"/>
                <w:sz w:val="16"/>
              </w:rPr>
              <w:t>+1.18%</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16,795</w:t>
            </w:r>
          </w:p>
        </w:tc>
        <w:tc>
          <w:tcPr>
            <w:tcW w:type="dxa" w:w="1417"/>
            <w:shd w:fill="FFFFFF" w:val="clear"/>
          </w:tcPr>
          <w:p>
            <w:r>
              <w:rPr>
                <w:sz w:val="16"/>
              </w:rPr>
              <w:t>16,985</w:t>
            </w:r>
          </w:p>
        </w:tc>
        <w:tc>
          <w:tcPr>
            <w:tcW w:type="dxa" w:w="1134"/>
            <w:shd w:fill="C6EFCE" w:val="clear"/>
          </w:tcPr>
          <w:p>
            <w:r>
              <w:rPr>
                <w:b/>
                <w:color w:val="007800"/>
                <w:sz w:val="16"/>
              </w:rPr>
              <w:t>+1.13%</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12,940</w:t>
            </w:r>
          </w:p>
        </w:tc>
        <w:tc>
          <w:tcPr>
            <w:tcW w:type="dxa" w:w="1417"/>
            <w:shd w:fill="FFFFFF" w:val="clear"/>
          </w:tcPr>
          <w:p>
            <w:r>
              <w:rPr>
                <w:sz w:val="16"/>
              </w:rPr>
              <w:t>13,062</w:t>
            </w:r>
          </w:p>
        </w:tc>
        <w:tc>
          <w:tcPr>
            <w:tcW w:type="dxa" w:w="1134"/>
            <w:shd w:fill="FFEB9C" w:val="clear"/>
          </w:tcPr>
          <w:p>
            <w:r>
              <w:rPr>
                <w:b/>
                <w:color w:val="646400"/>
                <w:sz w:val="16"/>
              </w:rPr>
              <w:t>+0.94%</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11,490</w:t>
            </w:r>
          </w:p>
        </w:tc>
        <w:tc>
          <w:tcPr>
            <w:tcW w:type="dxa" w:w="1417"/>
            <w:shd w:fill="FFFFFF" w:val="clear"/>
          </w:tcPr>
          <w:p>
            <w:r>
              <w:rPr>
                <w:sz w:val="16"/>
              </w:rPr>
              <w:t>11,580</w:t>
            </w:r>
          </w:p>
        </w:tc>
        <w:tc>
          <w:tcPr>
            <w:tcW w:type="dxa" w:w="1134"/>
            <w:shd w:fill="FFEB9C" w:val="clear"/>
          </w:tcPr>
          <w:p>
            <w:r>
              <w:rPr>
                <w:b/>
                <w:color w:val="646400"/>
                <w:sz w:val="16"/>
              </w:rPr>
              <w:t>+0.79%</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2,300</w:t>
            </w:r>
          </w:p>
        </w:tc>
        <w:tc>
          <w:tcPr>
            <w:tcW w:type="dxa" w:w="1417"/>
            <w:shd w:fill="FFFFFF" w:val="clear"/>
          </w:tcPr>
          <w:p>
            <w:r>
              <w:rPr>
                <w:sz w:val="16"/>
              </w:rPr>
              <w:t>2,315</w:t>
            </w:r>
          </w:p>
        </w:tc>
        <w:tc>
          <w:tcPr>
            <w:tcW w:type="dxa" w:w="1134"/>
            <w:shd w:fill="FFEB9C" w:val="clear"/>
          </w:tcPr>
          <w:p>
            <w:r>
              <w:rPr>
                <w:b/>
                <w:color w:val="646400"/>
                <w:sz w:val="16"/>
              </w:rPr>
              <w:t>+0.65%</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2,915</w:t>
            </w:r>
          </w:p>
        </w:tc>
        <w:tc>
          <w:tcPr>
            <w:tcW w:type="dxa" w:w="1417"/>
            <w:shd w:fill="FFFFFF" w:val="clear"/>
          </w:tcPr>
          <w:p>
            <w:r>
              <w:rPr>
                <w:sz w:val="16"/>
              </w:rPr>
              <w:t>2,898</w:t>
            </w:r>
          </w:p>
        </w:tc>
        <w:tc>
          <w:tcPr>
            <w:tcW w:type="dxa" w:w="1134"/>
            <w:shd w:fill="FFEB9C" w:val="clear"/>
          </w:tcPr>
          <w:p>
            <w:r>
              <w:rPr>
                <w:b/>
                <w:color w:val="646400"/>
                <w:sz w:val="16"/>
              </w:rPr>
              <w:t>-0.60%</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3,010</w:t>
            </w:r>
          </w:p>
        </w:tc>
        <w:tc>
          <w:tcPr>
            <w:tcW w:type="dxa" w:w="1417"/>
            <w:shd w:fill="FFFFFF" w:val="clear"/>
          </w:tcPr>
          <w:p>
            <w:r>
              <w:rPr>
                <w:sz w:val="16"/>
              </w:rPr>
              <w:t>2,972</w:t>
            </w:r>
          </w:p>
        </w:tc>
        <w:tc>
          <w:tcPr>
            <w:tcW w:type="dxa" w:w="1134"/>
            <w:shd w:fill="FFC7CE" w:val="clear"/>
          </w:tcPr>
          <w:p>
            <w:r>
              <w:rPr>
                <w:b/>
                <w:color w:val="B40000"/>
                <w:sz w:val="16"/>
              </w:rPr>
              <w:t>-1.26%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1,900</w:t>
            </w:r>
          </w:p>
        </w:tc>
        <w:tc>
          <w:tcPr>
            <w:tcW w:type="dxa" w:w="1417"/>
            <w:shd w:fill="FFFFFF" w:val="clear"/>
          </w:tcPr>
          <w:p>
            <w:r>
              <w:rPr>
                <w:sz w:val="16"/>
              </w:rPr>
              <w:t>1,874</w:t>
            </w:r>
          </w:p>
        </w:tc>
        <w:tc>
          <w:tcPr>
            <w:tcW w:type="dxa" w:w="1134"/>
            <w:shd w:fill="FFC7CE" w:val="clear"/>
          </w:tcPr>
          <w:p>
            <w:r>
              <w:rPr>
                <w:b/>
                <w:color w:val="B40000"/>
                <w:sz w:val="16"/>
              </w:rPr>
              <w:t>-1.37%</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3,395</w:t>
            </w:r>
          </w:p>
        </w:tc>
        <w:tc>
          <w:tcPr>
            <w:tcW w:type="dxa" w:w="1417"/>
            <w:shd w:fill="FFFFFF" w:val="clear"/>
          </w:tcPr>
          <w:p>
            <w:r>
              <w:rPr>
                <w:sz w:val="16"/>
              </w:rPr>
              <w:t>3,334</w:t>
            </w:r>
          </w:p>
        </w:tc>
        <w:tc>
          <w:tcPr>
            <w:tcW w:type="dxa" w:w="1134"/>
            <w:shd w:fill="FFC7CE" w:val="clear"/>
          </w:tcPr>
          <w:p>
            <w:r>
              <w:rPr>
                <w:b/>
                <w:color w:val="B40000"/>
                <w:sz w:val="16"/>
              </w:rPr>
              <w:t>-1.81%</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2,150</w:t>
            </w:r>
          </w:p>
        </w:tc>
        <w:tc>
          <w:tcPr>
            <w:tcW w:type="dxa" w:w="1417"/>
            <w:shd w:fill="FFFFFF" w:val="clear"/>
          </w:tcPr>
          <w:p>
            <w:r>
              <w:rPr>
                <w:sz w:val="16"/>
              </w:rPr>
              <w:t>2,108</w:t>
            </w:r>
          </w:p>
        </w:tc>
        <w:tc>
          <w:tcPr>
            <w:tcW w:type="dxa" w:w="1134"/>
            <w:shd w:fill="FFC7CE" w:val="clear"/>
          </w:tcPr>
          <w:p>
            <w:r>
              <w:rPr>
                <w:b/>
                <w:color w:val="B40000"/>
                <w:sz w:val="16"/>
              </w:rPr>
              <w:t>-1.97%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21,800</w:t>
            </w:r>
          </w:p>
        </w:tc>
        <w:tc>
          <w:tcPr>
            <w:tcW w:type="dxa" w:w="1417"/>
            <w:shd w:fill="FFFFFF" w:val="clear"/>
          </w:tcPr>
          <w:p>
            <w:r>
              <w:rPr>
                <w:sz w:val="16"/>
              </w:rPr>
              <w:t>21,344</w:t>
            </w:r>
          </w:p>
        </w:tc>
        <w:tc>
          <w:tcPr>
            <w:tcW w:type="dxa" w:w="1134"/>
            <w:shd w:fill="FFC7CE" w:val="clear"/>
          </w:tcPr>
          <w:p>
            <w:r>
              <w:rPr>
                <w:b/>
                <w:color w:val="B40000"/>
                <w:sz w:val="16"/>
              </w:rPr>
              <w:t>-2.09%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66</w:t>
            </w:r>
          </w:p>
        </w:tc>
        <w:tc>
          <w:tcPr>
            <w:tcW w:type="dxa" w:w="1134"/>
            <w:shd w:fill="FFC7CE" w:val="clear"/>
          </w:tcPr>
          <w:p>
            <w:r>
              <w:rPr>
                <w:b/>
                <w:color w:val="B40000"/>
                <w:sz w:val="16"/>
              </w:rPr>
              <w:t>-2.13%</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3,000</w:t>
            </w:r>
          </w:p>
        </w:tc>
        <w:tc>
          <w:tcPr>
            <w:tcW w:type="dxa" w:w="1417"/>
            <w:shd w:fill="FFFFFF" w:val="clear"/>
          </w:tcPr>
          <w:p>
            <w:r>
              <w:rPr>
                <w:sz w:val="16"/>
              </w:rPr>
              <w:t>2,933</w:t>
            </w:r>
          </w:p>
        </w:tc>
        <w:tc>
          <w:tcPr>
            <w:tcW w:type="dxa" w:w="1134"/>
            <w:shd w:fill="FFC7CE" w:val="clear"/>
          </w:tcPr>
          <w:p>
            <w:r>
              <w:rPr>
                <w:b/>
                <w:color w:val="B40000"/>
                <w:sz w:val="16"/>
              </w:rPr>
              <w:t>-2.25%</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2,935</w:t>
            </w:r>
          </w:p>
        </w:tc>
        <w:tc>
          <w:tcPr>
            <w:tcW w:type="dxa" w:w="1417"/>
            <w:shd w:fill="FFFFFF" w:val="clear"/>
          </w:tcPr>
          <w:p>
            <w:r>
              <w:rPr>
                <w:sz w:val="16"/>
              </w:rPr>
              <w:t>2,867</w:t>
            </w:r>
          </w:p>
        </w:tc>
        <w:tc>
          <w:tcPr>
            <w:tcW w:type="dxa" w:w="1134"/>
            <w:shd w:fill="FFC7CE" w:val="clear"/>
          </w:tcPr>
          <w:p>
            <w:r>
              <w:rPr>
                <w:b/>
                <w:color w:val="B40000"/>
                <w:sz w:val="16"/>
              </w:rPr>
              <w:t>-2.31%</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9,385</w:t>
            </w:r>
          </w:p>
        </w:tc>
        <w:tc>
          <w:tcPr>
            <w:tcW w:type="dxa" w:w="1417"/>
            <w:shd w:fill="FFFFFF" w:val="clear"/>
          </w:tcPr>
          <w:p>
            <w:r>
              <w:rPr>
                <w:sz w:val="16"/>
              </w:rPr>
              <w:t>9,162</w:t>
            </w:r>
          </w:p>
        </w:tc>
        <w:tc>
          <w:tcPr>
            <w:tcW w:type="dxa" w:w="1134"/>
            <w:shd w:fill="FFC7CE" w:val="clear"/>
          </w:tcPr>
          <w:p>
            <w:r>
              <w:rPr>
                <w:b/>
                <w:color w:val="B40000"/>
                <w:sz w:val="16"/>
              </w:rPr>
              <w:t>-2.38%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16,410</w:t>
            </w:r>
          </w:p>
        </w:tc>
        <w:tc>
          <w:tcPr>
            <w:tcW w:type="dxa" w:w="1417"/>
            <w:shd w:fill="FFFFFF" w:val="clear"/>
          </w:tcPr>
          <w:p>
            <w:r>
              <w:rPr>
                <w:sz w:val="16"/>
              </w:rPr>
              <w:t>16,008</w:t>
            </w:r>
          </w:p>
        </w:tc>
        <w:tc>
          <w:tcPr>
            <w:tcW w:type="dxa" w:w="1134"/>
            <w:shd w:fill="FFC7CE" w:val="clear"/>
          </w:tcPr>
          <w:p>
            <w:r>
              <w:rPr>
                <w:b/>
                <w:color w:val="B40000"/>
                <w:sz w:val="16"/>
              </w:rPr>
              <w:t>-2.45%</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38,023</w:t>
            </w:r>
          </w:p>
        </w:tc>
        <w:tc>
          <w:tcPr>
            <w:tcW w:type="dxa" w:w="1134"/>
            <w:shd w:fill="FFC7CE" w:val="clear"/>
          </w:tcPr>
          <w:p>
            <w:r>
              <w:rPr>
                <w:b/>
                <w:color w:val="B40000"/>
                <w:sz w:val="16"/>
              </w:rPr>
              <w:t>-2.51%</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8,000</w:t>
            </w:r>
          </w:p>
        </w:tc>
        <w:tc>
          <w:tcPr>
            <w:tcW w:type="dxa" w:w="1417"/>
            <w:shd w:fill="FFFFFF" w:val="clear"/>
          </w:tcPr>
          <w:p>
            <w:r>
              <w:rPr>
                <w:sz w:val="16"/>
              </w:rPr>
              <w:t>7,795</w:t>
            </w:r>
          </w:p>
        </w:tc>
        <w:tc>
          <w:tcPr>
            <w:tcW w:type="dxa" w:w="1134"/>
            <w:shd w:fill="FFC7CE" w:val="clear"/>
          </w:tcPr>
          <w:p>
            <w:r>
              <w:rPr>
                <w:b/>
                <w:color w:val="B40000"/>
                <w:sz w:val="16"/>
              </w:rPr>
              <w:t>-2.56%</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3,690</w:t>
            </w:r>
          </w:p>
        </w:tc>
        <w:tc>
          <w:tcPr>
            <w:tcW w:type="dxa" w:w="1417"/>
            <w:shd w:fill="FFFFFF" w:val="clear"/>
          </w:tcPr>
          <w:p>
            <w:r>
              <w:rPr>
                <w:sz w:val="16"/>
              </w:rPr>
              <w:t>3,595</w:t>
            </w:r>
          </w:p>
        </w:tc>
        <w:tc>
          <w:tcPr>
            <w:tcW w:type="dxa" w:w="1134"/>
            <w:shd w:fill="FFC7CE" w:val="clear"/>
          </w:tcPr>
          <w:p>
            <w:r>
              <w:rPr>
                <w:b/>
                <w:color w:val="B40000"/>
                <w:sz w:val="16"/>
              </w:rPr>
              <w:t>-2.58%</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7,940</w:t>
            </w:r>
          </w:p>
        </w:tc>
        <w:tc>
          <w:tcPr>
            <w:tcW w:type="dxa" w:w="1417"/>
            <w:shd w:fill="FFFFFF" w:val="clear"/>
          </w:tcPr>
          <w:p>
            <w:r>
              <w:rPr>
                <w:sz w:val="16"/>
              </w:rPr>
              <w:t>7,718</w:t>
            </w:r>
          </w:p>
        </w:tc>
        <w:tc>
          <w:tcPr>
            <w:tcW w:type="dxa" w:w="1134"/>
            <w:shd w:fill="FFC7CE" w:val="clear"/>
          </w:tcPr>
          <w:p>
            <w:r>
              <w:rPr>
                <w:b/>
                <w:color w:val="B40000"/>
                <w:sz w:val="16"/>
              </w:rPr>
              <w:t>-2.79%</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45,000</w:t>
            </w:r>
          </w:p>
        </w:tc>
        <w:tc>
          <w:tcPr>
            <w:tcW w:type="dxa" w:w="1417"/>
            <w:shd w:fill="FFFFFF" w:val="clear"/>
          </w:tcPr>
          <w:p>
            <w:r>
              <w:rPr>
                <w:sz w:val="16"/>
              </w:rPr>
              <w:t>43,573</w:t>
            </w:r>
          </w:p>
        </w:tc>
        <w:tc>
          <w:tcPr>
            <w:tcW w:type="dxa" w:w="1134"/>
            <w:shd w:fill="FFC7CE" w:val="clear"/>
          </w:tcPr>
          <w:p>
            <w:r>
              <w:rPr>
                <w:b/>
                <w:color w:val="B40000"/>
                <w:sz w:val="16"/>
              </w:rPr>
              <w:t>-3.17%</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49,041</w:t>
            </w:r>
          </w:p>
        </w:tc>
        <w:tc>
          <w:tcPr>
            <w:tcW w:type="dxa" w:w="1134"/>
            <w:shd w:fill="FFC7CE" w:val="clear"/>
          </w:tcPr>
          <w:p>
            <w:r>
              <w:rPr>
                <w:b/>
                <w:color w:val="B40000"/>
                <w:sz w:val="16"/>
              </w:rPr>
              <w:t>-3.84%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4,450</w:t>
            </w:r>
          </w:p>
        </w:tc>
        <w:tc>
          <w:tcPr>
            <w:tcW w:type="dxa" w:w="1417"/>
            <w:shd w:fill="FFFFFF" w:val="clear"/>
          </w:tcPr>
          <w:p>
            <w:r>
              <w:rPr>
                <w:sz w:val="16"/>
              </w:rPr>
              <w:t>4,256</w:t>
            </w:r>
          </w:p>
        </w:tc>
        <w:tc>
          <w:tcPr>
            <w:tcW w:type="dxa" w:w="1134"/>
            <w:shd w:fill="FFC7CE" w:val="clear"/>
          </w:tcPr>
          <w:p>
            <w:r>
              <w:rPr>
                <w:b/>
                <w:color w:val="B40000"/>
                <w:sz w:val="16"/>
              </w:rPr>
              <w:t>-4.37%</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7,890</w:t>
            </w:r>
          </w:p>
        </w:tc>
        <w:tc>
          <w:tcPr>
            <w:tcW w:type="dxa" w:w="1417"/>
            <w:shd w:fill="FFFFFF" w:val="clear"/>
          </w:tcPr>
          <w:p>
            <w:r>
              <w:rPr>
                <w:sz w:val="16"/>
              </w:rPr>
              <w:t>7,526</w:t>
            </w:r>
          </w:p>
        </w:tc>
        <w:tc>
          <w:tcPr>
            <w:tcW w:type="dxa" w:w="1134"/>
            <w:shd w:fill="FFC7CE" w:val="clear"/>
          </w:tcPr>
          <w:p>
            <w:r>
              <w:rPr>
                <w:b/>
                <w:color w:val="B40000"/>
                <w:sz w:val="16"/>
              </w:rPr>
              <w:t>-4.61%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30,300</w:t>
            </w:r>
          </w:p>
        </w:tc>
        <w:tc>
          <w:tcPr>
            <w:tcW w:type="dxa" w:w="1417"/>
            <w:shd w:fill="FFFFFF" w:val="clear"/>
          </w:tcPr>
          <w:p>
            <w:r>
              <w:rPr>
                <w:sz w:val="16"/>
              </w:rPr>
              <w:t>28,728</w:t>
            </w:r>
          </w:p>
        </w:tc>
        <w:tc>
          <w:tcPr>
            <w:tcW w:type="dxa" w:w="1134"/>
            <w:shd w:fill="FFC7CE" w:val="clear"/>
          </w:tcPr>
          <w:p>
            <w:r>
              <w:rPr>
                <w:b/>
                <w:color w:val="B40000"/>
                <w:sz w:val="16"/>
              </w:rPr>
              <w:t>-5.19%</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33,800</w:t>
            </w:r>
          </w:p>
        </w:tc>
        <w:tc>
          <w:tcPr>
            <w:tcW w:type="dxa" w:w="1417"/>
            <w:shd w:fill="FFFFFF" w:val="clear"/>
          </w:tcPr>
          <w:p>
            <w:r>
              <w:rPr>
                <w:sz w:val="16"/>
              </w:rPr>
              <w:t>31,966</w:t>
            </w:r>
          </w:p>
        </w:tc>
        <w:tc>
          <w:tcPr>
            <w:tcW w:type="dxa" w:w="1134"/>
            <w:shd w:fill="FFC7CE" w:val="clear"/>
          </w:tcPr>
          <w:p>
            <w:r>
              <w:rPr>
                <w:b/>
                <w:color w:val="B40000"/>
                <w:sz w:val="16"/>
              </w:rPr>
              <w:t>-5.43%</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6,500</w:t>
            </w:r>
          </w:p>
        </w:tc>
        <w:tc>
          <w:tcPr>
            <w:tcW w:type="dxa" w:w="1417"/>
            <w:shd w:fill="FFFFFF" w:val="clear"/>
          </w:tcPr>
          <w:p>
            <w:r>
              <w:rPr>
                <w:sz w:val="16"/>
              </w:rPr>
              <w:t>6,138</w:t>
            </w:r>
          </w:p>
        </w:tc>
        <w:tc>
          <w:tcPr>
            <w:tcW w:type="dxa" w:w="1134"/>
            <w:shd w:fill="FFC7CE" w:val="clear"/>
          </w:tcPr>
          <w:p>
            <w:r>
              <w:rPr>
                <w:b/>
                <w:color w:val="B40000"/>
                <w:sz w:val="16"/>
              </w:rPr>
              <w:t>-5.57%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2,245</w:t>
            </w:r>
          </w:p>
        </w:tc>
        <w:tc>
          <w:tcPr>
            <w:tcW w:type="dxa" w:w="1417"/>
            <w:shd w:fill="FFFFFF" w:val="clear"/>
          </w:tcPr>
          <w:p>
            <w:r>
              <w:rPr>
                <w:sz w:val="16"/>
              </w:rPr>
              <w:t>2,113</w:t>
            </w:r>
          </w:p>
        </w:tc>
        <w:tc>
          <w:tcPr>
            <w:tcW w:type="dxa" w:w="1134"/>
            <w:shd w:fill="FFC7CE" w:val="clear"/>
          </w:tcPr>
          <w:p>
            <w:r>
              <w:rPr>
                <w:b/>
                <w:color w:val="B40000"/>
                <w:sz w:val="16"/>
              </w:rPr>
              <w:t>-5.90%</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8,300</w:t>
            </w:r>
          </w:p>
        </w:tc>
        <w:tc>
          <w:tcPr>
            <w:tcW w:type="dxa" w:w="1417"/>
            <w:shd w:fill="FFFFFF" w:val="clear"/>
          </w:tcPr>
          <w:p>
            <w:r>
              <w:rPr>
                <w:sz w:val="16"/>
              </w:rPr>
              <w:t>7,804</w:t>
            </w:r>
          </w:p>
        </w:tc>
        <w:tc>
          <w:tcPr>
            <w:tcW w:type="dxa" w:w="1134"/>
            <w:shd w:fill="FFC7CE" w:val="clear"/>
          </w:tcPr>
          <w:p>
            <w:r>
              <w:rPr>
                <w:b/>
                <w:color w:val="B40000"/>
                <w:sz w:val="16"/>
              </w:rPr>
              <w:t>-5.98%</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9,160</w:t>
            </w:r>
          </w:p>
        </w:tc>
        <w:tc>
          <w:tcPr>
            <w:tcW w:type="dxa" w:w="1417"/>
            <w:shd w:fill="FFFFFF" w:val="clear"/>
          </w:tcPr>
          <w:p>
            <w:r>
              <w:rPr>
                <w:sz w:val="16"/>
              </w:rPr>
              <w:t>8,544</w:t>
            </w:r>
          </w:p>
        </w:tc>
        <w:tc>
          <w:tcPr>
            <w:tcW w:type="dxa" w:w="1134"/>
            <w:shd w:fill="FFC7CE" w:val="clear"/>
          </w:tcPr>
          <w:p>
            <w:r>
              <w:rPr>
                <w:b/>
                <w:color w:val="B40000"/>
                <w:sz w:val="16"/>
              </w:rPr>
              <w:t>-6.73%</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3,370</w:t>
            </w:r>
          </w:p>
        </w:tc>
        <w:tc>
          <w:tcPr>
            <w:tcW w:type="dxa" w:w="1417"/>
            <w:shd w:fill="FFFFFF" w:val="clear"/>
          </w:tcPr>
          <w:p>
            <w:r>
              <w:rPr>
                <w:sz w:val="16"/>
              </w:rPr>
              <w:t>3,142</w:t>
            </w:r>
          </w:p>
        </w:tc>
        <w:tc>
          <w:tcPr>
            <w:tcW w:type="dxa" w:w="1134"/>
            <w:shd w:fill="FFC7CE" w:val="clear"/>
          </w:tcPr>
          <w:p>
            <w:r>
              <w:rPr>
                <w:b/>
                <w:color w:val="B40000"/>
                <w:sz w:val="16"/>
              </w:rPr>
              <w:t>-6.78%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1,995</w:t>
            </w:r>
          </w:p>
        </w:tc>
        <w:tc>
          <w:tcPr>
            <w:tcW w:type="dxa" w:w="1417"/>
            <w:shd w:fill="FFFFFF" w:val="clear"/>
          </w:tcPr>
          <w:p>
            <w:r>
              <w:rPr>
                <w:sz w:val="16"/>
              </w:rPr>
              <w:t>1,856</w:t>
            </w:r>
          </w:p>
        </w:tc>
        <w:tc>
          <w:tcPr>
            <w:tcW w:type="dxa" w:w="1134"/>
            <w:shd w:fill="FFC7CE" w:val="clear"/>
          </w:tcPr>
          <w:p>
            <w:r>
              <w:rPr>
                <w:b/>
                <w:color w:val="B40000"/>
                <w:sz w:val="16"/>
              </w:rPr>
              <w:t>-6.96%</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2,360</w:t>
            </w:r>
          </w:p>
        </w:tc>
        <w:tc>
          <w:tcPr>
            <w:tcW w:type="dxa" w:w="1417"/>
            <w:shd w:fill="FFFFFF" w:val="clear"/>
          </w:tcPr>
          <w:p>
            <w:r>
              <w:rPr>
                <w:sz w:val="16"/>
              </w:rPr>
              <w:t>2,194</w:t>
            </w:r>
          </w:p>
        </w:tc>
        <w:tc>
          <w:tcPr>
            <w:tcW w:type="dxa" w:w="1134"/>
            <w:shd w:fill="FFC7CE" w:val="clear"/>
          </w:tcPr>
          <w:p>
            <w:r>
              <w:rPr>
                <w:b/>
                <w:color w:val="B40000"/>
                <w:sz w:val="16"/>
              </w:rPr>
              <w:t>-7.03%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6,090</w:t>
            </w:r>
          </w:p>
        </w:tc>
        <w:tc>
          <w:tcPr>
            <w:tcW w:type="dxa" w:w="1417"/>
            <w:shd w:fill="FFFFFF" w:val="clear"/>
          </w:tcPr>
          <w:p>
            <w:r>
              <w:rPr>
                <w:sz w:val="16"/>
              </w:rPr>
              <w:t>5,485</w:t>
            </w:r>
          </w:p>
        </w:tc>
        <w:tc>
          <w:tcPr>
            <w:tcW w:type="dxa" w:w="1134"/>
            <w:shd w:fill="FFC7CE" w:val="clear"/>
          </w:tcPr>
          <w:p>
            <w:r>
              <w:rPr>
                <w:b/>
                <w:color w:val="B40000"/>
                <w:sz w:val="16"/>
              </w:rPr>
              <w:t>-9.93%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22,000</w:t>
            </w:r>
          </w:p>
        </w:tc>
        <w:tc>
          <w:tcPr>
            <w:tcW w:type="dxa" w:w="1417"/>
            <w:shd w:fill="FFFFFF" w:val="clear"/>
          </w:tcPr>
          <w:p>
            <w:r>
              <w:rPr>
                <w:sz w:val="16"/>
              </w:rPr>
              <w:t>19,542</w:t>
            </w:r>
          </w:p>
        </w:tc>
        <w:tc>
          <w:tcPr>
            <w:tcW w:type="dxa" w:w="1134"/>
            <w:shd w:fill="FFC7CE" w:val="clear"/>
          </w:tcPr>
          <w:p>
            <w:r>
              <w:rPr>
                <w:b/>
                <w:color w:val="B40000"/>
                <w:sz w:val="16"/>
              </w:rPr>
              <w:t>-11.17%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8,175</w:t>
            </w:r>
          </w:p>
        </w:tc>
        <w:tc>
          <w:tcPr>
            <w:tcW w:type="dxa" w:w="1417"/>
            <w:shd w:fill="FFFFFF" w:val="clear"/>
          </w:tcPr>
          <w:p>
            <w:r>
              <w:rPr>
                <w:sz w:val="16"/>
              </w:rPr>
              <w:t>7,117</w:t>
            </w:r>
          </w:p>
        </w:tc>
        <w:tc>
          <w:tcPr>
            <w:tcW w:type="dxa" w:w="1134"/>
            <w:shd w:fill="FFC7CE" w:val="clear"/>
          </w:tcPr>
          <w:p>
            <w:r>
              <w:rPr>
                <w:b/>
                <w:color w:val="B40000"/>
                <w:sz w:val="16"/>
              </w:rPr>
              <w:t>-12.94%</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3,413 titres</w:t>
            </w:r>
          </w:p>
        </w:tc>
        <w:tc>
          <w:tcPr>
            <w:tcW w:type="dxa" w:w="2268"/>
            <w:shd w:fill="FFF2CC" w:val="clear"/>
          </w:tcPr>
          <w:p>
            <w:r>
              <w:rPr>
                <w:b/>
                <w:color w:val="503200"/>
                <w:sz w:val="16"/>
              </w:rPr>
              <w:t xml:space="preserve">Cours actuel : </w:t>
            </w:r>
            <w:r>
              <w:rPr>
                <w:color w:val="000000"/>
                <w:sz w:val="17"/>
              </w:rPr>
              <w:t>3,370 FCFA</w:t>
            </w:r>
          </w:p>
          <w:p>
            <w:r>
              <w:rPr>
                <w:b/>
                <w:color w:val="503200"/>
                <w:sz w:val="16"/>
              </w:rPr>
              <w:t xml:space="preserve">Var. 100 jours : </w:t>
            </w:r>
            <w:r>
              <w:rPr>
                <w:b/>
                <w:color w:val="007800"/>
                <w:sz w:val="17"/>
              </w:rPr>
              <w:t>+13.28%</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11.20% (Moyenne) — μ=3,334 FCFA, σ=374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β=0.2126 (Défensif) — Cov=0.000015, Var(idx)=0.000068, ρ=0.064,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3,117</w:t>
            </w:r>
          </w:p>
        </w:tc>
        <w:tc>
          <w:tcPr>
            <w:tcW w:type="dxa" w:w="1440"/>
            <w:shd w:fill="FAFAFA" w:val="clear"/>
          </w:tcPr>
          <w:p>
            <w:r>
              <w:rPr>
                <w:b/>
                <w:sz w:val="17"/>
              </w:rPr>
              <w:t>3,339</w:t>
            </w:r>
          </w:p>
        </w:tc>
        <w:tc>
          <w:tcPr>
            <w:tcW w:type="dxa" w:w="1440"/>
            <w:shd w:fill="FAFAFA" w:val="clear"/>
          </w:tcPr>
          <w:p>
            <w:r>
              <w:rPr>
                <w:sz w:val="17"/>
              </w:rPr>
              <w:t>3,560</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3,046</w:t>
            </w:r>
          </w:p>
        </w:tc>
        <w:tc>
          <w:tcPr>
            <w:tcW w:type="dxa" w:w="1440"/>
            <w:shd w:fill="FAFAFA" w:val="clear"/>
          </w:tcPr>
          <w:p>
            <w:r>
              <w:rPr>
                <w:b/>
                <w:sz w:val="17"/>
              </w:rPr>
              <w:t>3,316</w:t>
            </w:r>
          </w:p>
        </w:tc>
        <w:tc>
          <w:tcPr>
            <w:tcW w:type="dxa" w:w="1440"/>
            <w:shd w:fill="FAFAFA" w:val="clear"/>
          </w:tcPr>
          <w:p>
            <w:r>
              <w:rPr>
                <w:sz w:val="17"/>
              </w:rPr>
              <w:t>3,585</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2,983</w:t>
            </w:r>
          </w:p>
        </w:tc>
        <w:tc>
          <w:tcPr>
            <w:tcW w:type="dxa" w:w="1440"/>
            <w:shd w:fill="FFDCE0" w:val="clear"/>
          </w:tcPr>
          <w:p>
            <w:r>
              <w:rPr>
                <w:b/>
                <w:sz w:val="17"/>
              </w:rPr>
              <w:t>3,291</w:t>
            </w:r>
          </w:p>
        </w:tc>
        <w:tc>
          <w:tcPr>
            <w:tcW w:type="dxa" w:w="1440"/>
            <w:shd w:fill="FFDCE0" w:val="clear"/>
          </w:tcPr>
          <w:p>
            <w:r>
              <w:rPr>
                <w:sz w:val="17"/>
              </w:rPr>
              <w:t>3,600</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2,922</w:t>
            </w:r>
          </w:p>
        </w:tc>
        <w:tc>
          <w:tcPr>
            <w:tcW w:type="dxa" w:w="1440"/>
            <w:shd w:fill="FFDCE0" w:val="clear"/>
          </w:tcPr>
          <w:p>
            <w:r>
              <w:rPr>
                <w:b/>
                <w:sz w:val="17"/>
              </w:rPr>
              <w:t>3,265</w:t>
            </w:r>
          </w:p>
        </w:tc>
        <w:tc>
          <w:tcPr>
            <w:tcW w:type="dxa" w:w="1440"/>
            <w:shd w:fill="FFDCE0" w:val="clear"/>
          </w:tcPr>
          <w:p>
            <w:r>
              <w:rPr>
                <w:sz w:val="17"/>
              </w:rPr>
              <w:t>3,607</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2,866</w:t>
            </w:r>
          </w:p>
        </w:tc>
        <w:tc>
          <w:tcPr>
            <w:tcW w:type="dxa" w:w="1440"/>
            <w:shd w:fill="FFDCE0" w:val="clear"/>
          </w:tcPr>
          <w:p>
            <w:r>
              <w:rPr>
                <w:b/>
                <w:sz w:val="17"/>
              </w:rPr>
              <w:t>3,238</w:t>
            </w:r>
          </w:p>
        </w:tc>
        <w:tc>
          <w:tcPr>
            <w:tcW w:type="dxa" w:w="1440"/>
            <w:shd w:fill="FFDCE0" w:val="clear"/>
          </w:tcPr>
          <w:p>
            <w:r>
              <w:rPr>
                <w:sz w:val="17"/>
              </w:rPr>
              <w:t>3,610</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2,814</w:t>
            </w:r>
          </w:p>
        </w:tc>
        <w:tc>
          <w:tcPr>
            <w:tcW w:type="dxa" w:w="1440"/>
            <w:shd w:fill="FFDCE0" w:val="clear"/>
          </w:tcPr>
          <w:p>
            <w:r>
              <w:rPr>
                <w:b/>
                <w:sz w:val="17"/>
              </w:rPr>
              <w:t>3,213</w:t>
            </w:r>
          </w:p>
        </w:tc>
        <w:tc>
          <w:tcPr>
            <w:tcW w:type="dxa" w:w="1440"/>
            <w:shd w:fill="FFDCE0" w:val="clear"/>
          </w:tcPr>
          <w:p>
            <w:r>
              <w:rPr>
                <w:sz w:val="17"/>
              </w:rPr>
              <w:t>3,611</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2,765</w:t>
            </w:r>
          </w:p>
        </w:tc>
        <w:tc>
          <w:tcPr>
            <w:tcW w:type="dxa" w:w="1440"/>
            <w:shd w:fill="FFDCE0" w:val="clear"/>
          </w:tcPr>
          <w:p>
            <w:r>
              <w:rPr>
                <w:b/>
                <w:sz w:val="17"/>
              </w:rPr>
              <w:t>3,188</w:t>
            </w:r>
          </w:p>
        </w:tc>
        <w:tc>
          <w:tcPr>
            <w:tcW w:type="dxa" w:w="1440"/>
            <w:shd w:fill="FFDCE0" w:val="clear"/>
          </w:tcPr>
          <w:p>
            <w:r>
              <w:rPr>
                <w:sz w:val="17"/>
              </w:rPr>
              <w:t>3,611</w:t>
            </w:r>
          </w:p>
        </w:tc>
        <w:tc>
          <w:tcPr>
            <w:tcW w:type="dxa" w:w="1440"/>
            <w:shd w:fill="FFDCE0" w:val="clear"/>
          </w:tcPr>
          <w:p>
            <w:r>
              <w:rPr>
                <w:b/>
                <w:color w:val="C00000"/>
                <w:sz w:val="17"/>
              </w:rPr>
              <w:t>-5.4%</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2,719</w:t>
            </w:r>
          </w:p>
        </w:tc>
        <w:tc>
          <w:tcPr>
            <w:tcW w:type="dxa" w:w="1440"/>
            <w:shd w:fill="FFDCE0" w:val="clear"/>
          </w:tcPr>
          <w:p>
            <w:r>
              <w:rPr>
                <w:b/>
                <w:sz w:val="17"/>
              </w:rPr>
              <w:t>3,164</w:t>
            </w:r>
          </w:p>
        </w:tc>
        <w:tc>
          <w:tcPr>
            <w:tcW w:type="dxa" w:w="1440"/>
            <w:shd w:fill="FFDCE0" w:val="clear"/>
          </w:tcPr>
          <w:p>
            <w:r>
              <w:rPr>
                <w:sz w:val="17"/>
              </w:rPr>
              <w:t>3,609</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2,676</w:t>
            </w:r>
          </w:p>
        </w:tc>
        <w:tc>
          <w:tcPr>
            <w:tcW w:type="dxa" w:w="1440"/>
            <w:shd w:fill="FFDCE0" w:val="clear"/>
          </w:tcPr>
          <w:p>
            <w:r>
              <w:rPr>
                <w:b/>
                <w:sz w:val="17"/>
              </w:rPr>
              <w:t>3,142</w:t>
            </w:r>
          </w:p>
        </w:tc>
        <w:tc>
          <w:tcPr>
            <w:tcW w:type="dxa" w:w="1440"/>
            <w:shd w:fill="FFDCE0" w:val="clear"/>
          </w:tcPr>
          <w:p>
            <w:r>
              <w:rPr>
                <w:sz w:val="17"/>
              </w:rPr>
              <w:t>3,607</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36,77 milliards FCFA, ABJC se positionne comme une valeur de moyenne capitalisation sur le compartiment BRVM, loin des poids lourds bancaires et télécoms mais suffisamment liquide pour intéresser les investisseurs institutionnels régionaux. Le BPA de 124 FCFA/action signifie que chaque titre génère un bénéfice net de 124 FCFA, ce qui, rapporté au cours actuel de 3 370 FCFA, aboutit à un PER de 27,2x — soit plus du double de la moyenne BRVM (8-12x), signalant que le marché intègre déjà une forte prime de croissance ou, à l'inverse, une possible surévaluation. Le P/B de 7,13x confirme cette lecture : le marché valorise l'action à plus de sept fois sa valeur comptable, une prime exigeante qui n'est justifiée que par des perspectives de rentabilité durablement supérieures à la moyenne. Enfin, l'EV/EBITDA de 13,8x, dans la fourchette haute (10-15x), traduit une valorisation tendue de la valeur d'entreprise par rapport à sa capacité opérationnelle,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progression totale de +13,28%, mais la dernière séance (J-1) a été marquée par une chute brutale de -7,42%, ramenant le cours à 3 370 FCFA. Le range de trading est large, avec un plus haut à 4 095 FCFA et un plus bas à 2 800 FCFA, soit une amplitude de près de 46% — signe d'une forte nervosité du titre. La tendance générale reste haussière sur la période, mais le décrochage récent suggère une prise de bénéfices ou une réaction à des nouvelles défavorables. Les statistiques descriptives révèlent une moyenne (3 334 FCFA) supérieure à la médiane (3 212 FCFA), confirmant une asymétrie positive : quelques séances de forte hausse tirent la moyenne vers le haut, tandis que la majorité des jours se situent sous cette moyenne (skewness de 0,601). L'écart-type de 375 FCFA (CV de 11,3%) indique une dispersion modérée autour de la moyenne, mais la volatilité annualisée de 45,1% classe le titre dans la catégorie des valeurs très volatiles (&gt;30%), ce qui implique un risque de perte en capital significatif à court terme. Le kurtosis de -0,871 (mésokurtique) suggère une distribution proche de la normale, sans pics extrêmes fréquents, mais la combinaison d'une volatilité élevée et d'un skewness positif appelle à la prudence : les gains potentiels sont réels, mais les corrections peuvent être violentes, comme l'illustre la chute de -7,42% en une seule séance.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(3 896,75 FCFA) et la MM50 (3 540,20 FCFA) sont toutes deux supérieures au cours actuel (3 370 FCFA), ce qui place le titre en dessous de ses moyennes de court et moyen terme. Cette configuration est théoriquement baissière, mais la décision fournie est "Achat", probablement basée sur un signal de retournement ou de survente. La MM20 étant nettement au-dessus de la MM50, la tendance de fond reste haussière, mais le cours doit reconquérir ces niveaux pour confirmer un rebond.</w:t>
      </w:r>
    </w:p>
    <w:p>
      <w:pPr>
        <w:spacing w:after="120" w:line="276" w:lineRule="auto"/>
      </w:pPr>
      <w:r>
        <w:t>**Bandes de Bollinger** : Le cours (3 370 FCFA) se situe sous la borne inférieure (3 528,21 FCFA), ce qui est un signal de survente extrême. La décision "Achat" est cohérente avec cette position : statistiquement, un retour vers la moyenne (3 896,75 FCFA) est probable. La largeur des bandes (supérieure à 4 265 FCFA, inférieure à 3 528 FCFA) reflète une volatilité élevée, mais le prix sous la borne basse suggère une opportunité contrariante.</w:t>
      </w:r>
    </w:p>
    <w:p>
      <w:pPr>
        <w:spacing w:after="120" w:line="276" w:lineRule="auto"/>
      </w:pPr>
      <w:r>
        <w:t>**MACD** : La valeur du MACD (-2,179) est négative et très inférieure à son signal (84,451), ce qui indique un momentum baissier prononcé. La décision "Vente" est justifiée par cette divergence négative : la dynamique de court terme est clairement défavorable, et un croisement haussier n'est pas encore visible.</w:t>
      </w:r>
    </w:p>
    <w:p>
      <w:pPr>
        <w:spacing w:after="120" w:line="276" w:lineRule="auto"/>
      </w:pPr>
      <w:r>
        <w:t>**RSI** : Avec une valeur de 17,195, le RSI est en zone de survente extrême (&lt;30), ce qui signale que le titre a été massivement vendu et qu'un rebond technique est probable. La décision "Achat" est cohérente avec cette lecture : historiquement, un RSI aussi bas précède souvent un retournement à la hausse.</w:t>
      </w:r>
    </w:p>
    <w:p>
      <w:pPr>
        <w:spacing w:after="120" w:line="276" w:lineRule="auto"/>
      </w:pPr>
      <w:r>
        <w:t>**Stochastique** : Le %K et le %D sont tous deux à 0,0, ce qui est un signal de survente maximale. La décision "Achat" est justifiée par cette configuration : le croisement des lignes stochastiques en zone basse est un signal d'achat classique, bien que le timing exact reste incertain.</w:t>
      </w:r>
    </w:p>
    <w:p>
      <w:pPr>
        <w:spacing w:after="120" w:line="276" w:lineRule="auto"/>
      </w:pPr>
      <w:r>
        <w:t>**Conclusion technique** : Les indicateurs sont divergents : les moyennes mobiles et le MACD sont baissiers, tandis que le RSI, le stochastique et les bandes de Bollinger signalent une survente extrême et un potentiel rebond. Cette divergence suggère que le titre est à un point d'inflexion : soit un rebond technique se matérialise (favorisé par la survente), soit la tendance baissière se poursuit (confirmée par le MACD). La prudence est de mise, mais les signaux de survente dominent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Servair Abidjan a réalisé un chiffre d'affaires de 13,298 milliards FCFA, en croissance de 6,67% par rapport à 2024, portée par la dynamique du trafic aérien et la diversification vers les activités non aériennes. Le résultat net s'établit à 1,351 milliard FCFA, en baisse de 12,1% (contre 1,515 milliard en 2024), principalement en raison d'une charge d'impôt en forte hausse (+46,7% à 839,75 millions FCFA). La rentabilité reste solide avec un ROE de 26,18% (&gt;15%, excellent) et un ROA de 14,64%, témoignant d'une bonne efficacité dans l'utilisation des capitaux propres et des actifs. La structure financière est saine : autonomie financière de 55,92%, endettement financier quasi nul (dette financière totale de 65,89 millions FCFA seulement), et une trésorerie nette de 4,035 milliards FCFA. Le BFR est positif à 257,45 millions FCFA, mais les délais clients (70,10 jours) et fournisseurs (92,11 jours) sont élevés : le délai client représente un risque de trésorerie, tandis que le délai fournisseur est favorable. La marge nette de 10,16% est correcte mais en baisse par rapport à 2024 (12,1%). Les rapports trimestriels récents (T1 2026, publié le 30 avril 2026) montrent une dégradation inquiétante : le chiffre d'affaires progresse de seulement 1,9% à 3,237 milliards FCFA, mais le résultat net chute de 35,6% à 222,6 millions FCFA, et le résultat des activités ordinaires recule de 27,4%. Cette contre-performance est attribuée à des ajustements de redevances aéroportuaires et à des tensions géopolitiques au Moyen-Orient affectant les compagnies clientes. Sur la base de ce T1 2026, on peut estimer que l'exercice 2026 devrait être difficile, avec une pression persistante sur les marges. Le rapport T3 2025 (publié le 30 septembre 2025) montrait déjà un ralentissement, mais le T1 2026 confirme une tendance baissière de la rentabilité. La société reste fondamentalement solide (trésorerie, endettement faible), mais les perspectives à court terme sont préoccupantes.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d'ABJC est exigeante : PER de 27,2x, P/B de 7,13x et EV/EBITDA de 13,8x, bien au-dessus des moyennes du marché BRVM, ce qui intègre déjà une forte prime de croissance. Le comportement du cours est préoccupant : malgré une hausse de +13,28% sur 100 jours, la chute de -7,42% en une séance et la volatilité annualisée de 45,1% signalent une nervosité extrême, avec un skewness positif (0,601) indiquant que les baisses sont plus fréquentes que les hausses. Les signaux techniques sont divergents : les indicateurs de survente (RSI à 17,2, stochastique à 0, bandes de Bollinger sous la borne basse) plaident pour un rebond, mais le MACD baissier et les moyennes mobiles au-dessus du cours tempèrent cet optimisme. Les fondamentaux sont mitigés : la solidité financière (ROE de 26,18%, trésorerie de 4,035 milliards FCFA, endettement quasi nul) est indéniable, mais la dégradation de la rentabilité au T1 2026 (résultat net -35,6%) et la baisse du résultat net 2025 (-12,1%) sont des signaux d'alerte. Les prédictions IA (J+1 à J+10) anticipent une poursuite de la baisse, avec un cours cible de 3 238 FCFA à J+10, ce qui contredit les signaux de survente technique et suggère que la pression baissière pourrait persister. Sur la base de cette synthèse, la recommandation est **CONSERVER** : la solidité financière et le potentiel de rebond technique justifient de ne pas vendre, mais la dégradation des fondamentaux et la valorisation tendue incitent à la prudence. Le niveau de confiance est **Moyen** (les signaux sont contradictoires), et le risque global est **Élevé** (volatilité de 45,1%, PER élevé, dégradation des marges). L'horizon d'investissement optimal est **moyen terme (3-12 mois)**, en attendant la confirmation d'un retournement de tendance ou la publication des prochains résultats trimestriels.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440.00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46,451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+21.30%</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75.5%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17.2/100 → Faible</w:t>
      </w:r>
    </w:p>
    <w:p>
      <w:pPr>
        <w:spacing w:before="40" w:after="80"/>
      </w:pPr>
      <w:r>
        <w:rPr>
          <w:rFonts w:ascii="Courier New" w:hAnsi="Courier New"/>
          <w:color w:val="006400"/>
          <w:sz w:val="18"/>
        </w:rPr>
        <w:t>███░░░░░░░░░░░░░░░░░  17.2/100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7.79% (Moyenne) — μ=8,371 FCFA, σ=652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β≈0.78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β≈0.78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46,451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σ_j=4.75%/j (Modérée) — Vol. annualisée≈75.5%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spacing w:after="120" w:line="276" w:lineRule="auto"/>
      </w:pPr>
      <w:r>
        <w:t># 📊 RAPPORT D'ANALYSE FINANCIÈRE — BBGCI (BRIDGE BANK GROUP CÔTE D'IVOIRE)</w:t>
        <w:br/>
        <w:t>**Marché : BRVM | Secteur : Banque | Date d'analyse :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BBGCI s'établit à **440,00 milliards FCFA** pour un cours de **8 800 FCFA**, ce qui positionne le titre parmi les plus importantes capitalisations bancaires de la BRVM, un statut cohérent avec l'ampleur de son bilan (dépôts clientèle de 1 318,3 Mds FCFA au S1 2026). Les ratios de valorisation classiques (BPA, PER, P/B, EV/EBITDA) ne sont pas calculables en l'état, faute de données structurées sur le nombre total d'actions en circulation, les capitaux propres et l'EBITDA bancaire. Toutefois, un repère indirect est disponible : l'OPV a été réalisée à **6 750 FCFA par action** pour 10 millions de titres (20% du capital), ce qui implique une capitalisation d'introduction d'environ **337,5 Mds FCFA** ; le cours actuel de 8 800 FCFA représente donc une **prime de +30,4%** par rapport au prix d'OPV, traduisant un fort engouement du marché. À titre indicatif, si l'on annualise le résultat net du S1 2026 (15,2 Mds FCFA → ~30,4 Mds FCFA), le PER implicite ressortirait autour de **14-15x**, soit légèrement au-dessus de la moyenne BRVM (8-12x), ce qui suggère une valorisation déjà exigeante intégrant la forte croissance attendue. L'investisseur devra surveiller la publication du prospectus d'introduction pour obtenir le BPA et le P/B définitifs.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BBGCI affiche une **performance remarquable de +21,30%**, malgré un repli de **-2,22%** lors de la dernière séance (J-1), signe d'une prise de profit ponctuelle après un rallye soutenu. Le range de trading s'étend de **7 255 FCFA (plus bas)** à **9 000 FCFA (plus haut)**, soit une amplitude de 24%, avec un cours actuel de 8 800 FCFA positionné dans le haut de cette fourchette — la tendance générale est donc clairement **haussière**. Les statistiques descriptives révèlent une **moyenne de 8 371 FCFA** inférieure à la **médiane de 8 588 FCFA**, écart qui confirme une distribution asymétrique avec davantage de séances de forte hausse que de baisse. L'**écart-type de 715 FCFA (CV = 8,5%)** indique une dispersion modérée autour de la moyenne, tandis que le **kurtosis de -1,151 (platykurtique)** signale une distribution aplatie, donc un risque de pics extrêmes relativement faible — bon signe pour la stabilité. Le **skewness de -0,602** (asymétrie négative) confirme que la majorité des journées se situent au-dessus de la moyenne, avec quelques journées de correction marquée. Enfin, la **volatilité annualisée de 75,5%** classe le titre dans la catégorie **très élevée (&gt;30%)**, typique d'une valeur récemment introduite en bourse avec une liquidité encore limitée (volume moyen de 46 451 titres/jour).</w:t>
      </w:r>
    </w:p>
    <w:p>
      <w:pPr>
        <w:spacing w:after="120" w:line="276" w:lineRule="auto"/>
      </w:pPr>
      <w:r>
        <w:t>---</w:t>
      </w:r>
    </w:p>
    <w:p>
      <w:pPr>
        <w:spacing w:after="120" w:line="276" w:lineRule="auto"/>
      </w:pPr>
      <w:r>
        <w:t>## PARTIE 2 : ANALYSE TECHNIQUE DÉTAILLÉE</w:t>
      </w:r>
    </w:p>
    <w:p>
      <w:pPr>
        <w:spacing w:after="120" w:line="276" w:lineRule="auto"/>
      </w:pPr>
      <w:r>
        <w:t>**Moyennes Mobiles (MM20 / MM50) :** Les valeurs MM20 et MM50 ne sont pas disponibles (nan), ce qui s'explique probablement par un historique de cotation encore insuffisant depuis l'introduction en bourse. Aucune décision technique ne peut donc être dérivée de ces indicateurs ; il conviendra de les recalculer dès que 50 séances de cotation seront disponibles.</w:t>
      </w:r>
    </w:p>
    <w:p>
      <w:pPr>
        <w:spacing w:after="120" w:line="276" w:lineRule="auto"/>
      </w:pPr>
      <w:r>
        <w:t>**Bandes de Bollinger :** Les bornes supérieure et inférieure sont indisponibles (nan), rendant impossible l'évaluation de la position relative du cours (8 800 FCFA) par rapport à ces bandes. L'absence de ces données empêche toute décision technique sur ce critère, mais la volatilité annualisée de 75,5% suggère des bandes qui seraient, une fois calculables, particulièrement larges.</w:t>
      </w:r>
    </w:p>
    <w:p>
      <w:pPr>
        <w:spacing w:after="120" w:line="276" w:lineRule="auto"/>
      </w:pPr>
      <w:r>
        <w:t>**MACD :** Les valeurs MACD et Signal sont indisponibles (nan), ne permettant pas d'analyser la divergence ni le momentum. Aucune décision ne peut être émise sur cet indicateur en l'état.</w:t>
      </w:r>
    </w:p>
    <w:p>
      <w:pPr>
        <w:spacing w:after="120" w:line="276" w:lineRule="auto"/>
      </w:pPr>
      <w:r>
        <w:t>**RSI :** La valeur du RSI n'est pas fournie (nan), empêchant de déterminer si le titre est en zone de surachat (&gt;70), de survente (&lt;30) ou neutre. Compte tenu de la hausse de +21,30% sur 100 jours, un RSI élevé serait plausible, mais cela reste une hypothèse non vérifiable.</w:t>
      </w:r>
    </w:p>
    <w:p>
      <w:pPr>
        <w:spacing w:after="120" w:line="276" w:lineRule="auto"/>
      </w:pPr>
      <w:r>
        <w:t>**Stochastique (%K / %D) :** Les valeurs %K et %D sont indisponibles (nan), rendant impossible l'analyse d'un éventuel croisement. Aucune décision ne peut être formulée.</w:t>
      </w:r>
    </w:p>
    <w:p>
      <w:pPr>
        <w:spacing w:after="120" w:line="276" w:lineRule="auto"/>
      </w:pPr>
      <w:r>
        <w:t>**Conclusion technique :** L'ensemble des indicateurs techniques étant indisponibles en raison de l'historique de cotation trop court, aucune convergence ou divergence ne peut être établie. La seule information exploitable est la **tendance haussière confirmée (+21,30%)** et la **volatilité très élevée (75,5%)**, qui invitent à la prudence sur les points d'entrée. Une analyse technique complète deviendra possible après 3 à 6 mois de cotation supplémentaires.</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annuelles ne sont pas disponibles dans la base, mais les **rapports officiels du premier semestre 2026 (période close le 30 juin 2026, analysés le 28 septembre 2026 par DEEPSEEK et GEMINI-VISION)** fournissent des éléments fondamentaux solides et récents. Sur le **S1 2026**, BBGCI affiche un **Produit Net Bancaire (PNB) de 37,7 milliards FCFA**, en progression de **+25%** par rapport aux 30,2 Mds FCFA du S1 2025, porté par une croissance spectaculaire des **crédits à la clientèle (+28% à 823,9 Mds FCFA)** et des **dépôts clientèle (+46% à 1 318,3 Mds FCFA)**. Le **résultat net bondit de +46% à 15,2 milliards FCFA** (contre 10,4 Mds au S1 2025), avec une **marge nette de 40,3%** (vs 34,4% un an plus tôt) et un **coefficient d'exploitation de 40,3%** (contre 43,3%), très en dessous du seuil de 60% qui distingue les banques efficaces — signe d'un **effet ciseau positif** (PNB +25% vs frais généraux +16%). Le **coût du risque reste contenu à 4,3 Mds FCFA (+14%)**, progressant bien moins vite que les crédits (+28%), ce qui témoigne d'un portefeuille de qualité. Le **résultat brut d'exploitation atteint 22,5 Mds FCFA (+31%)** et le **résultat avant impôt 18,2 Mds FCFA**. La structure de bilan est saine : les dépôts (+46%) croissent plus vite que les crédits (+28%), renforçant la liquidité et la base de ressources. **Sur la base de ces chiffres semestriels, on estime que l'exercice 2026 complet pourrait dégager un résultat net annuel de l'ordre de 30 à 32 milliards FCFA**, soit une croissance annuelle estimée de +40% à +45% — sous réserve de la confirmation au S2 2026. Les perspectives sont porteuses : **avis favorable de la Commission Bancaire pour une succursale au Burkina Faso (mai 2026)**, nouvelles agences à Riviera Palmeraie, Bassam et Korhogo, et réorganisation stratégique 2026-2030 (Direction PME, Direction Organisation &amp; Excellence Opérationnelle). Les principaux risques identifiés sont la **hausse du coût du risque (+14%)**, les **risques d'exécution liés à l'expansion régionale**, et l'**environnement économique et géopolitique incertain**. En conclusion fondamentale, BBGCI présente un profil de **banque en forte croissance, rentable et bien capitalisée**, avec une dynamique commerciale exceptionnelle ; la recommandation fondamentale est **ACHAT (spéculatif)**, la réserve portant sur l'absence d'information sur la politique de dividende et sur la valorisation définitive post-introduction.</w:t>
      </w:r>
    </w:p>
    <w:p>
      <w:pPr>
        <w:spacing w:after="120" w:line="276" w:lineRule="auto"/>
      </w:pPr>
      <w:r>
        <w:t>---</w:t>
      </w:r>
    </w:p>
    <w:p>
      <w:pPr>
        <w:spacing w:after="120" w:line="276" w:lineRule="auto"/>
      </w:pPr>
      <w:r>
        <w:t>## PARTIE 4 : CONCLUSION D'INVESTISSEMENT</w:t>
      </w:r>
    </w:p>
    <w:p>
      <w:pPr>
        <w:spacing w:after="120" w:line="276" w:lineRule="auto"/>
      </w:pPr>
      <w:r>
        <w:t>La synthèse des quatre parties converge vers un **profil d'investissement attractif mais volatil**. Sur le plan de la **valorisation (Partie 0)**, la capitalisation de 440 Mds FCFA et la prime de +30,4% sur le prix d'OPV suggèrent une valorisation déjà généreuse, avec un PER implicite estimé à 14-15x (au-dessus de la moyenne BRVM de 8-12x), ce qui intègre les anticipations de forte croissance. Le **comportement du cours (Partie 1)** est clairement haussier (+21,30% sur 100 jours) avec une distribution asymétrique favorable (skewness -0,602, kurtosis -1,151), mais la **volatilité annualisée de 75,5%** constitue un facteur de risque majeur à court terme. Les **signaux techniques (Partie 2)** sont inexploitables faute d'historique suffisant, ce qui prive l'analyste d'un outil de timing essentiel. Les **fondamentaux (Partie 3)** sont en revanche excellents : PNB +25%, résultat net +46%, coefficient d'exploitation de 40,3%, marge nette de 40,3%, et perspectives d'expansion régionale solides — la dynamique du S1 2026 (rapport du 30 juin 2026) soutient une estimation de résultat net annuel 2026 de 30-32 Mds FCFA. Les **prédictions IA (J+1 à J+10)** ne sont pas disponibles, ce qui empêche de confirmer ou d'infirmer la trajectoire court terme. **Sur la base de cette synthèse globale, la recommandation finale est ACHAT**, justifiée par la convergence entre fondamentaux exceptionnels et tendance haussière, malgré une valorisation tendue et une volatilité élevée. Le **niveau de confiance est Moyen** (absence d'indicateurs techniques et de prédictions IA), et le **niveau de risque global est Élevé** (volatilité 75,5%, historique de cotation court, valorisation exigeante). L'**horizon d'investissement optimal est le moyen terme (3-12 mois)**, le temps que la liquidité s'améliore, que les indicateurs techniques deviennent exploitables et que les résultats du S2 2026 confirment la trajectoire de croissance.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508.29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13,782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+68.42%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23.86% (Élevée) — μ=7,246 FCFA, σ=1,729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β=0.8019 (Neutre (suit le marché)) — Cov=0.000055, Var(idx)=0.000068, ρ=0.247,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13,782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2026-10-05</w:t>
            </w:r>
          </w:p>
        </w:tc>
        <w:tc>
          <w:tcPr>
            <w:tcW w:type="dxa" w:w="1440"/>
            <w:shd w:fill="C6EFCE" w:val="clear"/>
          </w:tcPr>
          <w:p>
            <w:r>
              <w:rPr>
                <w:sz w:val="17"/>
              </w:rPr>
              <w:t>8,276</w:t>
            </w:r>
          </w:p>
        </w:tc>
        <w:tc>
          <w:tcPr>
            <w:tcW w:type="dxa" w:w="1440"/>
            <w:shd w:fill="C6EFCE" w:val="clear"/>
          </w:tcPr>
          <w:p>
            <w:r>
              <w:rPr>
                <w:b/>
                <w:sz w:val="17"/>
              </w:rPr>
              <w:t>9,051</w:t>
            </w:r>
          </w:p>
        </w:tc>
        <w:tc>
          <w:tcPr>
            <w:tcW w:type="dxa" w:w="1440"/>
            <w:shd w:fill="C6EFCE" w:val="clear"/>
          </w:tcPr>
          <w:p>
            <w:r>
              <w:rPr>
                <w:sz w:val="17"/>
              </w:rPr>
              <w:t>9,826</w:t>
            </w:r>
          </w:p>
        </w:tc>
        <w:tc>
          <w:tcPr>
            <w:tcW w:type="dxa" w:w="1440"/>
            <w:shd w:fill="C6EFCE" w:val="clear"/>
          </w:tcPr>
          <w:p>
            <w:r>
              <w:rPr>
                <w:b/>
                <w:color w:val="008000"/>
                <w:sz w:val="17"/>
              </w:rPr>
              <w:t>+2.9%</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8,154</w:t>
            </w:r>
          </w:p>
        </w:tc>
        <w:tc>
          <w:tcPr>
            <w:tcW w:type="dxa" w:w="1440"/>
            <w:shd w:fill="C6EFCE" w:val="clear"/>
          </w:tcPr>
          <w:p>
            <w:r>
              <w:rPr>
                <w:b/>
                <w:sz w:val="17"/>
              </w:rPr>
              <w:t>9,109</w:t>
            </w:r>
          </w:p>
        </w:tc>
        <w:tc>
          <w:tcPr>
            <w:tcW w:type="dxa" w:w="1440"/>
            <w:shd w:fill="C6EFCE" w:val="clear"/>
          </w:tcPr>
          <w:p>
            <w:r>
              <w:rPr>
                <w:sz w:val="17"/>
              </w:rPr>
              <w:t>10,064</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8,053</w:t>
            </w:r>
          </w:p>
        </w:tc>
        <w:tc>
          <w:tcPr>
            <w:tcW w:type="dxa" w:w="1440"/>
            <w:shd w:fill="C6EFCE" w:val="clear"/>
          </w:tcPr>
          <w:p>
            <w:r>
              <w:rPr>
                <w:b/>
                <w:sz w:val="17"/>
              </w:rPr>
              <w:t>9,162</w:t>
            </w:r>
          </w:p>
        </w:tc>
        <w:tc>
          <w:tcPr>
            <w:tcW w:type="dxa" w:w="1440"/>
            <w:shd w:fill="C6EFCE" w:val="clear"/>
          </w:tcPr>
          <w:p>
            <w:r>
              <w:rPr>
                <w:sz w:val="17"/>
              </w:rPr>
              <w:t>10,271</w:t>
            </w:r>
          </w:p>
        </w:tc>
        <w:tc>
          <w:tcPr>
            <w:tcW w:type="dxa" w:w="1440"/>
            <w:shd w:fill="C6EFCE" w:val="clear"/>
          </w:tcPr>
          <w:p>
            <w:r>
              <w:rPr>
                <w:b/>
                <w:color w:val="008000"/>
                <w:sz w:val="17"/>
              </w:rPr>
              <w:t>+4.1%</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7,963</w:t>
            </w:r>
          </w:p>
        </w:tc>
        <w:tc>
          <w:tcPr>
            <w:tcW w:type="dxa" w:w="1440"/>
            <w:shd w:fill="C6EFCE" w:val="clear"/>
          </w:tcPr>
          <w:p>
            <w:r>
              <w:rPr>
                <w:b/>
                <w:sz w:val="17"/>
              </w:rPr>
              <w:t>9,209</w:t>
            </w:r>
          </w:p>
        </w:tc>
        <w:tc>
          <w:tcPr>
            <w:tcW w:type="dxa" w:w="1440"/>
            <w:shd w:fill="C6EFCE" w:val="clear"/>
          </w:tcPr>
          <w:p>
            <w:r>
              <w:rPr>
                <w:sz w:val="17"/>
              </w:rPr>
              <w:t>10,455</w:t>
            </w:r>
          </w:p>
        </w:tc>
        <w:tc>
          <w:tcPr>
            <w:tcW w:type="dxa" w:w="1440"/>
            <w:shd w:fill="C6EFCE" w:val="clear"/>
          </w:tcPr>
          <w:p>
            <w:r>
              <w:rPr>
                <w:b/>
                <w:color w:val="008000"/>
                <w:sz w:val="17"/>
              </w:rPr>
              <w:t>+4.6%</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7,878</w:t>
            </w:r>
          </w:p>
        </w:tc>
        <w:tc>
          <w:tcPr>
            <w:tcW w:type="dxa" w:w="1440"/>
            <w:shd w:fill="C6EFCE" w:val="clear"/>
          </w:tcPr>
          <w:p>
            <w:r>
              <w:rPr>
                <w:b/>
                <w:sz w:val="17"/>
              </w:rPr>
              <w:t>9,250</w:t>
            </w:r>
          </w:p>
        </w:tc>
        <w:tc>
          <w:tcPr>
            <w:tcW w:type="dxa" w:w="1440"/>
            <w:shd w:fill="C6EFCE" w:val="clear"/>
          </w:tcPr>
          <w:p>
            <w:r>
              <w:rPr>
                <w:sz w:val="17"/>
              </w:rPr>
              <w:t>10,621</w:t>
            </w:r>
          </w:p>
        </w:tc>
        <w:tc>
          <w:tcPr>
            <w:tcW w:type="dxa" w:w="1440"/>
            <w:shd w:fill="C6EFCE" w:val="clear"/>
          </w:tcPr>
          <w:p>
            <w:r>
              <w:rPr>
                <w:b/>
                <w:color w:val="008000"/>
                <w:sz w:val="17"/>
              </w:rPr>
              <w:t>+5.1%</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7,798</w:t>
            </w:r>
          </w:p>
        </w:tc>
        <w:tc>
          <w:tcPr>
            <w:tcW w:type="dxa" w:w="1440"/>
            <w:shd w:fill="C6EFCE" w:val="clear"/>
          </w:tcPr>
          <w:p>
            <w:r>
              <w:rPr>
                <w:b/>
                <w:sz w:val="17"/>
              </w:rPr>
              <w:t>9,285</w:t>
            </w:r>
          </w:p>
        </w:tc>
        <w:tc>
          <w:tcPr>
            <w:tcW w:type="dxa" w:w="1440"/>
            <w:shd w:fill="C6EFCE" w:val="clear"/>
          </w:tcPr>
          <w:p>
            <w:r>
              <w:rPr>
                <w:sz w:val="17"/>
              </w:rPr>
              <w:t>10,772</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7,721</w:t>
            </w:r>
          </w:p>
        </w:tc>
        <w:tc>
          <w:tcPr>
            <w:tcW w:type="dxa" w:w="1440"/>
            <w:shd w:fill="C6EFCE" w:val="clear"/>
          </w:tcPr>
          <w:p>
            <w:r>
              <w:rPr>
                <w:b/>
                <w:sz w:val="17"/>
              </w:rPr>
              <w:t>9,316</w:t>
            </w:r>
          </w:p>
        </w:tc>
        <w:tc>
          <w:tcPr>
            <w:tcW w:type="dxa" w:w="1440"/>
            <w:shd w:fill="C6EFCE" w:val="clear"/>
          </w:tcPr>
          <w:p>
            <w:r>
              <w:rPr>
                <w:sz w:val="17"/>
              </w:rPr>
              <w:t>10,910</w:t>
            </w:r>
          </w:p>
        </w:tc>
        <w:tc>
          <w:tcPr>
            <w:tcW w:type="dxa" w:w="1440"/>
            <w:shd w:fill="C6EFCE" w:val="clear"/>
          </w:tcPr>
          <w:p>
            <w:r>
              <w:rPr>
                <w:b/>
                <w:color w:val="008000"/>
                <w:sz w:val="17"/>
              </w:rPr>
              <w:t>+5.9%</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7,645</w:t>
            </w:r>
          </w:p>
        </w:tc>
        <w:tc>
          <w:tcPr>
            <w:tcW w:type="dxa" w:w="1440"/>
            <w:shd w:fill="C6EFCE" w:val="clear"/>
          </w:tcPr>
          <w:p>
            <w:r>
              <w:rPr>
                <w:b/>
                <w:sz w:val="17"/>
              </w:rPr>
              <w:t>9,342</w:t>
            </w:r>
          </w:p>
        </w:tc>
        <w:tc>
          <w:tcPr>
            <w:tcW w:type="dxa" w:w="1440"/>
            <w:shd w:fill="C6EFCE" w:val="clear"/>
          </w:tcPr>
          <w:p>
            <w:r>
              <w:rPr>
                <w:sz w:val="17"/>
              </w:rPr>
              <w:t>11,038</w:t>
            </w:r>
          </w:p>
        </w:tc>
        <w:tc>
          <w:tcPr>
            <w:tcW w:type="dxa" w:w="1440"/>
            <w:shd w:fill="C6EFCE" w:val="clear"/>
          </w:tcPr>
          <w:p>
            <w:r>
              <w:rPr>
                <w:b/>
                <w:color w:val="008000"/>
                <w:sz w:val="17"/>
              </w:rPr>
              <w:t>+6.2%</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7,572</w:t>
            </w:r>
          </w:p>
        </w:tc>
        <w:tc>
          <w:tcPr>
            <w:tcW w:type="dxa" w:w="1440"/>
            <w:shd w:fill="C6EFCE" w:val="clear"/>
          </w:tcPr>
          <w:p>
            <w:r>
              <w:rPr>
                <w:b/>
                <w:sz w:val="17"/>
              </w:rPr>
              <w:t>9,364</w:t>
            </w:r>
          </w:p>
        </w:tc>
        <w:tc>
          <w:tcPr>
            <w:tcW w:type="dxa" w:w="1440"/>
            <w:shd w:fill="C6EFCE" w:val="clear"/>
          </w:tcPr>
          <w:p>
            <w:r>
              <w:rPr>
                <w:sz w:val="17"/>
              </w:rPr>
              <w:t>11,156</w:t>
            </w:r>
          </w:p>
        </w:tc>
        <w:tc>
          <w:tcPr>
            <w:tcW w:type="dxa" w:w="1440"/>
            <w:shd w:fill="C6EFCE" w:val="clear"/>
          </w:tcPr>
          <w:p>
            <w:r>
              <w:rPr>
                <w:b/>
                <w:color w:val="008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508,29 milliards FCFA, un niveau qui la positionne parmi les valeurs les plus importantes de la cote BRVM, reflétant sa stature de leader bancaire au Bénin. Avec un BPA de 627 FCFA, chaque action génère un bénéfice net substantiel, ce qui témoigne de la forte rentabilité de l'établissement. Le PER de 14,0x se situe légèrement au-dessus de la moyenne du marché BRVM (8-12x), suggérant que les investisseurs paient une prime modérée pour cette valeur de qualité, sans pour autant que la valorisation apparaisse excessive au regard des fondamentaux. Le P/B de 3,76x indique que le marché valorise l'action à près de quatre fois sa valeur comptable, une prime significative qui traduit la confiance dans la capacité de la banque à générer des rendements supérieurs à son coût du capital (ROE de 26,8% largement supérieur au coût des fonds propres). Enfin, l'EV/EBITDA de 24,6x apparaît très exigeant, signalant que la valeur d'entreprise intègre déjà une part importante de croissance future, ce qui limite le potentiel d'appréciation à court terme et expose le titre à une correction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BICB a enregistré une progression spectaculaire de +68,42%, passant d'un plus bas de 5 105 FCFA à un plus haut de 10 790 FCFA, avant de se replier légèrement pour clôturer à 8 800 FCFA, avec une variation de -1,23% lors de la dernière séance. Ce range de trading particulièrement large (plus de 5 600 FCFA d'amplitude) témoigne d'une dynamique haussière puissante, portée par des volumes moyens quotidiens de 13 782 titres, signe d'un intérêt soutenu des investisseurs. L'analyse des statistiques descriptives révèle une moyenne de 7 246 FCFA nettement supérieure à la médiane de 6 598 FCFA, ce qui indique une distribution asymétrique à droite : les récents pics de cours tirent la moyenne vers le haut, confirmant la vigueur du mouvement haussier. L'écart-type de 1 738 FCFA, correspondant à un coefficient de variation de 24,0%, traduit une dispersion modérée à élevée du cours autour de sa moyenne, cohérente avec la volatilité annualisée de 42,4% qui classe le titre dans la catégorie des valeurs à volatilité élevée (&gt;30%). Le kurtosis négatif (-1,016) indique une distribution platykurtique, c'est-à-dire aplatie avec une faible concentration autour de la moyenne, ce qui suggère que les mouvements de prix sont répartis de manière relativement uniforme sans pics extrêmes fréquents. Le skewness positif (0,482) confirme une asymétrie légèrement positive, avec une queue de distribution plus étendue vers les valeurs hautes, ce qui est cohérent avec la tendance haussière observée. En synthèse, le titre affiche un momentum haussier robuste mais une volatilité élevée qui appelle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9 675,75 FCFA et la MM50 à 8 756,40 FCFA, toutes deux supérieures au cours actuel de 8 800 FCFA, ce qui place le titre en dessous de ses moyennes mobiles à court et moyen terme. Cette configuration signale un essoufflement de la dynamique haussière récente, bien que la décision technique fournie soit "Achat", probablement basée sur la position relative des moyennes entre elles (MM20 &gt; MM50) qui reste haussière.</w:t>
      </w:r>
    </w:p>
    <w:p>
      <w:pPr>
        <w:spacing w:after="120" w:line="276" w:lineRule="auto"/>
      </w:pPr>
      <w:r>
        <w:t>**Bandes de Bollinger** : La borne supérieure se situe à 11 525,17 FCFA et la borne inférieure à 7 826,33 FCFA, avec le cours actuel à 8 800 FCFA, positionné dans la moitié inférieure de la bande. Cette position suggère que le titre a corrigé depuis ses plus hauts et se rapproche de la zone de support, la décision "Neutre" reflétant l'absence de signal directionnel clair à ce stade.</w:t>
      </w:r>
    </w:p>
    <w:p>
      <w:pPr>
        <w:spacing w:after="120" w:line="276" w:lineRule="auto"/>
      </w:pPr>
      <w:r>
        <w:t>**MACD** : La valeur du MACD est de -91,148 contre un signal à 123,555, créant une divergence baissière significative où le MACD est passé sous son signal. Cette configuration indique un affaiblissement du momentum haussier et justifie la décision "Vente", suggérant que la pression vendeuse pourrait persister à court terme.</w:t>
      </w:r>
    </w:p>
    <w:p>
      <w:pPr>
        <w:spacing w:after="120" w:line="276" w:lineRule="auto"/>
      </w:pPr>
      <w:r>
        <w:t>**RSI** : Avec une valeur de 28,46, le RSI se situe en zone de survente (&lt;30), ce qui indique que le titre a été excessivement vendu et pourrait être proche d'un point de retournement à la hausse. La décision "Achat" est cohérente avec cette lecture contrarienne, bien que la prudence reste de mise tant que le MACD n'a pas confirmé un retournement.</w:t>
      </w:r>
    </w:p>
    <w:p>
      <w:pPr>
        <w:spacing w:after="120" w:line="276" w:lineRule="auto"/>
      </w:pPr>
      <w:r>
        <w:t>**Stochastique** : Le %K à 33,46 et le %D à 31,812 évoluent en zone neutre basse, sans croisement significatif identifié. La décision "Neutre" reflète l'absence de signal clair, le stochastique n'ayant pas encore atteint la zone de survente extrême qui déclencherait un signal d'achat.</w:t>
      </w:r>
    </w:p>
    <w:p>
      <w:pPr>
        <w:spacing w:after="120" w:line="276" w:lineRule="auto"/>
      </w:pPr>
      <w:r>
        <w:t>**Conclusion technique** : Les indicateurs techniques présentent un tableau mitigé. D'un côté, le RSI en zone de survente et la position du cours sous les moyennes mobiles suggèrent un potentiel rebond à court terme. De l'autre, le MACD en divergence baissière et la position du cours dans la moitié inférieure des bandes de Bollinger indiquent que la pression vendeuse n'est pas encore épuisée. La convergence des signaux "Achat" (RSI, MM) et "Vente" (MACD) plaide pour une phase de consolidation avant une reprise éventuelle, avec un support clé à surveiller autour de 7 826 FCFA (borne inférieure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BICB a publié des états financiers IFRS audités affichant un Produit Net Bancaire (PNB) de 52,805 milliards FCFA, en croissance de 16,49% par rapport à 2024, porté par une forte hausse des crédits à la clientèle (+37,3% à 1 151,5 milliards FCFA) et des dépôts (+29,4% à 1 181,0 milliards FCFA). Le résultat net s'établit à 36,237 milliards FCFA, en progression de 24,7%, avec un ROE exceptionnel de 26,82% et un ROA de 1,96%, confirmant la rentabilité supérieure de la banque. Le coefficient d'exploitation de 31,12% est excellent (&lt;60%), témoignant d'une efficacité opérationnelle remarquable, tandis que le coût du risque de 9,61% reste modéré mais en hausse, nécessitant une surveillance. La structure financière affiche une autonomie financière de 7,33% (faible mais typique des banques) et un ratio de solvabilité de 19,64%, bien au-dessus du minimum réglementaire de 11,5%, offrant une marge de manœuvre confortable. Les rapports trimestriels de 2026 confirment cette dynamique : au T1 2026 (rapport du 30 mars 2026), le PNB a bondi de 35% à 14,6 milliards FCFA et le résultat net de 48% à 8,0 milliards FCFA ; au S1 2026 (rapport du 30 juin 2026), le PNB atteint 31,9 milliards FCFA (+19%) et le résultat net 18,4 milliards FCFA (+11%), avec un RBE en hausse de 31% à 22,9 milliards FCFA. On estime, sur la base de ces tendances, que l'exercice 2026 devrait enregistrer un PNB supérieur à 60 milliards FCFA et un résultat net approchant 40 milliards FCFA, sous réserve de la normalisation du coût du risque (charge de 3,6 milliards FCFA au S1 2026 contre un produit net de 2,4 milliards FCFA au S1 2025). Les principaux risques identifiés incluent la dégradation du ratio de liquidité (actifs liquides nets sur ressources courtes à 11,03%), la croissance rapide des crédits (+37,3%) exposant à un risque de crédit accru, et la contraction des dépôts clientèle (-1% au S1 2026). Néanmoins, la solidité des fondamentaux, la position de leader incontestée au Bénin et la confiance de la direction dans l'atteinte des objectifs 2026 justifient une recommandation fondamentale positive, avec un biais à l'achat pour les investisseurs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Sur le plan de la **valorisation (Partie 0)**, le PER de 14,0x et le P/B de 3,76x indiquent une valorisation modérément exigeante mais justifiée par la qualité des fondamentaux, tandis que l'EV/EBITDA de 24,6x suggère une prime de croissance déjà intégrée. Le **comportement du cours (Partie 1)** affiche une tendance haussière spectaculaire (+68,42% sur 100 jours) mais une volatilité élevée (42,4%) et une distribution platykurtique qui appellent à la prudence. Les **signaux techniques (Partie 2)** sont mitigés : le RSI en survente (28,46) et la décision "Achat" des moyennes mobiles contrastent avec le MACD en divergence baissière et la décision "Vente", suggérant une phase de consolidation avant une reprise. Les **fondamentaux (Partie 3)** demeurent solides avec un ROE de 26,82%, un coefficient d'exploitation de 31,12% et une croissance du PNB de 16,49% en 2025, confirmée par les rapports trimestriels 2026 (PNB +35% au T1, +19% au S1). Les **prédictions IA (J+1 à J+10)** tablent sur une reprise progressive du cours de 9 051 FCFA à 9 250 FCFA, ce qui confirme la thèse d'un rebond technique après la correction actuelle. Sur la base de cette synthèse, la recommandation finale est **CONSERVER** avec un biais à l'achat pour les investisseurs déjà positionnés, le niveau de confiance étant **Moyen** en raison de la divergence des signaux techniques et du niveau de risque **Moyen** lié à la volatilité élevée et aux risques de crédit. L'horizon d'investissement optimal est le **moyen terme (3-12 mois)**, le temps que la normalisation du coût du risque se confirme et que les fondamentaux solides se traduisent pleinement dans le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677 titres</w:t>
            </w:r>
          </w:p>
        </w:tc>
        <w:tc>
          <w:tcPr>
            <w:tcW w:type="dxa" w:w="2268"/>
            <w:shd w:fill="FFF2CC" w:val="clear"/>
          </w:tcPr>
          <w:p>
            <w:r>
              <w:rPr>
                <w:b/>
                <w:color w:val="503200"/>
                <w:sz w:val="16"/>
              </w:rPr>
              <w:t xml:space="preserve">Cours actuel : </w:t>
            </w:r>
            <w:r>
              <w:rPr>
                <w:color w:val="000000"/>
                <w:sz w:val="17"/>
              </w:rPr>
              <w:t>33,800 FCFA</w:t>
            </w:r>
          </w:p>
          <w:p>
            <w:r>
              <w:rPr>
                <w:b/>
                <w:color w:val="503200"/>
                <w:sz w:val="16"/>
              </w:rPr>
              <w:t xml:space="preserve">Var. 100 jours : </w:t>
            </w:r>
            <w:r>
              <w:rPr>
                <w:b/>
                <w:color w:val="007800"/>
                <w:sz w:val="17"/>
              </w:rPr>
              <w:t>+30.00%</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26,000 FCFA</w:t>
            </w:r>
          </w:p>
          <w:p>
            <w:r>
              <w:rPr>
                <w:b/>
                <w:color w:val="503200"/>
                <w:sz w:val="16"/>
              </w:rPr>
              <w:t xml:space="preserve">Volatilité ann. : </w:t>
            </w:r>
            <w:r>
              <w:rPr>
                <w:color w:val="000000"/>
                <w:sz w:val="17"/>
              </w:rPr>
              <w:t>34.3%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6.50% (Moyenne) — μ=29,260 FCFA, σ=1,902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β=0.9014 (Neutre (suit le marché)) — Cov=0.000062, Var(idx)=0.000068, ρ=0.347,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677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30,305</w:t>
            </w:r>
          </w:p>
        </w:tc>
        <w:tc>
          <w:tcPr>
            <w:tcW w:type="dxa" w:w="1440"/>
            <w:shd w:fill="FFDCE0" w:val="clear"/>
          </w:tcPr>
          <w:p>
            <w:r>
              <w:rPr>
                <w:b/>
                <w:sz w:val="17"/>
              </w:rPr>
              <w:t>32,751</w:t>
            </w:r>
          </w:p>
        </w:tc>
        <w:tc>
          <w:tcPr>
            <w:tcW w:type="dxa" w:w="1440"/>
            <w:shd w:fill="FFDCE0" w:val="clear"/>
          </w:tcPr>
          <w:p>
            <w:r>
              <w:rPr>
                <w:sz w:val="17"/>
              </w:rPr>
              <w:t>35,198</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29,625</w:t>
            </w:r>
          </w:p>
        </w:tc>
        <w:tc>
          <w:tcPr>
            <w:tcW w:type="dxa" w:w="1440"/>
            <w:shd w:fill="FFDCE0" w:val="clear"/>
          </w:tcPr>
          <w:p>
            <w:r>
              <w:rPr>
                <w:b/>
                <w:sz w:val="17"/>
              </w:rPr>
              <w:t>32,608</w:t>
            </w:r>
          </w:p>
        </w:tc>
        <w:tc>
          <w:tcPr>
            <w:tcW w:type="dxa" w:w="1440"/>
            <w:shd w:fill="FFDCE0" w:val="clear"/>
          </w:tcPr>
          <w:p>
            <w:r>
              <w:rPr>
                <w:sz w:val="17"/>
              </w:rPr>
              <w:t>35,591</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29,058</w:t>
            </w:r>
          </w:p>
        </w:tc>
        <w:tc>
          <w:tcPr>
            <w:tcW w:type="dxa" w:w="1440"/>
            <w:shd w:fill="FFDCE0" w:val="clear"/>
          </w:tcPr>
          <w:p>
            <w:r>
              <w:rPr>
                <w:b/>
                <w:sz w:val="17"/>
              </w:rPr>
              <w:t>32,490</w:t>
            </w:r>
          </w:p>
        </w:tc>
        <w:tc>
          <w:tcPr>
            <w:tcW w:type="dxa" w:w="1440"/>
            <w:shd w:fill="FFDCE0" w:val="clear"/>
          </w:tcPr>
          <w:p>
            <w:r>
              <w:rPr>
                <w:sz w:val="17"/>
              </w:rPr>
              <w:t>35,923</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28,566</w:t>
            </w:r>
          </w:p>
        </w:tc>
        <w:tc>
          <w:tcPr>
            <w:tcW w:type="dxa" w:w="1440"/>
            <w:shd w:fill="FFDCE0" w:val="clear"/>
          </w:tcPr>
          <w:p>
            <w:r>
              <w:rPr>
                <w:b/>
                <w:sz w:val="17"/>
              </w:rPr>
              <w:t>32,392</w:t>
            </w:r>
          </w:p>
        </w:tc>
        <w:tc>
          <w:tcPr>
            <w:tcW w:type="dxa" w:w="1440"/>
            <w:shd w:fill="FFDCE0" w:val="clear"/>
          </w:tcPr>
          <w:p>
            <w:r>
              <w:rPr>
                <w:sz w:val="17"/>
              </w:rPr>
              <w:t>36,217</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28,121</w:t>
            </w:r>
          </w:p>
        </w:tc>
        <w:tc>
          <w:tcPr>
            <w:tcW w:type="dxa" w:w="1440"/>
            <w:shd w:fill="FFDCE0" w:val="clear"/>
          </w:tcPr>
          <w:p>
            <w:r>
              <w:rPr>
                <w:b/>
                <w:sz w:val="17"/>
              </w:rPr>
              <w:t>32,300</w:t>
            </w:r>
          </w:p>
        </w:tc>
        <w:tc>
          <w:tcPr>
            <w:tcW w:type="dxa" w:w="1440"/>
            <w:shd w:fill="FFDCE0" w:val="clear"/>
          </w:tcPr>
          <w:p>
            <w:r>
              <w:rPr>
                <w:sz w:val="17"/>
              </w:rPr>
              <w:t>36,479</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27,710</w:t>
            </w:r>
          </w:p>
        </w:tc>
        <w:tc>
          <w:tcPr>
            <w:tcW w:type="dxa" w:w="1440"/>
            <w:shd w:fill="FFDCE0" w:val="clear"/>
          </w:tcPr>
          <w:p>
            <w:r>
              <w:rPr>
                <w:b/>
                <w:sz w:val="17"/>
              </w:rPr>
              <w:t>32,212</w:t>
            </w:r>
          </w:p>
        </w:tc>
        <w:tc>
          <w:tcPr>
            <w:tcW w:type="dxa" w:w="1440"/>
            <w:shd w:fill="FFDCE0" w:val="clear"/>
          </w:tcPr>
          <w:p>
            <w:r>
              <w:rPr>
                <w:sz w:val="17"/>
              </w:rPr>
              <w:t>36,713</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27,327</w:t>
            </w:r>
          </w:p>
        </w:tc>
        <w:tc>
          <w:tcPr>
            <w:tcW w:type="dxa" w:w="1440"/>
            <w:shd w:fill="FFDCE0" w:val="clear"/>
          </w:tcPr>
          <w:p>
            <w:r>
              <w:rPr>
                <w:b/>
                <w:sz w:val="17"/>
              </w:rPr>
              <w:t>32,127</w:t>
            </w:r>
          </w:p>
        </w:tc>
        <w:tc>
          <w:tcPr>
            <w:tcW w:type="dxa" w:w="1440"/>
            <w:shd w:fill="FFDCE0" w:val="clear"/>
          </w:tcPr>
          <w:p>
            <w:r>
              <w:rPr>
                <w:sz w:val="17"/>
              </w:rPr>
              <w:t>36,926</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26,967</w:t>
            </w:r>
          </w:p>
        </w:tc>
        <w:tc>
          <w:tcPr>
            <w:tcW w:type="dxa" w:w="1440"/>
            <w:shd w:fill="FFDCE0" w:val="clear"/>
          </w:tcPr>
          <w:p>
            <w:r>
              <w:rPr>
                <w:b/>
                <w:sz w:val="17"/>
              </w:rPr>
              <w:t>32,045</w:t>
            </w:r>
          </w:p>
        </w:tc>
        <w:tc>
          <w:tcPr>
            <w:tcW w:type="dxa" w:w="1440"/>
            <w:shd w:fill="FFDCE0" w:val="clear"/>
          </w:tcPr>
          <w:p>
            <w:r>
              <w:rPr>
                <w:sz w:val="17"/>
              </w:rPr>
              <w:t>37,123</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26,627</w:t>
            </w:r>
          </w:p>
        </w:tc>
        <w:tc>
          <w:tcPr>
            <w:tcW w:type="dxa" w:w="1440"/>
            <w:shd w:fill="FFDCE0" w:val="clear"/>
          </w:tcPr>
          <w:p>
            <w:r>
              <w:rPr>
                <w:b/>
                <w:sz w:val="17"/>
              </w:rPr>
              <w:t>31,966</w:t>
            </w:r>
          </w:p>
        </w:tc>
        <w:tc>
          <w:tcPr>
            <w:tcW w:type="dxa" w:w="1440"/>
            <w:shd w:fill="FFDCE0" w:val="clear"/>
          </w:tcPr>
          <w:p>
            <w:r>
              <w:rPr>
                <w:sz w:val="17"/>
              </w:rPr>
              <w:t>37,305</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**563,33 milliards FCFA**, BICC s'impose comme l'une des valeurs les plus capitalisées de la BRVM, ce qui témoigne de son statut de banque systémique de premier plan en zone UEMOA. Le BPA de **2 191 FCFA par action** confère au titre un PER de **15,4x**, soit une prime notable par rapport à la moyenne du marché BRVM (généralement située entre 8x et 12x), ce qui suggère que les investisseurs anticipent une croissance soutenue des bénéfices. Le ratio P/B de **4,67x** traduit une valorisation très exigeante, le marché payant près de cinq fois la valeur comptable des fonds propres, ce qui est cohérent avec la rentabilité exceptionnelle de la banque (ROE de 30,3%). Enfin, l'EV/EBITDA de **11,3x** situe la valeur dans une fourchette élevée (10-15x), confirmant que le marché intègre déjà une forte prime de qualité et de croissance dans le cours actuel.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remarquable de **+30,00%**, avec une dernière séance en hausse de **+3,67%**, portant le cours actuel à **33 800 FCFA**. Le range de trading s'établit entre un plus bas de **26 000 FCFA** et un plus haut de **34 895 FCFA**, le cours actuel évoluant à proximité immédiate de son sommet, ce qui confirme une tendance haussière robuste et bien ancrée. La moyenne du cours sur la période s'élève à **29 260 FCFA**, légèrement supérieure à la médiane de **28 932 FCFA**, tandis que le mode se situe à **29 000 FCFA** — cet écart modéré entre moyenne et médiane, combiné à un skewness positif de **1,013**, indique une asymétrie à droite avec davantage de journées de cotation sous la moyenne, mais ponctuées de fortes poussées haussières. L'écart-type de **1 912 FCFA** (CV de **6,5%**) révèle une dispersion relativement contenue du cours, tandis que le kurtosis de **0,634** (mésokurtique) suggère un comportement proche d'une distribution normale, sans risque excessif de pics extrêmes. La volatilité annualisée de **34,3%** positionne le titre dans la catégorie des valeurs à volatilité élevée (&gt;30%), ce qui est typique des actions bancaires de croissance sur la BRVM et implique une prime de risque à intégrer dans toute décision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**32 393,75 FCFA** et la MM50 à **30 445,90 FCFA**, toutes deux inférieures au cours actuel de 33 800 FCFA, ce qui confirme une configuration haussière avec le prix au-dessus de ses moyennes. La MM20 étant elle-même supérieure à la MM50, on observe un croisement haussier (golden cross) qui valide la dynamique positive et justifie la décision d'**Achat**.</w:t>
      </w:r>
    </w:p>
    <w:p>
      <w:pPr>
        <w:spacing w:after="120" w:line="276" w:lineRule="auto"/>
      </w:pPr>
      <w:r>
        <w:t>**Bandes de Bollinger** : La borne supérieure se situe à **35 017,56 FCFA** et la borne inférieure à **29 769,94 FCFA**, avec un cours actuel de 33 800 FCFA qui évolue dans la moitié supérieure de la bande, sans toutefois atteindre la borne haute. Cette position indique une pression acheteuse modérée mais non excessive, la décision restant **Neutre** en raison de l'absence de signal de surachat extrême.</w:t>
      </w:r>
    </w:p>
    <w:p>
      <w:pPr>
        <w:spacing w:after="120" w:line="276" w:lineRule="auto"/>
      </w:pPr>
      <w:r>
        <w:t>**MACD** : La valeur du MACD (**672,99**) est nettement supérieure à son signal (**556,99**), avec un histogramme positif qui traduit un momentum haussier en cours de renforcement. Cette divergence positive entre la ligne MACD et sa ligne de signal confirme la tendance haussière et justifie la décision d'**Achat**.</w:t>
      </w:r>
    </w:p>
    <w:p>
      <w:pPr>
        <w:spacing w:after="120" w:line="276" w:lineRule="auto"/>
      </w:pPr>
      <w:r>
        <w:t>**RSI** : À **52,81**, le RSI se situe en zone neutre (entre 30 et 70), indiquant que le titre n'est ni suracheté ni survendu. Cette position médiane suggère que le cours dispose encore d'un potentiel de hausse sans risque immédiat de correction, la décision étant logiquement **Neutre**.</w:t>
      </w:r>
    </w:p>
    <w:p>
      <w:pPr>
        <w:spacing w:after="120" w:line="276" w:lineRule="auto"/>
      </w:pPr>
      <w:r>
        <w:t>**Stochastique** : Le %K (**78,74**) et le %D (**78,09**) sont tous deux proches de la zone de surachat (80), avec un %K légèrement supérieur au %D, ce qui indique une dynamique haussière mais proche de l'essoufflement. La décision **Neutre** reflète cette prudence face à un potentiel de consolidation à court terme.</w:t>
      </w:r>
    </w:p>
    <w:p>
      <w:pPr>
        <w:spacing w:after="120" w:line="276" w:lineRule="auto"/>
      </w:pPr>
      <w:r>
        <w:t>**Conclusion technique** : Les indicateurs techniques présentent une convergence majoritairement haussière, portée par les moyennes mobiles (golden cross) et le MACD (momentum positif), tandis que le RSI et le stochastique en zone neutre/haute suggèrent une accalmie possible après la récente poussée. Le titre évolue dans un canal haussier bien structuré, mais la proximité de la borne supérieure de Bollinger et du seuil de surachat stochastique invite à la vigilance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affiche un Produit Net Bancaire (PNB) de **79,563 milliards FCFA**, en croissance de **+16,90%**, porté par une marge d'intermédiation solide (intérêts et produits assimilés de 62,121 Mds FCFA) et des commissions nettes dynamiques (30,883 Mds FCFA de produits contre 4,550 Mds FCFA de charges). Le résultat net s'établit à **36,520 milliards FCFA**, avec une marge nette exceptionnelle de **45,90%**, un ROE de **30,29%** (largement supérieur au seuil de 15% considéré comme excellent) et un ROA de **3,24%**. Le coefficient d'exploitation de **50,83%** témoigne d'une efficacité opérationnelle remarquable (&lt;60% = banque efficace, &lt;50% = excellence), tandis que le coût du risque rapporté aux charges financières est négatif (**-12,15%**), reflétant une bonne maîtrise du portefeuille de crédits. La structure financière reste solide avec une autonomie financière de **10,71%** (typique du modèle bancaire) et une capacité de remboursement de **0,40 an** (dette financière/CAF), très confortable.</w:t>
      </w:r>
    </w:p>
    <w:p>
      <w:pPr>
        <w:spacing w:after="120" w:line="276" w:lineRule="auto"/>
      </w:pPr>
      <w:r>
        <w:t>**Estimations basées sur les rapports trimestriels** : Le rapport du **T1 2026 (publié le 31 mars 2026)** confirme l'accélération de la dynamique avec un PNB de **21,214 Mds FCFA** (+17,01% en glissement annuel) et un résultat net de **10,387 Mds FCFA** (+29,66%), soit une marge nette de **49,0%** en amélioration de 5 points par rapport au T1 2025. Sur cette base, on peut estimer que l'exercice 2026 devrait enregistrer un PNB annuel supérieur à **90 Mds FCFA** et un résultat net dépassant **42 Mds FCFA**, confirmant la trajectoire de croissance à deux chiffres. Les dépôts clients progressent de **+14,5%** à **996,392 Mds FCFA**, tandis que les crédits nets reculent de **-4,5%** à **523,300 Mds FCFA** en raison de remboursements anticipés — un point de vigilance à surveiller, mais compensé par l'amélioration des marges.</w:t>
      </w:r>
    </w:p>
    <w:p>
      <w:pPr>
        <w:spacing w:after="120" w:line="276" w:lineRule="auto"/>
      </w:pPr>
      <w:r>
        <w:t>**Recommandation fondamentale** : BICC présente des fondamentaux exceptionnels avec une rentabilité parmi les meilleures de la BRVM, une croissance soutenue et une gestion rigoureuse des risques. Le principal risque réside dans la contraction des encours de crédits, qui pourrait peser sur la croissance future du PNB si elle se prolonge, mais la banque démontre sa capacité à compenser par une meilleure marge et des commissions en hausse. La solidité financière et les perspectives positives justifient une opinion favorable à long terme.</w:t>
      </w:r>
    </w:p>
    <w:p>
      <w:pPr>
        <w:spacing w:after="120" w:line="276" w:lineRule="auto"/>
      </w:pPr>
      <w:r>
        <w:t>---</w:t>
      </w:r>
    </w:p>
    <w:p>
      <w:pPr>
        <w:spacing w:after="120" w:line="276" w:lineRule="auto"/>
      </w:pPr>
      <w:r>
        <w:t>## PARTIE 4 : CONCLUSION D'INVESTISSEMENT</w:t>
      </w:r>
    </w:p>
    <w:p>
      <w:pPr>
        <w:spacing w:after="120" w:line="276" w:lineRule="auto"/>
      </w:pPr>
      <w:r>
        <w:t>La valorisation de BICC (PER de 15,4x, P/B de 4,67x, EV/EBITDA de 11,3x) indique une **surévaluation relative** par rapport aux moyennes du marché BRVM, mais cette prime se justifie par la qualité exceptionnelle des fondamentaux (ROE de 30,3%, marge nette de 45,9%) et la croissance à deux chiffres. Le comportement du cours sur 100 jours (+30,00%) avec une volatilité élevée (34,3%) et un skewness positif (1,013) traduit une dynamique haussière robuste, bien que la proximité du plus haut historique (34 895 FCFA) invite à la prudence à court terme. Les signaux techniques sont majoritairement haussiers (MM20 &gt; MM50, MACD positif), mais le RSI (52,81) et le stochastique (78,74) en zone neutre/haute suggèrent une possible consolidation. Les fondamentaux (PNB +16,9%, résultat net +29,7% au T1 2026) confirment la solidité du modèle, tandis que les prédictions IA anticipent une légère correction à **32 751 FCFA** d'ici J+10, en cohérence avec un essoufflement technique à court terme.</w:t>
      </w:r>
    </w:p>
    <w:p>
      <w:pPr>
        <w:spacing w:after="120" w:line="276" w:lineRule="auto"/>
      </w:pPr>
      <w:r>
        <w:t>**Recommandation finale : ACHAT**</w:t>
        <w:br/>
        <w:t>**Justification** : La convergence entre des fondamentaux exceptionnels (croissance, rentabilité, solidité financière) et une dynamique technique haussière (golden cross, MACD positif) soutient une recommandation positive, malgré une valorisation exigeante et une possible consolidation à court terme. Les prédictions IA, bien que légèrement baissières à J+10, ne remettent pas en cause la tendance de fond.</w:t>
        <w:br/>
        <w:t>**Niveau de confiance** : **Élevé** (fondamentaux solides et tendance technique confirmée)</w:t>
        <w:br/>
        <w:t>**Niveau de risque** : **Moyen** (volatilité élevée et valorisation tendue, mais risque de crédit maîtrisé)</w:t>
        <w:br/>
        <w:t>**Horizon d'investissement** : **Moyen à long terme (6 à 18 mois)** — privilégier les replis vers 32 000-32 500 FCFA pour renforcer les positions.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3,043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007800"/>
                <w:sz w:val="17"/>
              </w:rPr>
              <w:t>+46.15%</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11.11% (Moyenne) — μ=1,907 FCFA, σ=212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β=0.3227 (Défensif) — Cov=0.000022, Var(idx)=0.000068, ρ=0.079,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σ_j=3.35%/j (Modérée) — Vol. annualisée≈53.2%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1,714</w:t>
            </w:r>
          </w:p>
        </w:tc>
        <w:tc>
          <w:tcPr>
            <w:tcW w:type="dxa" w:w="1440"/>
            <w:shd w:fill="FAFAFA" w:val="clear"/>
          </w:tcPr>
          <w:p>
            <w:r>
              <w:rPr>
                <w:b/>
                <w:sz w:val="17"/>
              </w:rPr>
              <w:t>1,884</w:t>
            </w:r>
          </w:p>
        </w:tc>
        <w:tc>
          <w:tcPr>
            <w:tcW w:type="dxa" w:w="1440"/>
            <w:shd w:fill="FAFAFA" w:val="clear"/>
          </w:tcPr>
          <w:p>
            <w:r>
              <w:rPr>
                <w:sz w:val="17"/>
              </w:rPr>
              <w:t>2,054</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1,676</w:t>
            </w:r>
          </w:p>
        </w:tc>
        <w:tc>
          <w:tcPr>
            <w:tcW w:type="dxa" w:w="1440"/>
            <w:shd w:fill="FAFAFA" w:val="clear"/>
          </w:tcPr>
          <w:p>
            <w:r>
              <w:rPr>
                <w:b/>
                <w:sz w:val="17"/>
              </w:rPr>
              <w:t>1,884</w:t>
            </w:r>
          </w:p>
        </w:tc>
        <w:tc>
          <w:tcPr>
            <w:tcW w:type="dxa" w:w="1440"/>
            <w:shd w:fill="FAFAFA" w:val="clear"/>
          </w:tcPr>
          <w:p>
            <w:r>
              <w:rPr>
                <w:sz w:val="17"/>
              </w:rPr>
              <w:t>2,092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1,643</w:t>
            </w:r>
          </w:p>
        </w:tc>
        <w:tc>
          <w:tcPr>
            <w:tcW w:type="dxa" w:w="1440"/>
            <w:shd w:fill="FAFAFA" w:val="clear"/>
          </w:tcPr>
          <w:p>
            <w:r>
              <w:rPr>
                <w:b/>
                <w:sz w:val="17"/>
              </w:rPr>
              <w:t>1,884</w:t>
            </w:r>
          </w:p>
        </w:tc>
        <w:tc>
          <w:tcPr>
            <w:tcW w:type="dxa" w:w="1440"/>
            <w:shd w:fill="FAFAFA" w:val="clear"/>
          </w:tcPr>
          <w:p>
            <w:r>
              <w:rPr>
                <w:sz w:val="17"/>
              </w:rPr>
              <w:t>2,124</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1,614</w:t>
            </w:r>
          </w:p>
        </w:tc>
        <w:tc>
          <w:tcPr>
            <w:tcW w:type="dxa" w:w="1440"/>
            <w:shd w:fill="FAFAFA" w:val="clear"/>
          </w:tcPr>
          <w:p>
            <w:r>
              <w:rPr>
                <w:b/>
                <w:sz w:val="17"/>
              </w:rPr>
              <w:t>1,882</w:t>
            </w:r>
          </w:p>
        </w:tc>
        <w:tc>
          <w:tcPr>
            <w:tcW w:type="dxa" w:w="1440"/>
            <w:shd w:fill="FAFAFA" w:val="clear"/>
          </w:tcPr>
          <w:p>
            <w:r>
              <w:rPr>
                <w:sz w:val="17"/>
              </w:rPr>
              <w:t>2,151</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1,587</w:t>
            </w:r>
          </w:p>
        </w:tc>
        <w:tc>
          <w:tcPr>
            <w:tcW w:type="dxa" w:w="1440"/>
            <w:shd w:fill="FAFAFA" w:val="clear"/>
          </w:tcPr>
          <w:p>
            <w:r>
              <w:rPr>
                <w:b/>
                <w:sz w:val="17"/>
              </w:rPr>
              <w:t>1,881</w:t>
            </w:r>
          </w:p>
        </w:tc>
        <w:tc>
          <w:tcPr>
            <w:tcW w:type="dxa" w:w="1440"/>
            <w:shd w:fill="FAFAFA" w:val="clear"/>
          </w:tcPr>
          <w:p>
            <w:r>
              <w:rPr>
                <w:sz w:val="17"/>
              </w:rPr>
              <w:t>2,174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1,562</w:t>
            </w:r>
          </w:p>
        </w:tc>
        <w:tc>
          <w:tcPr>
            <w:tcW w:type="dxa" w:w="1440"/>
            <w:shd w:fill="FAFAFA" w:val="clear"/>
          </w:tcPr>
          <w:p>
            <w:r>
              <w:rPr>
                <w:b/>
                <w:sz w:val="17"/>
              </w:rPr>
              <w:t>1,879</w:t>
            </w:r>
          </w:p>
        </w:tc>
        <w:tc>
          <w:tcPr>
            <w:tcW w:type="dxa" w:w="1440"/>
            <w:shd w:fill="FAFAFA" w:val="clear"/>
          </w:tcPr>
          <w:p>
            <w:r>
              <w:rPr>
                <w:sz w:val="17"/>
              </w:rPr>
              <w:t>2,196</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1,539</w:t>
            </w:r>
          </w:p>
        </w:tc>
        <w:tc>
          <w:tcPr>
            <w:tcW w:type="dxa" w:w="1440"/>
            <w:shd w:fill="FAFAFA" w:val="clear"/>
          </w:tcPr>
          <w:p>
            <w:r>
              <w:rPr>
                <w:b/>
                <w:sz w:val="17"/>
              </w:rPr>
              <w:t>1,877</w:t>
            </w:r>
          </w:p>
        </w:tc>
        <w:tc>
          <w:tcPr>
            <w:tcW w:type="dxa" w:w="1440"/>
            <w:shd w:fill="FAFAFA" w:val="clear"/>
          </w:tcPr>
          <w:p>
            <w:r>
              <w:rPr>
                <w:sz w:val="17"/>
              </w:rPr>
              <w:t>2,216</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1,517</w:t>
            </w:r>
          </w:p>
        </w:tc>
        <w:tc>
          <w:tcPr>
            <w:tcW w:type="dxa" w:w="1440"/>
            <w:shd w:fill="FAFAFA" w:val="clear"/>
          </w:tcPr>
          <w:p>
            <w:r>
              <w:rPr>
                <w:b/>
                <w:sz w:val="17"/>
              </w:rPr>
              <w:t>1,876</w:t>
            </w:r>
          </w:p>
        </w:tc>
        <w:tc>
          <w:tcPr>
            <w:tcW w:type="dxa" w:w="1440"/>
            <w:shd w:fill="FAFAFA" w:val="clear"/>
          </w:tcPr>
          <w:p>
            <w:r>
              <w:rPr>
                <w:sz w:val="17"/>
              </w:rPr>
              <w:t>2,234</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1,496</w:t>
            </w:r>
          </w:p>
        </w:tc>
        <w:tc>
          <w:tcPr>
            <w:tcW w:type="dxa" w:w="1440"/>
            <w:shd w:fill="FAFAFA" w:val="clear"/>
          </w:tcPr>
          <w:p>
            <w:r>
              <w:rPr>
                <w:b/>
                <w:sz w:val="17"/>
              </w:rPr>
              <w:t>1,874</w:t>
            </w:r>
          </w:p>
        </w:tc>
        <w:tc>
          <w:tcPr>
            <w:tcW w:type="dxa" w:w="1440"/>
            <w:shd w:fill="FAFAFA" w:val="clear"/>
          </w:tcPr>
          <w:p>
            <w:r>
              <w:rPr>
                <w:sz w:val="17"/>
              </w:rPr>
              <w:t>2,252</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*Marché : BRVM | Secteur : Entreprise (Distribution de matériaux de construction, métallurgie, équipements)*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BNBC s'élève à 12,59 milliards FCFA, un niveau modeste à l'échelle de la BRVM, ce qui positionne le titre parmi les petites capitalisations du marché régional. Le BPA ressort à seulement 3 FCFA par action, reflétant une rentabilité nette quasi-inexistante. En conséquence, le PER atteint 563,9x, un niveau aberrant comparé à la moyenne BRVM (8-12x) : les investisseurs paient donc extrêmement cher chaque franc de bénéfice, ce qui traduit soit une anticipation de forte reprise, soit une décorrélation totale entre le cours et les fondamentaux. À l'inverse, le P/B de 0,71x indique que le marché valorise le titre à 29% en dessous de sa valeur comptable, ce qui constitue théoriquement une opportunité potentielle mais qui doit être nuancée par la faible qualité des actifs (stocks élevés, créances douteuses). Enfin, l'EV/EBITDA de 23,9x, très supérieur au seuil de 15x, signale que la valeur d'entreprise intègre une prime spéculative que la capacité opérationnelle actuelle ne justifie pas.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BNBC a enregistré une progression spectaculaire de +46,15%, clôturant à 1 900 FCFA après un gain de +1,33% sur la dernière séance, ce qui témoigne d'un net regain d'intérêt des investisseurs. Le range de trading est particulièrement large, avec un plus haut à 2 400 FCFA et un plus bas à 1 300 FCFA, soit une amplitude de 84,6% qui illustre une forte nervosité du titre. La tendance générale est donc haussière sur la période, mais le cours actuel (1 900 FCFA) se situe en retrait de 20,8% par rapport à son sommet, suggérant une phase de correction ou de consolidation. Les statistiques descriptives révèlent une moyenne de 1 907 FCFA légèrement inférieure à la médiane de 1 962 FCFA, ce qui indique une asymétrie négative confirmée par le skewness de -0,485 : la distribution est étalée vers la gauche, avec quelques séances de forte baisse qui tirent la moyenne vers le bas. L'écart-type de 213 FCFA (CV = 11,2%) traduit une dispersion modérée du cours autour de sa moyenne, tandis que le kurtosis de 0,254 (mésokurtique) suggère une distribution proche de la normale, sans risque excessif de pics extrêmes. La volatilité annualisée de 53,2% classe le titre dans la catégorie des valeurs à volatilité élevée (&gt;30%), ce qui implique un risque de perte en capital significatif et nécessite une tolérance au risque importante de la part de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(2 045,75 FCFA) et la MM50 (2 032,60 FCFA) se situent toutes deux au-dessus du cours actuel (1 900 FCFA), ce qui place le titre en position baissière à court et moyen terme. Toutefois, la MM20 étant légèrement supérieure à la MM50, la configuration reste haussière sur le croisement des moyennes, justifiant la décision "Achat" fournie par le système, mais cette dernière doit être tempérée par le fait que le cours évolue sous ses deux moyennes.</w:t>
      </w:r>
    </w:p>
    <w:p>
      <w:pPr>
        <w:spacing w:after="120" w:line="276" w:lineRule="auto"/>
      </w:pPr>
      <w:r>
        <w:t>**Bandes de Bollinger** : Le cours (1 900 FCFA) se situe dans la partie basse de la bande, entre la borne inférieure (1 794,77 FCFA) et la borne supérieure (2 296,73 FCFA), sans atteindre les extrêmes. Cette position médiane-basse indique une absence de signal fort, justifiant la décision "Neutre" ; la largeur des bandes (501,97 FCFA) confirme une volatilité élevée, cohérente avec la volatilité annualisée de 53,2%.</w:t>
      </w:r>
    </w:p>
    <w:p>
      <w:pPr>
        <w:spacing w:after="120" w:line="276" w:lineRule="auto"/>
      </w:pPr>
      <w:r>
        <w:t>**MACD** : La valeur du MACD (-45,831) est nettement inférieure à son signal (-24,055), et les deux sont en territoire négatif, ce qui traduit un momentum baissier persistant. La divergence négative entre la ligne MACD et son signal justifie pleinement la décision "Vente", indiquant que la pression vendeuse reste dominante malgré le rebond récent du cours.</w:t>
      </w:r>
    </w:p>
    <w:p>
      <w:pPr>
        <w:spacing w:after="120" w:line="276" w:lineRule="auto"/>
      </w:pPr>
      <w:r>
        <w:t>**RSI** : À 36,095, le RSI se situe dans la zone neutre basse (30-70), sans atteindre le seuil de survente (30). Cette valeur indique que le titre n'est ni suracheté ni survendu, mais qu'il s'approche de la zone de survente, ce qui pourrait attirer des acheteurs à contre-tendance ; la décision "Neutre" est donc cohérente avec cette configuration.</w:t>
      </w:r>
    </w:p>
    <w:p>
      <w:pPr>
        <w:spacing w:after="120" w:line="276" w:lineRule="auto"/>
      </w:pPr>
      <w:r>
        <w:t>**Stochastique** : Le %K (5,952) est très bas et inférieur au %D (10,215), ce qui place l'indicateur en zone de survente extrême (&lt;20). Cette configuration est généralement annonciatrice d'un rebond technique à court terme, justifiant la décision "Achat" ; toutefois, l'absence de croisement haussier confirmé (%K coupant %D à la hausse) incite à la prudence.</w:t>
      </w:r>
    </w:p>
    <w:p>
      <w:pPr>
        <w:spacing w:after="120" w:line="276" w:lineRule="auto"/>
      </w:pPr>
      <w:r>
        <w:t>**Conclusion technique** : Les indicateurs techniques présentent une divergence notable : les moyennes mobiles et le MACD sont baissiers, tandis que le stochastique et le croisement MM20/MM50 sont haussiers. Le RSI et les bandes de Bollinger restent neutres. Cette configuration mitigée suggère que le titre se trouve dans une phase de consolidation incertaine, avec un potentiel de rebond technique à court terme (stochastique en survente) mais une tendance de fond encore fragile (MACD négatif, cours sous les moyennes mobiles). La prudence est donc de mise, et une confirmation par les volumes serait nécessaire pour valider un retournement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préoccupante. Le chiffre d'affaires s'établit à 42,454 milliards FCFA, en recul de -6,31% par rapport à 2024 (45,312 milliards FCFA), signalant une perte de dynamique commerciale. Le résultat net est positif mais symbolique, à 22,318 millions FCFA, soit une marge nette de seulement 0,0526% ; le ROE est quasi-nul à 0,1256% et le ROA à 0,0454%, confirmant une rentabilité anémique. En tant qu'entreprise non bancaire, l'analyse des délais d'exploitation est cruciale : le délai clients est élevé à 104,40 jours, ce qui signifie que l'entreprise finance ses clients pendant plus de trois mois, créant un risque de trésorerie majeur ; le délai fournisseurs est de 116,09 jours, légèrement supérieur, ce qui compense partiellement, mais la durée de stockage est exorbitante à 339,23 jours, immobilisant massivement du capital. Le BFR s'élève à 29,373 milliards FCFA, et la trésorerie nette est fortement négative à -16,689 milliards FCFA, traduisant une dépendance critique aux découverts bancaires. Le ratio d'endettement de 105,48% (dettes totales/capitaux propres) et la capacité de remboursement de 19,17 années (dettes financières/CAF) sont des signaux d'alerte majeurs. Les rapports trimestriels récents confirment cette fragilité : le rapport du T1 2026 (publié en 2026) fait état d'un chiffre d'affaires stable à 11,194 milliards FCFA (-0,12%) mais d'un résultat net positif de 65,566 millions FCFA contre une perte de 16,147 millions au T1 2025, une amélioration spectaculaire mais à nuancer car le rapport du T1 2026 (analyse DEEPSEEK) mentionne en réalité une perte nette de -65,566 millions FCFA, ce qui révèle une incohérence entre les sources et invite à la plus grande prudence. Le rapport du T3 2025 (daté du 30/09/2025) indiquait une perte nette cumulée de -157,03 millions FCFA, et le rapport du S1 2025 (30/06/2025) une perte de -139,57 millions FCFA. Sur la base de ces éléments, on estime que l'exercice 2026 devrait rester sous pression, avec une possible amélioration grâce à la montée en puissance de la division Équipement (intégrée au 01/01/2026) et au nouveau showroom Technibat KM4, mais le retour à une rentabilité significative semble lointain. La recommandation fondamentale est donc de **conserver avec une vigilance extrême**, voire de vendre, compte tenu des risques de liquidité et de la faiblesse structurelle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très contrasté. La valorisation (Partie 0) est paradoxale : un PER de 563,9x et un EV/EBITDA de 23,9x indiquent une surévaluation manifeste par rapport aux bénéfices, mais le P/B de 0,71x suggère une sous-évaluation comptable qui pourrait attirer les investisseurs value, à condition que la qualité des actifs soit confirmée. Le comportement du cours (Partie 1) est haussier sur 100 jours (+46,15%) mais avec une volatilité élevée (53,2%) et une asymétrie négative (skewness -0,485), ce qui signifie que les baisses sont plus violentes que les hausses, un facteur de risque important. Les signaux techniques (Partie 2) sont divergents : le MACD est baissier, les moyennes mobiles sont au-dessus du cours, mais le stochastique est en survente extrême et le croisement MM20/MM50 est haussier, créant une incertitude directionnelle. Les fondamentaux (Partie 3) sont préoccupants : chiffre d'affaires en baisse (-6,31% en 2025), rentabilité quasi-nulle (marge nette 0,05%), trésorerie nette négative (-16,69 milliards FCFA), et délais de stockage excessifs (339 jours), bien que les rapports trimestriels 2026 fassent état d'une amélioration du résultat net au T1 (à confirmer). Les prédictions IA (J+1 à J+10) anticipent une légère baisse du cours, de 1 884 FCFA à 1 881 FCFA, ce qui contredit le rebond technique attendu par le stochastique et confirme la pression baissière du MACD. Sur la base de cette synthèse, la recommandation finale est **CONSERVER** avec un niveau de confiance **Moyen** et un risque global **Élevé**. En effet, la convergence entre la surévaluation (PER), la faiblesse des fondamentaux (marge nette, trésorerie) et la prédiction baissière à court terme incite à la prudence, mais le P/B inférieur à 1 et le potentiel de rebond technique (stochastique en survente) justifient de ne pas vendre précipitamment. L'horizon d'investissement optimal est **moyen terme (3-12 mois)**, le temps de voir si les nouvelles divisions (Équipement, Power) et le showroom Technibat KM4 parviennent à redresser la rentabilité et à améliorer la génération de cash-flows. Une dégradation supplémentaire de la trésorerie ou une confirmation de la perte nette au T1 2026 justifierait un passage à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380.67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5,731 titres</w:t>
            </w:r>
          </w:p>
        </w:tc>
        <w:tc>
          <w:tcPr>
            <w:tcW w:type="dxa" w:w="2268"/>
            <w:shd w:fill="FFF2CC" w:val="clear"/>
          </w:tcPr>
          <w:p>
            <w:r>
              <w:rPr>
                <w:b/>
                <w:color w:val="503200"/>
                <w:sz w:val="16"/>
              </w:rPr>
              <w:t xml:space="preserve">Cours actuel : </w:t>
            </w:r>
            <w:r>
              <w:rPr>
                <w:color w:val="000000"/>
                <w:sz w:val="17"/>
              </w:rPr>
              <w:t>9,385 FCFA</w:t>
            </w:r>
          </w:p>
          <w:p>
            <w:r>
              <w:rPr>
                <w:b/>
                <w:color w:val="503200"/>
                <w:sz w:val="16"/>
              </w:rPr>
              <w:t xml:space="preserve">Var. 100 jours : </w:t>
            </w:r>
            <w:r>
              <w:rPr>
                <w:b/>
                <w:color w:val="B40000"/>
                <w:sz w:val="17"/>
              </w:rPr>
              <w:t>-0.16%</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μ=9,176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β=0.5552 (Défensif) — Cov=0.000038, Var(idx)=0.000068, ρ=0.258,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8,790</w:t>
            </w:r>
          </w:p>
        </w:tc>
        <w:tc>
          <w:tcPr>
            <w:tcW w:type="dxa" w:w="1440"/>
            <w:shd w:fill="FAFAFA" w:val="clear"/>
          </w:tcPr>
          <w:p>
            <w:r>
              <w:rPr>
                <w:b/>
                <w:sz w:val="17"/>
              </w:rPr>
              <w:t>9,322</w:t>
            </w:r>
          </w:p>
        </w:tc>
        <w:tc>
          <w:tcPr>
            <w:tcW w:type="dxa" w:w="1440"/>
            <w:shd w:fill="FAFAFA" w:val="clear"/>
          </w:tcPr>
          <w:p>
            <w:r>
              <w:rPr>
                <w:sz w:val="17"/>
              </w:rPr>
              <w:t>9,854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8,646</w:t>
            </w:r>
          </w:p>
        </w:tc>
        <w:tc>
          <w:tcPr>
            <w:tcW w:type="dxa" w:w="1440"/>
            <w:shd w:fill="FAFAFA" w:val="clear"/>
          </w:tcPr>
          <w:p>
            <w:r>
              <w:rPr>
                <w:b/>
                <w:sz w:val="17"/>
              </w:rPr>
              <w:t>9,296</w:t>
            </w:r>
          </w:p>
        </w:tc>
        <w:tc>
          <w:tcPr>
            <w:tcW w:type="dxa" w:w="1440"/>
            <w:shd w:fill="FAFAFA" w:val="clear"/>
          </w:tcPr>
          <w:p>
            <w:r>
              <w:rPr>
                <w:sz w:val="17"/>
              </w:rPr>
              <w:t>9,946</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8,526</w:t>
            </w:r>
          </w:p>
        </w:tc>
        <w:tc>
          <w:tcPr>
            <w:tcW w:type="dxa" w:w="1440"/>
            <w:shd w:fill="FAFAFA" w:val="clear"/>
          </w:tcPr>
          <w:p>
            <w:r>
              <w:rPr>
                <w:b/>
                <w:sz w:val="17"/>
              </w:rPr>
              <w:t>9,274</w:t>
            </w:r>
          </w:p>
        </w:tc>
        <w:tc>
          <w:tcPr>
            <w:tcW w:type="dxa" w:w="1440"/>
            <w:shd w:fill="FAFAFA" w:val="clear"/>
          </w:tcPr>
          <w:p>
            <w:r>
              <w:rPr>
                <w:sz w:val="17"/>
              </w:rPr>
              <w:t>10,023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8,418</w:t>
            </w:r>
          </w:p>
        </w:tc>
        <w:tc>
          <w:tcPr>
            <w:tcW w:type="dxa" w:w="1440"/>
            <w:shd w:fill="FAFAFA" w:val="clear"/>
          </w:tcPr>
          <w:p>
            <w:r>
              <w:rPr>
                <w:b/>
                <w:sz w:val="17"/>
              </w:rPr>
              <w:t>9,253</w:t>
            </w:r>
          </w:p>
        </w:tc>
        <w:tc>
          <w:tcPr>
            <w:tcW w:type="dxa" w:w="1440"/>
            <w:shd w:fill="FAFAFA" w:val="clear"/>
          </w:tcPr>
          <w:p>
            <w:r>
              <w:rPr>
                <w:sz w:val="17"/>
              </w:rPr>
              <w:t>10,088</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8,320</w:t>
            </w:r>
          </w:p>
        </w:tc>
        <w:tc>
          <w:tcPr>
            <w:tcW w:type="dxa" w:w="1440"/>
            <w:shd w:fill="FAFAFA" w:val="clear"/>
          </w:tcPr>
          <w:p>
            <w:r>
              <w:rPr>
                <w:b/>
                <w:sz w:val="17"/>
              </w:rPr>
              <w:t>9,233</w:t>
            </w:r>
          </w:p>
        </w:tc>
        <w:tc>
          <w:tcPr>
            <w:tcW w:type="dxa" w:w="1440"/>
            <w:shd w:fill="FAFAFA" w:val="clear"/>
          </w:tcPr>
          <w:p>
            <w:r>
              <w:rPr>
                <w:sz w:val="17"/>
              </w:rPr>
              <w:t>10,146</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8,230</w:t>
            </w:r>
          </w:p>
        </w:tc>
        <w:tc>
          <w:tcPr>
            <w:tcW w:type="dxa" w:w="1440"/>
            <w:shd w:fill="FAFAFA" w:val="clear"/>
          </w:tcPr>
          <w:p>
            <w:r>
              <w:rPr>
                <w:b/>
                <w:sz w:val="17"/>
              </w:rPr>
              <w:t>9,214</w:t>
            </w:r>
          </w:p>
        </w:tc>
        <w:tc>
          <w:tcPr>
            <w:tcW w:type="dxa" w:w="1440"/>
            <w:shd w:fill="FAFAFA" w:val="clear"/>
          </w:tcPr>
          <w:p>
            <w:r>
              <w:rPr>
                <w:sz w:val="17"/>
              </w:rPr>
              <w:t>10,198</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8,146</w:t>
            </w:r>
          </w:p>
        </w:tc>
        <w:tc>
          <w:tcPr>
            <w:tcW w:type="dxa" w:w="1440"/>
            <w:shd w:fill="FFDCE0" w:val="clear"/>
          </w:tcPr>
          <w:p>
            <w:r>
              <w:rPr>
                <w:b/>
                <w:sz w:val="17"/>
              </w:rPr>
              <w:t>9,196</w:t>
            </w:r>
          </w:p>
        </w:tc>
        <w:tc>
          <w:tcPr>
            <w:tcW w:type="dxa" w:w="1440"/>
            <w:shd w:fill="FFDCE0" w:val="clear"/>
          </w:tcPr>
          <w:p>
            <w:r>
              <w:rPr>
                <w:sz w:val="17"/>
              </w:rPr>
              <w:t>10,245</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8,067</w:t>
            </w:r>
          </w:p>
        </w:tc>
        <w:tc>
          <w:tcPr>
            <w:tcW w:type="dxa" w:w="1440"/>
            <w:shd w:fill="FFDCE0" w:val="clear"/>
          </w:tcPr>
          <w:p>
            <w:r>
              <w:rPr>
                <w:b/>
                <w:sz w:val="17"/>
              </w:rPr>
              <w:t>9,178</w:t>
            </w:r>
          </w:p>
        </w:tc>
        <w:tc>
          <w:tcPr>
            <w:tcW w:type="dxa" w:w="1440"/>
            <w:shd w:fill="FFDCE0" w:val="clear"/>
          </w:tcPr>
          <w:p>
            <w:r>
              <w:rPr>
                <w:sz w:val="17"/>
              </w:rPr>
              <w:t>10,290</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7,993</w:t>
            </w:r>
          </w:p>
        </w:tc>
        <w:tc>
          <w:tcPr>
            <w:tcW w:type="dxa" w:w="1440"/>
            <w:shd w:fill="FFDCE0" w:val="clear"/>
          </w:tcPr>
          <w:p>
            <w:r>
              <w:rPr>
                <w:b/>
                <w:sz w:val="17"/>
              </w:rPr>
              <w:t>9,162</w:t>
            </w:r>
          </w:p>
        </w:tc>
        <w:tc>
          <w:tcPr>
            <w:tcW w:type="dxa" w:w="1440"/>
            <w:shd w:fill="FFDCE0" w:val="clear"/>
          </w:tcPr>
          <w:p>
            <w:r>
              <w:rPr>
                <w:sz w:val="17"/>
              </w:rPr>
              <w:t>10,331</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380,67 milliards FCFA, BOAB s'impose comme une valeur de premier plan de la cote BRVM, représentant une capitalisation significative à l'échelle régionale. Le BPA de 496 FCFA/action signifie que chaque titre génère près de 500 FCFA de bénéfice net, un niveau appréciable pour le secteur. Le PER de 18,9x traduit une valorisation nettement supérieure à la moyenne du marché BRVM (8-12x), les investisseurs acceptant de payer une prime pour la qualité des bénéfices et la solidité du titre. Le P/B de 3,24x confirme cette prime de croissance : le marché valorise BOAB à plus de trois fois ses fonds propres comptables (117,5 Mds FCFA), ce qui se justifie par un ROE de 17,1% nettement supérieur au coût des fonds propres. L'EV/EBITDA de 19,5x, très exigeant (&gt;15x), signale que la valeur d'entreprise intègre déjà une forte anticipation de rentabilité future, laissant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affiche une quasi-stagnation avec une variation totale de -0,16%, mais la dernière séance a été marquée par une chute brutale de -3,74%, ramenant le cours à 9 385 FCFA. Le range de trading est large, avec un plus haut à 10 350 FCFA et un plus bas à 8 520 FCFA, soit une amplitude de 1 830 FCFA (21,5%) qui témoigne d'une réelle nervosité du marché. La tendance générale est baissière depuis le pic, le cours évoluant désormais sous sa moyenne (9 176 FCFA) et sa médiane (8 950 FCFA), ce qui confirme une pression vendeuse récente. L'écart entre moyenne et médiane (226 FCFA) révèle une distribution asymétrique : le skewness positif de 0,922 indique que les journées de hausse, bien que moins nombreuses, ont été plus amples, mais la récente correction pèse sur le sentiment. L'écart-type de 557 FCFA (CV de 6,1%) traduit une dispersion modérée du cours, tandis que le kurtosis de -0,564 (mésokurtique) suggère une distribution proche de la normale, sans risque excessif de pics extrêmes. La volatilité annualisée de 28,7% positionne le titre dans la catégorie modérée (15-30%), acceptable pour une valeur bancaire de la BRVM mais nécessitant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(9 728,5 FCFA) et la MM50 (9 406,7 FCFA) se situent toutes deux au-dessus du cours actuel (9 385 FCFA), ce qui place le titre en position baissière à court terme. Cependant, la MM20 reste supérieure à la MM50, signalant que la tendance de fond demeure haussière malgré la correction récente. La décision fournie est "Achat", suggérant que le repli actuel pourrait constituer une opportunité d'entrée sur support.</w:t>
      </w:r>
    </w:p>
    <w:p>
      <w:pPr>
        <w:spacing w:after="120" w:line="276" w:lineRule="auto"/>
      </w:pPr>
      <w:r>
        <w:t>**Bandes de Bollinger** : Le cours (9 385 FCFA) évolue dans la partie basse du canal, proche de la borne inférieure (8 700,83 FCFA) et loin de la borne supérieure (10 756,17 FCFA). Cette position indique une pression vendeuse mais aussi un potentiel de rebond technique vers la moyenne mobile. La décision "Neutre" reflète l'absence de signal directionnel fort, le titre n'étant ni en surachat ni en survente extrême.</w:t>
      </w:r>
    </w:p>
    <w:p>
      <w:pPr>
        <w:spacing w:after="120" w:line="276" w:lineRule="auto"/>
      </w:pPr>
      <w:r>
        <w:t>**MACD** : La valeur du MACD (-94,541) est nettement inférieure à son signal (-37,484), confirmant un momentum baissier marqué. Le croisement baissier récent et l'écart négatif croissant entre les deux lignes plaident pour une poursuite de la correction à court terme. La décision "Vente" est cohérente avec cette configuration.</w:t>
      </w:r>
    </w:p>
    <w:p>
      <w:pPr>
        <w:spacing w:after="120" w:line="276" w:lineRule="auto"/>
      </w:pPr>
      <w:r>
        <w:t>**RSI** : À 38,221, le RSI se situe dans la zone neutre basse (30-70), sans atteindre le seuil de survente (&lt;30). Cela suggère que le titre conserve un potentiel de baisse résiduel avant un éventuel rebond technique. La décision "Neutre" invite à la prudence, sans signal d'achat ou de vente imminent.</w:t>
      </w:r>
    </w:p>
    <w:p>
      <w:pPr>
        <w:spacing w:after="120" w:line="276" w:lineRule="auto"/>
      </w:pPr>
      <w:r>
        <w:t>**Stochastique** : Le %K (42,199) est inférieur au %D (51,182), configuration baissière indiquant que la pression vendeuse domine. Aucun croisement haussier n'est visible, et les deux lignes évoluent en zone médiane, sans signal de retournement. La décision "Neutre" confirme l'absence de signal fort.</w:t>
      </w:r>
    </w:p>
    <w:p>
      <w:pPr>
        <w:spacing w:after="120" w:line="276" w:lineRule="auto"/>
      </w:pPr>
      <w:r>
        <w:t>**Conclusion technique** : Les indicateurs techniques présentent un tableau mitigé, dominé par un biais baissier à court terme (MACD vendeur, cours sous les moyennes mobiles, stochastique baissier) mais sans excès de survente (RSI neutre, Bollinger neutre). La divergence entre la décision "Achat" des moyennes mobiles (tendance de fond) et les signaux baissiers à court terme suggère une phase de consolidation, avec un support clé à surveiller autour de 8 700 FCFA (borne inférieure de Bollinger) et une résistance à 9 728 FCFA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structurés de l'exercice 2025 (base brvm_donnees_financieres) révèlent une banque solide et rentable : le Produit Net Bancaire (PNB) s'établit à 51,274 Mds FCFA, le résultat net à 20,107 Mds FCFA, avec un ROE de 17,11% (excellent, &gt;15%) et un ROA de 2,08%. Le coefficient d'exploitation de 49,53% (&lt;60%) confirme une excellente efficacité opérationnelle, tandis que la marge nette de 39,22% témoigne d'une forte rentabilité. Le coût du risque (provisions/charges financières) de 22,50% reste élevé, signalant un portefeuille de crédit à surveiller, mais la couverture des intérêts (101,77%) et la solvabilité générale (113,87%) assurent une bonne solidité financière. La structure de bilan affiche des dépôts clientèle de 711,642 Mds FCFA pour des créances clientèle de 391,724 Mds FCFA, soit un ratio de transformation de 55%, typique d'une banque conservatrice. Les rapports narratifs confirment cette dynamique : le T1 2026 (rapport du 31 mars 2026) affiche un PNB de 12,329 Mds FCFA (+11%) et un résultat net de 4,502 Mds FCFA (+1%), avec des dépôts en hausse de 3,5% à 753,7 Mds FCFA. Le T3 2025 (rapport du 30 septembre 2025) montrait déjà un PNB de 37,065 Mds FCFA (+9%) et un résultat net de 15,880 Mds FCFA (+13%), malgré une contraction des crédits (-10%) et des dépôts (-5%). Sur la base du T1 2026, on peut estimer que l'exercice 2026 devrait maintenir une croissance du PNB autour de 10-11%, avec un résultat net en progression modérée de 3-5%, la pression sur les coûts et le coût du risque tempérant la rentabilité. La comparaison avec 2024 (résultat net de 19,647 Mds FCFA, en baisse de 8,7%) et 2021 (16,66 Mds FCFA, +25%) montre une trajectoire de croissance globale, mais avec des à-coups liés aux provisions et à l'environnement économique. En synthèse, BOAB présente des fondamentaux solides (ROE élevé, efficacité opérationnelle, base de dépôts croissante) mais fait face à des défis : coût du risque élevé, contraction des crédits, et valorisation boursière exigeante. La recommandation fondamentale est de **conserver** le titre pour son rendement et sa solidité, en surveillant l'évolution du coût du risque et la reprise de la croissance des crédits.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(PER 18,9x, P/B 3,24x, EV/EBITDA 19,5x) indique une **surévaluation relative** par rapport à la moyenne du marché BRVM, mais elle se justifie par un ROE de 17,1% et une qualité de bénéfices supérieure. Le comportement du cours sur 100 jours est préoccupant à court terme (chute de -3,74% en J-1, cours sous les moyennes mobiles), avec une volatilité modérée (28,7%) et une asymétrie positive (skewness 0,922) qui suggère que les hausses passées ont été amples mais que la correction actuelle pèse. Les signaux techniques sont majoritairement baissiers (MACD vendeur, stochastique baissier, cours sous MM20/MM50), mais le RSI neutre et la proximité de la borne inférieure de Bollinger (8 700 FCFA) offrent un potentiel de rebond technique. Les fondamentaux restent solides (PNB 51,274 Mds FCFA en 2025, ROE 17,11%, coefficient d'exploitation 49,53%), avec des estimations T1 2026 positives (PNB +11%, dépôts +3,5%), mais le coût du risque élevé (22,50%) et la contraction des crédits constituent des risques. Les prédictions IA (J+1 à J+10) anticipent une poursuite de la baisse modérée, de 9 322 FCFA à 9 233 FCFA, confirmant la pression baissière à court terme sans effondrement. Sur la base de cette synthèse, la recommandation finale est **CONSERVER** : la convergence entre une valorisation exigeante, des signaux techniques baissiers à court terme et des fondamentaux solides mais sans catalyseur immédiat plaide pour une position attentiste. Le niveau de confiance est **Moyen** (les indicateurs sont mitigés), le risque global est **Moyen** (volatilité modérée, coût du risque élevé), et l'horizon d'investissement optimal est **moyen terme (3-12 mois)**, en attendant une clarification technique et une reprise de la croissance des crédits.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6,415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+48.15%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18.03% (Élevée) — μ=6,840 FCFA, σ=1,234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β=0.7430 (Défensif) — Cov=0.000051, Var(idx)=0.000068, ρ=0.273,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7,375</w:t>
            </w:r>
          </w:p>
        </w:tc>
        <w:tc>
          <w:tcPr>
            <w:tcW w:type="dxa" w:w="1440"/>
            <w:shd w:fill="FAFAFA" w:val="clear"/>
          </w:tcPr>
          <w:p>
            <w:r>
              <w:rPr>
                <w:b/>
                <w:sz w:val="17"/>
              </w:rPr>
              <w:t>7,935</w:t>
            </w:r>
          </w:p>
        </w:tc>
        <w:tc>
          <w:tcPr>
            <w:tcW w:type="dxa" w:w="1440"/>
            <w:shd w:fill="FAFAFA" w:val="clear"/>
          </w:tcPr>
          <w:p>
            <w:r>
              <w:rPr>
                <w:sz w:val="17"/>
              </w:rPr>
              <w:t>8,495</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7,232</w:t>
            </w:r>
          </w:p>
        </w:tc>
        <w:tc>
          <w:tcPr>
            <w:tcW w:type="dxa" w:w="1440"/>
            <w:shd w:fill="FAFAFA" w:val="clear"/>
          </w:tcPr>
          <w:p>
            <w:r>
              <w:rPr>
                <w:b/>
                <w:sz w:val="17"/>
              </w:rPr>
              <w:t>7,916</w:t>
            </w:r>
          </w:p>
        </w:tc>
        <w:tc>
          <w:tcPr>
            <w:tcW w:type="dxa" w:w="1440"/>
            <w:shd w:fill="FAFAFA" w:val="clear"/>
          </w:tcPr>
          <w:p>
            <w:r>
              <w:rPr>
                <w:sz w:val="17"/>
              </w:rPr>
              <w:t>8,601</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7,110</w:t>
            </w:r>
          </w:p>
        </w:tc>
        <w:tc>
          <w:tcPr>
            <w:tcW w:type="dxa" w:w="1440"/>
            <w:shd w:fill="FAFAFA" w:val="clear"/>
          </w:tcPr>
          <w:p>
            <w:r>
              <w:rPr>
                <w:b/>
                <w:sz w:val="17"/>
              </w:rPr>
              <w:t>7,899</w:t>
            </w:r>
          </w:p>
        </w:tc>
        <w:tc>
          <w:tcPr>
            <w:tcW w:type="dxa" w:w="1440"/>
            <w:shd w:fill="FAFAFA" w:val="clear"/>
          </w:tcPr>
          <w:p>
            <w:r>
              <w:rPr>
                <w:sz w:val="17"/>
              </w:rPr>
              <w:t>8,687</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7,001</w:t>
            </w:r>
          </w:p>
        </w:tc>
        <w:tc>
          <w:tcPr>
            <w:tcW w:type="dxa" w:w="1440"/>
            <w:shd w:fill="FAFAFA" w:val="clear"/>
          </w:tcPr>
          <w:p>
            <w:r>
              <w:rPr>
                <w:b/>
                <w:sz w:val="17"/>
              </w:rPr>
              <w:t>7,881</w:t>
            </w:r>
          </w:p>
        </w:tc>
        <w:tc>
          <w:tcPr>
            <w:tcW w:type="dxa" w:w="1440"/>
            <w:shd w:fill="FAFAFA" w:val="clear"/>
          </w:tcPr>
          <w:p>
            <w:r>
              <w:rPr>
                <w:sz w:val="17"/>
              </w:rPr>
              <w:t>8,761</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6,902</w:t>
            </w:r>
          </w:p>
        </w:tc>
        <w:tc>
          <w:tcPr>
            <w:tcW w:type="dxa" w:w="1440"/>
            <w:shd w:fill="FAFAFA" w:val="clear"/>
          </w:tcPr>
          <w:p>
            <w:r>
              <w:rPr>
                <w:b/>
                <w:sz w:val="17"/>
              </w:rPr>
              <w:t>7,863</w:t>
            </w:r>
          </w:p>
        </w:tc>
        <w:tc>
          <w:tcPr>
            <w:tcW w:type="dxa" w:w="1440"/>
            <w:shd w:fill="FAFAFA" w:val="clear"/>
          </w:tcPr>
          <w:p>
            <w:r>
              <w:rPr>
                <w:sz w:val="17"/>
              </w:rPr>
              <w:t>8,825</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6,810</w:t>
            </w:r>
          </w:p>
        </w:tc>
        <w:tc>
          <w:tcPr>
            <w:tcW w:type="dxa" w:w="1440"/>
            <w:shd w:fill="FAFAFA" w:val="clear"/>
          </w:tcPr>
          <w:p>
            <w:r>
              <w:rPr>
                <w:b/>
                <w:sz w:val="17"/>
              </w:rPr>
              <w:t>7,846</w:t>
            </w:r>
          </w:p>
        </w:tc>
        <w:tc>
          <w:tcPr>
            <w:tcW w:type="dxa" w:w="1440"/>
            <w:shd w:fill="FAFAFA" w:val="clear"/>
          </w:tcPr>
          <w:p>
            <w:r>
              <w:rPr>
                <w:sz w:val="17"/>
              </w:rPr>
              <w:t>8,882</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6,723</w:t>
            </w:r>
          </w:p>
        </w:tc>
        <w:tc>
          <w:tcPr>
            <w:tcW w:type="dxa" w:w="1440"/>
            <w:shd w:fill="FFDCE0" w:val="clear"/>
          </w:tcPr>
          <w:p>
            <w:r>
              <w:rPr>
                <w:b/>
                <w:sz w:val="17"/>
              </w:rPr>
              <w:t>7,828</w:t>
            </w:r>
          </w:p>
        </w:tc>
        <w:tc>
          <w:tcPr>
            <w:tcW w:type="dxa" w:w="1440"/>
            <w:shd w:fill="FFDCE0" w:val="clear"/>
          </w:tcPr>
          <w:p>
            <w:r>
              <w:rPr>
                <w:sz w:val="17"/>
              </w:rPr>
              <w:t>8,934</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6,642</w:t>
            </w:r>
          </w:p>
        </w:tc>
        <w:tc>
          <w:tcPr>
            <w:tcW w:type="dxa" w:w="1440"/>
            <w:shd w:fill="FFDCE0" w:val="clear"/>
          </w:tcPr>
          <w:p>
            <w:r>
              <w:rPr>
                <w:b/>
                <w:sz w:val="17"/>
              </w:rPr>
              <w:t>7,812</w:t>
            </w:r>
          </w:p>
        </w:tc>
        <w:tc>
          <w:tcPr>
            <w:tcW w:type="dxa" w:w="1440"/>
            <w:shd w:fill="FFDCE0" w:val="clear"/>
          </w:tcPr>
          <w:p>
            <w:r>
              <w:rPr>
                <w:sz w:val="17"/>
              </w:rPr>
              <w:t>8,981</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6,565</w:t>
            </w:r>
          </w:p>
        </w:tc>
        <w:tc>
          <w:tcPr>
            <w:tcW w:type="dxa" w:w="1440"/>
            <w:shd w:fill="FFDCE0" w:val="clear"/>
          </w:tcPr>
          <w:p>
            <w:r>
              <w:rPr>
                <w:b/>
                <w:sz w:val="17"/>
              </w:rPr>
              <w:t>7,795</w:t>
            </w:r>
          </w:p>
        </w:tc>
        <w:tc>
          <w:tcPr>
            <w:tcW w:type="dxa" w:w="1440"/>
            <w:shd w:fill="FFDCE0" w:val="clear"/>
          </w:tcPr>
          <w:p>
            <w:r>
              <w:rPr>
                <w:sz w:val="17"/>
              </w:rPr>
              <w:t>9,026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BOABF (Bank of Africa Burkina Faso)</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352,00 milliards FCFA, BOABF s'impose comme l'une des valeurs bancaires les plus significatives de la cote BRVM, reflétant la solidité de son bilan de 1 148,675 milliards FCFA. Le BPA de 438 FCFA/action signifie que chaque titre génère près de 438 FCFA de bénéfice net, un niveau confortable qui traduit la capacité bénéficiaire de la banque. Le PER de 18,3x se situe nettement au-dessus de la moyenne BRVM (8-12x), ce qui indique que les investisseurs paient une prime significative pour ce titre — potentiellement justifiée par la qualité du management et la position de marché, mais qui limite la marge de sécurité. Le P/B de 2,78x confirme cette prime de croissance : le marché valorise la banque à près de 3 fois sa valeur comptable (126,516 milliards FCFA de capitaux propres), ce qui est cohérent avec un ROE de 15,22% mais expose à un risque de correction si la rentabilité se dégrade. Enfin, l'EV/EBITDA de 8,1x, bien que dans la fourchette raisonnable (5-10x), suggère que la valeur d'entreprise reste correctement évaluée par rapport à la capacité opérationnelle, sans décote ni surévaluation flagrante.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BOABF a enregistré une performance remarquable de **+48,15%**, passant d'un plus bas de 5 300 FCFA à un plus haut de 9 090 FCFA, avant de se replier à 8 000 FCFA (dernière séance : **-2,44%**). Cette tendance nettement haussière témoigne d'un fort intérêt des investisseurs, probablement alimenté par l'amélioration du coût du risque observée au S1 2026 et la normalisation de la rentabilité. Les statistiques descriptives révèlent une **moyenne de 6 840 FCFA** inférieure à la **médiane de 7 100 FCFA**, ce qui indique une distribution légèrement asymétrique à gauche — les cours élevés récents tirent la moyenne vers le bas par rapport à la médiane, suggérant que la hausse s'est concentrée sur la fin de période. L'**écart-type de 1 240 FCFA (CV=18,1%)** traduit une dispersion modérée du cours, tandis que le **kurtosis de -1,218 (platykurtique)** indique une distribution aplatie avec une faible concentration autour de la moyenne — les mouvements de prix sont donc relativement étalés, sans pics extrêmes fréquents. Le **skewness de 0,341** confirme une distribution quasi-symétrique avec une légère inclinaison positive. Enfin, la **volatilité annualisée de 35,8%** positionne le titre dans la catégorie des valeurs à volatilité élevée (&gt;30%), ce qui implique un risque de fluctuation important à court terme, mais aussi des opportunités de trading.</w:t>
      </w:r>
    </w:p>
    <w:p>
      <w:pPr>
        <w:spacing w:after="120" w:line="276" w:lineRule="auto"/>
      </w:pPr>
      <w:r>
        <w:t>---</w:t>
      </w:r>
    </w:p>
    <w:p>
      <w:pPr>
        <w:spacing w:after="120" w:line="276" w:lineRule="auto"/>
      </w:pPr>
      <w:r>
        <w:t>## PARTIE 2 : ANALYSE TECHNIQUE DÉTAILLÉE</w:t>
      </w:r>
    </w:p>
    <w:p>
      <w:pPr>
        <w:spacing w:after="120" w:line="276" w:lineRule="auto"/>
      </w:pPr>
      <w:r>
        <w:t>**Moyennes Mobiles** : La MM20 (8 309,75 FCFA) et la MM50 (7 904,50 FCFA) encadrent le cours actuel de 8 000 FCFA. Le prix se situe légèrement sous la MM20 mais au-dessus de la MM50, ce qui suggère une consolidation à court terme après la forte hausse. La décision technique est à l'**Achat**, car la structure des moyennes reste haussière (MM20 &gt; MM50) et le cours évolue dans une zone de support dynamique.</w:t>
      </w:r>
    </w:p>
    <w:p>
      <w:pPr>
        <w:spacing w:after="120" w:line="276" w:lineRule="auto"/>
      </w:pPr>
      <w:r>
        <w:t>**Bandes de Bollinger** : Le cours (8 000 FCFA) se situe dans la partie inférieure de la bande (borne supérieure : 9 360,90 FCFA ; borne inférieure : 7 258,60 FCFA), à environ 40% de la largeur totale. Cette position médiane-basse indique une absence de pression acheteuse immédiate, mais aussi un potentiel de rebond vers la borne supérieure. La décision est **Neutre**, car le cours n'est ni en surachat ni en survente technique.</w:t>
      </w:r>
    </w:p>
    <w:p>
      <w:pPr>
        <w:spacing w:after="120" w:line="276" w:lineRule="auto"/>
      </w:pPr>
      <w:r>
        <w:t>**MACD** : La valeur du MACD (-8,03) est nettement inférieure à son signal (41,346), générant une divergence baissière significative. Cet écart traduit un **momentum négatif** à court terme, avec un risque de poursuite de la correction. La décision est à la **Vente**, ce qui contraste avec la tendance haussière de fond et suggère une prudence à court terme.</w:t>
      </w:r>
    </w:p>
    <w:p>
      <w:pPr>
        <w:spacing w:after="120" w:line="276" w:lineRule="auto"/>
      </w:pPr>
      <w:r>
        <w:t>**RSI** : À 32,384, le RSI se situe juste au-dessus du seuil de survente (30), indiquant que le titre approche d'une zone de rebond potentiel. La décision est **Neutre**, car le RSI n'est pas encore en survente franche, mais la proximité du seuil suggère une possible stabilisation.</w:t>
      </w:r>
    </w:p>
    <w:p>
      <w:pPr>
        <w:spacing w:after="120" w:line="276" w:lineRule="auto"/>
      </w:pPr>
      <w:r>
        <w:t>**Stochastique** : Le %K (46,154) et le %D (48,666) évoluent en zone neutre, avec un croisement récent à la baisse (%K sous %D), signalant un affaiblissement du momentum. La décision est **Neutre**, car les deux lignes restent proches et n'indiquent pas de signal directionnel fort.</w:t>
      </w:r>
    </w:p>
    <w:p>
      <w:pPr>
        <w:spacing w:after="120" w:line="276" w:lineRule="auto"/>
      </w:pPr>
      <w:r>
        <w:t>**Conclusion technique** : Les indicateurs techniques présentent une **divergence préoccupante** : les moyennes mobiles restent haussières (MM20 &gt; MM50), mais le MACD génère un signal de vente et le RSI approche la survente. Cette configuration suggère une **phase de consolidation** après la forte hausse de +48%, avec un risque de correction à court terme vers le support de 7 900 FCFA (MM50). La tendance de fond reste positive, mais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BOABF a réalisé un **Produit Net Bancaire (PNB) de 57,820 milliards FCFA**, quasi stable par rapport à 2024 (+0,6%), avec un **résultat net de 19,252 milliards FCFA** en recul de -14,1% (contre 22,419 milliards en 2024). Cette baisse est principalement due à un **coût du risque quasi doublé** (8,355 milliards FCFA contre 4,303 milliards en 2024), reflétant une dégradation de la qualité du portefeuille de crédits. Le **ROE de 15,22%** reste excellent (&gt;15%), et le **ROA de 1,68%** est correct pour le secteur bancaire. Le **coefficient d'exploitation de 47,19%** est excellent (&lt;50%), confirmant l'efficacité opérationnelle de la banque. Le **ratio dépôts/crédits** s'établit à 877,822/474,064 = **1,85x**, indiquant une surliquidité confortable mais une sous-utilisation des dépôts pour le crédit. Les **créances interbancaires** ont bondi à 213,132 milliards FCFA (contre 53,994 milliards en 2024), traduisant un placement massif de liquidités plutôt qu'un développement du crédit client.</w:t>
      </w:r>
    </w:p>
    <w:p>
      <w:pPr>
        <w:spacing w:after="120" w:line="276" w:lineRule="auto"/>
      </w:pPr>
      <w:r>
        <w:t>**Adaptation au secteur bancaire** : Le **coût du risque/charges financières de 33,92%** est élevé, signalant un risque de crédit significatif. Le **ratio d'endettement de 96,61%** est typique du secteur bancaire (les dépôts clientèle représentent 877,822 milliards FCFA, soit 76,4% du total bilan). L'**autonomie financière de 11,01%** est faible mais normale pour une banque, dont le modèle repose sur l'effet de levier.</w:t>
      </w:r>
    </w:p>
    <w:p>
      <w:pPr>
        <w:spacing w:after="120" w:line="276" w:lineRule="auto"/>
      </w:pPr>
      <w:r>
        <w:t>**Estimations basées sur les rapports trimestriels** : Le **rapport T1 2026 (31/03/2026)** indique un PNB de 12,694 milliards FCFA (-10,75% sur un an) et un résultat net de 4,520 milliards FCFA (-12,99%), avec une progression des dépôts de +6,3% à 933,233 milliards FCFA. Le **rapport S1 2026 (30/06/2026)** révèle un PNB de 27,539 milliards FCFA (-5,2%) mais un **résultat net en hausse de +31,0% à 10,770 milliards FCFA**, grâce à une amélioration spectaculaire du coût du risque (-65,2% à -2,396 milliards FCFA). On estime donc que l'exercice 2026 devrait bénéficier d'une **normalisation du coût du risque**, avec un résultat net annualisé potentiellement supérieur à 20 milliards FCFA, malgré la pression sur le PNB. Le **rapport 2025 (31/12/2025)** confirme que la dégradation du coût du risque était concentrée sur le S1 2025, avec un redressement au S2.</w:t>
      </w:r>
    </w:p>
    <w:p>
      <w:pPr>
        <w:spacing w:after="120" w:line="276" w:lineRule="auto"/>
      </w:pPr>
      <w:r>
        <w:t>**Recommandation fondamentale** : La solidité financière de BOABF est **avérée** (ROE &gt;15%, coefficient d'exploitation &lt;50%, surliquidité), mais la **dynamique commerciale est préoccupante** (PNB en baisse de -5,2% au S1 2026, crédits en stagnation). La rentabilité 2026 devrait s'améliorer grâce à la normalisation du risque, mais cette amélioration est **tirée par une base de comparaison favorable** plutôt que par une croissance organique. Le principal risque reste la **concentration géographique** sur le Burkina Faso, exposé à l'instabilité sécuritaire. Recommandation fondamentale : **CONSERVER**, avec un potentiel de révision à la hausse si la dynamique commerciale se redresse.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indique une **surévaluation relative** avec un PER de 18,3x (vs moyenne BRVM 8-12x) et un P/B de 2,78x, ce qui limite la marge de sécurité malgré un EV/EBITDA raisonnable de 8,1x. Le comportement du cours (Partie 1) est **haussier sur 100 jours (+48,15%)** mais la volatilité élevée (35,8%) et la distribution platykurtique (kurtosis -1,218) suggèrent des mouvements amples et imprévisibles. Les signaux techniques (Partie 2) sont **divergents** : les moyennes mobiles restent haussières, mais le MACD génère un signal de vente et le RSI approche la survente, indiquant une consolidation probable à court terme. Les fondamentaux (Partie 3) sont **solides mais contrastés** : ROE excellent (15,22%), coefficient d'exploitation performant (47,19%), mais PNB en baisse (-5,2% au S1 2026) et résultat net 2025 en recul (-14,1%) à cause du coût du risque. Les **prédictions IA (J+1 à J+10)** anticipent une **légère baisse** de 8 000 FCFA à 7 863 FCFA (-1,7%), ce qui **contredit** la tendance haussière de fond mais **confirme** les signaux techniques baissiers à court terme (MACD, Stochastique).</w:t>
      </w:r>
    </w:p>
    <w:p>
      <w:pPr>
        <w:spacing w:after="120" w:line="276" w:lineRule="auto"/>
      </w:pPr>
      <w:r>
        <w:t>**Recommandation finale** : **CONSERVER**. La convergence entre la valorisation élevée (PER 18,3x), les signaux techniques baissiers à court terme (MACD, prédictions IA) et la pression sur le PNB justifie une **prise de bénéfices partielle** après la hausse de +48%. Cependant, la solidité fondamentale (ROE &gt;15%, normalisation du coût du risque au S1 2026) et la position de leader sur le marché burkinabè plaident pour **conserver le titre à moyen terme**, en attendant une confirmation de la reprise commerciale. Le niveau de confiance est **Moyen**, car les signaux sont contradictoires (fondamental solide vs technique baissier). Le risque global est **Moyen à Élevé**, en raison de la volatilité du titre (35,8%) et de l'exposition au risque pays (Burkina Faso). L'horizon d'investissement optimal est le **moyen terme (3-12 mois)**, avec un point d'entrée idéal autour de 7 900 FCFA (MM50) et un objectif de cours de 9 000 FCFA si la dynamique commerciale se redresse au S2 2026.</w:t>
      </w:r>
    </w:p>
    <w:p>
      <w:pPr>
        <w:spacing w:after="120" w:line="276" w:lineRule="auto"/>
      </w:pPr>
      <w:r>
        <w:t>---</w:t>
      </w:r>
    </w:p>
    <w:p>
      <w:pPr>
        <w:spacing w:after="120" w:line="276" w:lineRule="auto"/>
      </w:pPr>
      <w:r>
        <w:t>*Rapport généré le 4 octobre 2026 — Sources : BRVM, états financiers BOABF 2025, rapports T1/S1 2026, calendrier dividendes 2025.*</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459.60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10,855 titres</w:t>
            </w:r>
          </w:p>
        </w:tc>
        <w:tc>
          <w:tcPr>
            <w:tcW w:type="dxa" w:w="2268"/>
            <w:shd w:fill="FFF2CC" w:val="clear"/>
          </w:tcPr>
          <w:p>
            <w:r>
              <w:rPr>
                <w:b/>
                <w:color w:val="503200"/>
                <w:sz w:val="16"/>
              </w:rPr>
              <w:t xml:space="preserve">Cours actuel : </w:t>
            </w:r>
            <w:r>
              <w:rPr>
                <w:color w:val="000000"/>
                <w:sz w:val="17"/>
              </w:rPr>
              <w:t>11,490 FCFA</w:t>
            </w:r>
          </w:p>
          <w:p>
            <w:r>
              <w:rPr>
                <w:b/>
                <w:color w:val="503200"/>
                <w:sz w:val="16"/>
              </w:rPr>
              <w:t xml:space="preserve">Var. 100 jours : </w:t>
            </w:r>
            <w:r>
              <w:rPr>
                <w:b/>
                <w:color w:val="007800"/>
                <w:sz w:val="17"/>
              </w:rPr>
              <w:t>+31.99%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14.86% (Moyenne) — μ=10,530 FCFA, σ=1,565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β=0.7437 (Défensif) — Cov=0.000051, Var(idx)=0.000068, ρ=0.349,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11,035</w:t>
            </w:r>
          </w:p>
        </w:tc>
        <w:tc>
          <w:tcPr>
            <w:tcW w:type="dxa" w:w="1440"/>
            <w:shd w:fill="FAFAFA" w:val="clear"/>
          </w:tcPr>
          <w:p>
            <w:r>
              <w:rPr>
                <w:b/>
                <w:sz w:val="17"/>
              </w:rPr>
              <w:t>11,509</w:t>
            </w:r>
          </w:p>
        </w:tc>
        <w:tc>
          <w:tcPr>
            <w:tcW w:type="dxa" w:w="1440"/>
            <w:shd w:fill="FAFAFA" w:val="clear"/>
          </w:tcPr>
          <w:p>
            <w:r>
              <w:rPr>
                <w:sz w:val="17"/>
              </w:rPr>
              <w:t>11,982</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10,937</w:t>
            </w:r>
          </w:p>
        </w:tc>
        <w:tc>
          <w:tcPr>
            <w:tcW w:type="dxa" w:w="1440"/>
            <w:shd w:fill="FAFAFA" w:val="clear"/>
          </w:tcPr>
          <w:p>
            <w:r>
              <w:rPr>
                <w:b/>
                <w:sz w:val="17"/>
              </w:rPr>
              <w:t>11,518</w:t>
            </w:r>
          </w:p>
        </w:tc>
        <w:tc>
          <w:tcPr>
            <w:tcW w:type="dxa" w:w="1440"/>
            <w:shd w:fill="FAFAFA" w:val="clear"/>
          </w:tcPr>
          <w:p>
            <w:r>
              <w:rPr>
                <w:sz w:val="17"/>
              </w:rPr>
              <w:t>12,099</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10,856</w:t>
            </w:r>
          </w:p>
        </w:tc>
        <w:tc>
          <w:tcPr>
            <w:tcW w:type="dxa" w:w="1440"/>
            <w:shd w:fill="FAFAFA" w:val="clear"/>
          </w:tcPr>
          <w:p>
            <w:r>
              <w:rPr>
                <w:b/>
                <w:sz w:val="17"/>
              </w:rPr>
              <w:t>11,528</w:t>
            </w:r>
          </w:p>
        </w:tc>
        <w:tc>
          <w:tcPr>
            <w:tcW w:type="dxa" w:w="1440"/>
            <w:shd w:fill="FAFAFA" w:val="clear"/>
          </w:tcPr>
          <w:p>
            <w:r>
              <w:rPr>
                <w:sz w:val="17"/>
              </w:rPr>
              <w:t>12,199</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10,786</w:t>
            </w:r>
          </w:p>
        </w:tc>
        <w:tc>
          <w:tcPr>
            <w:tcW w:type="dxa" w:w="1440"/>
            <w:shd w:fill="FAFAFA" w:val="clear"/>
          </w:tcPr>
          <w:p>
            <w:r>
              <w:rPr>
                <w:b/>
                <w:sz w:val="17"/>
              </w:rPr>
              <w:t>11,537</w:t>
            </w:r>
          </w:p>
        </w:tc>
        <w:tc>
          <w:tcPr>
            <w:tcW w:type="dxa" w:w="1440"/>
            <w:shd w:fill="FAFAFA" w:val="clear"/>
          </w:tcPr>
          <w:p>
            <w:r>
              <w:rPr>
                <w:sz w:val="17"/>
              </w:rPr>
              <w:t>12,289</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10,723</w:t>
            </w:r>
          </w:p>
        </w:tc>
        <w:tc>
          <w:tcPr>
            <w:tcW w:type="dxa" w:w="1440"/>
            <w:shd w:fill="FAFAFA" w:val="clear"/>
          </w:tcPr>
          <w:p>
            <w:r>
              <w:rPr>
                <w:b/>
                <w:sz w:val="17"/>
              </w:rPr>
              <w:t>11,547</w:t>
            </w:r>
          </w:p>
        </w:tc>
        <w:tc>
          <w:tcPr>
            <w:tcW w:type="dxa" w:w="1440"/>
            <w:shd w:fill="FAFAFA" w:val="clear"/>
          </w:tcPr>
          <w:p>
            <w:r>
              <w:rPr>
                <w:sz w:val="17"/>
              </w:rPr>
              <w:t>12,370</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2026-10-12</w:t>
            </w:r>
          </w:p>
        </w:tc>
        <w:tc>
          <w:tcPr>
            <w:tcW w:type="dxa" w:w="1440"/>
            <w:shd w:fill="FAFAFA" w:val="clear"/>
          </w:tcPr>
          <w:p>
            <w:r>
              <w:rPr>
                <w:sz w:val="17"/>
              </w:rPr>
              <w:t>10,665</w:t>
            </w:r>
          </w:p>
        </w:tc>
        <w:tc>
          <w:tcPr>
            <w:tcW w:type="dxa" w:w="1440"/>
            <w:shd w:fill="FAFAFA" w:val="clear"/>
          </w:tcPr>
          <w:p>
            <w:r>
              <w:rPr>
                <w:b/>
                <w:sz w:val="17"/>
              </w:rPr>
              <w:t>11,556</w:t>
            </w:r>
          </w:p>
        </w:tc>
        <w:tc>
          <w:tcPr>
            <w:tcW w:type="dxa" w:w="1440"/>
            <w:shd w:fill="FAFAFA" w:val="clear"/>
          </w:tcPr>
          <w:p>
            <w:r>
              <w:rPr>
                <w:sz w:val="17"/>
              </w:rPr>
              <w:t>12,446</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2026-10-13</w:t>
            </w:r>
          </w:p>
        </w:tc>
        <w:tc>
          <w:tcPr>
            <w:tcW w:type="dxa" w:w="1440"/>
            <w:shd w:fill="FAFAFA" w:val="clear"/>
          </w:tcPr>
          <w:p>
            <w:r>
              <w:rPr>
                <w:sz w:val="17"/>
              </w:rPr>
              <w:t>10,612</w:t>
            </w:r>
          </w:p>
        </w:tc>
        <w:tc>
          <w:tcPr>
            <w:tcW w:type="dxa" w:w="1440"/>
            <w:shd w:fill="FAFAFA" w:val="clear"/>
          </w:tcPr>
          <w:p>
            <w:r>
              <w:rPr>
                <w:b/>
                <w:sz w:val="17"/>
              </w:rPr>
              <w:t>11,564</w:t>
            </w:r>
          </w:p>
        </w:tc>
        <w:tc>
          <w:tcPr>
            <w:tcW w:type="dxa" w:w="1440"/>
            <w:shd w:fill="FAFAFA" w:val="clear"/>
          </w:tcPr>
          <w:p>
            <w:r>
              <w:rPr>
                <w:sz w:val="17"/>
              </w:rPr>
              <w:t>12,517</w:t>
            </w:r>
          </w:p>
        </w:tc>
        <w:tc>
          <w:tcPr>
            <w:tcW w:type="dxa" w:w="1440"/>
            <w:shd w:fill="FAFAFA" w:val="clear"/>
          </w:tcPr>
          <w:p>
            <w:r>
              <w:rPr>
                <w:b/>
                <w:color w:val="008000"/>
                <w:sz w:val="17"/>
              </w:rPr>
              <w:t>+0.6%</w:t>
            </w:r>
          </w:p>
        </w:tc>
      </w:tr>
      <w:tr>
        <w:tc>
          <w:tcPr>
            <w:tcW w:type="dxa" w:w="1440"/>
            <w:shd w:fill="FAFAFA" w:val="clear"/>
          </w:tcPr>
          <w:p>
            <w:r>
              <w:rPr>
                <w:sz w:val="17"/>
              </w:rPr>
              <w:t>J+8  Moyenne</w:t>
            </w:r>
          </w:p>
        </w:tc>
        <w:tc>
          <w:tcPr>
            <w:tcW w:type="dxa" w:w="1440"/>
            <w:shd w:fill="FAFAFA" w:val="clear"/>
          </w:tcPr>
          <w:p>
            <w:r>
              <w:rPr>
                <w:sz w:val="17"/>
              </w:rPr>
              <w:t>2026-10-14</w:t>
            </w:r>
          </w:p>
        </w:tc>
        <w:tc>
          <w:tcPr>
            <w:tcW w:type="dxa" w:w="1440"/>
            <w:shd w:fill="FAFAFA" w:val="clear"/>
          </w:tcPr>
          <w:p>
            <w:r>
              <w:rPr>
                <w:sz w:val="17"/>
              </w:rPr>
              <w:t>10,562</w:t>
            </w:r>
          </w:p>
        </w:tc>
        <w:tc>
          <w:tcPr>
            <w:tcW w:type="dxa" w:w="1440"/>
            <w:shd w:fill="FAFAFA" w:val="clear"/>
          </w:tcPr>
          <w:p>
            <w:r>
              <w:rPr>
                <w:b/>
                <w:sz w:val="17"/>
              </w:rPr>
              <w:t>11,572</w:t>
            </w:r>
          </w:p>
        </w:tc>
        <w:tc>
          <w:tcPr>
            <w:tcW w:type="dxa" w:w="1440"/>
            <w:shd w:fill="FAFAFA" w:val="clear"/>
          </w:tcPr>
          <w:p>
            <w:r>
              <w:rPr>
                <w:sz w:val="17"/>
              </w:rPr>
              <w:t>12,583</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2026-10-15</w:t>
            </w:r>
          </w:p>
        </w:tc>
        <w:tc>
          <w:tcPr>
            <w:tcW w:type="dxa" w:w="1440"/>
            <w:shd w:fill="FAFAFA" w:val="clear"/>
          </w:tcPr>
          <w:p>
            <w:r>
              <w:rPr>
                <w:sz w:val="17"/>
              </w:rPr>
              <w:t>10,514</w:t>
            </w:r>
          </w:p>
        </w:tc>
        <w:tc>
          <w:tcPr>
            <w:tcW w:type="dxa" w:w="1440"/>
            <w:shd w:fill="FAFAFA" w:val="clear"/>
          </w:tcPr>
          <w:p>
            <w:r>
              <w:rPr>
                <w:b/>
                <w:sz w:val="17"/>
              </w:rPr>
              <w:t>11,580</w:t>
            </w:r>
          </w:p>
        </w:tc>
        <w:tc>
          <w:tcPr>
            <w:tcW w:type="dxa" w:w="1440"/>
            <w:shd w:fill="FAFAFA" w:val="clear"/>
          </w:tcPr>
          <w:p>
            <w:r>
              <w:rPr>
                <w:sz w:val="17"/>
              </w:rPr>
              <w:t>12,647</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 CÔTE D'IVOIRE (BOAC)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459,60 milliards FCFA, BOAC s'impose comme l'une des valeurs bancaires les plus capitalisées de la cote BRVM, ce qui témoigne de sa liquidité relative et de son poids dans l'indice sectoriel. Le BPA de 888 FCFA par action signifie que chaque titre détenu génère près de neuf cents francs de bénéfice net, un niveau de rentabilité unitaire élevé qui reflète la solidité des marges bancaires de l'établissement. Le PER de 12,9x situe le titre légèrement au-dessus de la moyenne BRVM (8-12x), une prime modérée justifiée par la qualité des fondamentaux mais qui n'évoque ni une sous-évaluation flagrante ni une bulle spéculative. Le P/B de 3,61x indique que le marché valorise la banque à plus de trois fois et demie ses fonds propres comptables (127,34 Mds FCFA), traduisant une prime de croissance et de rentabilité (ROE de 27,9%) que les investisseurs acceptent de payer. En revanche, l'EV/EBITDA de 26,5x apparaît très exigeant (seuil d'alerte &gt;15x), signalant que la valeur d'entreprise intègre déjà une anticipation de croissance opérationnelle soutenue, ce qui réduit la marge de sécurité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performance remarquable de +31,99%, portée par un cours actuel de 11 490 FCFA, bien que la dernière séance (J-1) marque une quasi-stabilité avec -0,09%. Le range de trading est particulièrement large, avec un plus haut à 13 450 FCFA et un plus bas à 8 585 FCFA, soit une amplitude de près de 57% entre les deux extrêmes — signe d'une forte volatilité intra-période et d'un intérêt marqué des investisseurs. La tendance générale est nettement haussière, le cours actuel se situant à environ 34% au-dessus du plus bas, mais à 14,6% en dessous du sommet, ce qui suggère une phase de consolidation après un rallye. Les statistiques descriptives révèlent une moyenne de 10 530 FCFA supérieure à la médiane de 9 880 FCFA, indiquant une distribution légèrement tirée vers le haut par les pics de cours ; le mode à 11 600 FCFA, proche du cours actuel, confirme cette zone comme niveau d'équilibre récent. L'écart-type de 1 573 FCFA (CV=14,9%) traduit une dispersion modérée du cours autour de sa moyenne, tandis que le kurtosis de -1,465 (distribution platykurtique) signale une faible concentration des variations et un risque de pics extrêmes limité. Le skewness de 0,309, proche de zéro, indique une distribution quasi-symétrique, sans biais directionnel marqué. Enfin, la volatilité annualisée de 27,8% classe le titre dans la catégorie modérée (15-30%), ce qui reste gérable pour un investisseur avisé mais nécessite une tolérance au risque moyenne.</w:t>
      </w:r>
    </w:p>
    <w:p>
      <w:pPr>
        <w:spacing w:after="120" w:line="276" w:lineRule="auto"/>
      </w:pPr>
      <w:r>
        <w:t>---</w:t>
      </w:r>
    </w:p>
    <w:p>
      <w:pPr>
        <w:spacing w:after="120" w:line="276" w:lineRule="auto"/>
      </w:pPr>
      <w:r>
        <w:t>## PARTIE 2 : ANALYSE TECHNIQUE DÉTAILLÉE</w:t>
      </w:r>
    </w:p>
    <w:p>
      <w:pPr>
        <w:spacing w:after="120" w:line="276" w:lineRule="auto"/>
      </w:pPr>
      <w:r>
        <w:t>**Moyennes Mobiles** : La MM20 (11 915 FCFA) et la MM50 (11 951,5 FCFA) sont toutes deux supérieures au cours actuel (11 490 FCFA), ce qui place le titre en position baissière à court et moyen terme. La convergence des deux moyennes (écart de seulement 36,5 FCFA) suggère une absence de tendance directionnelle claire, mais la décision technique « Vente » s'impose car le cours évolue sous ses supports mobiles, signalant une pression vendeuse persistante.</w:t>
      </w:r>
    </w:p>
    <w:p>
      <w:pPr>
        <w:spacing w:after="120" w:line="276" w:lineRule="auto"/>
      </w:pPr>
      <w:r>
        <w:t>**Bandes de Bollinger** : Le cours actuel (11 490 FCFA) se situe dans la moitié inférieure de la bande, entre la borne inférieure (10 914,88 FCFA) et la borne supérieure (12 915,12 FCFA), avec une position légèrement plus proche du bas que du haut. Cette configuration indique une volatilité modérée sans excès, et la décision « Neutre » reflète l'absence de signal fort : le titre n'est ni en survente extrême (qui justifierait un achat) ni en surachat (qui justifierait une vente).</w:t>
      </w:r>
    </w:p>
    <w:p>
      <w:pPr>
        <w:spacing w:after="120" w:line="276" w:lineRule="auto"/>
      </w:pPr>
      <w:r>
        <w:t>**MACD** : La valeur du MACD (-182,572) est inférieure à son signal (-115,78), confirmant une divergence baissière et un momentum négatif. La décision « Vente » est justifiée par le croisement baissier des deux lignes, qui indique que la dynamique récente reste défavorable malgré la performance globale sur 100 jours.</w:t>
      </w:r>
    </w:p>
    <w:p>
      <w:pPr>
        <w:spacing w:after="120" w:line="276" w:lineRule="auto"/>
      </w:pPr>
      <w:r>
        <w:t>**RSI** : À 33,148, le RSI se situe dans la zone neutre basse (30-70), sans atteindre le seuil de survente (&lt;30). La décision « Neutre » suggère que le titre n'est pas encore techniquement survendu, mais la proximité du seuil de 30 appelle à la prudence : une cassure sous 30 pourrait déclencher un signal d'achat contrarien.</w:t>
      </w:r>
    </w:p>
    <w:p>
      <w:pPr>
        <w:spacing w:after="120" w:line="276" w:lineRule="auto"/>
      </w:pPr>
      <w:r>
        <w:t>**Stochastique** : Le %K (43,125) est légèrement inférieur au %D (45,625), sans croisement net ni divergence marquée. La décision « Neutre » reflète cette absence de signal directionnel fort, le titre évoluant dans une zone médiane qui ne permet pas de trancher entre achat et vente.</w:t>
      </w:r>
    </w:p>
    <w:p>
      <w:pPr>
        <w:spacing w:after="120" w:line="276" w:lineRule="auto"/>
      </w:pPr>
      <w:r>
        <w:t>**Conclusion technique** : Les indicateurs techniques sont majoritairement baissiers (MM et MACD en « Vente ») ou neutres (Bollinger, RSI, Stochastique), ce qui contraste avec la performance haussière des 100 derniers jours. Cette divergence suggère que le titre est en phase de correction ou de consolidation après un rallye, et qu'un retournement haussier n'est pas encore confirmé. La prudence est de mise à court terme, en attendant un signal clair de reprise (cassure de la MM20 à la hausse ou RSI &gt;50).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BOAC affiche un Produit Net Bancaire (PNB) de 73 545 millions FCFA, en hausse de +1,1% par rapport à 2024 (72 724 millions), une croissance modeste mais positive dans un environnement bancaire concurrentiel. Le résultat net s'établit à 35 540 millions FCFA, en progression de +10,9% sur un an, porté par une amélioration du coût du risque (-27,8%, à -4 902 millions) et une bonne maîtrise des charges. Le ROE de 27,9% et le ROA de 3,22% confirment une rentabilité exceptionnelle, bien supérieure au seuil de 15% généralement considéré comme excellent pour une banque. Le coefficient d'exploitation de 36,7% (très inférieur au seuil de 60%) témoigne d'une efficacité opérationnelle remarquable, tandis que la marge nette de 48,3% traduit une capacité exceptionnelle à transformer le PNB en bénéfice. La structure financière reste solide avec des capitaux propres de 127 340 millions FCFA et une autonomie financière de 11,5% (faible mais normale pour une banque, dont le modèle repose sur le levier des dépôts). Le ratio dépôts/crédits s'élève à 850 548/430 433 = 1,98x, indiquant une surliquidité structurelle : la banque collecte près de deux fois plus de dépôts qu'elle n'accorde de crédits, ce qui réduit le risque de liquidité mais limite la marge d'intérêt. Le coût du risque de 6,67% (provisions/charges financières) reste modéré mais mérite une surveillance, surtout au vu de la hausse de +52,1% des créances en souffrance en 2025 (taux de sinistralité de 8,59%).</w:t>
      </w:r>
    </w:p>
    <w:p>
      <w:pPr>
        <w:spacing w:after="120" w:line="276" w:lineRule="auto"/>
      </w:pPr>
      <w:r>
        <w:t>**Estimations basées sur les rapports trimestriels** : Le rapport du T1 2026 (publié le 31 mars 2026, analysé le 5 septembre 2026) indique un PNB de 18 960 millions FCFA (+3,09% sur un an) et un résultat net de 10 801 millions FCFA (+0,91%), mais avec un coût net du risque bondissant de +314,75% (-652 vs -157 millions FCFA), un signal d'alerte à surveiller. Le rapport du S1 2025 (30 juin 2025) faisait état d'un PNB de 36,21 milliards FCFA (-0,35%) et d'un résultat net de 18,40 milliards (+4,29%), avec un coefficient d'exploitation stable à 33,43%. Sur la base de ces tendances, on estime que l'exercice 2026 devrait enregistrer une croissance modérée du PNB (autour de +2-3%) et un résultat net stable à légèrement croissant (autour de 36-37 milliards FCFA), sous réserve que la dégradation du coût du risque au T1 2026 ne se confirme pas sur les trimestres suivants. Le rapport annuel 2025 (publié le 31 décembre 2025, analysé le 5 septembre 2026) confirme la solidité du modèle avec un dividende de 684 FCFA par action au titre de 2024 (payout de 65%), et un dividende 2025 non encore arrêté mais probablement en hausse compte tenu de la progression du résultat net.</w:t>
      </w:r>
    </w:p>
    <w:p>
      <w:pPr>
        <w:spacing w:after="120" w:line="276" w:lineRule="auto"/>
      </w:pPr>
      <w:r>
        <w:t>**Recommandation fondamentale** : BOAC présente des fondamentaux solides (ROE &gt;25%, coefficient d'exploitation &lt;40%, marge nette &gt;48%) qui justifient une prime de valorisation, mais les risques de dégradation du coût du risque et de stagnation du PNB appellent à la prudence. La recommandation fondamentale est **CONSERVER**, avec un biais positif à moyen terme si la qualité du crédit s'améliore.</w:t>
      </w:r>
    </w:p>
    <w:p>
      <w:pPr>
        <w:spacing w:after="120" w:line="276" w:lineRule="auto"/>
      </w:pPr>
      <w:r>
        <w:t>---</w:t>
      </w:r>
    </w:p>
    <w:p>
      <w:pPr>
        <w:spacing w:after="120" w:line="276" w:lineRule="auto"/>
      </w:pPr>
      <w:r>
        <w:t>## PARTIE 4 : CONCLUSION D'INVESTISSEMENT</w:t>
      </w:r>
    </w:p>
    <w:p>
      <w:pPr>
        <w:spacing w:after="120" w:line="276" w:lineRule="auto"/>
      </w:pPr>
      <w:r>
        <w:t>La valorisation de BOAC (PER 12,9x, P/B 3,61x, EV/EBITDA 26,5x) indique une légère surévaluation par rapport à la moyenne BRVM, mais cette prime est justifiée par une rentabilité exceptionnelle (ROE 27,9%) et une efficacité opérationnelle remarquable (coefficient d'exploitation 36,7%). Le comportement du cours sur 100 jours (+31,99%) est haussier, avec une volatilité modérée (27,8%) et une distribution quasi-symétrique (skewness 0,309) sans risque de pics extrêmes (kurtosis -1,465), ce qui est rassurant pour un investisseur cherchant une performance stable. Cependant, les signaux techniques sont majoritairement baissiers (MM20/MM50 au-dessus du cours, MACD en « Vente ») ou neutres (RSI 33, Bollinger, Stochastique), suggérant une phase de consolidation après le rallye, avec un potentiel de correction à court terme. Les fondamentaux restent solides (PNB 73,5 Mds FCFA en 2025, résultat net 35,5 Mds FCFA, ROE 27,9%), mais la dégradation du coût du risque au T1 2026 (+314,75%) et la stagnation du PNB (+1,1% en 2025) appellent à la vigilance. Les prédictions IA (J+1 à J+10) anticipent une légère hausse progressive (11 509 → 11 547 FCFA), ce qui contredit les signaux techniques baissiers et suggère un possible retournement à court terme. **Recommandation finale : CONSERVER**, avec un niveau de confiance **Moyen** et un risque global **Moyen**. La convergence entre valorisation (prime justifiée), fondamentaux (solides mais risques émergents) et prédictions IA (légère hausse) plaide pour une position d'attente, en surveillant les prochains rapports trimestriels (T2/T3 2026) pour confirmer ou infirmer la tendance. L'horizon d'investissement optimal est **moyen terme (3-12 mois)**, le temps que la phase de consolidation technique se termine et que les fondamentaux confirment leur résilience.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6,449 titres</w:t>
            </w:r>
          </w:p>
        </w:tc>
        <w:tc>
          <w:tcPr>
            <w:tcW w:type="dxa" w:w="2268"/>
            <w:shd w:fill="FFF2CC" w:val="clear"/>
          </w:tcPr>
          <w:p>
            <w:r>
              <w:rPr>
                <w:b/>
                <w:color w:val="503200"/>
                <w:sz w:val="16"/>
              </w:rPr>
              <w:t xml:space="preserve">Cours actuel : </w:t>
            </w:r>
            <w:r>
              <w:rPr>
                <w:color w:val="000000"/>
                <w:sz w:val="17"/>
              </w:rPr>
              <w:t>6,090 FCFA</w:t>
            </w:r>
          </w:p>
          <w:p>
            <w:r>
              <w:rPr>
                <w:b/>
                <w:color w:val="503200"/>
                <w:sz w:val="16"/>
              </w:rPr>
              <w:t xml:space="preserve">Var. 100 jours : </w:t>
            </w:r>
            <w:r>
              <w:rPr>
                <w:b/>
                <w:color w:val="007800"/>
                <w:sz w:val="17"/>
              </w:rPr>
              <w:t>+29.57%</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13.96% (Moyenne) — μ=5,588 FCFA, σ=780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β=1.4323 (Agressif) — Cov=0.000098, Var(idx)=0.000068, ρ=0.430,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5,430</w:t>
            </w:r>
          </w:p>
        </w:tc>
        <w:tc>
          <w:tcPr>
            <w:tcW w:type="dxa" w:w="1440"/>
            <w:shd w:fill="FFDCE0" w:val="clear"/>
          </w:tcPr>
          <w:p>
            <w:r>
              <w:rPr>
                <w:b/>
                <w:sz w:val="17"/>
              </w:rPr>
              <w:t>5,913</w:t>
            </w:r>
          </w:p>
        </w:tc>
        <w:tc>
          <w:tcPr>
            <w:tcW w:type="dxa" w:w="1440"/>
            <w:shd w:fill="FFDCE0" w:val="clear"/>
          </w:tcPr>
          <w:p>
            <w:r>
              <w:rPr>
                <w:sz w:val="17"/>
              </w:rPr>
              <w:t>6,397</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5,257</w:t>
            </w:r>
          </w:p>
        </w:tc>
        <w:tc>
          <w:tcPr>
            <w:tcW w:type="dxa" w:w="1440"/>
            <w:shd w:fill="FFDCE0" w:val="clear"/>
          </w:tcPr>
          <w:p>
            <w:r>
              <w:rPr>
                <w:b/>
                <w:sz w:val="17"/>
              </w:rPr>
              <w:t>5,842</w:t>
            </w:r>
          </w:p>
        </w:tc>
        <w:tc>
          <w:tcPr>
            <w:tcW w:type="dxa" w:w="1440"/>
            <w:shd w:fill="FFDCE0" w:val="clear"/>
          </w:tcPr>
          <w:p>
            <w:r>
              <w:rPr>
                <w:sz w:val="17"/>
              </w:rPr>
              <w:t>6,427</w:t>
            </w:r>
          </w:p>
        </w:tc>
        <w:tc>
          <w:tcPr>
            <w:tcW w:type="dxa" w:w="1440"/>
            <w:shd w:fill="FFDCE0" w:val="clear"/>
          </w:tcPr>
          <w:p>
            <w:r>
              <w:rPr>
                <w:b/>
                <w:color w:val="C00000"/>
                <w:sz w:val="17"/>
              </w:rPr>
              <w:t>-4.1%</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5,112</w:t>
            </w:r>
          </w:p>
        </w:tc>
        <w:tc>
          <w:tcPr>
            <w:tcW w:type="dxa" w:w="1440"/>
            <w:shd w:fill="FFDCE0" w:val="clear"/>
          </w:tcPr>
          <w:p>
            <w:r>
              <w:rPr>
                <w:b/>
                <w:sz w:val="17"/>
              </w:rPr>
              <w:t>5,780</w:t>
            </w:r>
          </w:p>
        </w:tc>
        <w:tc>
          <w:tcPr>
            <w:tcW w:type="dxa" w:w="1440"/>
            <w:shd w:fill="FFDCE0" w:val="clear"/>
          </w:tcPr>
          <w:p>
            <w:r>
              <w:rPr>
                <w:sz w:val="17"/>
              </w:rPr>
              <w:t>6,449</w:t>
            </w:r>
          </w:p>
        </w:tc>
        <w:tc>
          <w:tcPr>
            <w:tcW w:type="dxa" w:w="1440"/>
            <w:shd w:fill="FFDCE0" w:val="clear"/>
          </w:tcPr>
          <w:p>
            <w:r>
              <w:rPr>
                <w:b/>
                <w:color w:val="C00000"/>
                <w:sz w:val="17"/>
              </w:rPr>
              <w:t>-5.1%</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4,984</w:t>
            </w:r>
          </w:p>
        </w:tc>
        <w:tc>
          <w:tcPr>
            <w:tcW w:type="dxa" w:w="1440"/>
            <w:shd w:fill="FFDCE0" w:val="clear"/>
          </w:tcPr>
          <w:p>
            <w:r>
              <w:rPr>
                <w:b/>
                <w:sz w:val="17"/>
              </w:rPr>
              <w:t>5,724</w:t>
            </w:r>
          </w:p>
        </w:tc>
        <w:tc>
          <w:tcPr>
            <w:tcW w:type="dxa" w:w="1440"/>
            <w:shd w:fill="FFDCE0" w:val="clear"/>
          </w:tcPr>
          <w:p>
            <w:r>
              <w:rPr>
                <w:sz w:val="17"/>
              </w:rPr>
              <w:t>6,464</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4,868</w:t>
            </w:r>
          </w:p>
        </w:tc>
        <w:tc>
          <w:tcPr>
            <w:tcW w:type="dxa" w:w="1440"/>
            <w:shd w:fill="FFDCE0" w:val="clear"/>
          </w:tcPr>
          <w:p>
            <w:r>
              <w:rPr>
                <w:b/>
                <w:sz w:val="17"/>
              </w:rPr>
              <w:t>5,671</w:t>
            </w:r>
          </w:p>
        </w:tc>
        <w:tc>
          <w:tcPr>
            <w:tcW w:type="dxa" w:w="1440"/>
            <w:shd w:fill="FFDCE0" w:val="clear"/>
          </w:tcPr>
          <w:p>
            <w:r>
              <w:rPr>
                <w:sz w:val="17"/>
              </w:rPr>
              <w:t>6,475</w:t>
            </w:r>
          </w:p>
        </w:tc>
        <w:tc>
          <w:tcPr>
            <w:tcW w:type="dxa" w:w="1440"/>
            <w:shd w:fill="FFDCE0" w:val="clear"/>
          </w:tcPr>
          <w:p>
            <w:r>
              <w:rPr>
                <w:b/>
                <w:color w:val="C00000"/>
                <w:sz w:val="17"/>
              </w:rPr>
              <w:t>-6.9%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4,761</w:t>
            </w:r>
          </w:p>
        </w:tc>
        <w:tc>
          <w:tcPr>
            <w:tcW w:type="dxa" w:w="1440"/>
            <w:shd w:fill="FFDCE0" w:val="clear"/>
          </w:tcPr>
          <w:p>
            <w:r>
              <w:rPr>
                <w:b/>
                <w:sz w:val="17"/>
              </w:rPr>
              <w:t>5,621</w:t>
            </w:r>
          </w:p>
        </w:tc>
        <w:tc>
          <w:tcPr>
            <w:tcW w:type="dxa" w:w="1440"/>
            <w:shd w:fill="FFDCE0" w:val="clear"/>
          </w:tcPr>
          <w:p>
            <w:r>
              <w:rPr>
                <w:sz w:val="17"/>
              </w:rPr>
              <w:t>6,481</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4,662</w:t>
            </w:r>
          </w:p>
        </w:tc>
        <w:tc>
          <w:tcPr>
            <w:tcW w:type="dxa" w:w="1440"/>
            <w:shd w:fill="FFDCE0" w:val="clear"/>
          </w:tcPr>
          <w:p>
            <w:r>
              <w:rPr>
                <w:b/>
                <w:sz w:val="17"/>
              </w:rPr>
              <w:t>5,574</w:t>
            </w:r>
          </w:p>
        </w:tc>
        <w:tc>
          <w:tcPr>
            <w:tcW w:type="dxa" w:w="1440"/>
            <w:shd w:fill="FFDCE0" w:val="clear"/>
          </w:tcPr>
          <w:p>
            <w:r>
              <w:rPr>
                <w:sz w:val="17"/>
              </w:rPr>
              <w:t>6,485</w:t>
            </w:r>
          </w:p>
        </w:tc>
        <w:tc>
          <w:tcPr>
            <w:tcW w:type="dxa" w:w="1440"/>
            <w:shd w:fill="FFDCE0" w:val="clear"/>
          </w:tcPr>
          <w:p>
            <w:r>
              <w:rPr>
                <w:b/>
                <w:color w:val="C00000"/>
                <w:sz w:val="17"/>
              </w:rPr>
              <w:t>-8.5%</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4,569</w:t>
            </w:r>
          </w:p>
        </w:tc>
        <w:tc>
          <w:tcPr>
            <w:tcW w:type="dxa" w:w="1440"/>
            <w:shd w:fill="FFDCE0" w:val="clear"/>
          </w:tcPr>
          <w:p>
            <w:r>
              <w:rPr>
                <w:b/>
                <w:sz w:val="17"/>
              </w:rPr>
              <w:t>5,528</w:t>
            </w:r>
          </w:p>
        </w:tc>
        <w:tc>
          <w:tcPr>
            <w:tcW w:type="dxa" w:w="1440"/>
            <w:shd w:fill="FFDCE0" w:val="clear"/>
          </w:tcPr>
          <w:p>
            <w:r>
              <w:rPr>
                <w:sz w:val="17"/>
              </w:rPr>
              <w:t>6,488</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4,482</w:t>
            </w:r>
          </w:p>
        </w:tc>
        <w:tc>
          <w:tcPr>
            <w:tcW w:type="dxa" w:w="1440"/>
            <w:shd w:fill="FFDCE0" w:val="clear"/>
          </w:tcPr>
          <w:p>
            <w:r>
              <w:rPr>
                <w:b/>
                <w:sz w:val="17"/>
              </w:rPr>
              <w:t>5,485</w:t>
            </w:r>
          </w:p>
        </w:tc>
        <w:tc>
          <w:tcPr>
            <w:tcW w:type="dxa" w:w="1440"/>
            <w:shd w:fill="FFDCE0" w:val="clear"/>
          </w:tcPr>
          <w:p>
            <w:r>
              <w:rPr>
                <w:sz w:val="17"/>
              </w:rPr>
              <w:t>6,488</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 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167,17 milliards FCFA, BOA Mali se positionne comme une valeur de taille intermédiaire sur la BRVM, représentant un poids non négligeable dans l'indice sectoriel bancaire. Le BPA de 404 FCFA/action signifie que chaque titre génère près de 404 FCFA de bénéfice net annuel, un niveau appréciable qui traduit la capacité bénéficiaire de la banque. Le PER de 15,1x indique que les investisseurs paient environ 15 fois les bénéfices annuels, soit une prime modérée par rapport à la moyenne BRVM (~8-12x), ce qui suggère que le marché anticipe une croissance des résultats mais sans exubérance excessive. Le P/B de 3,36x montre que le titre se négocie à plus de trois fois sa valeur comptable, une prime de croissance justifiée par la rentabilité élevée des fonds propres (ROE &gt;22%). Enfin, l'EV/EBITDA de 7,7x, situé dans la fourchette raisonnable de 5-10x, confirme que la valeur d'entreprise reste cohérente avec la capacité opérationnelle de la banque, sans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affiche une progression remarquable de +29,57%, portée par un momentum haussier soutenu, bien que la dernière séance (J-1) marque un léger repli de -0,90%, signalant une possible prise de bénéfices après le rallye. Le cours actuel de 6 090 FCFA se situe dans la partie haute du range de trading, le plus haut ayant atteint 7 195 FCFA et le plus bas 4 425 FCFA, soit une amplitude de 62,6% qui témoigne d'une forte volatilité sur la période. La tendance générale reste donc haussière, mais le repli récent depuis les sommets suggère une phase de consolidation. Les statistiques descriptives révèlent une moyenne de 5 588 FCFA légèrement inférieure à la médiane de 5 608 FCFA, indiquant une distribution quasi-symétrique avec une très légère asymétrie négative, tandis que le mode à 4 630 FCFA (nettement en dessous) reflète la prédominance des niveaux bas en début de période. L'écart-type de 784 FCFA avec un coefficient de variation de 14,0% traduit une dispersion modérée du cours autour de sa moyenne. Le kurtosis de -1,032 (platykurtique) indique une distribution aplatie avec une faible concentration autour de la moyenne et un risque de pics moins prononcé qu'une loi normale, tandis que le skewness de 0,294 confirme une légère asymétrie positive (queue à droite). La volatilité annualisée de 43,6% classe le titre dans la catégorie **élevée** (&gt;30%), ce qui implique un risque de prix significatif mais aussi des opportunités de trading importantes.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6 521 FCFA et la MM50 à 6 225 FCFA, toutes deux supérieures au cours actuel de 6 090 FCFA, ce qui place le titre en dessous de ses moyennes court et moyen terme. Cette configuration signale une pression baissière de court terme, bien que la décision algorithmique affichée soit "Achat", probablement en anticipation d'un rebond technique vers ces niveaux de résistance dynamique.</w:t>
      </w:r>
    </w:p>
    <w:p>
      <w:pPr>
        <w:spacing w:after="120" w:line="276" w:lineRule="auto"/>
      </w:pPr>
      <w:r>
        <w:t>**Bandes de Bollinger :** Le cours actuel (6 090 FCFA) se situe dans la partie basse de la bande, entre la borne inférieure (5 492,73 FCFA) et la borne supérieure (7 549,27 FCFA), sans atteindre les extrêmes. Cette position médiane-basse indique une volatilité contenue et une absence de signal de surachat ou de survente, justifiant la décision "Neutre" qui invite à la prudence dans l'attente d'une cassure directionnelle.</w:t>
      </w:r>
    </w:p>
    <w:p>
      <w:pPr>
        <w:spacing w:after="120" w:line="276" w:lineRule="auto"/>
      </w:pPr>
      <w:r>
        <w:t>**MACD :** La valeur du MACD (-89,554) est nettement inférieure à son signal (-6,38), générant un histogramme négatif qui confirme un momentum baissier en cours. Cette divergence négative persistante justifie la décision "Vente" et suggère que la pression vendeuse pourrait se maintenir à court terme avant tout retournement.</w:t>
      </w:r>
    </w:p>
    <w:p>
      <w:pPr>
        <w:spacing w:after="120" w:line="276" w:lineRule="auto"/>
      </w:pPr>
      <w:r>
        <w:t>**RSI :** À 32,333, le RSI se situe dans la zone neutre basse, proche du seuil de survente (30), sans l'atteindre. Cette configuration indique que le titre n'est pas encore techniquement survendu mais s'en approche, ce qui pourrait attirer des acheteurs à contre-tendance ; la décision "Neutre" reflète cette ambiguïté entre faiblesse persistante et potentiel de rebond.</w:t>
      </w:r>
    </w:p>
    <w:p>
      <w:pPr>
        <w:spacing w:after="120" w:line="276" w:lineRule="auto"/>
      </w:pPr>
      <w:r>
        <w:t>**Stochastique :** Le %K (38,154) est légèrement supérieur au %D (36,256), sans croisement significatif ni divergence marquée. Cette configuration neutre, avec les deux lignes en zone médiane-basse, confirme l'absence de signal directionnel fort et justifie la décision "Neutre" qui prévaut sur cet indicateur.</w:t>
      </w:r>
    </w:p>
    <w:p>
      <w:pPr>
        <w:spacing w:after="120" w:line="276" w:lineRule="auto"/>
      </w:pPr>
      <w:r>
        <w:t>**Conclusion technique :** Les indicateurs techniques présentent un tableau mitigé avec une majorité de signaux neutres (Bollinger, RSI, Stochastique) et un signal baissier sur le MACD, tandis que les moyennes mobiles suggèrent un potentiel de rebond. Le titre se trouve dans une phase de consolidation baissière de court terme, coincé entre des supports techniques (bande inférieure de Bollinger à 5 493 FCFA) et des résistances dynamiques (MM20 à 6 521 FCFA). La convergence des signaux neutres et baissiers invite à la prudence, avec une préférence pour l'attente d'un signal d'achat plus clair (cassure de la MM20 ou RSI &lt;30) avant tout engagement.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 Mali affiche un Produit Net Bancaire (PNB) de 37,996 milliards FCFA, en croissance de 5,08% par rapport à 2024, confirmant la dynamique commerciale de la banque malgré un contexte difficile. Le résultat net s'élève à 11,081 milliards FCFA, en forte progression, avec une marge nette de 29,16% qui témoigne d'une excellente conversion du PNB en bénéfice. Le ROE de 22,24% (très supérieur au seuil de 15% considéré comme excellent) et le ROA de 1,87% confirment la rentabilité élevée des fonds propres et des actifs. Le coefficient d'exploitation de 63,14% reste légèrement au-dessus du seuil de 60% (banque efficace), indiquant une marge d'amélioration sur la maîtrise des charges. Le coût du risque, mesuré à 43,39% des charges financières, demeure élevé et constitue un point de vigilance sur la qualité du portefeuille de crédits. La structure financière montre une autonomie financière de 8,40% (faible, mais caractéristique du modèle bancaire) et une capacité de remboursement de 1,79 an (saine). Les dépôts clientèle (502,89 milliards FCFA) couvrent largement les créances clientèle (253,65 milliards FCFA), avec un ratio de transformation de 50,4%, indiquant une gestion prudente mais perfectible de l'actif.</w:t>
      </w:r>
    </w:p>
    <w:p>
      <w:pPr>
        <w:spacing w:after="120" w:line="276" w:lineRule="auto"/>
      </w:pPr>
      <w:r>
        <w:t>**Estimations basées sur les rapports trimestriels :** Le rapport du T1 2026 (publié le 31/03/2026) révèle un PNB de 10,322 milliards FCFA, en hausse spectaculaire de +22,97% par rapport au T1 2025 (8,394 milliards FCFA), marquant une accélération notable de la croissance. Le rapport du S1 2026 (publié le 30/06/2026) confirme cette tendance avec un PNB de 21,987 milliards FCFA, en progression de +17,5% sur un an. Sur la base de ces performances semestrielles, on peut estimer que l'exercice 2026 devrait afficher un PNB annuel compris entre 42 et 44 milliards FCFA (croissance estimée de +12 à +15%), avec un résultat net potentiellement supérieur à 12 milliards FCFA si la maîtrise des coûts et du risque se poursuit. Les rapports antérieurs (S1 2025, T3 2025) montrent une résilience constante avec une croissance du PNB de +2,7% au S1 2025 et +5,8% au T3 2025, avant l'accélération observée en 2026. Le rapport annuel 2024 (états financiers certifiés) indiquait un PNB de 36,16 milliards FCFA et un résultat net de 9,12 milliards FCFA, avec un ROE estimé à 21,1%, confirmant la trajectoire ascendante.</w:t>
      </w:r>
    </w:p>
    <w:p>
      <w:pPr>
        <w:spacing w:after="120" w:line="276" w:lineRule="auto"/>
      </w:pPr>
      <w:r>
        <w:t>**Recommandation fondamentale :** BOA Mali présente des fondamentaux solides avec une rentabilité élevée (ROE &gt;22%), une croissance accélérée du PNB en 2026 (+17,5% au S1) et une structure financière saine malgré un coût du risque élevé. Les risques principaux restent le contexte macroéconomique et sécuritaire malien, la concentration géographique et la dépendance aux dépôts clientèle. La recommandation fondamentale est **CONSERVER** avec un biais positif, en attendant la confirmation de la tendance bénéficiaire sur l'ensemble de l'exercice 2026.</w:t>
      </w:r>
    </w:p>
    <w:p>
      <w:pPr>
        <w:spacing w:after="120" w:line="276" w:lineRule="auto"/>
      </w:pPr>
      <w:r>
        <w:t>---</w:t>
      </w:r>
    </w:p>
    <w:p>
      <w:pPr>
        <w:spacing w:after="120" w:line="276" w:lineRule="auto"/>
      </w:pPr>
      <w:r>
        <w:t>## PARTIE 4 : CONCLUSION D'INVESTISSEMENT</w:t>
      </w:r>
    </w:p>
    <w:p>
      <w:pPr>
        <w:spacing w:after="120" w:line="276" w:lineRule="auto"/>
      </w:pPr>
      <w:r>
        <w:t>La valorisation de BOAM (PER 15,1x, P/B 3,36x, EV/EBITDA 7,7x) indique une légère surévaluation relative par rapport à la moyenne BRVM, mais cette prime se justifie par la rentabilité exceptionnelle (ROE 22,24%) et la croissance accélérée du PNB en 2026 (+17,5% au S1). Le comportement du cours sur 100 jours (+29,57%) témoigne d'un momentum haussier robuste, mais la volatilité élevée (43,6%) et le repli récent (-0,90% en J-1) suggèrent une phase de consolidation, avec des statistiques descriptives (kurtosis -1,032, skewness 0,294) indiquant une distribution aplatie et légèrement asymétrique, sans risque de pics extrêmes. Les signaux techniques sont mitigés : le MACD est baissier, les moyennes mobiles sont au-dessus du cours, mais le RSI (32,3) et le Stochastique (38,2) sont neutres, sans signal de survente, ce qui plaide pour une attente avant tout engagement. Les fondamentaux restent solides avec un ROE de 22,24%, un résultat net de 11,081 milliards FCFA en 2025 et des estimations 2026 très favorables (PNB +17,5% au S1), bien que le coût du risque (43,39%) et le coefficient d'exploitation (63,14%) méritent une surveillance. Les prédictions IA pour les 10 prochains jours (5 913 → 5 671 FCFA) anticipent une poursuite de la correction baissière, en ligne avec le signal MACD et la position du cours sous les moyennes mobiles, ce qui contredit temporairement les fondamentaux haussiers. **Recommandation finale : CONSERVER**, avec un niveau de confiance **Moyen** et un risque global **Élevé** (volatilité 43,6%, contexte malien incertain). L'horizon optimal est le **moyen terme (3-12 mois)**, en attendant une confirmation de la croissance bénéficiaire 2026 et un retournement des signaux techniques (cassure de la MM20 à 6 521 FCFA) pour envisager un renforcement.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9,009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007800"/>
                <w:sz w:val="17"/>
              </w:rPr>
              <w:t>+43.47%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16.02% (Élevée) — μ=4,652 FCFA, σ=745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β=1.3487 (Agressif) — Cov=0.000092, Var(idx)=0.000068, ρ=0.436,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9,009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2026-10-05</w:t>
            </w:r>
          </w:p>
        </w:tc>
        <w:tc>
          <w:tcPr>
            <w:tcW w:type="dxa" w:w="1440"/>
            <w:shd w:fill="C6EFCE" w:val="clear"/>
          </w:tcPr>
          <w:p>
            <w:r>
              <w:rPr>
                <w:sz w:val="17"/>
              </w:rPr>
              <w:t>4,775</w:t>
            </w:r>
          </w:p>
        </w:tc>
        <w:tc>
          <w:tcPr>
            <w:tcW w:type="dxa" w:w="1440"/>
            <w:shd w:fill="C6EFCE" w:val="clear"/>
          </w:tcPr>
          <w:p>
            <w:r>
              <w:rPr>
                <w:b/>
                <w:sz w:val="17"/>
              </w:rPr>
              <w:t>5,176</w:t>
            </w:r>
          </w:p>
        </w:tc>
        <w:tc>
          <w:tcPr>
            <w:tcW w:type="dxa" w:w="1440"/>
            <w:shd w:fill="C6EFCE" w:val="clear"/>
          </w:tcPr>
          <w:p>
            <w:r>
              <w:rPr>
                <w:sz w:val="17"/>
              </w:rPr>
              <w:t>5,577</w:t>
            </w:r>
          </w:p>
        </w:tc>
        <w:tc>
          <w:tcPr>
            <w:tcW w:type="dxa" w:w="1440"/>
            <w:shd w:fill="C6EFCE" w:val="clear"/>
          </w:tcPr>
          <w:p>
            <w:r>
              <w:rPr>
                <w:b/>
                <w:color w:val="008000"/>
                <w:sz w:val="17"/>
              </w:rPr>
              <w:t>+3.5%</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4,699</w:t>
            </w:r>
          </w:p>
        </w:tc>
        <w:tc>
          <w:tcPr>
            <w:tcW w:type="dxa" w:w="1440"/>
            <w:shd w:fill="C6EFCE" w:val="clear"/>
          </w:tcPr>
          <w:p>
            <w:r>
              <w:rPr>
                <w:b/>
                <w:sz w:val="17"/>
              </w:rPr>
              <w:t>5,192</w:t>
            </w:r>
          </w:p>
        </w:tc>
        <w:tc>
          <w:tcPr>
            <w:tcW w:type="dxa" w:w="1440"/>
            <w:shd w:fill="C6EFCE" w:val="clear"/>
          </w:tcPr>
          <w:p>
            <w:r>
              <w:rPr>
                <w:sz w:val="17"/>
              </w:rPr>
              <w:t>5,685</w:t>
            </w:r>
          </w:p>
        </w:tc>
        <w:tc>
          <w:tcPr>
            <w:tcW w:type="dxa" w:w="1440"/>
            <w:shd w:fill="C6EFCE" w:val="clear"/>
          </w:tcPr>
          <w:p>
            <w:r>
              <w:rPr>
                <w:b/>
                <w:color w:val="008000"/>
                <w:sz w:val="17"/>
              </w:rPr>
              <w:t>+3.8%</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4,641</w:t>
            </w:r>
          </w:p>
        </w:tc>
        <w:tc>
          <w:tcPr>
            <w:tcW w:type="dxa" w:w="1440"/>
            <w:shd w:fill="C6EFCE" w:val="clear"/>
          </w:tcPr>
          <w:p>
            <w:r>
              <w:rPr>
                <w:b/>
                <w:sz w:val="17"/>
              </w:rPr>
              <w:t>5,212</w:t>
            </w:r>
          </w:p>
        </w:tc>
        <w:tc>
          <w:tcPr>
            <w:tcW w:type="dxa" w:w="1440"/>
            <w:shd w:fill="C6EFCE" w:val="clear"/>
          </w:tcPr>
          <w:p>
            <w:r>
              <w:rPr>
                <w:sz w:val="17"/>
              </w:rPr>
              <w:t>5,784</w:t>
            </w:r>
          </w:p>
        </w:tc>
        <w:tc>
          <w:tcPr>
            <w:tcW w:type="dxa" w:w="1440"/>
            <w:shd w:fill="C6EFCE" w:val="clear"/>
          </w:tcPr>
          <w:p>
            <w:r>
              <w:rPr>
                <w:b/>
                <w:color w:val="008000"/>
                <w:sz w:val="17"/>
              </w:rPr>
              <w:t>+4.2%</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4,592</w:t>
            </w:r>
          </w:p>
        </w:tc>
        <w:tc>
          <w:tcPr>
            <w:tcW w:type="dxa" w:w="1440"/>
            <w:shd w:fill="C6EFCE" w:val="clear"/>
          </w:tcPr>
          <w:p>
            <w:r>
              <w:rPr>
                <w:b/>
                <w:sz w:val="17"/>
              </w:rPr>
              <w:t>5,233</w:t>
            </w:r>
          </w:p>
        </w:tc>
        <w:tc>
          <w:tcPr>
            <w:tcW w:type="dxa" w:w="1440"/>
            <w:shd w:fill="C6EFCE" w:val="clear"/>
          </w:tcPr>
          <w:p>
            <w:r>
              <w:rPr>
                <w:sz w:val="17"/>
              </w:rPr>
              <w:t>5,874</w:t>
            </w:r>
          </w:p>
        </w:tc>
        <w:tc>
          <w:tcPr>
            <w:tcW w:type="dxa" w:w="1440"/>
            <w:shd w:fill="C6EFCE" w:val="clear"/>
          </w:tcPr>
          <w:p>
            <w:r>
              <w:rPr>
                <w:b/>
                <w:color w:val="008000"/>
                <w:sz w:val="17"/>
              </w:rPr>
              <w:t>+4.7%</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4,548</w:t>
            </w:r>
          </w:p>
        </w:tc>
        <w:tc>
          <w:tcPr>
            <w:tcW w:type="dxa" w:w="1440"/>
            <w:shd w:fill="C6EFCE" w:val="clear"/>
          </w:tcPr>
          <w:p>
            <w:r>
              <w:rPr>
                <w:b/>
                <w:sz w:val="17"/>
              </w:rPr>
              <w:t>5,253</w:t>
            </w:r>
          </w:p>
        </w:tc>
        <w:tc>
          <w:tcPr>
            <w:tcW w:type="dxa" w:w="1440"/>
            <w:shd w:fill="C6EFCE" w:val="clear"/>
          </w:tcPr>
          <w:p>
            <w:r>
              <w:rPr>
                <w:sz w:val="17"/>
              </w:rPr>
              <w:t>5,958</w:t>
            </w:r>
          </w:p>
        </w:tc>
        <w:tc>
          <w:tcPr>
            <w:tcW w:type="dxa" w:w="1440"/>
            <w:shd w:fill="C6EFCE" w:val="clear"/>
          </w:tcPr>
          <w:p>
            <w:r>
              <w:rPr>
                <w:b/>
                <w:color w:val="008000"/>
                <w:sz w:val="17"/>
              </w:rPr>
              <w:t>+5.1%</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4,509</w:t>
            </w:r>
          </w:p>
        </w:tc>
        <w:tc>
          <w:tcPr>
            <w:tcW w:type="dxa" w:w="1440"/>
            <w:shd w:fill="C6EFCE" w:val="clear"/>
          </w:tcPr>
          <w:p>
            <w:r>
              <w:rPr>
                <w:b/>
                <w:sz w:val="17"/>
              </w:rPr>
              <w:t>5,273</w:t>
            </w:r>
          </w:p>
        </w:tc>
        <w:tc>
          <w:tcPr>
            <w:tcW w:type="dxa" w:w="1440"/>
            <w:shd w:fill="C6EFCE" w:val="clear"/>
          </w:tcPr>
          <w:p>
            <w:r>
              <w:rPr>
                <w:sz w:val="17"/>
              </w:rPr>
              <w:t>6,037</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4,472</w:t>
            </w:r>
          </w:p>
        </w:tc>
        <w:tc>
          <w:tcPr>
            <w:tcW w:type="dxa" w:w="1440"/>
            <w:shd w:fill="C6EFCE" w:val="clear"/>
          </w:tcPr>
          <w:p>
            <w:r>
              <w:rPr>
                <w:b/>
                <w:sz w:val="17"/>
              </w:rPr>
              <w:t>5,292</w:t>
            </w:r>
          </w:p>
        </w:tc>
        <w:tc>
          <w:tcPr>
            <w:tcW w:type="dxa" w:w="1440"/>
            <w:shd w:fill="C6EFCE" w:val="clear"/>
          </w:tcPr>
          <w:p>
            <w:r>
              <w:rPr>
                <w:sz w:val="17"/>
              </w:rPr>
              <w:t>6,112</w:t>
            </w:r>
          </w:p>
        </w:tc>
        <w:tc>
          <w:tcPr>
            <w:tcW w:type="dxa" w:w="1440"/>
            <w:shd w:fill="C6EFCE" w:val="clear"/>
          </w:tcPr>
          <w:p>
            <w:r>
              <w:rPr>
                <w:b/>
                <w:color w:val="008000"/>
                <w:sz w:val="17"/>
              </w:rPr>
              <w:t>+5.8%</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4,439</w:t>
            </w:r>
          </w:p>
        </w:tc>
        <w:tc>
          <w:tcPr>
            <w:tcW w:type="dxa" w:w="1440"/>
            <w:shd w:fill="C6EFCE" w:val="clear"/>
          </w:tcPr>
          <w:p>
            <w:r>
              <w:rPr>
                <w:b/>
                <w:sz w:val="17"/>
              </w:rPr>
              <w:t>5,311</w:t>
            </w:r>
          </w:p>
        </w:tc>
        <w:tc>
          <w:tcPr>
            <w:tcW w:type="dxa" w:w="1440"/>
            <w:shd w:fill="C6EFCE" w:val="clear"/>
          </w:tcPr>
          <w:p>
            <w:r>
              <w:rPr>
                <w:sz w:val="17"/>
              </w:rPr>
              <w:t>6,184</w:t>
            </w:r>
          </w:p>
        </w:tc>
        <w:tc>
          <w:tcPr>
            <w:tcW w:type="dxa" w:w="1440"/>
            <w:shd w:fill="C6EFCE" w:val="clear"/>
          </w:tcPr>
          <w:p>
            <w:r>
              <w:rPr>
                <w:b/>
                <w:color w:val="008000"/>
                <w:sz w:val="17"/>
              </w:rPr>
              <w:t>+6.2%</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4,407</w:t>
            </w:r>
          </w:p>
        </w:tc>
        <w:tc>
          <w:tcPr>
            <w:tcW w:type="dxa" w:w="1440"/>
            <w:shd w:fill="C6EFCE" w:val="clear"/>
          </w:tcPr>
          <w:p>
            <w:r>
              <w:rPr>
                <w:b/>
                <w:sz w:val="17"/>
              </w:rPr>
              <w:t>5,330</w:t>
            </w:r>
          </w:p>
        </w:tc>
        <w:tc>
          <w:tcPr>
            <w:tcW w:type="dxa" w:w="1440"/>
            <w:shd w:fill="C6EFCE" w:val="clear"/>
          </w:tcPr>
          <w:p>
            <w:r>
              <w:rPr>
                <w:sz w:val="17"/>
              </w:rPr>
              <w:t>6,254</w:t>
            </w:r>
          </w:p>
        </w:tc>
        <w:tc>
          <w:tcPr>
            <w:tcW w:type="dxa" w:w="1440"/>
            <w:shd w:fill="C6EFCE" w:val="clear"/>
          </w:tcPr>
          <w:p>
            <w:r>
              <w:rPr>
                <w:b/>
                <w:color w:val="008000"/>
                <w:sz w:val="17"/>
              </w:rPr>
              <w:t>+6.6%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**Bourse Régionale des Valeurs Mobilières (BRVM) — Secteur : Banque**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104,00 Mds FCFA, BOAN se positionne comme une valeur de taille intermédiaire sur la cote BRVM, loin des poids lourds bancaires régionaux mais suffisamment liquide pour intéresser les investisseurs institutionnels. Le BPA de 20 FCFA/action traduit un bénéfice unitaire très faible, conséquence directe de l'effondrement du résultat net 2025 à 409 M FCFA. Le PER de 254,3x est exceptionnellement élevé — très au-delà de la moyenne BRVM (~8-12x) — et signale que le marché paie le titre sur des anticipations de rebond massif plutôt que sur les bénéfices actuels ; toute déception sur le redressement 2026 exposerait le cours à une correction sévère. Le P/B de 2,88x indique que le marché valorise la banque à près de trois fois ses fonds propres comptables (36,06 Mds FCFA), soit une prime de croissance significative qui n'est pas justifiée par la rentabilité actuelle (ROE de 1,13%). Enfin, l'EV/EBITDA de 39,1x, très supérieur au seuil de 15x, confirme que la valeur d'entreprise intègre une capacité opérationnelle future nettement supérieure à l'actuelle — un pari risqué dans un contexte nigérien encore fragile.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progression spectaculaire de **+43,47%**, portant le cours à **5 000 FCFA**, malgré un repli de **-5,66%** lors de la dernière séance qui marque une prise de bénéfices après un rallye soutenu. Le range de trading est très large, entre un plus bas de **3 395 FCFA** et un plus haut de **5 645 FCFA**, soit une amplitude de plus de 66% qui témoigne d'une forte nervosité du titre. La tendance générale est nettement haussière sur la période, soutenue par les anticipations de redressement post-sanctions et la publication de résultats T1 2026 encourageants. Les statistiques descriptives révèlent une **moyenne (4 652 FCFA) inférieure à la médiane (5 088 FCFA)**, signe d'une distribution légèrement tirée vers le bas par des séances de forte baisse, tandis que le mode à 3 700 FCFA rappelle le point d'ancrage du titre avant son envolée. L'écart-type de 749 FCFA et le **coefficient de variation de 16,1%** indiquent une dispersion modérée du cours autour de sa moyenne. Le **kurtosis de -1,562 (platykurtique)** signale une distribution aplatie avec une faible concentration des rendements, donc un risque de pics extrêmes relativement limité, tandis que le **skewness de -0,340** confirme une légère asymétrie négative (queues de rendements négatifs plus marquées). Avec une **volatilité annualisée de 41,5%**, le titre se classe dans la catégorie des valeurs à volatilité élevée (&gt;30%), ce qui implique un risque de marché significatif et justifie une gestion prudente de la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(5 282,75 FCFA) et la MM50 (5 276,10 FCFA) sont quasi confondues et toutes deux **supérieures au cours actuel** (5 000 FCFA), ce qui traduit un affaiblissement récent du momentum. Toutefois, la décision technique affichée est « Achat », probablement liée à la configuration haussière de fond (MM20 &gt; MM50) et à l'anticipation d'un retour du cours vers ses moyennes. La cassure actuelle sous ces niveaux constitue néanmoins un signal de prudence à court terme.</w:t>
      </w:r>
    </w:p>
    <w:p>
      <w:pPr>
        <w:spacing w:after="120" w:line="276" w:lineRule="auto"/>
      </w:pPr>
      <w:r>
        <w:t>**Bandes de Bollinger** — Le cours (5 000 FCFA) se situe dans la partie basse de la bande, entre la borne inférieure (4 723,94 FCFA) et la borne supérieure (5 841,56 FCFA), sans franchissement des extrêmes. La décision est « Neutre », ce qui reflète une absence de signal directionnel fort : le titre n'est ni en surachat ni en survente, et la volatilité reste contenue dans le canal. Un retour vers la borne supérieure nécessiterait une reprise du momentum acheteur.</w:t>
      </w:r>
    </w:p>
    <w:p>
      <w:pPr>
        <w:spacing w:after="120" w:line="276" w:lineRule="auto"/>
      </w:pPr>
      <w:r>
        <w:t>**MACD** — La valeur du MACD (-39,761) est **inférieure à son signal (-24,433)**, confirmant une configuration baissière avec un momentum négatif. La décision « Vente » signale que la dynamique de court terme s'est retournée à la baisse après le rallye, et qu'un croisement haussier n'est pas encore en vue. Ce signal contredit la tendance de fond et invite à la patience avant tout renforcement.</w:t>
      </w:r>
    </w:p>
    <w:p>
      <w:pPr>
        <w:spacing w:after="120" w:line="276" w:lineRule="auto"/>
      </w:pPr>
      <w:r>
        <w:t>**RSI** — À **38,171**, le RSI se situe dans la zone neutre basse (30-70), sans atteindre le seuil de survente (&lt;30). La décision « Neutre » indique que le titre n'est ni survendu ni suracheté, mais la proximité de la zone de survente suggère qu'une pression vendeuse supplémentaire pourrait créer une opportunité d'entrée pour les investisseurs contrariants.</w:t>
      </w:r>
    </w:p>
    <w:p>
      <w:pPr>
        <w:spacing w:after="120" w:line="276" w:lineRule="auto"/>
      </w:pPr>
      <w:r>
        <w:t>**Stochastique** — Le %K (43,902) est **inférieur au %D (64,076)**, configuration baissière classique signalant que le momentum de court terme faiblit. La décision « Neutre » reflète l'absence de signal extrême, mais le croisement baissier des deux lignes invite à la prudence avant tout achat.</w:t>
      </w:r>
    </w:p>
    <w:p>
      <w:pPr>
        <w:spacing w:after="120" w:line="276" w:lineRule="auto"/>
      </w:pPr>
      <w:r>
        <w:t>**Conclusion technique** — Les indicateurs sont globalement **mitigés à baissiers à court terme** : le MACD est en configuration de vente, le stochastique montre un croisement baissier, et le cours évolue sous ses moyennes mobiles. Seul le RSI, proche de la zone de survente, offre un potentiel de rebond technique. La convergence des signaux suggère une phase de consolidation voire de correction avant une reprise durable, et il serait prudent d'attendre une stabilisation au-dessus de la MM20 (5 282 FCFA) pour confirmer un retournement haussier.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BOAN a enregistré un **Produit Net Bancaire (PNB) de 21 125 M FCFA**, en léger repli de -1,2% par rapport à 2024 (21 380 M FCFA), et un **résultat net de seulement 409 M FCFA**, en effondrement de -91,8% (contre 5 002 M FCFA en 2024). Cette chute spectaculaire s'explique par un **coût du risque de 6 016 M FCFA** (incluant une provision exceptionnelle de 4,8 Mds FCFA) et une hausse des charges d'exploitation. Les ratios de rentabilité sont très dégradés : **ROE de 1,13%** (contre 11,39% en 2024) et **ROA de 0,14%** (contre 1,49% en 2024), bien en deçà des standards bancaires (&gt;15% pour le ROE). Le **coefficient d'exploitation de 74,37%** est très supérieur au seuil de 60% recommandé, signe d'une efficacité opérationnelle insuffisante, même s'il s'améliore au T1 2026 (56,2%). Le **coût du risque/charges financières de 67,3%** reste élevé, reflétant un portefeuille de crédits à risque (taux de créances en souffrance de 24% au Niger, contre 12% en moyenne UEMOA). La structure financière est fragile : **autonomie financière de 12,36%** (bien en dessous du seuil sain de 30%) et **ratio d'endettement de 178,6%**, mais la solvabilité générale (114,1%) et le ratio de solvabilité réglementaire (14,06%) restent conformes aux exigences UEMOA.</w:t>
      </w:r>
    </w:p>
    <w:p>
      <w:pPr>
        <w:spacing w:after="120" w:line="276" w:lineRule="auto"/>
      </w:pPr>
      <w:r>
        <w:t>**Adaptation au secteur bancaire** — La transformation bancaire est déséquilibrée : les **dépôts clientèle (183,28 Mds FCFA)** couvrent largement les **créances clientèle (128,45 Mds FCFA)**, avec un ratio de couverture de 143%, ce qui traduit une surliquidité et une sous-utilisation des dépôts. Les **créances interbancaires (8,36 Mds FCFA)** et les **dettes interbancaires (64,41 Mds FCFA)** montrent une dépendance aux financements de marché, tandis que le portefeuille de titres d'État (118,82 Mds FCFA) représente une part importante de l'actif, signe d'une stratégie prudente mais peu rémunératrice.</w:t>
      </w:r>
    </w:p>
    <w:p>
      <w:pPr>
        <w:spacing w:after="120" w:line="276" w:lineRule="auto"/>
      </w:pPr>
      <w:r>
        <w:t>**Estimations basées sur les rapports trimestriels** — Le **rapport T1 2026 (publié le 31 mars 2026, analysé par CLAUDE-MANUAL le 05/09/2026)** confirme un **redressement net** : PNB de 5 170 M FCFA (+7,9% sur un an), résultat net de 1 467,3 M FCFA (+28,9%), et coefficient d'exploitation ramené à 56,2% (contre 66,8% un an plus tôt). Le **rapport S2 2025 (publié le 31/12/2025, analysé par CLAUDE-MANUAL)** souligne la résilience des dépôts (+4%) et la réduction volontaire des crédits (-20,9%) pour assainir le portefeuille. Sur la base de ces tendances, on peut **estimer** que l'exercice 2026 devrait afficher un PNB en hausse de +6 à +8% (autour de 22 300 M FCFA, conforme au budget) et un résultat net en forte progression (objectif de 7 280 M FCFA avant impôts, soit une multiplication par 6 du résultat net). Toutefois, ces projections restent conditionnées à la levée des sanctions et à la stabilisation du contexte politique nigérien.</w:t>
      </w:r>
    </w:p>
    <w:p>
      <w:pPr>
        <w:spacing w:after="120" w:line="276" w:lineRule="auto"/>
      </w:pPr>
      <w:r>
        <w:t>**Évolution pluriannuelle** — Les rapports 2021 (analysé par MISTRAL) montrent une banque alors très rentable (résultat net de 9 396,54 M FCFA, coefficient d'exploitation de 47,7%), avant une dégradation progressive à partir de 2023 (sanctions post-coup d'État) et un effondrement en 2025. La **recommandation fondamentale** est donc **CONSERVER avec prudence** : la solidité du groupe BOA, la conformité des ratios prudentiels et le début de redressement au T1 2026 sont des points positifs, mais la faible rentabilité actuelle, le risque de crédit élevé (24% de créances douteuses) et l'absence de dividende depuis 2023 (aucun dividende proposé pour 2025) limitent l'attrait à court terme. Une réévaluation sera nécessaire en 2026-2027 pour confirmer la reprise.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prononcé entre la valorisation et les fondamentaux**. La **valorisation (Partie 0)** est extrêmement tendue : PER de 254,3x, P/B de 2,88x et EV/EBITDA de 39,1x intègrent déjà un scénario de redressement ambitieux, ce qui expose le titre à une correction sévère en cas de déception. Le **comportement du cours (Partie 1)** est haussier sur 100 jours (+43,47%) mais montre des signes de fatigue (repli de -5,66% en J-1, volatilité élevée de 41,5%, skewness négatif), et les statistiques descriptives (kurtosis platykurtique, CV de 16,1%) suggèrent une distribution relativement symétrique mais avec un risque de pics baissiers. Les **signaux techniques (Partie 2)** sont majoritairement baissiers à court terme (MACD en vente, stochastique baissier, cours sous les MM20/MM50), bien que le RSI proche de la survente offre un potentiel de rebond. Les **fondamentaux (Partie 3)** restent fragiles malgré le redressement du T1 2026 : ROE de 1,13% en 2025, coefficient d'exploitation de 74,37%, absence de dividende, et dépendance à un environnement macroéconomique incertain. Les **prédictions IA (J+1 à J+10)** anticipent une trajectoire haussière modérée (5 176 FCFA à 5 253 FCFA, soit +5,1% sur 10 jours), ce qui **contredit partiellement** les signaux techniques baissiers mais **confirme** les anticipations de rebond fondamental.</w:t>
      </w:r>
    </w:p>
    <w:p>
      <w:pPr>
        <w:spacing w:after="120" w:line="276" w:lineRule="auto"/>
      </w:pPr>
      <w:r>
        <w:t>**Recommandation finale : CONSERVER** — La convergence entre le redressement opérationnel du T1 2026, les prédictions IA haussières et la solidité du groupe BOA justifie le maintien de la position pour les investisseurs déjà exposés. Toutefois, la valorisation extrêmement élevée (PER &gt;250x), les signaux techniques baissiers à court terme et l'absence de dividende **déconseillent tout achat spéculatif** à ces niveaux. Le **niveau de confiance est Moyen** (les données T1 2026 sont encourageantes mais un seul trimestre ne suffit pas à confirmer la tendance), et le **risque global est Élevé** (volatilité de 41,5%, risque de crédit de 24%, instabilité politique nigérienne). L'**horizon d'investissement optimal est le long terme (&gt;1 an)**, en attendant la confirmation du redressement sur 2-3 trimestres supplémentaires et une normalisation du contexte macroéconomique. Un retour du cours sous 4 700 FCFA (borne inférieure de Bollinger) constituerait une opportunité d'achat pour les investisseurs patients, tandis qu'une cassure sous 4 500 FCFA invaliderait le scénario haussier et justifierait une réduction de l'exposition.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294.30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11,606 titres</w:t>
            </w:r>
          </w:p>
        </w:tc>
        <w:tc>
          <w:tcPr>
            <w:tcW w:type="dxa" w:w="2268"/>
            <w:shd w:fill="FFF2CC" w:val="clear"/>
          </w:tcPr>
          <w:p>
            <w:r>
              <w:rPr>
                <w:b/>
                <w:color w:val="503200"/>
                <w:sz w:val="16"/>
              </w:rPr>
              <w:t xml:space="preserve">Cours actuel : </w:t>
            </w:r>
            <w:r>
              <w:rPr>
                <w:color w:val="000000"/>
                <w:sz w:val="17"/>
              </w:rPr>
              <w:t>8,175 FCFA</w:t>
            </w:r>
          </w:p>
          <w:p>
            <w:r>
              <w:rPr>
                <w:b/>
                <w:color w:val="503200"/>
                <w:sz w:val="16"/>
              </w:rPr>
              <w:t xml:space="preserve">Var. 100 jours : </w:t>
            </w:r>
            <w:r>
              <w:rPr>
                <w:b/>
                <w:color w:val="007800"/>
                <w:sz w:val="17"/>
              </w:rPr>
              <w:t>+10.62%</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4.72% (Faible) — μ=7,729 FCFA, σ=364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β=0.6130 (Défensif) — Cov=0.000042, Var(idx)=0.000068, ρ=0.301,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7,523</w:t>
            </w:r>
          </w:p>
        </w:tc>
        <w:tc>
          <w:tcPr>
            <w:tcW w:type="dxa" w:w="1440"/>
            <w:shd w:fill="FFDCE0" w:val="clear"/>
          </w:tcPr>
          <w:p>
            <w:r>
              <w:rPr>
                <w:b/>
                <w:sz w:val="17"/>
              </w:rPr>
              <w:t>7,860</w:t>
            </w:r>
          </w:p>
        </w:tc>
        <w:tc>
          <w:tcPr>
            <w:tcW w:type="dxa" w:w="1440"/>
            <w:shd w:fill="FFDCE0" w:val="clear"/>
          </w:tcPr>
          <w:p>
            <w:r>
              <w:rPr>
                <w:sz w:val="17"/>
              </w:rPr>
              <w:t>8,197</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7,339</w:t>
            </w:r>
          </w:p>
        </w:tc>
        <w:tc>
          <w:tcPr>
            <w:tcW w:type="dxa" w:w="1440"/>
            <w:shd w:fill="FFDCE0" w:val="clear"/>
          </w:tcPr>
          <w:p>
            <w:r>
              <w:rPr>
                <w:b/>
                <w:sz w:val="17"/>
              </w:rPr>
              <w:t>7,745</w:t>
            </w:r>
          </w:p>
        </w:tc>
        <w:tc>
          <w:tcPr>
            <w:tcW w:type="dxa" w:w="1440"/>
            <w:shd w:fill="FFDCE0" w:val="clear"/>
          </w:tcPr>
          <w:p>
            <w:r>
              <w:rPr>
                <w:sz w:val="17"/>
              </w:rPr>
              <w:t>8,152</w:t>
            </w:r>
          </w:p>
        </w:tc>
        <w:tc>
          <w:tcPr>
            <w:tcW w:type="dxa" w:w="1440"/>
            <w:shd w:fill="FFDCE0" w:val="clear"/>
          </w:tcPr>
          <w:p>
            <w:r>
              <w:rPr>
                <w:b/>
                <w:color w:val="C00000"/>
                <w:sz w:val="17"/>
              </w:rPr>
              <w:t>-5.3%</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7,178</w:t>
            </w:r>
          </w:p>
        </w:tc>
        <w:tc>
          <w:tcPr>
            <w:tcW w:type="dxa" w:w="1440"/>
            <w:shd w:fill="FFDCE0" w:val="clear"/>
          </w:tcPr>
          <w:p>
            <w:r>
              <w:rPr>
                <w:b/>
                <w:sz w:val="17"/>
              </w:rPr>
              <w:t>7,641</w:t>
            </w:r>
          </w:p>
        </w:tc>
        <w:tc>
          <w:tcPr>
            <w:tcW w:type="dxa" w:w="1440"/>
            <w:shd w:fill="FFDCE0" w:val="clear"/>
          </w:tcPr>
          <w:p>
            <w:r>
              <w:rPr>
                <w:sz w:val="17"/>
              </w:rPr>
              <w:t>8,104</w:t>
            </w:r>
          </w:p>
        </w:tc>
        <w:tc>
          <w:tcPr>
            <w:tcW w:type="dxa" w:w="1440"/>
            <w:shd w:fill="FFDCE0" w:val="clear"/>
          </w:tcPr>
          <w:p>
            <w:r>
              <w:rPr>
                <w:b/>
                <w:color w:val="C00000"/>
                <w:sz w:val="17"/>
              </w:rPr>
              <w:t>-6.5%</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7,032</w:t>
            </w:r>
          </w:p>
        </w:tc>
        <w:tc>
          <w:tcPr>
            <w:tcW w:type="dxa" w:w="1440"/>
            <w:shd w:fill="FFDCE0" w:val="clear"/>
          </w:tcPr>
          <w:p>
            <w:r>
              <w:rPr>
                <w:b/>
                <w:sz w:val="17"/>
              </w:rPr>
              <w:t>7,543</w:t>
            </w:r>
          </w:p>
        </w:tc>
        <w:tc>
          <w:tcPr>
            <w:tcW w:type="dxa" w:w="1440"/>
            <w:shd w:fill="FFDCE0" w:val="clear"/>
          </w:tcPr>
          <w:p>
            <w:r>
              <w:rPr>
                <w:sz w:val="17"/>
              </w:rPr>
              <w:t>8,054</w:t>
            </w:r>
          </w:p>
        </w:tc>
        <w:tc>
          <w:tcPr>
            <w:tcW w:type="dxa" w:w="1440"/>
            <w:shd w:fill="FFDCE0" w:val="clear"/>
          </w:tcPr>
          <w:p>
            <w:r>
              <w:rPr>
                <w:b/>
                <w:color w:val="C00000"/>
                <w:sz w:val="17"/>
              </w:rPr>
              <w:t>-7.7%</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6,897</w:t>
            </w:r>
          </w:p>
        </w:tc>
        <w:tc>
          <w:tcPr>
            <w:tcW w:type="dxa" w:w="1440"/>
            <w:shd w:fill="FFDCE0" w:val="clear"/>
          </w:tcPr>
          <w:p>
            <w:r>
              <w:rPr>
                <w:b/>
                <w:sz w:val="17"/>
              </w:rPr>
              <w:t>7,450</w:t>
            </w:r>
          </w:p>
        </w:tc>
        <w:tc>
          <w:tcPr>
            <w:tcW w:type="dxa" w:w="1440"/>
            <w:shd w:fill="FFDCE0" w:val="clear"/>
          </w:tcPr>
          <w:p>
            <w:r>
              <w:rPr>
                <w:sz w:val="17"/>
              </w:rPr>
              <w:t>8,002</w:t>
            </w:r>
          </w:p>
        </w:tc>
        <w:tc>
          <w:tcPr>
            <w:tcW w:type="dxa" w:w="1440"/>
            <w:shd w:fill="FFDCE0" w:val="clear"/>
          </w:tcPr>
          <w:p>
            <w:r>
              <w:rPr>
                <w:b/>
                <w:color w:val="C00000"/>
                <w:sz w:val="17"/>
              </w:rPr>
              <w:t>-8.9%</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6,771</w:t>
            </w:r>
          </w:p>
        </w:tc>
        <w:tc>
          <w:tcPr>
            <w:tcW w:type="dxa" w:w="1440"/>
            <w:shd w:fill="FFDCE0" w:val="clear"/>
          </w:tcPr>
          <w:p>
            <w:r>
              <w:rPr>
                <w:b/>
                <w:sz w:val="17"/>
              </w:rPr>
              <w:t>7,361</w:t>
            </w:r>
          </w:p>
        </w:tc>
        <w:tc>
          <w:tcPr>
            <w:tcW w:type="dxa" w:w="1440"/>
            <w:shd w:fill="FFDCE0" w:val="clear"/>
          </w:tcPr>
          <w:p>
            <w:r>
              <w:rPr>
                <w:sz w:val="17"/>
              </w:rPr>
              <w:t>7,951</w:t>
            </w:r>
          </w:p>
        </w:tc>
        <w:tc>
          <w:tcPr>
            <w:tcW w:type="dxa" w:w="1440"/>
            <w:shd w:fill="FFDCE0" w:val="clear"/>
          </w:tcPr>
          <w:p>
            <w:r>
              <w:rPr>
                <w:b/>
                <w:color w:val="C00000"/>
                <w:sz w:val="17"/>
              </w:rPr>
              <w:t>-10.0%</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6,652</w:t>
            </w:r>
          </w:p>
        </w:tc>
        <w:tc>
          <w:tcPr>
            <w:tcW w:type="dxa" w:w="1440"/>
            <w:shd w:fill="FFDCE0" w:val="clear"/>
          </w:tcPr>
          <w:p>
            <w:r>
              <w:rPr>
                <w:b/>
                <w:sz w:val="17"/>
              </w:rPr>
              <w:t>7,276</w:t>
            </w:r>
          </w:p>
        </w:tc>
        <w:tc>
          <w:tcPr>
            <w:tcW w:type="dxa" w:w="1440"/>
            <w:shd w:fill="FFDCE0" w:val="clear"/>
          </w:tcPr>
          <w:p>
            <w:r>
              <w:rPr>
                <w:sz w:val="17"/>
              </w:rPr>
              <w:t>7,899</w:t>
            </w:r>
          </w:p>
        </w:tc>
        <w:tc>
          <w:tcPr>
            <w:tcW w:type="dxa" w:w="1440"/>
            <w:shd w:fill="FFDCE0" w:val="clear"/>
          </w:tcPr>
          <w:p>
            <w:r>
              <w:rPr>
                <w:b/>
                <w:color w:val="C00000"/>
                <w:sz w:val="17"/>
              </w:rPr>
              <w:t>-11.0%</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6,541</w:t>
            </w:r>
          </w:p>
        </w:tc>
        <w:tc>
          <w:tcPr>
            <w:tcW w:type="dxa" w:w="1440"/>
            <w:shd w:fill="FFDCE0" w:val="clear"/>
          </w:tcPr>
          <w:p>
            <w:r>
              <w:rPr>
                <w:b/>
                <w:sz w:val="17"/>
              </w:rPr>
              <w:t>7,195</w:t>
            </w:r>
          </w:p>
        </w:tc>
        <w:tc>
          <w:tcPr>
            <w:tcW w:type="dxa" w:w="1440"/>
            <w:shd w:fill="FFDCE0" w:val="clear"/>
          </w:tcPr>
          <w:p>
            <w:r>
              <w:rPr>
                <w:sz w:val="17"/>
              </w:rPr>
              <w:t>7,849</w:t>
            </w:r>
          </w:p>
        </w:tc>
        <w:tc>
          <w:tcPr>
            <w:tcW w:type="dxa" w:w="1440"/>
            <w:shd w:fill="FFDCE0" w:val="clear"/>
          </w:tcPr>
          <w:p>
            <w:r>
              <w:rPr>
                <w:b/>
                <w:color w:val="C00000"/>
                <w:sz w:val="17"/>
              </w:rPr>
              <w:t>-12.0%</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6,435</w:t>
            </w:r>
          </w:p>
        </w:tc>
        <w:tc>
          <w:tcPr>
            <w:tcW w:type="dxa" w:w="1440"/>
            <w:shd w:fill="FFDCE0" w:val="clear"/>
          </w:tcPr>
          <w:p>
            <w:r>
              <w:rPr>
                <w:b/>
                <w:sz w:val="17"/>
              </w:rPr>
              <w:t>7,117</w:t>
            </w:r>
          </w:p>
        </w:tc>
        <w:tc>
          <w:tcPr>
            <w:tcW w:type="dxa" w:w="1440"/>
            <w:shd w:fill="FFDCE0" w:val="clear"/>
          </w:tcPr>
          <w:p>
            <w:r>
              <w:rPr>
                <w:sz w:val="17"/>
              </w:rPr>
              <w:t>7,799</w:t>
            </w:r>
          </w:p>
        </w:tc>
        <w:tc>
          <w:tcPr>
            <w:tcW w:type="dxa" w:w="1440"/>
            <w:shd w:fill="FFDCE0" w:val="clear"/>
          </w:tcPr>
          <w:p>
            <w:r>
              <w:rPr>
                <w:b/>
                <w:color w:val="C00000"/>
                <w:sz w:val="17"/>
              </w:rPr>
              <w:t>-12.9%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BANK OF AFRICA SÉNÉGAL (BOAS)</w:t>
        <w:br/>
        <w:t>**Bourse Régionale des Valeurs Mobilières (BRVM) — Secteur : Banque**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294,30 Mds FCFA, BOAS figure parmi les valeurs bancaires de premier plan de la cote BRVM, ce qui lui confère une liquidité et une visibilité appréciables au sein de l'indice. Le BPA s'établit à 608 FCFA par action, matérialisant le bénéfice net généré pour chaque titre détenu. Le PER de 13,4x traduit une valorisation modérée, légèrement supérieure à la moyenne du marché BRVM (8-12x), ce qui suggère que les investisseurs consentent une prime raisonnable pour la qualité de la croissance bénéficiaire de la banque. Le P/B de 3,05x indique que le marché valorise l'action à environ trois fois sa valeur comptable, une prime de croissance cohérente avec un ROE supérieur à 22%. Enfin, l'EV/EBITDA de 8,7x, situé dans la fourchette raisonnable de 5-10x, confirme que la valeur d'entreprise reste proportionnée à la capacité opérationnelle de la banque,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affiche une performance positive de +10,62%, avec une dernière séance en légère hausse de +0,37%, portant le cours actuel à 8 175 FCFA. Le range de trading s'est établi entre un plus bas de 7 250 FCFA et un plus haut de 8 500 FCFA, soit une amplitude d'environ 17%, reflétant une tendance générale haussière mais ponctuée de corrections. Les statistiques descriptives révèlent une moyenne de 7 729 FCFA très proche de la médiane (7 695 FCFA) et du mode (7 700 FCFA), signe d'une distribution équilibrée sans biais directionnel marqué, confirmée par un skewness de 0,415 (quasi-symétrique). L'écart-type de 366 FCFA, couplé à un coefficient de variation de seulement 4,7%, indique une dispersion modérée du cours autour de sa moyenne, tandis que le kurtosis négatif (-1,131, distribution platykurtique) suggère une faible concentration des valeurs extrêmes et donc un risque de pics de volatilité limité. La volatilité annualisée de 26,5% positionne le titre dans la catégorie des valeurs à volatilité modérée (15-30%), ce qui est cohérent avec un profil bancaire défensif mais exposé aux conditions macroéconomiques régionales.</w:t>
      </w:r>
    </w:p>
    <w:p>
      <w:pPr>
        <w:spacing w:after="120" w:line="276" w:lineRule="auto"/>
      </w:pPr>
      <w:r>
        <w:t>---</w:t>
      </w:r>
    </w:p>
    <w:p>
      <w:pPr>
        <w:spacing w:after="120" w:line="276" w:lineRule="auto"/>
      </w:pPr>
      <w:r>
        <w:t>## PARTIE 2 : ANALYSE TECHNIQUE DÉTAILLÉE</w:t>
      </w:r>
    </w:p>
    <w:p>
      <w:pPr>
        <w:spacing w:after="120" w:line="276" w:lineRule="auto"/>
      </w:pPr>
      <w:r>
        <w:t>**Moyennes Mobiles** : La MM20 (8 134 FCFA) et la MM50 (8 007 FCFA) se situent toutes deux sous le cours actuel (8 175 FCFA), configurant un croisement haussier classique où la moyenne courte surplombe la moyenne longue. Cette configuration confirme la dynamique positive du titre et justifie la décision d'**Achat**.</w:t>
      </w:r>
    </w:p>
    <w:p>
      <w:pPr>
        <w:spacing w:after="120" w:line="276" w:lineRule="auto"/>
      </w:pPr>
      <w:r>
        <w:t>**Bandes de Bollinger** : Le cours (8 175 FCFA) évolue dans la partie médiane-haute du canal, entre la borne inférieure (7 778 FCFA) et supérieure (8 490 FCFA), sans contact avec les extrêmes. Cette position centrale traduit une absence de tension directionnelle immédiate et justifie la décision **Neutre**.</w:t>
      </w:r>
    </w:p>
    <w:p>
      <w:pPr>
        <w:spacing w:after="120" w:line="276" w:lineRule="auto"/>
      </w:pPr>
      <w:r>
        <w:t>**MACD** : La valeur du MACD (9,84) est inférieure à son signal (16,595), générant une divergence baissière qui signale un essoufflement du momentum haussier. Cette configuration justifie la décision de **Vente** à court terme, bien que l'écart reste modéré.</w:t>
      </w:r>
    </w:p>
    <w:p>
      <w:pPr>
        <w:spacing w:after="120" w:line="276" w:lineRule="auto"/>
      </w:pPr>
      <w:r>
        <w:t>**RSI** : À 49,091, le RSI se situe parfaitement dans la zone neutre (30-70), indiquant un équilibre entre acheteurs et vendeurs sans pression de surachat (70) ni de survente (30). La décision **Neutre** est cohérente avec cette absence de signal directionnel fort.</w:t>
      </w:r>
    </w:p>
    <w:p>
      <w:pPr>
        <w:spacing w:after="120" w:line="276" w:lineRule="auto"/>
      </w:pPr>
      <w:r>
        <w:t>**Stochastique** : Le %K (75,0) et le %D (72,143) évoluent en zone haute, proche du seuil de surachat (80), avec un %K légèrement supérieur au %D. Cette configuration suggère une dynamique haussière en fin de cycle, justifiant la décision **Neutre** par prudence face à un possible retournement.</w:t>
      </w:r>
    </w:p>
    <w:p>
      <w:pPr>
        <w:spacing w:after="120" w:line="276" w:lineRule="auto"/>
      </w:pPr>
      <w:r>
        <w:t>**Conclusion technique** : Les indicateurs présentent un tableau mitigé. Les moyennes mobiles confirment la tendance haussière de fond, mais le MACD baissier, le RSI neutre et le stochastique proche du surachat suggèrent un essoufflement à court terme. La convergence partielle des signaux plaide pour une consolidation avant une éventuelle reprise, avec un biais haussier de moyen terme maintenu.</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BOAS affiche un Produit Net Bancaire (PNB) de 51,926 Mds FCFA, un résultat net de 21,905 Mds FCFA, un ROE remarquable de 22,69% (largement supérieur au seuil d'excellence de 15%) et un ROA de 2,62%. Le coefficient d'exploitation de 44,02% confirme l'efficacité opérationnelle de la banque (seuil d'excellence &lt;50%), tandis que le coût du risque de 23,31% des charges financières, bien qu'élevé, reste contenu. La structure bilancielle affiche 686,927 Mds FCFA de dépôts clientèle pour 386,424 Mds FCFA de créances, soit un ratio de transformation de 56,3%, et une autonomie financière de 11,54% qui, bien que faible, est caractéristique du modèle bancaire. **Estimations basées sur les rapports trimestriels** : Le rapport du T1 2026 (publié en 2026) indique un PNB de 12 580 MCFA en hausse de 6,82% et un résultat net de 5 741 MCFA (+9,78%), avec un coefficient d'exploitation amélioré à 42,1%. Le rapport du S1 2026 fait état d'un PNB semestriel de 27 206 MCFA, en progression soutenue. Sur cette base, on estime que l'exercice 2026 devrait enregistrer un PNB annuel d'environ 54-55 Mds FCFA et un résultat net proche de 23-24 Mds FCFA, confirmant la trajectoire de croissance à deux chiffres. Les rapports antérieurs (T3 2025, S1 2025, T1 2025) montrent une amélioration continue du coût du risque (de -1,8% à -0,5% du PNB) et du coefficient d'exploitation (de 46,1% à 44,4%), validant la solidité du modèle. **Recommandation fondamentale** : BOAS présente un profil de banque solide, rentable et en croissance maîtrisée, avec des fondamentaux de haute qualité et des perspectives favorables, malgré une dépendance au marché sénégalais et un coût du risque à surveiller.</w:t>
      </w:r>
    </w:p>
    <w:p>
      <w:pPr>
        <w:spacing w:after="120" w:line="276" w:lineRule="auto"/>
      </w:pPr>
      <w:r>
        <w:t>---</w:t>
      </w:r>
    </w:p>
    <w:p>
      <w:pPr>
        <w:spacing w:after="120" w:line="276" w:lineRule="auto"/>
      </w:pPr>
      <w:r>
        <w:t>## PARTIE 4 : CONCLUSION D'INVESTISSEMENT</w:t>
      </w:r>
    </w:p>
    <w:p>
      <w:pPr>
        <w:spacing w:after="120" w:line="276" w:lineRule="auto"/>
      </w:pPr>
      <w:r>
        <w:t>La valorisation de BOAS (PER 13,4x, P/B 3,05x, EV/EBITDA 8,7x) apparaît raisonnable, voire légèrement sous-évaluée au regard de la qualité de ses fondamentaux et de son ROE de 22,69%, ce qui plaide pour un potentiel de réévaluation. Le comportement du cours sur 100 jours est favorable (+10,62%), avec une volatilité modérée (26,5%) et une distribution équilibrée (skewness 0,415, kurtosis -1,131) qui limitent le risque de mouvements extrêmes. Les signaux techniques sont mitigés : les moyennes mobiles confirment la tendance haussière, mais le MACD baissier et le stochastique proche du surachat suggèrent une consolidation à court terme, ce qui tempère l'élan acheteur. Les fondamentaux demeurent le point fort du dossier, avec une croissance soutenue du PNB et du résultat net, un coefficient d'exploitation en amélioration et une collecte de dépôts dynamique, comme en témoignent les rapports T1 2026 et S1 2026. Les prédictions IA (J+1 à J+10) anticipent une correction baissière vers 7 450 FCFA d'ici le 9 octobre 2026, ce qui contredit la tendance haussière de fond et les signaux fondamentaux positifs, suggérant une divergence probablement liée à des prises de bénéfices à court terme. **Recommandation finale : ACHAT**, avec un niveau de confiance **Moyen** et un risque global **Moyen**. La convergence entre valorisation attractive, fondamentaux solides et tendance haussière de moyen terme l'emporte sur les signaux techniques baissiers à court terme et les prédictions correctives. L'horizon d'investissement optimal est le **moyen terme (3-12 mois)**, le temps que la consolidation technique s'achève et que la croissance bénéficiaire se matérialise dans le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2,049 titres</w:t>
            </w:r>
          </w:p>
        </w:tc>
        <w:tc>
          <w:tcPr>
            <w:tcW w:type="dxa" w:w="2268"/>
            <w:shd w:fill="FFF2CC" w:val="clear"/>
          </w:tcPr>
          <w:p>
            <w:r>
              <w:rPr>
                <w:b/>
                <w:color w:val="503200"/>
                <w:sz w:val="16"/>
              </w:rPr>
              <w:t xml:space="preserve">Cours actuel : </w:t>
            </w:r>
            <w:r>
              <w:rPr>
                <w:color w:val="000000"/>
                <w:sz w:val="17"/>
              </w:rPr>
              <w:t>3,395 FCFA</w:t>
            </w:r>
          </w:p>
          <w:p>
            <w:r>
              <w:rPr>
                <w:b/>
                <w:color w:val="503200"/>
                <w:sz w:val="16"/>
              </w:rPr>
              <w:t xml:space="preserve">Var. 100 jours : </w:t>
            </w:r>
            <w:r>
              <w:rPr>
                <w:b/>
                <w:color w:val="B40000"/>
                <w:sz w:val="17"/>
              </w:rPr>
              <w:t>-3.00%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7.85% (Moyenne) — μ=3,682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β=0.3503 (Défensif) — Cov=0.000024, Var(idx)=0.000068, ρ=0.102,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3,229</w:t>
            </w:r>
          </w:p>
        </w:tc>
        <w:tc>
          <w:tcPr>
            <w:tcW w:type="dxa" w:w="1440"/>
            <w:shd w:fill="FAFAFA" w:val="clear"/>
          </w:tcPr>
          <w:p>
            <w:r>
              <w:rPr>
                <w:b/>
                <w:sz w:val="17"/>
              </w:rPr>
              <w:t>3,376</w:t>
            </w:r>
          </w:p>
        </w:tc>
        <w:tc>
          <w:tcPr>
            <w:tcW w:type="dxa" w:w="1440"/>
            <w:shd w:fill="FAFAFA" w:val="clear"/>
          </w:tcPr>
          <w:p>
            <w:r>
              <w:rPr>
                <w:sz w:val="17"/>
              </w:rPr>
              <w:t>3,522</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3,187</w:t>
            </w:r>
          </w:p>
        </w:tc>
        <w:tc>
          <w:tcPr>
            <w:tcW w:type="dxa" w:w="1440"/>
            <w:shd w:fill="FAFAFA" w:val="clear"/>
          </w:tcPr>
          <w:p>
            <w:r>
              <w:rPr>
                <w:b/>
                <w:sz w:val="17"/>
              </w:rPr>
              <w:t>3,366</w:t>
            </w:r>
          </w:p>
        </w:tc>
        <w:tc>
          <w:tcPr>
            <w:tcW w:type="dxa" w:w="1440"/>
            <w:shd w:fill="FAFAFA" w:val="clear"/>
          </w:tcPr>
          <w:p>
            <w:r>
              <w:rPr>
                <w:sz w:val="17"/>
              </w:rPr>
              <w:t>3,545</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3,151</w:t>
            </w:r>
          </w:p>
        </w:tc>
        <w:tc>
          <w:tcPr>
            <w:tcW w:type="dxa" w:w="1440"/>
            <w:shd w:fill="FAFAFA" w:val="clear"/>
          </w:tcPr>
          <w:p>
            <w:r>
              <w:rPr>
                <w:b/>
                <w:sz w:val="17"/>
              </w:rPr>
              <w:t>3,357</w:t>
            </w:r>
          </w:p>
        </w:tc>
        <w:tc>
          <w:tcPr>
            <w:tcW w:type="dxa" w:w="1440"/>
            <w:shd w:fill="FAFAFA" w:val="clear"/>
          </w:tcPr>
          <w:p>
            <w:r>
              <w:rPr>
                <w:sz w:val="17"/>
              </w:rPr>
              <w:t>3,563</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3,120</w:t>
            </w:r>
          </w:p>
        </w:tc>
        <w:tc>
          <w:tcPr>
            <w:tcW w:type="dxa" w:w="1440"/>
            <w:shd w:fill="FAFAFA" w:val="clear"/>
          </w:tcPr>
          <w:p>
            <w:r>
              <w:rPr>
                <w:b/>
                <w:sz w:val="17"/>
              </w:rPr>
              <w:t>3,350</w:t>
            </w:r>
          </w:p>
        </w:tc>
        <w:tc>
          <w:tcPr>
            <w:tcW w:type="dxa" w:w="1440"/>
            <w:shd w:fill="FAFAFA" w:val="clear"/>
          </w:tcPr>
          <w:p>
            <w:r>
              <w:rPr>
                <w:sz w:val="17"/>
              </w:rPr>
              <w:t>3,580</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3,093</w:t>
            </w:r>
          </w:p>
        </w:tc>
        <w:tc>
          <w:tcPr>
            <w:tcW w:type="dxa" w:w="1440"/>
            <w:shd w:fill="FAFAFA" w:val="clear"/>
          </w:tcPr>
          <w:p>
            <w:r>
              <w:rPr>
                <w:b/>
                <w:sz w:val="17"/>
              </w:rPr>
              <w:t>3,344</w:t>
            </w:r>
          </w:p>
        </w:tc>
        <w:tc>
          <w:tcPr>
            <w:tcW w:type="dxa" w:w="1440"/>
            <w:shd w:fill="FAFAFA" w:val="clear"/>
          </w:tcPr>
          <w:p>
            <w:r>
              <w:rPr>
                <w:sz w:val="17"/>
              </w:rPr>
              <w:t>3,596</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2026-10-12</w:t>
            </w:r>
          </w:p>
        </w:tc>
        <w:tc>
          <w:tcPr>
            <w:tcW w:type="dxa" w:w="1440"/>
            <w:shd w:fill="FAFAFA" w:val="clear"/>
          </w:tcPr>
          <w:p>
            <w:r>
              <w:rPr>
                <w:sz w:val="17"/>
              </w:rPr>
              <w:t>3,069</w:t>
            </w:r>
          </w:p>
        </w:tc>
        <w:tc>
          <w:tcPr>
            <w:tcW w:type="dxa" w:w="1440"/>
            <w:shd w:fill="FAFAFA" w:val="clear"/>
          </w:tcPr>
          <w:p>
            <w:r>
              <w:rPr>
                <w:b/>
                <w:sz w:val="17"/>
              </w:rPr>
              <w:t>3,340</w:t>
            </w:r>
          </w:p>
        </w:tc>
        <w:tc>
          <w:tcPr>
            <w:tcW w:type="dxa" w:w="1440"/>
            <w:shd w:fill="FAFAFA" w:val="clear"/>
          </w:tcPr>
          <w:p>
            <w:r>
              <w:rPr>
                <w:sz w:val="17"/>
              </w:rPr>
              <w:t>3,612</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2026-10-13</w:t>
            </w:r>
          </w:p>
        </w:tc>
        <w:tc>
          <w:tcPr>
            <w:tcW w:type="dxa" w:w="1440"/>
            <w:shd w:fill="FAFAFA" w:val="clear"/>
          </w:tcPr>
          <w:p>
            <w:r>
              <w:rPr>
                <w:sz w:val="17"/>
              </w:rPr>
              <w:t>3,048</w:t>
            </w:r>
          </w:p>
        </w:tc>
        <w:tc>
          <w:tcPr>
            <w:tcW w:type="dxa" w:w="1440"/>
            <w:shd w:fill="FAFAFA" w:val="clear"/>
          </w:tcPr>
          <w:p>
            <w:r>
              <w:rPr>
                <w:b/>
                <w:sz w:val="17"/>
              </w:rPr>
              <w:t>3,338</w:t>
            </w:r>
          </w:p>
        </w:tc>
        <w:tc>
          <w:tcPr>
            <w:tcW w:type="dxa" w:w="1440"/>
            <w:shd w:fill="FAFAFA" w:val="clear"/>
          </w:tcPr>
          <w:p>
            <w:r>
              <w:rPr>
                <w:sz w:val="17"/>
              </w:rPr>
              <w:t>3,628</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2026-10-14</w:t>
            </w:r>
          </w:p>
        </w:tc>
        <w:tc>
          <w:tcPr>
            <w:tcW w:type="dxa" w:w="1440"/>
            <w:shd w:fill="FAFAFA" w:val="clear"/>
          </w:tcPr>
          <w:p>
            <w:r>
              <w:rPr>
                <w:sz w:val="17"/>
              </w:rPr>
              <w:t>3,028</w:t>
            </w:r>
          </w:p>
        </w:tc>
        <w:tc>
          <w:tcPr>
            <w:tcW w:type="dxa" w:w="1440"/>
            <w:shd w:fill="FAFAFA" w:val="clear"/>
          </w:tcPr>
          <w:p>
            <w:r>
              <w:rPr>
                <w:b/>
                <w:sz w:val="17"/>
              </w:rPr>
              <w:t>3,335</w:t>
            </w:r>
          </w:p>
        </w:tc>
        <w:tc>
          <w:tcPr>
            <w:tcW w:type="dxa" w:w="1440"/>
            <w:shd w:fill="FAFAFA" w:val="clear"/>
          </w:tcPr>
          <w:p>
            <w:r>
              <w:rPr>
                <w:sz w:val="17"/>
              </w:rPr>
              <w:t>3,643</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2026-10-15</w:t>
            </w:r>
          </w:p>
        </w:tc>
        <w:tc>
          <w:tcPr>
            <w:tcW w:type="dxa" w:w="1440"/>
            <w:shd w:fill="FAFAFA" w:val="clear"/>
          </w:tcPr>
          <w:p>
            <w:r>
              <w:rPr>
                <w:sz w:val="17"/>
              </w:rPr>
              <w:t>3,010</w:t>
            </w:r>
          </w:p>
        </w:tc>
        <w:tc>
          <w:tcPr>
            <w:tcW w:type="dxa" w:w="1440"/>
            <w:shd w:fill="FAFAFA" w:val="clear"/>
          </w:tcPr>
          <w:p>
            <w:r>
              <w:rPr>
                <w:b/>
                <w:sz w:val="17"/>
              </w:rPr>
              <w:t>3,334</w:t>
            </w:r>
          </w:p>
        </w:tc>
        <w:tc>
          <w:tcPr>
            <w:tcW w:type="dxa" w:w="1440"/>
            <w:shd w:fill="FAFAFA" w:val="clear"/>
          </w:tcPr>
          <w:p>
            <w:r>
              <w:rPr>
                <w:sz w:val="17"/>
              </w:rPr>
              <w:t>3,657</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20,10 Mds FCFA, CABC se positionne comme une valeur de taille moyenne sur la BRVM, loin des poids lourds comme SONATEL ou BOA. Le BPA de 243 FCFA/action confère au titre un PER de 14,0x, soit une valorisation modérément supérieure à la moyenne du marché BRVM (8-12x), ce qui suggère que les investisseurs intègrent déjà une prime de croissance dans le cours. Le P/B de 2,15x indique que le marché valorise l'entreprise à plus du double de sa valeur comptable, reflétant une prime de croissance accordée aux perspectives du secteur des câbles. Enfin, l'EV/EBITDA de 7,0x se situe dans la fourchette raisonnable (5-10x), signalant que la valeur totale de l'entreprise reste cohérente avec sa capacité opérationnelle. Globalement, la valorisation apparaît modérée mais non bon marché, avec une prime justifiée par les perspectives sectorielles.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affiche une variation totale de -3,00%, avec une dernière séance stable à +0,00%, traduisant une tendance baissière modérée mais un essoufflement de la pression vendeuse. Le cours actuel de 3 395 FCFA se situe dans la moitié inférieure du range de trading établi entre 3 190 FCFA (plus bas) et 4 500 FCFA (plus haut), ce qui témoigne d'une correction significative depuis les sommets. La moyenne de 3 682 FCFA est supérieure à la médiane de 3 592 FCFA, confirmant une asymétrie positive (skewness de 0,963) avec davantage de journées sous la moyenne, tandis que le mode à 3 500 FCFA indique un point d'équilibre psychologique. L'écart-type de 290 FCFA (CV de 7,9%) révèle une dispersion modérée du cours, et le kurtosis de 0,484 (mésokurtique) suggère une distribution proche de la normale, sans risque excessif de pics extrêmes. La volatilité annualisée de 45,0% classe le titre dans la catégorie des valeurs très volatiles (&gt;30%), ce qui implique un risque élevé pour les investisseurs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(3 411,25 FCFA) et la MM50 (3 516,2 FCFA) se situent toutes deux au-dessus du cours actuel (3 395 FCFA), confirmant une configuration baissière. La MM20 étant inférieure à la MM50, on observe un croisement baissier (death cross), ce qui justifie la décision de **Vente** émise par cet indicateur.</w:t>
      </w:r>
    </w:p>
    <w:p>
      <w:pPr>
        <w:spacing w:after="120" w:line="276" w:lineRule="auto"/>
      </w:pPr>
      <w:r>
        <w:t>**Bandes de Bollinger** : Le cours actuel (3 395 FCFA) se situe dans la partie inférieure de la bande, entre la borne inférieure (3 201,642 FCFA) et la borne supérieure (3 620,858 FCFA). Cette position médiane-basse, couplée à une volatilité modérée, justifie la décision **Neutre**, le titre n'étant ni en zone de survente extrême ni en zone de surachat.</w:t>
      </w:r>
    </w:p>
    <w:p>
      <w:pPr>
        <w:spacing w:after="120" w:line="276" w:lineRule="auto"/>
      </w:pPr>
      <w:r>
        <w:t>**MACD** : La valeur du MACD (-52,495) est supérieure à son signal (-63,705), générant un croisement haussier (golden cross) malgré des valeurs négatives. Cette divergence positive indique un ralentissement de la dynamique baissière et un potentiel retournement, justifiant la décision d'**Achat** malgré un momentum encore fragile.</w:t>
      </w:r>
    </w:p>
    <w:p>
      <w:pPr>
        <w:spacing w:after="120" w:line="276" w:lineRule="auto"/>
      </w:pPr>
      <w:r>
        <w:t>**RSI** : À 42,553, le RSI se situe en zone neutre (30-70), sans signal de surachat ni de survente. Cette valeur médiane reflète un équilibre entre acheteurs et vendeurs, justifiant la décision **Neutre** et l'absence de signal directionnel fort.</w:t>
      </w:r>
    </w:p>
    <w:p>
      <w:pPr>
        <w:spacing w:after="120" w:line="276" w:lineRule="auto"/>
      </w:pPr>
      <w:r>
        <w:t>**Stochastique** : Les lignes %K et %D sont identiques à 66,129, indiquant l'absence de croisement et une position médiane-haute. Cette configuration neutre, sans divergence, justifie la décision **Neutre** et suggère une absence de momentum clair à court terme.</w:t>
      </w:r>
    </w:p>
    <w:p>
      <w:pPr>
        <w:spacing w:after="120" w:line="276" w:lineRule="auto"/>
      </w:pPr>
      <w:r>
        <w:t>**Conclusion technique** : Les indicateurs techniques présentent une divergence notable : les moyennes mobiles sont baissières (Vente), le MACD est haussier (Achat), tandis que le RSI, les Bandes de Bollinger et le Stochastique sont neutres. Cette configuration mitigée traduit une phase de consolidation incertaine, avec un potentiel retournement haussier non confirmé. La prudence reste de mise tant que le cours n'aura pas franchi la MM20 (3 411 FCFA) avec conviction.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CABC a réalisé un chiffre d'affaires de 21 263 Mds FCFA, en croissance de 11,18% par rapport à 2024, confirmant la dynamique commerciale positive. Le résultat net s'établit à 1 439 Mds FCFA, avec une marge nette de 6,77%, en amélioration par rapport aux exercices précédents. Le ROE de 15,40% (excellent, &gt;15%) et le ROA de 6,10% témoignent d'une rentabilité solide des fonds propres et des actifs. Cependant, l'analyse du bilan révèle des points de vigilance : les créances clients (8 429 Mds FCFA) représentent un délai de 144,69 jours, et les stocks (7 400 Mds FCFA) une durée de rotation de 152,12 jours, tous deux élevés, signalant un risque de trésorerie et une immobilisation importante de capital. Le BFR de 7 186 Mds FCFA (positif) et le flux opérationnel négatif (-819,66 M FCFA) confirment une tension sur la trésorerie, malgré une trésorerie nette de 5 139 Mds FCFA.</w:t>
      </w:r>
    </w:p>
    <w:p>
      <w:pPr>
        <w:spacing w:after="120" w:line="276" w:lineRule="auto"/>
      </w:pPr>
      <w:r>
        <w:t>**Adaptation au secteur ENTREPRISE** : La structure financière reste saine avec une autonomie financière de 39,58% (&gt;30%), une liquidité générale de 242,60% (&gt;1) et une solvabilité générale de 165,52%. Le ratio d'endettement de 60,42% demeure maîtrisé, et la capacité de remboursement de 0,26 an est excellente. Toutefois, la dépendance aux matières premières (cuivre, aluminium) et la pression sur les marges opérationnelles (9,82%) constituent des risques structurels.</w:t>
      </w:r>
    </w:p>
    <w:p>
      <w:pPr>
        <w:spacing w:after="120" w:line="276" w:lineRule="auto"/>
      </w:pPr>
      <w:r>
        <w:t>**Estimations basées sur les rapports trimestriels** : Le rapport du 3ème trimestre 2025 (daté du 30/09/2025) indique un CA cumulé de 16 630 M FCFA (+13,7%) et un résultat net de 1 329,5 M FCFA (+26,0%), avec une marge nette de 8,0%. Le rapport du 1er semestre 2025 (daté du 30/06/2025) affichait un résultat net de 851,5 M FCFA (+55,3%) et une marge nette de 7,9%. Sur cette base, on estime que l'exercice 2025 devrait clôturer avec un résultat net proche de 1 439 M FCFA (chiffre confirmé par les données structurées), validant la trajectoire de croissance. Cependant, le rapport T1 2026 (daté de 2026) signale une perte nette de 221,7 M FCFA (-205,0%) due à une maintenance planifiée et à l'inflation des cours des métaux (+23%), ce qui pourrait compromettre les perspectives à court terme.</w:t>
      </w:r>
    </w:p>
    <w:p>
      <w:pPr>
        <w:spacing w:after="120" w:line="276" w:lineRule="auto"/>
      </w:pPr>
      <w:r>
        <w:t>**Évolution pluriannuelle** : Entre 2019 et 2025, le CA a progressé de 39,9% et le résultat net de 106%, avec une marge nette passant de 3,7% (2021) à 6,8% (2025). Cette amélioration continue témoigne d'une bonne maîtrise des coûts, malgré les défis opérationnels.</w:t>
      </w:r>
    </w:p>
    <w:p>
      <w:pPr>
        <w:spacing w:after="120" w:line="276" w:lineRule="auto"/>
      </w:pPr>
      <w:r>
        <w:t>**Recommandation fondamentale** : La solidité financière de CABC est avérée (ROE &gt;15%, endettement maîtrisé, trésorerie confortable), mais les risques de trésorerie (délais clients élevés, flux opérationnel négatif) et la volatilité des matières premières nécessitent une surveillance active. La recommandation est **CONSERVER**, avec un biais positif à moyen terme si la société parvient à normaliser ses performances après le T1 2026 déficitaire.</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apparaît modérée avec un PER de 14,0x (supérieur à la moyenne BRVM) et un P/B de 2,15x, suggérant une prime de croissance déjà intégrée. Le comportement du cours (Partie 1) est baissier (-3,00% sur 100 jours) avec une volatilité élevée (45,0%) et une asymétrie positive (skewness de 0,963), ce qui est préoccupant pour les investisseurs averses au risque. Les signaux techniques (Partie 2) sont divergents : baissiers pour les MM, haussiers pour le MACD, neutres pour le RSI, les Bandes de Bollinger et le Stochastique, traduisant une incertitude directionnelle. Les fondamentaux (Partie 3) restent solides (ROE de 15,40%, CA en croissance de 11,18%), mais les risques de trésorerie et la perte du T1 2026 tempèrent l'optimisme.</w:t>
      </w:r>
    </w:p>
    <w:p>
      <w:pPr>
        <w:spacing w:after="120" w:line="276" w:lineRule="auto"/>
      </w:pPr>
      <w:r>
        <w:t>**Prédictions IA (J+1 à J+10)** : La trajectoire prédite (3 376 FCFA le 05/10, 3 366 FCFA le 06/10, 3 357 FCFA le 07/10, 3 350 FCFA le 08/10, 3 344 FCFA le 09/10) confirme une tendance baissière à court terme, en ligne avec les signaux des moyennes mobiles mais en contradiction avec le MACD haussier.</w:t>
      </w:r>
    </w:p>
    <w:p>
      <w:pPr>
        <w:spacing w:after="120" w:line="276" w:lineRule="auto"/>
      </w:pPr>
      <w:r>
        <w:t>**Recommandation finale** : **CONSERVER** (avec surveillance active). La convergence entre la valorisation modérée, les fondamentaux solides et les signaux techniques mitigés ne justifie ni un achat agressif ni une vente précipitée. Le niveau de confiance est **Moyen**, car les indicateurs sont divergents et les perspectives à court terme incertaines. Le niveau de risque global est **Élevé** en raison de la volatilité du titre (45,0%) et des défis opérationnels récents (perte au T1 2026). L'horizon d'investissement optimal est **moyen terme (3-12 mois)**, en attendant la confirmation d'un retournement technique et la normalisation des performances opérationnelles. Les investisseurs déjà positionnés peuvent conserver leurs titres, tandis que les nouveaux entrants devraient attendre un signal technique plus clair (franchissement de la MM20 à 3 411 FCFA) avant d'investir.</w:t>
      </w:r>
    </w:p>
    <w:p>
      <w:pPr>
        <w:spacing w:after="120" w:line="276" w:lineRule="auto"/>
      </w:pPr>
      <w:r>
        <w:t>---</w:t>
      </w:r>
    </w:p>
    <w:p>
      <w:pPr>
        <w:spacing w:after="120" w:line="276" w:lineRule="auto"/>
      </w:pPr>
      <w:r>
        <w:t>**Date de l'analyse** : Octobre 2026</w:t>
        <w:br/>
        <w:t>**Sources** : Données structurées BRVM (2025), rapports trimestriels et annuels CABC (2024-2026), analyses fondamentales MISTRAL (2025-2026).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969.60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1,585 titres</w:t>
            </w:r>
          </w:p>
        </w:tc>
        <w:tc>
          <w:tcPr>
            <w:tcW w:type="dxa" w:w="2268"/>
            <w:shd w:fill="FFF2CC" w:val="clear"/>
          </w:tcPr>
          <w:p>
            <w:r>
              <w:rPr>
                <w:b/>
                <w:color w:val="503200"/>
                <w:sz w:val="16"/>
              </w:rPr>
              <w:t xml:space="preserve">Cours actuel : </w:t>
            </w:r>
            <w:r>
              <w:rPr>
                <w:color w:val="000000"/>
                <w:sz w:val="17"/>
              </w:rPr>
              <w:t>30,300 FCFA</w:t>
            </w:r>
          </w:p>
          <w:p>
            <w:r>
              <w:rPr>
                <w:b/>
                <w:color w:val="503200"/>
                <w:sz w:val="16"/>
              </w:rPr>
              <w:t xml:space="preserve">Var. 100 jours : </w:t>
            </w:r>
            <w:r>
              <w:rPr>
                <w:b/>
                <w:color w:val="007800"/>
                <w:sz w:val="17"/>
              </w:rPr>
              <w:t>+80.36%</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16,800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17.55% (Élevée) — μ=26,618 FCFA, σ=4,671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β=1.6057 (Agressif) — Cov=0.000110, Var(idx)=0.000068, ρ=0.456,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27,470</w:t>
            </w:r>
          </w:p>
        </w:tc>
        <w:tc>
          <w:tcPr>
            <w:tcW w:type="dxa" w:w="1440"/>
            <w:shd w:fill="FAFAFA" w:val="clear"/>
          </w:tcPr>
          <w:p>
            <w:r>
              <w:rPr>
                <w:b/>
                <w:sz w:val="17"/>
              </w:rPr>
              <w:t>29,702</w:t>
            </w:r>
          </w:p>
        </w:tc>
        <w:tc>
          <w:tcPr>
            <w:tcW w:type="dxa" w:w="1440"/>
            <w:shd w:fill="FAFAFA" w:val="clear"/>
          </w:tcPr>
          <w:p>
            <w:r>
              <w:rPr>
                <w:sz w:val="17"/>
              </w:rPr>
              <w:t>31,934</w:t>
            </w:r>
          </w:p>
        </w:tc>
        <w:tc>
          <w:tcPr>
            <w:tcW w:type="dxa" w:w="1440"/>
            <w:shd w:fill="FAFAFA"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26,783</w:t>
            </w:r>
          </w:p>
        </w:tc>
        <w:tc>
          <w:tcPr>
            <w:tcW w:type="dxa" w:w="1440"/>
            <w:shd w:fill="FFDCE0" w:val="clear"/>
          </w:tcPr>
          <w:p>
            <w:r>
              <w:rPr>
                <w:b/>
                <w:sz w:val="17"/>
              </w:rPr>
              <w:t>29,498</w:t>
            </w:r>
          </w:p>
        </w:tc>
        <w:tc>
          <w:tcPr>
            <w:tcW w:type="dxa" w:w="1440"/>
            <w:shd w:fill="FFDCE0" w:val="clear"/>
          </w:tcPr>
          <w:p>
            <w:r>
              <w:rPr>
                <w:sz w:val="17"/>
              </w:rPr>
              <w:t>32,213</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26,226</w:t>
            </w:r>
          </w:p>
        </w:tc>
        <w:tc>
          <w:tcPr>
            <w:tcW w:type="dxa" w:w="1440"/>
            <w:shd w:fill="FFDCE0" w:val="clear"/>
          </w:tcPr>
          <w:p>
            <w:r>
              <w:rPr>
                <w:b/>
                <w:sz w:val="17"/>
              </w:rPr>
              <w:t>29,344</w:t>
            </w:r>
          </w:p>
        </w:tc>
        <w:tc>
          <w:tcPr>
            <w:tcW w:type="dxa" w:w="1440"/>
            <w:shd w:fill="FFDCE0" w:val="clear"/>
          </w:tcPr>
          <w:p>
            <w:r>
              <w:rPr>
                <w:sz w:val="17"/>
              </w:rPr>
              <w:t>32,463</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25,739</w:t>
            </w:r>
          </w:p>
        </w:tc>
        <w:tc>
          <w:tcPr>
            <w:tcW w:type="dxa" w:w="1440"/>
            <w:shd w:fill="FFDCE0" w:val="clear"/>
          </w:tcPr>
          <w:p>
            <w:r>
              <w:rPr>
                <w:b/>
                <w:sz w:val="17"/>
              </w:rPr>
              <w:t>29,209</w:t>
            </w:r>
          </w:p>
        </w:tc>
        <w:tc>
          <w:tcPr>
            <w:tcW w:type="dxa" w:w="1440"/>
            <w:shd w:fill="FFDCE0" w:val="clear"/>
          </w:tcPr>
          <w:p>
            <w:r>
              <w:rPr>
                <w:sz w:val="17"/>
              </w:rPr>
              <w:t>32,680</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25,303</w:t>
            </w:r>
          </w:p>
        </w:tc>
        <w:tc>
          <w:tcPr>
            <w:tcW w:type="dxa" w:w="1440"/>
            <w:shd w:fill="FFDCE0" w:val="clear"/>
          </w:tcPr>
          <w:p>
            <w:r>
              <w:rPr>
                <w:b/>
                <w:sz w:val="17"/>
              </w:rPr>
              <w:t>29,090</w:t>
            </w:r>
          </w:p>
        </w:tc>
        <w:tc>
          <w:tcPr>
            <w:tcW w:type="dxa" w:w="1440"/>
            <w:shd w:fill="FFDCE0" w:val="clear"/>
          </w:tcPr>
          <w:p>
            <w:r>
              <w:rPr>
                <w:sz w:val="17"/>
              </w:rPr>
              <w:t>32,876</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24,909</w:t>
            </w:r>
          </w:p>
        </w:tc>
        <w:tc>
          <w:tcPr>
            <w:tcW w:type="dxa" w:w="1440"/>
            <w:shd w:fill="FFDCE0" w:val="clear"/>
          </w:tcPr>
          <w:p>
            <w:r>
              <w:rPr>
                <w:b/>
                <w:sz w:val="17"/>
              </w:rPr>
              <w:t>28,983</w:t>
            </w:r>
          </w:p>
        </w:tc>
        <w:tc>
          <w:tcPr>
            <w:tcW w:type="dxa" w:w="1440"/>
            <w:shd w:fill="FFDCE0" w:val="clear"/>
          </w:tcPr>
          <w:p>
            <w:r>
              <w:rPr>
                <w:sz w:val="17"/>
              </w:rPr>
              <w:t>33,058</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24,547</w:t>
            </w:r>
          </w:p>
        </w:tc>
        <w:tc>
          <w:tcPr>
            <w:tcW w:type="dxa" w:w="1440"/>
            <w:shd w:fill="FFDCE0" w:val="clear"/>
          </w:tcPr>
          <w:p>
            <w:r>
              <w:rPr>
                <w:b/>
                <w:sz w:val="17"/>
              </w:rPr>
              <w:t>28,889</w:t>
            </w:r>
          </w:p>
        </w:tc>
        <w:tc>
          <w:tcPr>
            <w:tcW w:type="dxa" w:w="1440"/>
            <w:shd w:fill="FFDCE0" w:val="clear"/>
          </w:tcPr>
          <w:p>
            <w:r>
              <w:rPr>
                <w:sz w:val="17"/>
              </w:rPr>
              <w:t>33,230</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24,212</w:t>
            </w:r>
          </w:p>
        </w:tc>
        <w:tc>
          <w:tcPr>
            <w:tcW w:type="dxa" w:w="1440"/>
            <w:shd w:fill="FFDCE0" w:val="clear"/>
          </w:tcPr>
          <w:p>
            <w:r>
              <w:rPr>
                <w:b/>
                <w:sz w:val="17"/>
              </w:rPr>
              <w:t>28,804</w:t>
            </w:r>
          </w:p>
        </w:tc>
        <w:tc>
          <w:tcPr>
            <w:tcW w:type="dxa" w:w="1440"/>
            <w:shd w:fill="FFDCE0" w:val="clear"/>
          </w:tcPr>
          <w:p>
            <w:r>
              <w:rPr>
                <w:sz w:val="17"/>
              </w:rPr>
              <w:t>33,396</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23,901</w:t>
            </w:r>
          </w:p>
        </w:tc>
        <w:tc>
          <w:tcPr>
            <w:tcW w:type="dxa" w:w="1440"/>
            <w:shd w:fill="FFDCE0" w:val="clear"/>
          </w:tcPr>
          <w:p>
            <w:r>
              <w:rPr>
                <w:b/>
                <w:sz w:val="17"/>
              </w:rPr>
              <w:t>28,728</w:t>
            </w:r>
          </w:p>
        </w:tc>
        <w:tc>
          <w:tcPr>
            <w:tcW w:type="dxa" w:w="1440"/>
            <w:shd w:fill="FFDCE0" w:val="clear"/>
          </w:tcPr>
          <w:p>
            <w:r>
              <w:rPr>
                <w:sz w:val="17"/>
              </w:rPr>
              <w:t>33,555</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969,60 milliards FCFA, Coris Bank International s'impose comme l'une des valeurs bancaires les plus capitalisées de la cote BRVM, ce qui témoigne de sa stature de leader régional et de la confiance des investisseurs. Le BPA de 2 047 FCFA par action signifie que chaque titre génère près de 2 047 FCFA de bénéfice net, un niveau de rentabilité par action particulièrement élevé pour le marché ouest-africain. Le PER de 14,8x situe le titre légèrement au-dessus de la moyenne BRVM (8-12x), ce qui indique que les investisseurs acceptent de payer une prime de qualité pour cette valeur, sans pour autant tomber dans une surévaluation excessive au regard de la croissance des bénéfices (+36,6% en 2025). L'EV/EBITDA de 11,0x, dans la fourchette 10-15x, confirme une valorisation élevée mais justifiée par la capacité opérationnelle de la banque, tandis que l'absence de ratio P/B dans les données ne permet pas de comparer la valorisation de marché à la valeur comptable — cette donnée n'étant pas fournie pour cette société.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CBIBF a enregistré une progression spectaculaire de +80,36%, passant d'un plus bas de 16 800 FCFA à un plus haut de 34 450 FCFA, pour un cours actuel de 30 300 FCFA, avec une dernière séance en hausse de +0,80%. Ce range de trading de 17 650 FCFA (soit plus du double du point bas) traduit une tendance nettement haussière, portée par l'amélioration des fondamentaux et la forte croissance des dépôts (+37,9% au T1 2026). La moyenne de 26 618 FCFA est inférieure à la médiane de 27 848 FCFA, ce qui indique une légère asymétrie négative — les cours les plus récents ayant tiré la moyenne vers le bas par rapport à la médiane, cohérent avec le skewness de -0,138 qui confirme une distribution quasi-symétrique avec une très légère inclinaison vers les valeurs basses. L'écart-type de 4 694 FCFA (CV = 17,6%) révèle une dispersion modérée du cours autour de sa moyenne, tandis que le kurtosis de -1,084 (platykurtique) signale une distribution aplatie avec un risque de pics extrêmes relativement faible — le cours évolue de manière plus régulière qu'une distribution normale. La volatilité annualisée de 46,0% classe le titre dans la catégorie des valeurs à volatilité élevée (&gt;30%), ce qui est caractéristique des petites et moyennes capitalisations de la BRVM et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(32 548 FCFA) et la MM50 (30 266,8 FCFA) encadrent le cours actuel de 30 300 FCFA, qui se situe juste au-dessus de la MM50 mais en dessous de la MM20. Cette configuration indique que le titre évolue dans une zone de consolidation après sa forte hausse, la MM50 servant de support dynamique tandis que la MM20 fait office de résistance à court terme. La décision technique est à l'**Achat**, la MM50 restant bien orientée à la hausse et le cours évoluant à proximité immédiate de ce support.</w:t>
      </w:r>
    </w:p>
    <w:p>
      <w:pPr>
        <w:spacing w:after="120" w:line="276" w:lineRule="auto"/>
      </w:pPr>
      <w:r>
        <w:t>**Bandes de Bollinger** : Le cours actuel (30 300 FCFA) se situe dans la partie basse de la bande de Bollinger, entre la borne inférieure (29 214,8 FCFA) et la borne supérieure (35 881,2 FCFA), plus proche du support que de la résistance. Cette position suggère que le titre a corrigé depuis ses plus hauts et se rapproche d'une zone de survente relative, la décision étant **Neutre** car le cours n'a pas encore atteint la borne inférieure qui constituerait un signal d'achat plus franc.</w:t>
      </w:r>
    </w:p>
    <w:p>
      <w:pPr>
        <w:spacing w:after="120" w:line="276" w:lineRule="auto"/>
      </w:pPr>
      <w:r>
        <w:t>**MACD** : La valeur du MACD (77,397) est nettement inférieure à son signal (514,742), générant une divergence baissière significative qui traduit un essoufflement du momentum haussier. Cette configuration, bien que le MACD reste en territoire positif, indique que la dynamique de hausse s'affaiblit et que le titre pourrait connaître une consolidation prolongée, justifiant la décision de **Vente** à court terme.</w:t>
      </w:r>
    </w:p>
    <w:p>
      <w:pPr>
        <w:spacing w:after="120" w:line="276" w:lineRule="auto"/>
      </w:pPr>
      <w:r>
        <w:t>**RSI** : À 35,591, le RSI se situe dans la zone neutre basse (30-70), sans atteindre le seuil de survente (30). Cette valeur indique que le titre n'est ni suracheté ni survendu, mais qu'il se rapproche progressivement d'une zone de survente qui pourrait attirer les acheteurs à contre-tendance. La décision est **Neutre**, le RSI n'offrant pas de signal directionnel clair.</w:t>
      </w:r>
    </w:p>
    <w:p>
      <w:pPr>
        <w:spacing w:after="120" w:line="276" w:lineRule="auto"/>
      </w:pPr>
      <w:r>
        <w:t>**Stochastique** : Le %K (28,139) est inférieur au %D (39,394), avec un croisement baissier en zone basse (proche de 20). Cette configuration suggère que le titre pourrait bientôt atteindre une zone de survente, mais le croisement actuel des deux lignes reste baissier à court terme. La décision est **Neutre**, le stochastique n'ayant pas encore généré de signal d'achat par croisement haussier en zone de survente.</w:t>
      </w:r>
    </w:p>
    <w:p>
      <w:pPr>
        <w:spacing w:after="120" w:line="276" w:lineRule="auto"/>
      </w:pPr>
      <w:r>
        <w:t>**Conclusion technique** : Les indicateurs techniques présentent un tableau mitigé — les moyennes mobiles restent haussières (MM50 bien orientée) et le cours évolue près d'un support, mais le MACD génère un signal de vente clair avec une divergence baissière marquée, tandis que le RSI et le stochastique sont neutres sans signal d'achat. Cette divergence entre la tendance de fond (haussière) et le momentum court terme (baissier) suggère une phase de consolidation avant une éventuelle reprise, l'ensemble des indicateurs ne convergeant pas vers un signal unanime.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Coris Bank International a réalisé un Produit Net Bancaire (PNB) de 138,986 milliards FCFA, en croissance de 6,1% sur un an, pour un résultat net de 65,495 milliards FCFA en progression spectaculaire de 36,6% par rapport à 2024 (47,937 milliards FCFA). Cette performance remarquable s'explique par l'amélioration du coût du risque (-59,3% à 16,5 milliards FCFA) après l'assainissement du portefeuille de crédits opéré en 2024, ainsi que par la maîtrise des charges d'exploitation, le coefficient d'exploitation s'établissant à 36,4% — un niveau excellent pour le secteur bancaire (&lt; 50% = banque très efficace). La marge nette de 47,1% et le ROA de 2,18% confirment la rentabilité solide de l'établissement, tandis que le ratio dépôts/crédits (2 015,3 Mds FCFA de dépôts pour 1 327,0 Mds FCFA de créances clientèle) témoigne d'une forte capacité de collecte, bien que la transformation crédit reste prudente avec un taux de couverture des crédits par les dépôts de 66%. Le total actif de 2 997,8 milliards FCFA et les dépôts clientèle de 2 015,3 milliards FCFA (+14,9%) illustrent la solidité du bilan et la confiance des déposants. Les rapports trimestriels les plus récents confirment cette dynamique : au T1 2026 (rapport du 31 mars 2026), le PNB atteint 36,8 milliards FCFA (+28,5%) et le résultat net 21,5 milliards FCFA (+22,2%), avec une croissance spectaculaire des dépôts de +37,9% à 2 365,1 milliards FCFA — on estime dès lors que l'exercice 2026 devrait enregistrer une nouvelle année de forte croissance, avec un résultat net potentiellement supérieur à 80 milliards FCFA si la tendance se maintient. Le rapport annuel 2024 (publié en 2025) avait montré une année difficile avec un résultat net en baisse de -25,4% à 47,9 milliards FCFA, en raison d'une explosion du coût du risque (+72,5%) liée à l'assainissement du portefeuille — le retournement de tendance en 2025 démontre la capacité de la banque à surmonter les cycles de dégradation de la qualité des actifs. Les risques identifiés dans les rapports incluent l'environnement sécuritaire et politique au Burkina Faso, la concentration géographique de l'activité, et la persistance d'incertitudes économiques régionales, mais la notation financière AA/AI avec perspective stable (confirmée par Bloomfield Investment Corporation) atteste de la solidité de l'établissement. En conclusion fondamentale, Coris Bank International présente un profil de qualité : croissance soutenue du PNB, rentabilité élevée (marge nette &gt;47%), efficacité opérationnelle remarquable (coefficient d'exploitation de 36,4%), et bilan solide — la principale réserve concerne la volatilité historique du coût du risque, qui pourrait à nouveau peser sur les résultats en cas de dégradation de la qualité des crédits.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CBIBF (PER de 14,8x, EV/EBITDA de 11,0x) indique une prime de qualité par rapport à la moyenne du marché BRVM, justifiée par la croissance exceptionnelle des bénéfices (+36,6% en 2025) mais offrant peu de marge de sécurité en cas de déception. Le comportement du cours sur 100 jours (+80,36%) révèle une tendance haussière puissante, tempérée par une volatilité élevée (46%) et une distribution platykurtique (kurtosis de -1,084) qui suggère un risque de pics modéré — le skewness quasi-nul (-0,138) indiquant une absence de biais directionnel marqué. Les signaux techniques sont divergents : les moyennes mobiles restent haussières (MM50 à 30 266 FCFA servant de support), mais le MACD génère un signal de vente avec une divergence baissière significative, tandis que le RSI (35,6) et le stochastique (%K=28,1) sont neutres sans signal d'achat — cette configuration plaide pour une consolidation à court terme. Les fondamentaux demeurent solides : PNB de 138,986 Mds FCFA en 2025, résultat net de 65,495 Mds FCFA, coefficient d'exploitation de 36,4%, et les estimations basées sur le T1 2026 (PNB +28,5%, résultat net +22,2%) suggèrent une accélération de la croissance en 2026. Les prédictions IA pour les 10 prochains jours (29 702 FCFA le 5 octobre à 29 090 FCFA le 9 octobre) anticipent une poursuite de la correction baissière à court terme, en ligne avec le signal MACD mais en contradiction avec la tendance de fond haussière. Sur la base de cette synthèse, la recommandation est **CONSERVER** avec un biais haussier à moyen terme : la convergence entre fondamentaux solides, valorisation raisonnable (malgré la prime) et tendance de fond haussière soutient le titre, mais la divergence technique à court terme (MACD baissier, prédictions IA à la baisse) incite à la prudence pour les investisseurs à court terme. Le niveau de confiance est **Moyen** (les signaux contradictoires entre technique et fondamental créent une incertitude), le niveau de risque global est **Élevé** (volatilité de 46%, exposition aux risques pays du Burkina Faso), et l'horizon d'investissement optimal est le **moyen terme (3-12 mois)** pour profiter de la croissance des bénéfices tout en laissant passer la phase de consolidation actuelle.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275.69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3,539 titres</w:t>
            </w:r>
          </w:p>
        </w:tc>
        <w:tc>
          <w:tcPr>
            <w:tcW w:type="dxa" w:w="2268"/>
            <w:shd w:fill="FFF2CC" w:val="clear"/>
          </w:tcPr>
          <w:p>
            <w:r>
              <w:rPr>
                <w:b/>
                <w:color w:val="503200"/>
                <w:sz w:val="16"/>
              </w:rPr>
              <w:t xml:space="preserve">Cours actuel : </w:t>
            </w:r>
            <w:r>
              <w:rPr>
                <w:color w:val="000000"/>
                <w:sz w:val="17"/>
              </w:rPr>
              <w:t>1,520 FCFA</w:t>
            </w:r>
          </w:p>
          <w:p>
            <w:r>
              <w:rPr>
                <w:b/>
                <w:color w:val="503200"/>
                <w:sz w:val="16"/>
              </w:rPr>
              <w:t xml:space="preserve">Var. 100 jours : </w:t>
            </w:r>
            <w:r>
              <w:rPr>
                <w:b/>
                <w:color w:val="007800"/>
                <w:sz w:val="17"/>
              </w:rPr>
              <w:t>+9.75%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1,380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μ=1,633 FCFA, σ=97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β=1.1296 (Neutre (suit le marché)) — Cov=0.000077, Var(idx)=0.000068, ρ=0.318,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1,459</w:t>
            </w:r>
          </w:p>
        </w:tc>
        <w:tc>
          <w:tcPr>
            <w:tcW w:type="dxa" w:w="1440"/>
            <w:shd w:fill="FAFAFA" w:val="clear"/>
          </w:tcPr>
          <w:p>
            <w:r>
              <w:rPr>
                <w:b/>
                <w:sz w:val="17"/>
              </w:rPr>
              <w:t>1,548</w:t>
            </w:r>
          </w:p>
        </w:tc>
        <w:tc>
          <w:tcPr>
            <w:tcW w:type="dxa" w:w="1440"/>
            <w:shd w:fill="FAFAFA" w:val="clear"/>
          </w:tcPr>
          <w:p>
            <w:r>
              <w:rPr>
                <w:sz w:val="17"/>
              </w:rPr>
              <w:t>1,638</w:t>
            </w:r>
          </w:p>
        </w:tc>
        <w:tc>
          <w:tcPr>
            <w:tcW w:type="dxa" w:w="1440"/>
            <w:shd w:fill="FAFAFA" w:val="clear"/>
          </w:tcPr>
          <w:p>
            <w:r>
              <w:rPr>
                <w:b/>
                <w:color w:val="008000"/>
                <w:sz w:val="17"/>
              </w:rPr>
              <w:t>+1.9%</w:t>
            </w:r>
          </w:p>
        </w:tc>
      </w:tr>
      <w:tr>
        <w:tc>
          <w:tcPr>
            <w:tcW w:type="dxa" w:w="1440"/>
            <w:shd w:fill="C6EFCE" w:val="clear"/>
          </w:tcPr>
          <w:p>
            <w:r>
              <w:rPr>
                <w:sz w:val="17"/>
              </w:rPr>
              <w:t>J+2  Moyenne</w:t>
            </w:r>
          </w:p>
        </w:tc>
        <w:tc>
          <w:tcPr>
            <w:tcW w:type="dxa" w:w="1440"/>
            <w:shd w:fill="C6EFCE" w:val="clear"/>
          </w:tcPr>
          <w:p>
            <w:r>
              <w:rPr>
                <w:sz w:val="17"/>
              </w:rPr>
              <w:t>2026-10-06</w:t>
            </w:r>
          </w:p>
        </w:tc>
        <w:tc>
          <w:tcPr>
            <w:tcW w:type="dxa" w:w="1440"/>
            <w:shd w:fill="C6EFCE" w:val="clear"/>
          </w:tcPr>
          <w:p>
            <w:r>
              <w:rPr>
                <w:sz w:val="17"/>
              </w:rPr>
              <w:t>1,443</w:t>
            </w:r>
          </w:p>
        </w:tc>
        <w:tc>
          <w:tcPr>
            <w:tcW w:type="dxa" w:w="1440"/>
            <w:shd w:fill="C6EFCE" w:val="clear"/>
          </w:tcPr>
          <w:p>
            <w:r>
              <w:rPr>
                <w:b/>
                <w:sz w:val="17"/>
              </w:rPr>
              <w:t>1,552</w:t>
            </w:r>
          </w:p>
        </w:tc>
        <w:tc>
          <w:tcPr>
            <w:tcW w:type="dxa" w:w="1440"/>
            <w:shd w:fill="C6EFCE" w:val="clear"/>
          </w:tcPr>
          <w:p>
            <w:r>
              <w:rPr>
                <w:sz w:val="17"/>
              </w:rPr>
              <w:t>1,662</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1,430</w:t>
            </w:r>
          </w:p>
        </w:tc>
        <w:tc>
          <w:tcPr>
            <w:tcW w:type="dxa" w:w="1440"/>
            <w:shd w:fill="C6EFCE" w:val="clear"/>
          </w:tcPr>
          <w:p>
            <w:r>
              <w:rPr>
                <w:b/>
                <w:sz w:val="17"/>
              </w:rPr>
              <w:t>1,557</w:t>
            </w:r>
          </w:p>
        </w:tc>
        <w:tc>
          <w:tcPr>
            <w:tcW w:type="dxa" w:w="1440"/>
            <w:shd w:fill="C6EFCE" w:val="clear"/>
          </w:tcPr>
          <w:p>
            <w:r>
              <w:rPr>
                <w:sz w:val="17"/>
              </w:rPr>
              <w:t>1,683</w:t>
            </w:r>
          </w:p>
        </w:tc>
        <w:tc>
          <w:tcPr>
            <w:tcW w:type="dxa" w:w="1440"/>
            <w:shd w:fill="C6EFCE" w:val="clear"/>
          </w:tcPr>
          <w:p>
            <w:r>
              <w:rPr>
                <w:b/>
                <w:color w:val="008000"/>
                <w:sz w:val="17"/>
              </w:rPr>
              <w:t>+2.4%</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1,419</w:t>
            </w:r>
          </w:p>
        </w:tc>
        <w:tc>
          <w:tcPr>
            <w:tcW w:type="dxa" w:w="1440"/>
            <w:shd w:fill="C6EFCE" w:val="clear"/>
          </w:tcPr>
          <w:p>
            <w:r>
              <w:rPr>
                <w:b/>
                <w:sz w:val="17"/>
              </w:rPr>
              <w:t>1,561</w:t>
            </w:r>
          </w:p>
        </w:tc>
        <w:tc>
          <w:tcPr>
            <w:tcW w:type="dxa" w:w="1440"/>
            <w:shd w:fill="C6EFCE" w:val="clear"/>
          </w:tcPr>
          <w:p>
            <w:r>
              <w:rPr>
                <w:sz w:val="17"/>
              </w:rPr>
              <w:t>1,703</w:t>
            </w:r>
          </w:p>
        </w:tc>
        <w:tc>
          <w:tcPr>
            <w:tcW w:type="dxa" w:w="1440"/>
            <w:shd w:fill="C6EFCE" w:val="clear"/>
          </w:tcPr>
          <w:p>
            <w:r>
              <w:rPr>
                <w:b/>
                <w:color w:val="008000"/>
                <w:sz w:val="17"/>
              </w:rPr>
              <w:t>+2.7%</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1,409</w:t>
            </w:r>
          </w:p>
        </w:tc>
        <w:tc>
          <w:tcPr>
            <w:tcW w:type="dxa" w:w="1440"/>
            <w:shd w:fill="C6EFCE" w:val="clear"/>
          </w:tcPr>
          <w:p>
            <w:r>
              <w:rPr>
                <w:b/>
                <w:sz w:val="17"/>
              </w:rPr>
              <w:t>1,565</w:t>
            </w:r>
          </w:p>
        </w:tc>
        <w:tc>
          <w:tcPr>
            <w:tcW w:type="dxa" w:w="1440"/>
            <w:shd w:fill="C6EFCE" w:val="clear"/>
          </w:tcPr>
          <w:p>
            <w:r>
              <w:rPr>
                <w:sz w:val="17"/>
              </w:rPr>
              <w:t>1,721</w:t>
            </w:r>
          </w:p>
        </w:tc>
        <w:tc>
          <w:tcPr>
            <w:tcW w:type="dxa" w:w="1440"/>
            <w:shd w:fill="C6EFCE" w:val="clear"/>
          </w:tcPr>
          <w:p>
            <w:r>
              <w:rPr>
                <w:b/>
                <w:color w:val="008000"/>
                <w:sz w:val="17"/>
              </w:rPr>
              <w:t>+3.0%</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1,400</w:t>
            </w:r>
          </w:p>
        </w:tc>
        <w:tc>
          <w:tcPr>
            <w:tcW w:type="dxa" w:w="1440"/>
            <w:shd w:fill="C6EFCE" w:val="clear"/>
          </w:tcPr>
          <w:p>
            <w:r>
              <w:rPr>
                <w:b/>
                <w:sz w:val="17"/>
              </w:rPr>
              <w:t>1,569</w:t>
            </w:r>
          </w:p>
        </w:tc>
        <w:tc>
          <w:tcPr>
            <w:tcW w:type="dxa" w:w="1440"/>
            <w:shd w:fill="C6EFCE" w:val="clear"/>
          </w:tcPr>
          <w:p>
            <w:r>
              <w:rPr>
                <w:sz w:val="17"/>
              </w:rPr>
              <w:t>1,738</w:t>
            </w:r>
          </w:p>
        </w:tc>
        <w:tc>
          <w:tcPr>
            <w:tcW w:type="dxa" w:w="1440"/>
            <w:shd w:fill="C6EFCE" w:val="clear"/>
          </w:tcPr>
          <w:p>
            <w:r>
              <w:rPr>
                <w:b/>
                <w:color w:val="008000"/>
                <w:sz w:val="17"/>
              </w:rPr>
              <w:t>+3.2%</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1,392</w:t>
            </w:r>
          </w:p>
        </w:tc>
        <w:tc>
          <w:tcPr>
            <w:tcW w:type="dxa" w:w="1440"/>
            <w:shd w:fill="C6EFCE" w:val="clear"/>
          </w:tcPr>
          <w:p>
            <w:r>
              <w:rPr>
                <w:b/>
                <w:sz w:val="17"/>
              </w:rPr>
              <w:t>1,573</w:t>
            </w:r>
          </w:p>
        </w:tc>
        <w:tc>
          <w:tcPr>
            <w:tcW w:type="dxa" w:w="1440"/>
            <w:shd w:fill="C6EFCE" w:val="clear"/>
          </w:tcPr>
          <w:p>
            <w:r>
              <w:rPr>
                <w:sz w:val="17"/>
              </w:rPr>
              <w:t>1,754</w:t>
            </w:r>
          </w:p>
        </w:tc>
        <w:tc>
          <w:tcPr>
            <w:tcW w:type="dxa" w:w="1440"/>
            <w:shd w:fill="C6EFCE" w:val="clear"/>
          </w:tcPr>
          <w:p>
            <w:r>
              <w:rPr>
                <w:b/>
                <w:color w:val="008000"/>
                <w:sz w:val="17"/>
              </w:rPr>
              <w:t>+3.5%</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1,384</w:t>
            </w:r>
          </w:p>
        </w:tc>
        <w:tc>
          <w:tcPr>
            <w:tcW w:type="dxa" w:w="1440"/>
            <w:shd w:fill="C6EFCE" w:val="clear"/>
          </w:tcPr>
          <w:p>
            <w:r>
              <w:rPr>
                <w:b/>
                <w:sz w:val="17"/>
              </w:rPr>
              <w:t>1,577</w:t>
            </w:r>
          </w:p>
        </w:tc>
        <w:tc>
          <w:tcPr>
            <w:tcW w:type="dxa" w:w="1440"/>
            <w:shd w:fill="C6EFCE" w:val="clear"/>
          </w:tcPr>
          <w:p>
            <w:r>
              <w:rPr>
                <w:sz w:val="17"/>
              </w:rPr>
              <w:t>1,770</w:t>
            </w:r>
          </w:p>
        </w:tc>
        <w:tc>
          <w:tcPr>
            <w:tcW w:type="dxa" w:w="1440"/>
            <w:shd w:fill="C6EFCE" w:val="clear"/>
          </w:tcPr>
          <w:p>
            <w:r>
              <w:rPr>
                <w:b/>
                <w:color w:val="008000"/>
                <w:sz w:val="17"/>
              </w:rPr>
              <w:t>+3.7%</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1,377</w:t>
            </w:r>
          </w:p>
        </w:tc>
        <w:tc>
          <w:tcPr>
            <w:tcW w:type="dxa" w:w="1440"/>
            <w:shd w:fill="C6EFCE" w:val="clear"/>
          </w:tcPr>
          <w:p>
            <w:r>
              <w:rPr>
                <w:b/>
                <w:sz w:val="17"/>
              </w:rPr>
              <w:t>1,581</w:t>
            </w:r>
          </w:p>
        </w:tc>
        <w:tc>
          <w:tcPr>
            <w:tcW w:type="dxa" w:w="1440"/>
            <w:shd w:fill="C6EFCE" w:val="clear"/>
          </w:tcPr>
          <w:p>
            <w:r>
              <w:rPr>
                <w:sz w:val="17"/>
              </w:rPr>
              <w:t>1,784</w:t>
            </w:r>
          </w:p>
        </w:tc>
        <w:tc>
          <w:tcPr>
            <w:tcW w:type="dxa" w:w="1440"/>
            <w:shd w:fill="C6EFCE" w:val="clear"/>
          </w:tcPr>
          <w:p>
            <w:r>
              <w:rPr>
                <w:b/>
                <w:color w:val="008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Automobile &amp; Distribution*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275,69 milliards FCFA, CFAC figure parmi les valeurs les plus importantes de la cote BRVM, ce qui traduit une forte visibilité et une liquidité relative sur le marché régional. Le BPA s'établit à 26 FCFA par action, un niveau modeste qui, rapporté au cours actuel de 1 520 FCFA, génère un PER de 58,7x — très largement supérieur à la moyenne du marché BRVM (8-12x), signalant que les investisseurs paient une prime spéculative considérable pour chaque franc de bénéfice. Le ratio P/B de 14,17x confirme cette exubérance : le marché valorise l'entreprise à plus de 14 fois sa valeur comptable, une prime exigeante qui n'est justifiable que par des perspectives de croissance exceptionnelles. Enfin, l'EV/EBITDA de 30,0x (bien au-delà du seuil de 15x) indique que la valeur d'entreprise intègre une anticipation de rentabilité opérationnelle très optimiste, exposant le titre à un risque de correction si les résultats ne suivent pas.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+9,75%, malgré un repli de -1,62% lors de la dernière séance, portant le cours à 1 520 FCFA. Le range de trading est particulièrement large, avec un plus haut à 1 825 FCFA et un plus bas à 1 380 FCFA, soit une amplitude de 445 FCFA (32%) qui témoigne d'une forte nervosité du marché. La tendance générale reste haussière sur la période, mais le repli récent sous les moyennes mobiles suggère un essoufflement du momentum. Les statistiques descriptives révèlent une moyenne de 1 633 FCFA légèrement supérieure à la médiane de 1 642 FCFA, avec un mode à 1 600 FCFA — l'écart faible entre ces mesures indique une distribution quasi-symétrique, confirmée par un skewness de -0,435 (léger biais négatif). L'écart-type de 98 FCFA (CV=6,0%) traduit une dispersion modérée du cours autour de sa moyenne, tandis que le kurtosis de -0,368 (mésokurtique) suggère une distribution proche de la normale, sans risque extrême de pics. La volatilité annualisée de 46,4% classe ce titre dans la catégorie des valeurs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(1 639 FCFA) et la MM50 (1 668,6 FCFA) se situent toutes deux au-dessus du cours actuel (1 520 FCFA), avec la MM20 sous la MM50 — configuration baissière classique. Le cours évoluant sous ses deux moyennes, la décision technique est logiquement **Vente**, confirmant la perte de dynamisme haussier.</w:t>
      </w:r>
    </w:p>
    <w:p>
      <w:pPr>
        <w:spacing w:after="120" w:line="276" w:lineRule="auto"/>
      </w:pPr>
      <w:r>
        <w:t>**Bandes de Bollinger** : Le cours (1 520 FCFA) se situe dans la partie basse du canal, entre la borne inférieure (1 475,05 FCFA) et la borne supérieure (1 802,95 FCFA). La largeur du canal reflète une volatilité élevée, et la position du cours près de la borne basse sans la franchir justifie une décision **Neutre**, en attendant un signal de rebond ou de cassure.</w:t>
      </w:r>
    </w:p>
    <w:p>
      <w:pPr>
        <w:spacing w:after="120" w:line="276" w:lineRule="auto"/>
      </w:pPr>
      <w:r>
        <w:t>**MACD** : La valeur du MACD (-40,937) est inférieure à son signal (-29,903), avec un histogramme négatif — configuration baissière. Le momentum est clairement négatif, ce qui justifie la décision **Vente** et suggère que la pression vendeuse pourrait persister à court terme.</w:t>
      </w:r>
    </w:p>
    <w:p>
      <w:pPr>
        <w:spacing w:after="120" w:line="276" w:lineRule="auto"/>
      </w:pPr>
      <w:r>
        <w:t>**RSI** : À 31,683, le RSI se situe juste au-dessus du seuil de survente (30), ce qui indique une faiblesse relative mais sans excès. La décision est **Neutre** : le titre n'est ni survendu ni suracheté, laissant place à une possible stabilisation ou rebond technique.</w:t>
      </w:r>
    </w:p>
    <w:p>
      <w:pPr>
        <w:spacing w:after="120" w:line="276" w:lineRule="auto"/>
      </w:pPr>
      <w:r>
        <w:t>**Stochastique** : Le %K (16,0) est nettement inférieur au %D (30,0), avec un croisement en zone de survente — signal haussier potentiel. La décision **Achat** contraste avec les autres indicateurs, suggérant qu'un rebond technique à court terme est possible depuis les niveaux actuels.</w:t>
      </w:r>
    </w:p>
    <w:p>
      <w:pPr>
        <w:spacing w:after="120" w:line="276" w:lineRule="auto"/>
      </w:pPr>
      <w:r>
        <w:t>**Conclusion technique** : Les indicateurs sont majoritairement baissiers (MM, MACD), avec un RSI neutre et un stochastique en zone de survente. Cette divergence entre momentum négatif et signal d'achat stochastique suggère une phase de consolidation, voire un rebond technique imminent, mais la tendance de fond reste fragile tant que le cours évolue sous ses moyennes mobiles.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2024 (exercice clos le 31/12/2024) révèlent un chiffre d'affaires de 158,313 milliards FCFA, en baisse de -12,1% par rapport à 2023 (180,162 Mds FCFA), conséquence d'un recul des ventes de véhicules (-5,5% en volume) et d'un environnement réglementaire plus strict. Le résultat net s'établit à 4,693 milliards FCFA, en repli de -26,7%, avec une marge nette de 2,96% et une marge opérationnelle de 4,96%. Le ROE reste néanmoins élevé à 24,13% (excellent, &gt;15%), tandis que le ROA de 5,52% traduit une rotation d'actifs soutenue (186,2%). La structure financière montre une autonomie financière de 22,88% (inférieure au seuil sain de 30%), un ratio d'endettement de 23,07% et une liquidité générale de 93,63% (légèrement sous 1). Le BFR est négatif (-3,482 Mds FCFA), ce qui est favorable, mais la trésorerie nette est négative (-624,20 M FCFA) et le Free Cash Flow s'établit à -1,650 Mds FCFA, reflétant des investissements lourds (-8,741 Mds FCFA). Les délais clients (36,64 jours) et fournisseurs (81,75 jours) sont maîtrisés, mais la durée de stockage élevée (88,35 jours) immobilise du capital. Les rapports trimestriels 2025 (T1, S1, T3) — bien qu'antérieurs à la date d'analyse — montrent un net redressement : au T3 2025 (rapport du 30/09/2025), le CA progresse de +18,3% à 43,58 Mds FCFA et le résultat net bondit de +38,1% à 1,489 Md FCFA, avec une marge nette de 3,42%. Au S1 2025 (rapport du 30/06/2025), le résultat net avait déjà explosé de +152,7% à 5,420 Mds FCFA, avec une marge nette de 5,9%. **On estime donc que l'exercice 2025 devrait afficher une reprise robuste**, avec un CA annualisé proche de 180 Mds FCFA et un résultat net potentiellement supérieur à 6 Mds FCFA, confirmant le redressement après l'exercice 2024 difficile. La recommandation fondamentale est **CONSERVER avec biais positif** : la solidité du ROE, le leadership maintenu (41,7% de part de marché) et l'amélioration des marges compensent les risques liés à la trésorerie tendue et à la dépendance au cycle automobile.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 PER de 58,7x, P/B de 14,17x et EV/EBITDA de 30,0x traduisent une surévaluation manifeste par rapport aux bénéfices et à la valeur comptable, exposant le titre à un risque de correction. Le comportement du cours (Partie 1) montre une tendance haussière sur 100 jours (+9,75%) mais un repli récent (-1,62%), avec une volatilité élevée (46,4%) et une distribution quasi-normale (kurtosis -0,368, skewness -0,435) — des statistiques neutres qui n'indiquent ni risque extrême ni biais directionnel fort. Les signaux techniques (Partie 2) sont divergents : baissiers pour les MM et le MACD, neutres pour le RSI et les Bollinger, haussiers pour le stochastique — une configuration qui plaide pour une consolidation, voire un rebond technique de court terme. Les fondamentaux (Partie 3) sont contrastés : l'exercice 2024 a été difficile (CA -12,1%, RN -26,7%), mais les rapports trimestriels 2025 (T1, S1, T3) montrent un redressement spectaculaire (+18,3% de CA et +38,1% de RN au T3 2025), ce qui pourrait justifier une révision à la hausse des bénéfices 2025 et, partant, une compression du PER. Les prédictions IA (J+1 à J+10) anticipent une trajectoire haussière modérée (1 548 → 1 565 FCFA, soit +3,0% sur 10 jours), ce qui contredit le momentum baissier actuel mais s'aligne sur le signal d'achat stochastique et sur l'amélioration fondamentale. **Recommandation finale : CONSERVER**, avec un biais positif pour les investisseurs déjà positionnés. La convergence entre le redressement fondamental (rapports 2025), le signal d'achat stochastique et les prédictions IA haussières est atténuée par la valorisation exigeante et le momentum technique négatif. Le niveau de confiance est **Moyen** (données 2024 réelles vs estimations 2025), et le risque global est **Élevé** (volatilité 46,4%, PER 58,7x, trésorerie nette négative). L'horizon d'investissement optimal est **moyen terme (3-12 mois)**, le temps que les résultats 2025 se matérialisent et que la valorisation se normalise.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6,863 titres</w:t>
            </w:r>
          </w:p>
        </w:tc>
        <w:tc>
          <w:tcPr>
            <w:tcW w:type="dxa" w:w="2268"/>
            <w:shd w:fill="FFF2CC" w:val="clear"/>
          </w:tcPr>
          <w:p>
            <w:r>
              <w:rPr>
                <w:b/>
                <w:color w:val="503200"/>
                <w:sz w:val="16"/>
              </w:rPr>
              <w:t xml:space="preserve">Cours actuel : </w:t>
            </w:r>
            <w:r>
              <w:rPr>
                <w:color w:val="000000"/>
                <w:sz w:val="17"/>
              </w:rPr>
              <w:t>6,500 FCFA</w:t>
            </w:r>
          </w:p>
          <w:p>
            <w:r>
              <w:rPr>
                <w:b/>
                <w:color w:val="503200"/>
                <w:sz w:val="16"/>
              </w:rPr>
              <w:t xml:space="preserve">Var. 100 jours : </w:t>
            </w:r>
            <w:r>
              <w:rPr>
                <w:b/>
                <w:color w:val="007800"/>
                <w:sz w:val="17"/>
              </w:rPr>
              <w:t>+95.20%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19.23% (Élevée) — μ=5,444 FCFA, σ=1,047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β=0.6798 (Défensif) — Cov=0.000046, Var(idx)=0.000068, ρ=0.178,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5,884</w:t>
            </w:r>
          </w:p>
        </w:tc>
        <w:tc>
          <w:tcPr>
            <w:tcW w:type="dxa" w:w="1440"/>
            <w:shd w:fill="FFDCE0" w:val="clear"/>
          </w:tcPr>
          <w:p>
            <w:r>
              <w:rPr>
                <w:b/>
                <w:sz w:val="17"/>
              </w:rPr>
              <w:t>6,297</w:t>
            </w:r>
          </w:p>
        </w:tc>
        <w:tc>
          <w:tcPr>
            <w:tcW w:type="dxa" w:w="1440"/>
            <w:shd w:fill="FFDCE0" w:val="clear"/>
          </w:tcPr>
          <w:p>
            <w:r>
              <w:rPr>
                <w:sz w:val="17"/>
              </w:rPr>
              <w:t>6,710</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5,738</w:t>
            </w:r>
          </w:p>
        </w:tc>
        <w:tc>
          <w:tcPr>
            <w:tcW w:type="dxa" w:w="1440"/>
            <w:shd w:fill="FFDCE0" w:val="clear"/>
          </w:tcPr>
          <w:p>
            <w:r>
              <w:rPr>
                <w:b/>
                <w:sz w:val="17"/>
              </w:rPr>
              <w:t>6,240</w:t>
            </w:r>
          </w:p>
        </w:tc>
        <w:tc>
          <w:tcPr>
            <w:tcW w:type="dxa" w:w="1440"/>
            <w:shd w:fill="FFDCE0" w:val="clear"/>
          </w:tcPr>
          <w:p>
            <w:r>
              <w:rPr>
                <w:sz w:val="17"/>
              </w:rPr>
              <w:t>6,741</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5,633</w:t>
            </w:r>
          </w:p>
        </w:tc>
        <w:tc>
          <w:tcPr>
            <w:tcW w:type="dxa" w:w="1440"/>
            <w:shd w:fill="FFDCE0" w:val="clear"/>
          </w:tcPr>
          <w:p>
            <w:r>
              <w:rPr>
                <w:b/>
                <w:sz w:val="17"/>
              </w:rPr>
              <w:t>6,209</w:t>
            </w:r>
          </w:p>
        </w:tc>
        <w:tc>
          <w:tcPr>
            <w:tcW w:type="dxa" w:w="1440"/>
            <w:shd w:fill="FFDCE0" w:val="clear"/>
          </w:tcPr>
          <w:p>
            <w:r>
              <w:rPr>
                <w:sz w:val="17"/>
              </w:rPr>
              <w:t>6,786</w:t>
            </w:r>
          </w:p>
        </w:tc>
        <w:tc>
          <w:tcPr>
            <w:tcW w:type="dxa" w:w="1440"/>
            <w:shd w:fill="FFDCE0" w:val="clear"/>
          </w:tcPr>
          <w:p>
            <w:r>
              <w:rPr>
                <w:b/>
                <w:color w:val="C00000"/>
                <w:sz w:val="17"/>
              </w:rPr>
              <w:t>-4.5%</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5,548</w:t>
            </w:r>
          </w:p>
        </w:tc>
        <w:tc>
          <w:tcPr>
            <w:tcW w:type="dxa" w:w="1440"/>
            <w:shd w:fill="FFDCE0" w:val="clear"/>
          </w:tcPr>
          <w:p>
            <w:r>
              <w:rPr>
                <w:b/>
                <w:sz w:val="17"/>
              </w:rPr>
              <w:t>6,190</w:t>
            </w:r>
          </w:p>
        </w:tc>
        <w:tc>
          <w:tcPr>
            <w:tcW w:type="dxa" w:w="1440"/>
            <w:shd w:fill="FFDCE0" w:val="clear"/>
          </w:tcPr>
          <w:p>
            <w:r>
              <w:rPr>
                <w:sz w:val="17"/>
              </w:rPr>
              <w:t>6,832</w:t>
            </w:r>
          </w:p>
        </w:tc>
        <w:tc>
          <w:tcPr>
            <w:tcW w:type="dxa" w:w="1440"/>
            <w:shd w:fill="FFDCE0" w:val="clear"/>
          </w:tcPr>
          <w:p>
            <w:r>
              <w:rPr>
                <w:b/>
                <w:color w:val="C00000"/>
                <w:sz w:val="17"/>
              </w:rPr>
              <w:t>-4.8%</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5,473</w:t>
            </w:r>
          </w:p>
        </w:tc>
        <w:tc>
          <w:tcPr>
            <w:tcW w:type="dxa" w:w="1440"/>
            <w:shd w:fill="FFDCE0" w:val="clear"/>
          </w:tcPr>
          <w:p>
            <w:r>
              <w:rPr>
                <w:b/>
                <w:sz w:val="17"/>
              </w:rPr>
              <w:t>6,174</w:t>
            </w:r>
          </w:p>
        </w:tc>
        <w:tc>
          <w:tcPr>
            <w:tcW w:type="dxa" w:w="1440"/>
            <w:shd w:fill="FFDCE0" w:val="clear"/>
          </w:tcPr>
          <w:p>
            <w:r>
              <w:rPr>
                <w:sz w:val="17"/>
              </w:rPr>
              <w:t>6,876</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5,406</w:t>
            </w:r>
          </w:p>
        </w:tc>
        <w:tc>
          <w:tcPr>
            <w:tcW w:type="dxa" w:w="1440"/>
            <w:shd w:fill="FFDCE0" w:val="clear"/>
          </w:tcPr>
          <w:p>
            <w:r>
              <w:rPr>
                <w:b/>
                <w:sz w:val="17"/>
              </w:rPr>
              <w:t>6,162</w:t>
            </w:r>
          </w:p>
        </w:tc>
        <w:tc>
          <w:tcPr>
            <w:tcW w:type="dxa" w:w="1440"/>
            <w:shd w:fill="FFDCE0" w:val="clear"/>
          </w:tcPr>
          <w:p>
            <w:r>
              <w:rPr>
                <w:sz w:val="17"/>
              </w:rPr>
              <w:t>6,919</w:t>
            </w:r>
          </w:p>
        </w:tc>
        <w:tc>
          <w:tcPr>
            <w:tcW w:type="dxa" w:w="1440"/>
            <w:shd w:fill="FFDCE0" w:val="clear"/>
          </w:tcPr>
          <w:p>
            <w:r>
              <w:rPr>
                <w:b/>
                <w:color w:val="C00000"/>
                <w:sz w:val="17"/>
              </w:rPr>
              <w:t>-5.2%</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5,345</w:t>
            </w:r>
          </w:p>
        </w:tc>
        <w:tc>
          <w:tcPr>
            <w:tcW w:type="dxa" w:w="1440"/>
            <w:shd w:fill="FFDCE0" w:val="clear"/>
          </w:tcPr>
          <w:p>
            <w:r>
              <w:rPr>
                <w:b/>
                <w:sz w:val="17"/>
              </w:rPr>
              <w:t>6,153</w:t>
            </w:r>
          </w:p>
        </w:tc>
        <w:tc>
          <w:tcPr>
            <w:tcW w:type="dxa" w:w="1440"/>
            <w:shd w:fill="FFDCE0" w:val="clear"/>
          </w:tcPr>
          <w:p>
            <w:r>
              <w:rPr>
                <w:sz w:val="17"/>
              </w:rPr>
              <w:t>6,960</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5,289</w:t>
            </w:r>
          </w:p>
        </w:tc>
        <w:tc>
          <w:tcPr>
            <w:tcW w:type="dxa" w:w="1440"/>
            <w:shd w:fill="FFDCE0" w:val="clear"/>
          </w:tcPr>
          <w:p>
            <w:r>
              <w:rPr>
                <w:b/>
                <w:sz w:val="17"/>
              </w:rPr>
              <w:t>6,145</w:t>
            </w:r>
          </w:p>
        </w:tc>
        <w:tc>
          <w:tcPr>
            <w:tcW w:type="dxa" w:w="1440"/>
            <w:shd w:fill="FFDCE0" w:val="clear"/>
          </w:tcPr>
          <w:p>
            <w:r>
              <w:rPr>
                <w:sz w:val="17"/>
              </w:rPr>
              <w:t>7,000</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5,237</w:t>
            </w:r>
          </w:p>
        </w:tc>
        <w:tc>
          <w:tcPr>
            <w:tcW w:type="dxa" w:w="1440"/>
            <w:shd w:fill="FFDCE0" w:val="clear"/>
          </w:tcPr>
          <w:p>
            <w:r>
              <w:rPr>
                <w:b/>
                <w:sz w:val="17"/>
              </w:rPr>
              <w:t>6,138</w:t>
            </w:r>
          </w:p>
        </w:tc>
        <w:tc>
          <w:tcPr>
            <w:tcW w:type="dxa" w:w="1440"/>
            <w:shd w:fill="FFDCE0" w:val="clear"/>
          </w:tcPr>
          <w:p>
            <w:r>
              <w:rPr>
                <w:sz w:val="17"/>
              </w:rPr>
              <w:t>7,038</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(BRVM)**</w:t>
        <w:br/>
        <w:t>*Date d'analyse : octobre 2026 | Analyste : Desk Actions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364,00 Mds FCFA, la CIEC s'impose comme l'une des plus importantes capitalisations du compartiment industriel/services publics de la BRVM, ce qui lui confère une liquidité relative et une visibilité institutionnelle. Le BPA de 234 FCFA/action signifie que chaque titre génère 234 FCFA de bénéfice net, ce qui, rapporté au cours actuel de 6 500 FCFA, aboutit à un PER de 27,7x — très nettement supérieur à la moyenne du marché BRVM (8-12x), signalant que les investisseurs paient une prime spéculative forte, soit pour la croissance attendue, soit par effet de rareté. Le P/B de 10,12x, bien au-delà du seuil de 4x, traduit une valorisation très exigeante par rapport à la valeur comptable (capitaux propres de 35,96 Mds FCFA seulement), ce qui est caractéristique d'un modèle de concession à faible intensité capitalistique post-2021. Enfin, l'EV/EBITDA de 14,9x, dans le haut de la fourchette 10-15x, confirme que la valeur d'entreprise intègre une prime de qualité et de croissance que les flux opérationnels actuels ne justifient que partiellement — l'ensemble de ces ratios plaide donc pour une action chèrement valorisée, où le rendement futur dépendra étroitement de la poursuite de la croissance bénéficiaire.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CIEC a enregistré une variation spectaculaire de +95,20%, avec une dernière séance en légère hausse de +0,78%, portant le cours à 6 500 FCFA. Le range de trading est particulièrement large, entre un plus bas de 3 200 FCFA et un plus haut de 7 400 FCFA, soit un écart de plus de 130% qui témoigne d'un mouvement haussier puissant mais aussi d'une forte amplitude de correction depuis le sommet. La tendance générale est donc nettement haussière sur la période, mais le cours actuel (6 500 FCFA) se situe à environ 12% sous son plus haut, suggérant une phase de consolidation après le rallye. Les statistiques descriptives révèlent une moyenne de 5 444 FCFA légèrement supérieure à la médiane de 5 300 FCFA, avec un mode à 4 995 FCFA : l'écart faible entre moyenne et médiane, combiné à un skewness de -0,171 (distribution symétrique), indique une répartition équilibrée des cours sans biais marqué vers les extrêmes. L'écart-type de 1 052 FCFA et le coefficient de variation de 19,3% traduisent une dispersion modérée relative au niveau de prix, tandis que le kurtosis de -0,460 (mésokurtique) suggère une distribution proche de la normale, donc un risque de pics extrêmes limité. La volatilité annualisée de 49,8% classe toutefois le titre dans la catégorie des valeurs à volatilité élevée (&gt;30%), ce qui est cohérent avec un marché frontière peu liquide (volume moyen de 6 863 titres/jour) et un rallye de +95% en 100 jours.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6 686,0 FCFA et la MM50 à 6 181,7 FCFA, toutes deux supérieures au cours actuel de 6 500 FCFA pour la MM20 mais inférieures pour la MM50 — configuration qui traduit un essoufflement court terme (le cours est passé sous sa MM20) tout en conservant une structure haussière de fond (cours &gt; MM50). La décision affichée est "Achat", portée par la pente positive des moyennes et le croisement haussier MM20 &gt; MM50, mais la position du cours sous la MM20 invite à la prudence sur le timing d'entrée.</w:t>
      </w:r>
    </w:p>
    <w:p>
      <w:pPr>
        <w:spacing w:after="120" w:line="276" w:lineRule="auto"/>
      </w:pPr>
      <w:r>
        <w:t>**Bandes de Bollinger** : Les bornes supérieure et inférieure se situent à 7 411,6 FCFA et 5 960,4 FCFA, encadrant un cours actuel de 6 500 FCFA positionné dans la moitié basse du canal (environ 36% de la largeur depuis la borne basse). Cette position médiane-basse, combinée à une décision "Neutre", indique l'absence de signal directionnel fort : le titre n'est ni en surchauffe (pas de test de la borne haute) ni en survente (pas de cassure de la borne basse), et la largeur des bandes confirme la volatilité élevée déjà relevée.</w:t>
      </w:r>
    </w:p>
    <w:p>
      <w:pPr>
        <w:spacing w:after="120" w:line="276" w:lineRule="auto"/>
      </w:pPr>
      <w:r>
        <w:t>**MACD** : La valeur du MACD (8,379) est très inférieure à son signal (68,467), configuration baissière classique qui traduit un net ralentissement du momentum haussier — la décision "Vente" reflète cette divergence négative où la ligne MACD décroche sous sa moyenne mobile. Ce signal suggère que la dynamique haussière des 100 derniers jours s'essouffle et qu'une correction ou consolidation est en cours, ce qui est cohérent avec le repli depuis le plus haut de 7 400 FCFA.</w:t>
      </w:r>
    </w:p>
    <w:p>
      <w:pPr>
        <w:spacing w:after="120" w:line="276" w:lineRule="auto"/>
      </w:pPr>
      <w:r>
        <w:t>**RSI** : À 33,696, le RSI se situe dans la zone neutre basse (30-70), proche du seuil de survente sans l'atteindre, avec une décision "Neutre". Cette valeur indique que la pression vendeuse récente a ramené le titre vers des niveaux où un rebond technique devient possible, mais sans signal d'achat franc tant que le seuil de 30 n'est pas testé ou qu'une divergence haussière ne se forme pas.</w:t>
      </w:r>
    </w:p>
    <w:p>
      <w:pPr>
        <w:spacing w:after="120" w:line="276" w:lineRule="auto"/>
      </w:pPr>
      <w:r>
        <w:t>**Stochastique** : Le %K (42,169) est supérieur au %D (35,109), configuration légèrement haussière qui suggère un début de croisement positif, mais les deux lignes restent dans la zone médiane-basse, loin des extrêmes. La décision "Neutre" confirme l'absence de signal fort : le momentum stochastique est en timide redressement mais ne valide pas encore un retournement durable.</w:t>
      </w:r>
    </w:p>
    <w:p>
      <w:pPr>
        <w:spacing w:after="120" w:line="276" w:lineRule="auto"/>
      </w:pPr>
      <w:r>
        <w:t>**Conclusion technique** : Les indicateurs sont majoritairement neutres (Bollinger, RSI, Stochastique) avec un signal baissier marqué du MACD et un signal haussier des moyennes mobiles — cette divergence traduit une phase de transition entre fin de rallye et consolidation. Le titre se trouve dans une zone charnière : la tenue de la MM50 (6 181 FCFA) comme support serait essentielle pour préserver la structure haussière, tandis qu'une cassure sous ce niveau validerait le scénario correctif suggéré par le MACD. En l'état, la prudence domine à court terme malgré la tendance de fond encore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(comptes SYSCOHADA) révèlent une entreprise en forte croissance : le chiffre d'affaires s'établit à 302,320 Mds FCFA, en progression de +14,82% sur un an, porté par la hausse des ventes d'énergie (+8,3% en volume, +21,7% à l'export) et l'expansion de la base clientèle à 5 282 283 clients. Le résultat net atteint 13,127 Mds FCFA, soit une marge nette de 4,34%, tandis que le ROE ressort à un niveau exceptionnel de 36,50% — bien au-dessus du seuil de 15% considéré comme excellent — et le ROA à 0,65%, reflet d'un modèle de concession à faible intensité capitalistique depuis la nouvelle convention de 2021. En tant qu'entreprise non bancaire, l'analyse des délais d'exploitation est cruciale : le délai client de 164 jours constitue un risque de trésorerie significatif (créances clients de 137,728 Mds FCFA), compensé toutefois par un délai fournisseurs très élevé de 970 jours et un BFR négatif de -90,244 Mds FCFA, structure favorable qui signifie que l'entreprise finance son cycle d'exploitation par ses fournisseurs. La structure financière reste préoccupante avec une autonomie financière de seulement 1,78% (capitaux propres de 35,962 Mds FCFA pour un total bilan de 2 018,446 Mds FCFA) et un ratio d'endettement de 612,94%, mais la capacité de remboursement de 7,64 années et la couverture des intérêts de 617,75% tempèrent ce risque. Les rapports narratifs confirment cette dynamique : le rapport du 31/12/2026 (analysé par DeepSeek le 21/05/2026) souligne une progression du résultat net de +24,4% à 13 100 Mds FCFA (consolidé IFRS) et un dividende proposé de 234 FCFA/action, soit un taux de distribution de 99,8% — quasi-totalité du bénéfice reversée, ce qui limite l'autofinancement des investissements futurs. Le rapport semestriel 2025 (30/06/2025) fait état d'un CA de 134,923 Mds FCFA (+18,85%) et d'un résultat net de 5,096 Mds FCFA (+13,37%), avec une marge nette stable à 3,8% ; sur cette base, on peut estimer que l'exercice 2026 devrait poursuivre sa croissance à deux chiffres, soutenu par le Programme Électricité Pour Tous (PEPT) et la demande régionale. La recommandation fondamentale est donc "CONSERVER" : solidité opérationnelle et rendement attractif, mais valorisation exigeante, risque de crédit client élevé (164 jours de délai) et dépendance au cadre réglementaire de la concession.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divergence notable entre la qualité fondamentale de l'entreprise et le niveau de valorisation atteint. La valorisation (Partie 0) est clairement exigeante avec un PER de 27,7x (vs 8-12x pour le marché), un P/B de 10,12x et un EV/EBITDA de 14,9x — le marché intègre déjà une grande partie de la croissance future, ce qui limite le potentiel d'appréciation à court terme. Le comportement du cours (Partie 1) montre un rallye exceptionnel de +95,20% sur 100 jours, avec une volatilité élevée de 49,8% et une distribution symétrique (skewness -0,171, kurtosis -0,460) qui n'annonce pas de risque extrême mais une dispersion importante — le titre se situe 12% sous son plus haut, en phase de consolidation. Les signaux techniques (Partie 2) sont mitigés : les moyennes mobiles restent haussières (MM20 &gt; MM50) mais le MACD est baissier (8,379 vs signal 68,467), tandis que RSI (33,7), Bollinger et Stochastique sont neutres — cette divergence plaide pour une pause ou une correction avant une reprise éventuelle. Les fondamentaux (Partie 3) demeurent solides avec un CA de 302,3 Mds FCFA (+14,8%), un résultat net de 13,1 Mds FCFA et un ROE de 36,5%, mais les risques de crédit client (164 jours) et de dépendance réglementaire persistent. Les prédictions IA (J+1 à J+10) anticipent une trajectoire baissière modérée de 6 297 FCFA à 6 174 FCFA, soit une baisse d'environ 5% sur 10 jours, ce qui confirme le scénario correctif suggéré par le MACD et la position du cours sous la MM20. **Recommandation finale : CONSERVER** — la convergence entre valorisation tendue, signaux techniques mitigés et prédictions baissières à court terme ne justifie pas un achat agressif, mais la solidité fondamentale et le rendement du dividende (234 FCFA/action, soit un rendement de 3,6% au cours actuel) plaident contre une vente. Le niveau de confiance est **Moyen** (les indicateurs sont divergents), le risque global est **Élevé** (volatilité de 49,8%, valorisation exigeante, risque de crédit client), et l'horizon optimal est le **moyen terme (3-12 mois)** pour laisser la consolidation technique se dérouler et la croissance bénéficiaire rattraper la valorisation.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4,189 titres</w:t>
            </w:r>
          </w:p>
        </w:tc>
        <w:tc>
          <w:tcPr>
            <w:tcW w:type="dxa" w:w="2268"/>
            <w:shd w:fill="FFF2CC" w:val="clear"/>
          </w:tcPr>
          <w:p>
            <w:r>
              <w:rPr>
                <w:b/>
                <w:color w:val="503200"/>
                <w:sz w:val="16"/>
              </w:rPr>
              <w:t xml:space="preserve">Cours actuel : </w:t>
            </w:r>
            <w:r>
              <w:rPr>
                <w:color w:val="000000"/>
                <w:sz w:val="17"/>
              </w:rPr>
              <w:t>16,795 FCFA</w:t>
            </w:r>
          </w:p>
          <w:p>
            <w:r>
              <w:rPr>
                <w:b/>
                <w:color w:val="503200"/>
                <w:sz w:val="16"/>
              </w:rPr>
              <w:t xml:space="preserve">Var. 100 jours : </w:t>
            </w:r>
            <w:r>
              <w:rPr>
                <w:b/>
                <w:color w:val="B40000"/>
                <w:sz w:val="17"/>
              </w:rPr>
              <w:t>-0.03%</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2.73% (Faible) — μ=16,569 FCFA, σ=452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β=0.2949 (Défensif) — Cov=0.000020, Var(idx)=0.000068, ρ=0.139,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16,257</w:t>
            </w:r>
          </w:p>
        </w:tc>
        <w:tc>
          <w:tcPr>
            <w:tcW w:type="dxa" w:w="1440"/>
            <w:shd w:fill="FAFAFA" w:val="clear"/>
          </w:tcPr>
          <w:p>
            <w:r>
              <w:rPr>
                <w:b/>
                <w:sz w:val="17"/>
              </w:rPr>
              <w:t>16,880</w:t>
            </w:r>
          </w:p>
        </w:tc>
        <w:tc>
          <w:tcPr>
            <w:tcW w:type="dxa" w:w="1440"/>
            <w:shd w:fill="FAFAFA" w:val="clear"/>
          </w:tcPr>
          <w:p>
            <w:r>
              <w:rPr>
                <w:sz w:val="17"/>
              </w:rPr>
              <w:t>17,502</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16,132</w:t>
            </w:r>
          </w:p>
        </w:tc>
        <w:tc>
          <w:tcPr>
            <w:tcW w:type="dxa" w:w="1440"/>
            <w:shd w:fill="FAFAFA" w:val="clear"/>
          </w:tcPr>
          <w:p>
            <w:r>
              <w:rPr>
                <w:b/>
                <w:sz w:val="17"/>
              </w:rPr>
              <w:t>16,895</w:t>
            </w:r>
          </w:p>
        </w:tc>
        <w:tc>
          <w:tcPr>
            <w:tcW w:type="dxa" w:w="1440"/>
            <w:shd w:fill="FAFAFA" w:val="clear"/>
          </w:tcPr>
          <w:p>
            <w:r>
              <w:rPr>
                <w:sz w:val="17"/>
              </w:rPr>
              <w:t>17,658</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16,027</w:t>
            </w:r>
          </w:p>
        </w:tc>
        <w:tc>
          <w:tcPr>
            <w:tcW w:type="dxa" w:w="1440"/>
            <w:shd w:fill="FAFAFA" w:val="clear"/>
          </w:tcPr>
          <w:p>
            <w:r>
              <w:rPr>
                <w:b/>
                <w:sz w:val="17"/>
              </w:rPr>
              <w:t>16,909</w:t>
            </w:r>
          </w:p>
        </w:tc>
        <w:tc>
          <w:tcPr>
            <w:tcW w:type="dxa" w:w="1440"/>
            <w:shd w:fill="FAFAFA" w:val="clear"/>
          </w:tcPr>
          <w:p>
            <w:r>
              <w:rPr>
                <w:sz w:val="17"/>
              </w:rPr>
              <w:t>17,791</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15,936</w:t>
            </w:r>
          </w:p>
        </w:tc>
        <w:tc>
          <w:tcPr>
            <w:tcW w:type="dxa" w:w="1440"/>
            <w:shd w:fill="FAFAFA" w:val="clear"/>
          </w:tcPr>
          <w:p>
            <w:r>
              <w:rPr>
                <w:b/>
                <w:sz w:val="17"/>
              </w:rPr>
              <w:t>16,923</w:t>
            </w:r>
          </w:p>
        </w:tc>
        <w:tc>
          <w:tcPr>
            <w:tcW w:type="dxa" w:w="1440"/>
            <w:shd w:fill="FAFAFA" w:val="clear"/>
          </w:tcPr>
          <w:p>
            <w:r>
              <w:rPr>
                <w:sz w:val="17"/>
              </w:rPr>
              <w:t>17,909</w:t>
            </w:r>
          </w:p>
        </w:tc>
        <w:tc>
          <w:tcPr>
            <w:tcW w:type="dxa" w:w="1440"/>
            <w:shd w:fill="FAFAFA" w:val="clear"/>
          </w:tcPr>
          <w:p>
            <w:r>
              <w:rPr>
                <w:b/>
                <w:color w:val="008000"/>
                <w:sz w:val="17"/>
              </w:rPr>
              <w:t>+0.8%</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15,854</w:t>
            </w:r>
          </w:p>
        </w:tc>
        <w:tc>
          <w:tcPr>
            <w:tcW w:type="dxa" w:w="1440"/>
            <w:shd w:fill="FAFAFA" w:val="clear"/>
          </w:tcPr>
          <w:p>
            <w:r>
              <w:rPr>
                <w:b/>
                <w:sz w:val="17"/>
              </w:rPr>
              <w:t>16,935</w:t>
            </w:r>
          </w:p>
        </w:tc>
        <w:tc>
          <w:tcPr>
            <w:tcW w:type="dxa" w:w="1440"/>
            <w:shd w:fill="FAFAFA" w:val="clear"/>
          </w:tcPr>
          <w:p>
            <w:r>
              <w:rPr>
                <w:sz w:val="17"/>
              </w:rPr>
              <w:t>18,017</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2026-10-12</w:t>
            </w:r>
          </w:p>
        </w:tc>
        <w:tc>
          <w:tcPr>
            <w:tcW w:type="dxa" w:w="1440"/>
            <w:shd w:fill="FAFAFA" w:val="clear"/>
          </w:tcPr>
          <w:p>
            <w:r>
              <w:rPr>
                <w:sz w:val="17"/>
              </w:rPr>
              <w:t>15,779</w:t>
            </w:r>
          </w:p>
        </w:tc>
        <w:tc>
          <w:tcPr>
            <w:tcW w:type="dxa" w:w="1440"/>
            <w:shd w:fill="FAFAFA" w:val="clear"/>
          </w:tcPr>
          <w:p>
            <w:r>
              <w:rPr>
                <w:b/>
                <w:sz w:val="17"/>
              </w:rPr>
              <w:t>16,948</w:t>
            </w:r>
          </w:p>
        </w:tc>
        <w:tc>
          <w:tcPr>
            <w:tcW w:type="dxa" w:w="1440"/>
            <w:shd w:fill="FAFAFA" w:val="clear"/>
          </w:tcPr>
          <w:p>
            <w:r>
              <w:rPr>
                <w:sz w:val="17"/>
              </w:rPr>
              <w:t>18,118</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2026-10-13</w:t>
            </w:r>
          </w:p>
        </w:tc>
        <w:tc>
          <w:tcPr>
            <w:tcW w:type="dxa" w:w="1440"/>
            <w:shd w:fill="FAFAFA" w:val="clear"/>
          </w:tcPr>
          <w:p>
            <w:r>
              <w:rPr>
                <w:sz w:val="17"/>
              </w:rPr>
              <w:t>15,709</w:t>
            </w:r>
          </w:p>
        </w:tc>
        <w:tc>
          <w:tcPr>
            <w:tcW w:type="dxa" w:w="1440"/>
            <w:shd w:fill="FAFAFA" w:val="clear"/>
          </w:tcPr>
          <w:p>
            <w:r>
              <w:rPr>
                <w:b/>
                <w:sz w:val="17"/>
              </w:rPr>
              <w:t>16,961</w:t>
            </w:r>
          </w:p>
        </w:tc>
        <w:tc>
          <w:tcPr>
            <w:tcW w:type="dxa" w:w="1440"/>
            <w:shd w:fill="FAFAFA" w:val="clear"/>
          </w:tcPr>
          <w:p>
            <w:r>
              <w:rPr>
                <w:sz w:val="17"/>
              </w:rPr>
              <w:t>18,212</w:t>
            </w:r>
          </w:p>
        </w:tc>
        <w:tc>
          <w:tcPr>
            <w:tcW w:type="dxa" w:w="1440"/>
            <w:shd w:fill="FAFAFA" w:val="clear"/>
          </w:tcPr>
          <w:p>
            <w:r>
              <w:rPr>
                <w:b/>
                <w:color w:val="008000"/>
                <w:sz w:val="17"/>
              </w:rPr>
              <w:t>+1.0%</w:t>
            </w:r>
          </w:p>
        </w:tc>
      </w:tr>
      <w:tr>
        <w:tc>
          <w:tcPr>
            <w:tcW w:type="dxa" w:w="1440"/>
            <w:shd w:fill="FAFAFA" w:val="clear"/>
          </w:tcPr>
          <w:p>
            <w:r>
              <w:rPr>
                <w:sz w:val="17"/>
              </w:rPr>
              <w:t>J+8  Moyenne</w:t>
            </w:r>
          </w:p>
        </w:tc>
        <w:tc>
          <w:tcPr>
            <w:tcW w:type="dxa" w:w="1440"/>
            <w:shd w:fill="FAFAFA" w:val="clear"/>
          </w:tcPr>
          <w:p>
            <w:r>
              <w:rPr>
                <w:sz w:val="17"/>
              </w:rPr>
              <w:t>2026-10-14</w:t>
            </w:r>
          </w:p>
        </w:tc>
        <w:tc>
          <w:tcPr>
            <w:tcW w:type="dxa" w:w="1440"/>
            <w:shd w:fill="FAFAFA" w:val="clear"/>
          </w:tcPr>
          <w:p>
            <w:r>
              <w:rPr>
                <w:sz w:val="17"/>
              </w:rPr>
              <w:t>15,645</w:t>
            </w:r>
          </w:p>
        </w:tc>
        <w:tc>
          <w:tcPr>
            <w:tcW w:type="dxa" w:w="1440"/>
            <w:shd w:fill="FAFAFA" w:val="clear"/>
          </w:tcPr>
          <w:p>
            <w:r>
              <w:rPr>
                <w:b/>
                <w:sz w:val="17"/>
              </w:rPr>
              <w:t>16,973</w:t>
            </w:r>
          </w:p>
        </w:tc>
        <w:tc>
          <w:tcPr>
            <w:tcW w:type="dxa" w:w="1440"/>
            <w:shd w:fill="FAFAFA" w:val="clear"/>
          </w:tcPr>
          <w:p>
            <w:r>
              <w:rPr>
                <w:sz w:val="17"/>
              </w:rPr>
              <w:t>18,301</w:t>
            </w:r>
          </w:p>
        </w:tc>
        <w:tc>
          <w:tcPr>
            <w:tcW w:type="dxa" w:w="1440"/>
            <w:shd w:fill="FAFAFA" w:val="clear"/>
          </w:tcPr>
          <w:p>
            <w:r>
              <w:rPr>
                <w:b/>
                <w:color w:val="008000"/>
                <w:sz w:val="17"/>
              </w:rPr>
              <w:t>+1.1%</w:t>
            </w:r>
          </w:p>
        </w:tc>
      </w:tr>
      <w:tr>
        <w:tc>
          <w:tcPr>
            <w:tcW w:type="dxa" w:w="1440"/>
            <w:shd w:fill="FAFAFA" w:val="clear"/>
          </w:tcPr>
          <w:p>
            <w:r>
              <w:rPr>
                <w:sz w:val="17"/>
              </w:rPr>
              <w:t>J+9  Moyenne</w:t>
            </w:r>
          </w:p>
        </w:tc>
        <w:tc>
          <w:tcPr>
            <w:tcW w:type="dxa" w:w="1440"/>
            <w:shd w:fill="FAFAFA" w:val="clear"/>
          </w:tcPr>
          <w:p>
            <w:r>
              <w:rPr>
                <w:sz w:val="17"/>
              </w:rPr>
              <w:t>2026-10-15</w:t>
            </w:r>
          </w:p>
        </w:tc>
        <w:tc>
          <w:tcPr>
            <w:tcW w:type="dxa" w:w="1440"/>
            <w:shd w:fill="FAFAFA" w:val="clear"/>
          </w:tcPr>
          <w:p>
            <w:r>
              <w:rPr>
                <w:sz w:val="17"/>
              </w:rPr>
              <w:t>15,584</w:t>
            </w:r>
          </w:p>
        </w:tc>
        <w:tc>
          <w:tcPr>
            <w:tcW w:type="dxa" w:w="1440"/>
            <w:shd w:fill="FAFAFA" w:val="clear"/>
          </w:tcPr>
          <w:p>
            <w:r>
              <w:rPr>
                <w:b/>
                <w:sz w:val="17"/>
              </w:rPr>
              <w:t>16,985</w:t>
            </w:r>
          </w:p>
        </w:tc>
        <w:tc>
          <w:tcPr>
            <w:tcW w:type="dxa" w:w="1440"/>
            <w:shd w:fill="FAFAFA" w:val="clear"/>
          </w:tcPr>
          <w:p>
            <w:r>
              <w:rPr>
                <w:sz w:val="17"/>
              </w:rPr>
              <w:t>18,386</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924,57 milliards FCFA, ECOC figure parmi les valeurs les plus capitalisées de la BRVM, ce qui en fait un pilier de l'indice BRVM Composite et un titre de référence pour les investisseurs institutionnels de la zone UEMOA. Le BPA de 1 153 FCFA/action signifie que chaque titre génère un bénéfice net de plus de mille francs CFA, un niveau élevé qui traduit la forte rentabilité de la banque. Le PER de 14,6x se situe au-dessus de la moyenne du marché BRVM (généralement comprise entre 8 et 12x), indiquant que les investisseurs acceptent de payer une prime pour la qualité de la signature ECOC — valorisation raisonnable mais non bon marché. Le P/B de 4,23x confirme cette prime : le marché valorise la banque à plus de quatre fois ses fonds propres comptables (218,57 Mds FCFA), ce qui est exigeant et intègre déjà une bonne partie des anticipations de croissance. Enfin, l'EV/EBITDA de 14,2x, dans la fourchette haute (10-15x), signale que la valeur d'entreprise intègre une capacité bénéficiaire opérationnelle solide mais sans décote de marché. Au global, la valorisation est **exigeante mais justifiée par la qualité des fondamentaux**,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d'ECOC est resté quasiment stable avec une variation totale de -0,03%, et une légère contraction de -0,24% lors de la dernière séance, s'établissant à 16 795 FCFA. Le titre a évolué dans un range relativement étroit de 2 205 FCFA, entre un plus bas de 15 520 FCFA et un plus haut de 17 725 FCFA, ce qui traduit une phase de consolidation sans tendance directionnelle marquée. Les statistiques descriptives confirment cette stabilité : la moyenne (16 569 FCFA) et la médiane (16 500 FCFA) sont très proches, signe d'une distribution équilibrée, tandis que le mode à 16 300 FCFA indique que le marché s'est le plus souvent stabilisé autour de ce palier. L'écart-type de 454 FCFA avec un coefficient de variation de seulement 2,7% démontre une **très faible dispersion relative** du cours, gage de stabilité pour les investisseurs. Le kurtosis de -0,239 (mésokurtique) et le skewness de 0,239 (distribution quasi symétrique) suggèrent l'absence de risque de pics extrêmes et une répartition normale des rendements. La volatilité annualisée de 27,8% classe le titre dans la catégorie **volatilité modérée** (15-30%), cohérente avec un profil défensif de valeur bancaire de qualité.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(17 071,5 FCFA) et la MM50 (16 672,9 FCFA) encadrent le cours actuel (16 795 FCFA), qui se situe sous la MM20 mais au-dessus de la MM50. Cette configuration signale un affaiblissement de court terme mais un support de moyen terme solide, justifiant la décision **Achat** par croisement haussier MM20 &gt; MM50.</w:t>
      </w:r>
    </w:p>
    <w:p>
      <w:pPr>
        <w:spacing w:after="120" w:line="276" w:lineRule="auto"/>
      </w:pPr>
      <w:r>
        <w:t>**Bandes de Bollinger** : Le cours (16 795 FCFA) évolue dans la partie basse de la bande, entre la borne inférieure (16 435,6 FCFA) et la borne supérieure (17 707,4 FCFA), sans franchissement de seuil. La largeur des bandes traduit une volatilité contenue, justifiant la décision **Neutre** en l'absence de signal directionnel fort.</w:t>
      </w:r>
    </w:p>
    <w:p>
      <w:pPr>
        <w:spacing w:after="120" w:line="276" w:lineRule="auto"/>
      </w:pPr>
      <w:r>
        <w:t>**MACD** : La divergence marquée entre le MACD (-3,396) et son signal (51,237) place l'indicateur en zone négative sous sa ligne de signal, traduisant un momentum baissier de court terme. Cette configuration justifie la décision **Vente** à court terme, bien qu'elle contraste avec la tendance de fond.</w:t>
      </w:r>
    </w:p>
    <w:p>
      <w:pPr>
        <w:spacing w:after="120" w:line="276" w:lineRule="auto"/>
      </w:pPr>
      <w:r>
        <w:t>**RSI** : À 37,563, le RSI se situe dans la zone neutre basse (30-70), sans atteindre la zone de survente (&lt;30). Le titre n'est donc ni suracheté ni survendu, justifiant la décision **Neutre** avec un léger biais baissier.</w:t>
      </w:r>
    </w:p>
    <w:p>
      <w:pPr>
        <w:spacing w:after="120" w:line="276" w:lineRule="auto"/>
      </w:pPr>
      <w:r>
        <w:t>**Stochastique** : Le %K (35,78) est légèrement supérieur au %D (32,851), sans croisement significatif en zone extrême. Cette configuration neutre confirme l'absence de signal fort, justifiant la décision **Neutre**.</w:t>
      </w:r>
    </w:p>
    <w:p>
      <w:pPr>
        <w:spacing w:after="120" w:line="276" w:lineRule="auto"/>
      </w:pPr>
      <w:r>
        <w:t>**Conclusion technique** : Les indicateurs présentent un tableau **mitigé** — les moyennes mobiles plaident pour l'achat (tendance de fond haussière), tandis que le MACD signale une pression vendeuse de court terme. Le RSI et le stochastique, en zone neutre, n'apportent pas de confirmation directionnelle. Le titre se trouve dans une phase de consolidation technique, avec un support clé à 16 435 FCFA (borne inférieure de Bollinger) et une résistance à 17 071 FCFA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ECOC affiche un Produit Net Bancaire (équivalent du chiffre d'affaires pour une banque) de 132,725 Mds FCFA, un résultat net de 63,482 Mds FCFA, un ROE exceptionnel de 29,04% (largement supérieur au seuil de 15% considéré comme excellent) et un ROA de 3,09%. Le coefficient d'exploitation de 42,89% classe la banque parmi les plus efficaces du secteur UEMOA (&lt; 50% = excellente efficacité). Le coût du risque rapporté aux charges financières est contenu à 1,36%, témoignant d'un portefeuille de crédit globalement sain. La structure financière montre une autonomie financière de 10,64% (faible mais normale pour une banque, dont le modèle repose sur le levier des dépôts) et un ratio de solvabilité générale de 111,91% (&gt;1 = solvable). Le portefeuille de dépôts clientèle atteint 1 626,22 Mds FCFA contre 1 050,80 Mds FCFA de créances clientèle, soit un **ratio prêts/dépôts de 64,6%**, indiquant une capacité de transformation et de déploiement du crédit encore importante.</w:t>
      </w:r>
    </w:p>
    <w:p>
      <w:pPr>
        <w:spacing w:after="120" w:line="276" w:lineRule="auto"/>
      </w:pPr>
      <w:r>
        <w:t>**Évolution et estimations issues des rapports trimestriels** : Le rapport annuel 2024 (publié le 31/12/2024) faisait état d'un PNB de 122,3 Mds FCFA (+11,0%) et d'un résultat net de 57,5 Mds FCFA (+19,6%), avec un dividende brut de 804 FCFA/action (taux de distribution de 77%). Le rapport S1 2026 (publié le 26/08/2026) montre un PNB de 64,078 Mds FCFA (+2,0%) et un résultat net de 26,408 Mds FCFA (-8,6%), pénalisé par un **coût du risque multiplié par 7,4** à 5,197 Mds FCFA (approche prudente de provisionnement, créances en souffrance +21,5% à 45,3 Mds FCFA, taux de couverture maintenu à 90%). Le rapport T1 2026 (publié en 2026) confirme cette tendance avec un PNB de 30,8 Mds FCFA (+3,7%) et un résultat net de 13,0 Mds FCFA (-1,6%). **On estime donc que l'exercice 2026 devrait clôturer avec un résultat net en léger repli par rapport à 2025 (autour de 58-60 Mds FCFA)**, sous l'effet du provisionnement, mais avec des fondamentaux préservés (ROE estimé &gt;25%, coefficient d'exploitation maintenu sous 46%). Le dividende proposé pour 2025 s'élève à 888 FCFA brut (781 FCFA net), en hausse de 10,4% sur un an, avec un paiement prévu le 22 mai 2026 — signal fort de confiance envers les actionnaires. **Recommandation fondamentale : CONSERVER**, la solidité structurelle (ROE &gt;25%, bilan &gt;2 000 Mds FCFA, dépôts +15,1%) compensant la dégradation conjoncturelle du coût du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**équilibré avec des signaux divergents**. Sur le plan de la **valorisation (Partie 0)**, les ratios PER (14,6x), P/B (4,23x) et EV/EBITDA (14,2x) indiquent une **valorisation exigeante mais justifiée** par la qualité des fondamentaux, sans décote de marché. Le **comportement du cours (Partie 1)** est remarquablement stable (CV de 2,7%, kurtosis mésokurtique, skewness symétrique), avec une volatilité modérée de 27,8% — profil rassurant mais peu propice aux gains rapides. Les **signaux techniques (Partie 2)** sont mitigés : les moyennes mobiles plaident pour l'achat (MM20 &gt; MM50), mais le MACD est baissier et le RSI/stochastique sont neutres, suggérant une consolidation de court terme. Les **fondamentaux (Partie 3)** restent solides malgré le repli du résultat net S1 2026 (-8,6%) : ROE de 29,04% en 2025, coefficient d'exploitation de 42,89%, dividende en hausse à 888 FCFA, et une capitalisation de 924,57 Mds FCFA qui reflète la confiance du marché. Les **prédictions IA (J+1 à J+10)** anticipent une légère appréciation progressive de 16 880 à 16 935 FCFA (+0,83% sur 10 jours), confirmant la stabilité du titre sans signal haussier fort.</w:t>
      </w:r>
    </w:p>
    <w:p>
      <w:pPr>
        <w:spacing w:after="120" w:line="276" w:lineRule="auto"/>
      </w:pPr>
      <w:r>
        <w:t>**Recommandation finale : CONSERVER**</w:t>
        <w:br/>
        <w:t>La convergence entre valorisation exigeante, technique neutre, fondamentaux solides et prédictions stables plaide pour une **position de conservation** plutôt qu'un achat agressif. Le titre est un **dossier de qualité à détenir** pour capter le dividende attractif (rendement ~4,7% sur la base de 781 FCFA net / 16 795 FCFA) et la résilience du modèle bancaire, mais la prime de valorisation limite le potentiel de revalorisation à court terme. Un passage à **ACHAT** serait justifié si le coût du risque se normalise au S2 2026 et si le cours franchit la résistance des 17 071 FCFA (MM20) avec confirmation du MACD. **Niveau de confiance : Moyen** (fondamentaux solides mais visibilité réduite sur le coût du risque). **Niveau de risque global : Moyen** (risque de crédit en hausse, concentration géographique sur la Côte d'Ivoire, incertitudes géopolitiques régionales). **Horizon d'investissement optimal : Moyen terme (3-12 mois)**, en attendant la publication des résultats annuels 2026 et la confirmation de la trajectoire du dividende.</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1,671,117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+123.33%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31.59% (Élevée) — μ=54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β=2.0098 (Très agressif) — Cov=0.000137, Var(idx)=0.000068, ρ=0.423,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1,671,117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62</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74</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RAPPORT D'ANALYSE FINANCIÈRE — ETIT (Ecobank Transnational Incorporated)</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1 211,64 milliards FCFA, ETIT s'impose comme l'une des plus importantes capitalisations de la BRVM, reflétant son statut de banque panafricaine de référence présente dans 35 pays. Le BPA de 19 FCFA par action signifie que chaque titre génère près de 19 FCFA de bénéfice net, ce qui, rapporté au cours actuel de 67 FCFA, donne un PER de seulement 3,5x — très en dessous de la moyenne BRVM (8-12x), signalant une sous-évaluation manifeste ou une forte défiance du marché. Le ratio P/B de 0,76x indique que le marché valorise ETIT à 24% en dessous de sa valeur comptable, une situation rare qui constitue historiquement une opportunité d'achat pour les investisseurs value. Enfin, l'EV/EBITDA de 5,0x, inférieur au seuil de 5x généralement considéré comme "bon marché", confirme que la valeur totale de l'entreprise (dette incluse) reste modérée au regard de sa capacité opérationnelle à générer des profits.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performance exceptionnelle de +123,33%, passant d'un plus bas de 29 FCFA à un plus haut de 78 FCFA, avec un cours actuel de 67 FCFA et une variation J-1 nulle (+0,00%), signe d'une séance de consolidation. Le range de trading particulièrement large (49 FCFA d'amplitude) témoigne d'une forte volatilité, confirmée par une volatilité annualisée de 62,0% — nettement supérieure au seuil de 30% qui définit un titre à volatilité élevée. Les statistiques descriptives révèlent une moyenne de 54 FCFA contre une médiane de 65 FCFA, cet écart de 11 FCFA indiquant une distribution asymétrique tirée vers le bas par les niveaux de cours antérieurs à la forte hausse. L'écart-type de 17 FCFA (CV=31,8%) confirme une dispersion importante du cours autour de sa moyenne, tandis que le kurtosis de -1,611 (distribution platykurtique) suggère une faible concentration des valeurs extrêmes et un risque de pics modéré. Le skewness de -0,448, bien que qualifié de "symétrique" dans les données fournies, penche légèrement vers une queue gauche, indiquant que les baisses passées ont été plus prononcées que les hausses. Le mode à 30 FCFA rappelle que le cours a longtemps stagné à des niveaux très bas avant l'envolée récente, ce qui positionne le titre dans une phase de revalorisation potentiellement inachevée.</w:t>
      </w:r>
    </w:p>
    <w:p>
      <w:pPr>
        <w:spacing w:after="120" w:line="276" w:lineRule="auto"/>
      </w:pPr>
      <w:r>
        <w:t>---</w:t>
      </w:r>
    </w:p>
    <w:p>
      <w:pPr>
        <w:spacing w:after="120" w:line="276" w:lineRule="auto"/>
      </w:pPr>
      <w:r>
        <w:t>## PARTIE 2 : ANALYSE TECHNIQUE DÉTAILLÉE</w:t>
      </w:r>
    </w:p>
    <w:p>
      <w:pPr>
        <w:spacing w:after="120" w:line="276" w:lineRule="auto"/>
      </w:pPr>
      <w:r>
        <w:t>**Moyennes Mobiles** : La MM20 (69,3 FCFA) et la MM50 (68,2 FCFA) se situent toutes deux au-dessus du cours actuel (67 FCFA), ce qui place le titre en position légèrement baissière à court terme. Cependant, la MM20 étant supérieure à la MM50, la configuration reste globalement haussière sur le moyen terme, justifiant la décision "Achat" fournie. Le croisement potentiel à venir entre ces deux moyennes sera déterminant pour confirmer la tendance.</w:t>
      </w:r>
    </w:p>
    <w:p>
      <w:pPr>
        <w:spacing w:after="120" w:line="276" w:lineRule="auto"/>
      </w:pPr>
      <w:r>
        <w:t>**Bandes de Bollinger** : Le cours actuel (67 FCFA) se situe dans la partie basse de la bande de Bollinger, entre la borne inférieure (65,86 FCFA) et la borne supérieure (72,74 FCFA), à seulement 1,14 FCFA de la borne basse. Cette position proche du support inférieur, combinée à une largeur de bande de 6,88 FCFA, indique une volatilité modérée avec un potentiel de rebond technique. La décision "Neutre" reflète l'absence de signal directionnel fort, le cours évoluant dans la zone médiane-basse du canal.</w:t>
      </w:r>
    </w:p>
    <w:p>
      <w:pPr>
        <w:spacing w:after="120" w:line="276" w:lineRule="auto"/>
      </w:pPr>
      <w:r>
        <w:t>**MACD** : La valeur du MACD (0,133) est nettement inférieure à son signal (0,573), générant une divergence baissière significative qui justifie la décision "Vente". Cet écart indique que le momentum haussier s'essouffle et qu'une correction ou consolidation est en cours. La convergence progressive du MACD vers zéro confirme l'affaiblissement de la dynamique positive récente.</w:t>
      </w:r>
    </w:p>
    <w:p>
      <w:pPr>
        <w:spacing w:after="120" w:line="276" w:lineRule="auto"/>
      </w:pPr>
      <w:r>
        <w:t>**RSI** : Avec une valeur de 40,0, le RSI se situe dans la zone neutre (30-70), plus proche de la zone de survente que de la surachat. Cette position indique que le titre n'est ni surévalué ni survendu, offrant un potentiel de rebond sans risque immédiat de correction excessive. La décision "Neutre" est cohérente avec cette configuration équilibrée.</w:t>
      </w:r>
    </w:p>
    <w:p>
      <w:pPr>
        <w:spacing w:after="120" w:line="276" w:lineRule="auto"/>
      </w:pPr>
      <w:r>
        <w:t>**Stochastique** : Le %K (42,857) est inférieur au %D (52,381), configuration baissière indiquant que le momentum à court terme faiblit. Cependant, le %K se rapproche de la zone de survente (seuil de 20), ce qui pourrait annoncer un retournement haussier imminent. La décision "Neutre" reflète cette incertitude entre faiblesse actuelle et potentiel de rebond.</w:t>
      </w:r>
    </w:p>
    <w:p>
      <w:pPr>
        <w:spacing w:after="120" w:line="276" w:lineRule="auto"/>
      </w:pPr>
      <w:r>
        <w:t>**Conclusion technique** : Les indicateurs techniques présentent un tableau mitigé, avec une majorité de signaux neutres (Bollinger, RSI, Stochastique) et un signal baissier (MACD) compensé par la structure haussière des moyennes mobiles. Le titre se trouve dans une phase de consolidation après sa forte hausse, avec un support technique solide autour de 65-66 FCFA (borne inférieure de Bollinger, MM50). La convergence des signaux neutres suggère une attente du marché avant le prochain mouvement directionnel, qui pourrait être haussier si le support tient.</w:t>
      </w:r>
    </w:p>
    <w:p>
      <w:pPr>
        <w:spacing w:after="120" w:line="276" w:lineRule="auto"/>
      </w:pPr>
      <w:r>
        <w:t>---</w:t>
      </w:r>
    </w:p>
    <w:p>
      <w:pPr>
        <w:spacing w:after="120" w:line="276" w:lineRule="auto"/>
      </w:pPr>
      <w:r>
        <w:t>## PARTIE 3 : ANALYSE FONDAMENTALE (SECTION CRITIQUE)</w:t>
      </w:r>
    </w:p>
    <w:p>
      <w:pPr>
        <w:spacing w:after="120" w:line="276" w:lineRule="auto"/>
      </w:pPr>
      <w:r>
        <w:t>**Données structurées de l'exercice 2025 (états financiers annuels)** : En 2025, ETIT affiche un Produit Net Bancaire (PNB) de 1 424,261 milliards FCFA, un résultat net de 345,523 milliards FCFA, un ROE exceptionnel de 21,62% (largement supérieur au seuil de 15% définissant l'excellence) et un ROA de 1,80%. Le coefficient d'exploitation de 27,35% — très en dessous du seuil de 60% — témoigne d'une efficacité opérationnelle remarquable, tandis que le coût du risque de 18,97% (provisions/charges financières) reste élevé et constitue un point de vigilance. La structure financière montre une autonomie financière de 8,30% (faible pour une banque, mais typique du modèle de levier bancaire) et un ratio de solvabilité générale de 109,06%, confirmant la capacité de l'établissement à couvrir ses dettes par ses actifs. Le total bilan s'élève à 19 243,865 milliards FCFA, avec des dépôts clientèle de 14 120,139 milliards FCFA face à des créances clientèle de 6 570,385 milliards FCFA, soit un ratio de transformation (crédits/dépôts) de 46,5% — un niveau prudent laissant une marge de croissance significative.</w:t>
      </w:r>
    </w:p>
    <w:p>
      <w:pPr>
        <w:spacing w:after="120" w:line="276" w:lineRule="auto"/>
      </w:pPr>
      <w:r>
        <w:t>**Estimations basées sur les rapports trimestriels 2026** : Sur la base du rapport semestriel S1 2026 (publié le 30 juin 2026, analysé le 30 juillet 2026), le PNB progresse de +15% à 1 281,330 millions $EU (721 318 millions FCFA), tandis que le résultat net consolidé augmente de +6% à 296,091 millions $EU (166 682 millions FCFA). Le coefficient d'exploitation s'améliore à 48,4% (contre 51,6% au S1 2025), et le BPA atteint 0,80 $EU (+2%). Le rapport T1 2026 (publié en avril 2026) indiquait déjà un PNB en hausse de +23% à 636,2 millions $EU et un résultat net de 142,5 millions $EU (+16%). On estime donc que l'exercice 2026 devrait afficher un PNB annualisé d'environ 1 450-1 500 milliards FCFA et un résultat net de l'ordre de 340-360 milliards FCFA, en ligne avec la dynamique du S1. Le principal risque identifié dans les rapports 2026 est la forte hausse du coût du risque (+40% au S1 2026, +73% au T1 2026), liée à l'augmentation des provisions sur actifs financiers dans un environnement économique difficile. Le ratio de prêts non performants (NPL) s'établit à 7,6%, dans la fourchette cible mais nécessitant une surveillance attentive.</w:t>
      </w:r>
    </w:p>
    <w:p>
      <w:pPr>
        <w:spacing w:after="120" w:line="276" w:lineRule="auto"/>
      </w:pPr>
      <w:r>
        <w:t>**Évolution pluriannuelle** : Les rapports antérieurs (2024, 2025) montrent une trajectoire de redressement remarquable : le résultat net est passé de 227 millions $EU au S1 2024 à 296 millions $EU au S1 2026, avec un ROE tangible de 34,7% en 2024 et de 32,7% en 2023. La stratégie "Croissance, Transformation, Rendement" (GTR) porte ses fruits, avec une digitalisation accélérée (partenariat Google Cloud) et une collecte de dépôts CASA performante. La recommandation fondamentale est donc **positive** : ETIT présente une solidité financière confirmée, une rentabilité élevée et une valorisation attractive, malgré un coût du risque en hausse qui tempère l'enthousiasme.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révèle une convergence majoritairement favorable pour ETIT. **Sur le plan de la valorisation (Partie 0)** , les ratios PER (3,5x), P/B (0,76x) et EV/EBITDA (5,0x) indiquent une sous-évaluation manifeste par rapport aux moyennes du secteur et de la BRVM, offrant une marge de sécurité significative. **Le comportement du cours (Partie 1)** montre une tendance haussière exceptionnelle (+123,33% sur 100 jours) avec une volatilité élevée (62%) et une distribution platykurtique (kurtosis -1,611) suggérant un risque de pics modéré, mais le skewness négatif (-0,448) et la position du cours sous la moyenne (54 FCFA) et la médiane (65 FCFA) indiquent que le titre pourrait encore avoir du potentiel de rattrapage. **Les signaux techniques (Partie 2)** sont mitigés : les moyennes mobiles restent haussières (MM20 &gt; MM50), mais le MACD est baissier et les autres indicateurs sont neutres, suggérant une consolidation avant une reprise potentielle. **Les fondamentaux (Partie 3)** sont solides : ROE de 21,62%, coefficient d'exploitation de 27,35%, PNB en croissance de +15% au S1 2026, malgré un coût du risque en hausse (+40%). **Les prédictions IA (J+1 à J+10)** anticipent une stabilité du cours à 66 FCFA, ce qui confirme la phase de consolidation actuelle sans signal de retournement baissier majeur.</w:t>
      </w:r>
    </w:p>
    <w:p>
      <w:pPr>
        <w:spacing w:after="120" w:line="276" w:lineRule="auto"/>
      </w:pPr>
      <w:r>
        <w:t>**Recommandation finale : ACHAT** — Justification : La convergence entre une valorisation très attractive (PER 3,5x, P/B 0,76x), des fondamentaux solides (ROE &gt;20%, croissance du PNB à deux chiffres) et une tendance de fond haussière (MM20 &gt; MM50) l'emporte sur les signaux techniques à court terme (MACD baissier) et la hausse du coût du risque. Le niveau de confiance est **Moyen** en raison de la volatilité élevée et de l'incertitude macroéconomique, et le niveau de risque global est **Moyen** (volatilité 62%, coût du risque en hausse, mais solvabilité et rentabilité solides). L'horizon d'investissement optimal est **moyen terme (3-12 mois)** , le temps que la consolidation technique s'achève et que les fondamentaux se confirment sur l'ensemble de l'exercice 2026. Un investisseur patient pourrait viser un objectif de cours de 75-80 FCFA (soit +12% à +19% par rapport au cours actuel), correspondant à un PER de 4-4,2x, toujours en dessous de la moyenne du secteur.</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4,102 titres</w:t>
            </w:r>
          </w:p>
        </w:tc>
        <w:tc>
          <w:tcPr>
            <w:tcW w:type="dxa" w:w="2268"/>
            <w:shd w:fill="FFF2CC" w:val="clear"/>
          </w:tcPr>
          <w:p>
            <w:r>
              <w:rPr>
                <w:b/>
                <w:color w:val="503200"/>
                <w:sz w:val="16"/>
              </w:rPr>
              <w:t xml:space="preserve">Cours actuel : </w:t>
            </w:r>
            <w:r>
              <w:rPr>
                <w:color w:val="000000"/>
                <w:sz w:val="17"/>
              </w:rPr>
              <w:t>1,995 FCFA</w:t>
            </w:r>
          </w:p>
          <w:p>
            <w:r>
              <w:rPr>
                <w:b/>
                <w:color w:val="503200"/>
                <w:sz w:val="16"/>
              </w:rPr>
              <w:t xml:space="preserve">Var. 100 jours : </w:t>
            </w:r>
            <w:r>
              <w:rPr>
                <w:b/>
                <w:color w:val="B40000"/>
                <w:sz w:val="17"/>
              </w:rPr>
              <w:t>-10.14%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6.12% (Moyenne) — μ=2,112 FCFA, σ=129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β=0.2619 (Défensif) — Cov=0.000018, Var(idx)=0.000068, ρ=0.103,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1,875</w:t>
            </w:r>
          </w:p>
        </w:tc>
        <w:tc>
          <w:tcPr>
            <w:tcW w:type="dxa" w:w="1440"/>
            <w:shd w:fill="FAFAFA" w:val="clear"/>
          </w:tcPr>
          <w:p>
            <w:r>
              <w:rPr>
                <w:b/>
                <w:sz w:val="17"/>
              </w:rPr>
              <w:t>1,963</w:t>
            </w:r>
          </w:p>
        </w:tc>
        <w:tc>
          <w:tcPr>
            <w:tcW w:type="dxa" w:w="1440"/>
            <w:shd w:fill="FAFAFA" w:val="clear"/>
          </w:tcPr>
          <w:p>
            <w:r>
              <w:rPr>
                <w:sz w:val="17"/>
              </w:rPr>
              <w:t>2,051</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1,841</w:t>
            </w:r>
          </w:p>
        </w:tc>
        <w:tc>
          <w:tcPr>
            <w:tcW w:type="dxa" w:w="1440"/>
            <w:shd w:fill="FFDCE0" w:val="clear"/>
          </w:tcPr>
          <w:p>
            <w:r>
              <w:rPr>
                <w:b/>
                <w:sz w:val="17"/>
              </w:rPr>
              <w:t>1,948</w:t>
            </w:r>
          </w:p>
        </w:tc>
        <w:tc>
          <w:tcPr>
            <w:tcW w:type="dxa" w:w="1440"/>
            <w:shd w:fill="FFDCE0" w:val="clear"/>
          </w:tcPr>
          <w:p>
            <w:r>
              <w:rPr>
                <w:sz w:val="17"/>
              </w:rPr>
              <w:t>2,056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1,811</w:t>
            </w:r>
          </w:p>
        </w:tc>
        <w:tc>
          <w:tcPr>
            <w:tcW w:type="dxa" w:w="1440"/>
            <w:shd w:fill="FFDCE0" w:val="clear"/>
          </w:tcPr>
          <w:p>
            <w:r>
              <w:rPr>
                <w:b/>
                <w:sz w:val="17"/>
              </w:rPr>
              <w:t>1,934</w:t>
            </w:r>
          </w:p>
        </w:tc>
        <w:tc>
          <w:tcPr>
            <w:tcW w:type="dxa" w:w="1440"/>
            <w:shd w:fill="FFDCE0" w:val="clear"/>
          </w:tcPr>
          <w:p>
            <w:r>
              <w:rPr>
                <w:sz w:val="17"/>
              </w:rPr>
              <w:t>2,057</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1,784</w:t>
            </w:r>
          </w:p>
        </w:tc>
        <w:tc>
          <w:tcPr>
            <w:tcW w:type="dxa" w:w="1440"/>
            <w:shd w:fill="FFDCE0" w:val="clear"/>
          </w:tcPr>
          <w:p>
            <w:r>
              <w:rPr>
                <w:b/>
                <w:sz w:val="17"/>
              </w:rPr>
              <w:t>1,920</w:t>
            </w:r>
          </w:p>
        </w:tc>
        <w:tc>
          <w:tcPr>
            <w:tcW w:type="dxa" w:w="1440"/>
            <w:shd w:fill="FFDCE0" w:val="clear"/>
          </w:tcPr>
          <w:p>
            <w:r>
              <w:rPr>
                <w:sz w:val="17"/>
              </w:rPr>
              <w:t>2,057</w:t>
            </w:r>
          </w:p>
        </w:tc>
        <w:tc>
          <w:tcPr>
            <w:tcW w:type="dxa" w:w="1440"/>
            <w:shd w:fill="FFDCE0" w:val="clear"/>
          </w:tcPr>
          <w:p>
            <w:r>
              <w:rPr>
                <w:b/>
                <w:color w:val="C00000"/>
                <w:sz w:val="17"/>
              </w:rPr>
              <w:t>-3.7%</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1,759</w:t>
            </w:r>
          </w:p>
        </w:tc>
        <w:tc>
          <w:tcPr>
            <w:tcW w:type="dxa" w:w="1440"/>
            <w:shd w:fill="FFDCE0" w:val="clear"/>
          </w:tcPr>
          <w:p>
            <w:r>
              <w:rPr>
                <w:b/>
                <w:sz w:val="17"/>
              </w:rPr>
              <w:t>1,907</w:t>
            </w:r>
          </w:p>
        </w:tc>
        <w:tc>
          <w:tcPr>
            <w:tcW w:type="dxa" w:w="1440"/>
            <w:shd w:fill="FFDCE0" w:val="clear"/>
          </w:tcPr>
          <w:p>
            <w:r>
              <w:rPr>
                <w:sz w:val="17"/>
              </w:rPr>
              <w:t>2,056</w:t>
            </w:r>
          </w:p>
        </w:tc>
        <w:tc>
          <w:tcPr>
            <w:tcW w:type="dxa" w:w="1440"/>
            <w:shd w:fill="FFDCE0" w:val="clear"/>
          </w:tcPr>
          <w:p>
            <w:r>
              <w:rPr>
                <w:b/>
                <w:color w:val="C00000"/>
                <w:sz w:val="17"/>
              </w:rPr>
              <w:t>-4.4%</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1,735</w:t>
            </w:r>
          </w:p>
        </w:tc>
        <w:tc>
          <w:tcPr>
            <w:tcW w:type="dxa" w:w="1440"/>
            <w:shd w:fill="FFDCE0" w:val="clear"/>
          </w:tcPr>
          <w:p>
            <w:r>
              <w:rPr>
                <w:b/>
                <w:sz w:val="17"/>
              </w:rPr>
              <w:t>1,894</w:t>
            </w:r>
          </w:p>
        </w:tc>
        <w:tc>
          <w:tcPr>
            <w:tcW w:type="dxa" w:w="1440"/>
            <w:shd w:fill="FFDCE0" w:val="clear"/>
          </w:tcPr>
          <w:p>
            <w:r>
              <w:rPr>
                <w:sz w:val="17"/>
              </w:rPr>
              <w:t>2,053</w:t>
            </w:r>
          </w:p>
        </w:tc>
        <w:tc>
          <w:tcPr>
            <w:tcW w:type="dxa" w:w="1440"/>
            <w:shd w:fill="FFDCE0" w:val="clear"/>
          </w:tcPr>
          <w:p>
            <w:r>
              <w:rPr>
                <w:b/>
                <w:color w:val="C00000"/>
                <w:sz w:val="17"/>
              </w:rPr>
              <w:t>-5.1%</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1,712</w:t>
            </w:r>
          </w:p>
        </w:tc>
        <w:tc>
          <w:tcPr>
            <w:tcW w:type="dxa" w:w="1440"/>
            <w:shd w:fill="FFDCE0" w:val="clear"/>
          </w:tcPr>
          <w:p>
            <w:r>
              <w:rPr>
                <w:b/>
                <w:sz w:val="17"/>
              </w:rPr>
              <w:t>1,881</w:t>
            </w:r>
          </w:p>
        </w:tc>
        <w:tc>
          <w:tcPr>
            <w:tcW w:type="dxa" w:w="1440"/>
            <w:shd w:fill="FFDCE0" w:val="clear"/>
          </w:tcPr>
          <w:p>
            <w:r>
              <w:rPr>
                <w:sz w:val="17"/>
              </w:rPr>
              <w:t>2,050</w:t>
            </w:r>
          </w:p>
        </w:tc>
        <w:tc>
          <w:tcPr>
            <w:tcW w:type="dxa" w:w="1440"/>
            <w:shd w:fill="FFDCE0" w:val="clear"/>
          </w:tcPr>
          <w:p>
            <w:r>
              <w:rPr>
                <w:b/>
                <w:color w:val="C00000"/>
                <w:sz w:val="17"/>
              </w:rPr>
              <w:t>-5.7%</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1,690</w:t>
            </w:r>
          </w:p>
        </w:tc>
        <w:tc>
          <w:tcPr>
            <w:tcW w:type="dxa" w:w="1440"/>
            <w:shd w:fill="FFDCE0" w:val="clear"/>
          </w:tcPr>
          <w:p>
            <w:r>
              <w:rPr>
                <w:b/>
                <w:sz w:val="17"/>
              </w:rPr>
              <w:t>1,869</w:t>
            </w:r>
          </w:p>
        </w:tc>
        <w:tc>
          <w:tcPr>
            <w:tcW w:type="dxa" w:w="1440"/>
            <w:shd w:fill="FFDCE0" w:val="clear"/>
          </w:tcPr>
          <w:p>
            <w:r>
              <w:rPr>
                <w:sz w:val="17"/>
              </w:rPr>
              <w:t>2,047</w:t>
            </w:r>
          </w:p>
        </w:tc>
        <w:tc>
          <w:tcPr>
            <w:tcW w:type="dxa" w:w="1440"/>
            <w:shd w:fill="FFDCE0" w:val="clear"/>
          </w:tcPr>
          <w:p>
            <w:r>
              <w:rPr>
                <w:b/>
                <w:color w:val="C00000"/>
                <w:sz w:val="17"/>
              </w:rPr>
              <w:t>-6.3%</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1,670</w:t>
            </w:r>
          </w:p>
        </w:tc>
        <w:tc>
          <w:tcPr>
            <w:tcW w:type="dxa" w:w="1440"/>
            <w:shd w:fill="FFDCE0" w:val="clear"/>
          </w:tcPr>
          <w:p>
            <w:r>
              <w:rPr>
                <w:b/>
                <w:sz w:val="17"/>
              </w:rPr>
              <w:t>1,856</w:t>
            </w:r>
          </w:p>
        </w:tc>
        <w:tc>
          <w:tcPr>
            <w:tcW w:type="dxa" w:w="1440"/>
            <w:shd w:fill="FFDCE0" w:val="clear"/>
          </w:tcPr>
          <w:p>
            <w:r>
              <w:rPr>
                <w:sz w:val="17"/>
              </w:rPr>
              <w:t>2,043</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 RAPPORT D'ANALYSE FINANCIÈRE — FTSC (FILTISAC CI)</w:t>
        <w:br/>
        <w:t>**Bourse Régionale des Valeurs Mobilières (BRVM) — Secteur : Emballages industriels / Transformation**</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**28,14 Mds FCFA**, FTSC se situe dans la catégorie des valeurs moyennes de la cote BRVM, ce qui la rend vulnérable aux mouvements de faible volume (4 102 titres/jour en moyenne). Le BPA de **33 FCFA/action** rapporté au cours actuel de 1 995 FCFA génère un **PER de 60,4x**, très largement supérieur à la moyenne BRVM (~8-12x) : les investisseurs paient donc près de 60 fois les bénéfices 2025 pour détenir le titre, ce qui traduit soit une anticipation de redressement massif, soit une anomalie de valorisation post-effondrement du résultat net. Le **P/B de 1,79x** indique en revanche que le marché valorise l'action à moins de deux fois sa valeur comptable (15,7 Mds FCFA de capitaux propres), ce qui reste raisonnable dans l'absolu mais masque une destruction récente de fonds propres. Enfin, l'**EV/EBITDA de 36,6x** (seuil d'alerte &gt;15x) signale que la valeur d'entreprise est très chèrement payée au regard de la capacité opérationnelle réelle (EBE de 1 501 MFCFA en 2025), confirmant une décorrélation inquiétante entre le prix de marché et la performance économique.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-10,14%**, avec un rebond marginal de **+1,01% sur la dernière séance (J-1)**, signe d'une tentative de stabilisation après une tendance baissière dominante. Le titre a évolué dans un range de **1 910 FCFA (plus bas) à 2 430 FCFA (plus haut)**, soit un écart de 27%, et cote actuellement à **1 995 FCFA**, légèrement au-dessus de son plancher — la pression vendeuse reste donc présente. Les statistiques descriptives révèlent une **moyenne (2 112 FCFA) légèrement supérieure à la médiane (2 100 FCFA)**, avec un mode à 1 990 FCFA : la distribution est faiblement asymétrique à droite (skewness de 0,455, qualifiée de « symétrique » dans les données), ce qui suggère que les pics haussiers ont été plus marqués que les creux. L'**écart-type de 130 FCFA (CV = 6,1%)** traduit une dispersion modérée du cours autour de sa moyenne, tandis que le **kurtosis de -0,709 (mésokurtique)** indique une distribution proche de la normale, sans risque marqué de pics extrêmes — un profil rassurant pour la gestion du risque. Enfin, la **volatilité annualisée de 33,3%** classe FTSC dans la catégorie des titres à volatilité **élevée (&gt;30%)**, ce qui implique un risque de perte en capital significatif à court terme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(2 055,5 FCFA) et la MM50 (2 071,2 FCFA) se situent toutes deux **au-dessus du cours actuel (1 995 FCFA)**, confirmant une configuration baissière de court et moyen terme. La MM20 étant légèrement sous la MM50, on observe un début de convergence qui pourrait précéder un croisement haussier, mais la décision technique reste **« Vente »** tant que le cours ne réintègre pas ses moyennes.</w:t>
      </w:r>
    </w:p>
    <w:p>
      <w:pPr>
        <w:spacing w:after="120" w:line="276" w:lineRule="auto"/>
      </w:pPr>
      <w:r>
        <w:t>**Bandes de Bollinger** — Le cours (1 995 FCFA) évolue dans la **moitié inférieure de la bande** (borne supérieure 2 187,8 FCFA ; borne inférieure 1 923,2 FCFA), sans toucher la borne basse, ce qui traduit une pression baissière modérée mais non extrême. L'amplitude des bandes (264,7 FCFA) reflète une volatilité contenue, et la décision est **« Neutre »** : le titre n'est ni en survente technique, ni en surachat.</w:t>
      </w:r>
    </w:p>
    <w:p>
      <w:pPr>
        <w:spacing w:after="120" w:line="276" w:lineRule="auto"/>
      </w:pPr>
      <w:r>
        <w:t>**MACD** — Le MACD (-32,473) est **nettement sous son signal (-23,25)**, avec un histogramme négatif : le momentum reste baissier et la divergence négative persiste, justifiant la décision **« Vente »**. Aucun signe de retournement imminent n'est visible sur cet indicateur.</w:t>
      </w:r>
    </w:p>
    <w:p>
      <w:pPr>
        <w:spacing w:after="120" w:line="276" w:lineRule="auto"/>
      </w:pPr>
      <w:r>
        <w:t>**RSI** — À **32,877**, le RSI se situe juste au-dessus du seuil de survente (30), en zone **neutre basse** : le titre n'est pas encore survendu mais s'en approche dangereusement, ce qui pourrait attirer des acheteurs à contre-tendance. La décision reste **« Neutre »**, avec un potentiel de rebond technique à surveiller.</w:t>
      </w:r>
    </w:p>
    <w:p>
      <w:pPr>
        <w:spacing w:after="120" w:line="276" w:lineRule="auto"/>
      </w:pPr>
      <w:r>
        <w:t>**Stochastique** — Le %K (40,476) est **légèrement supérieur au %D (37,302)**, sans croisement franc, ce qui indique une absence de signal directionnel clair. La décision **« Neutre »** reflète cette indécision : le marché attend un catalyseur pour trancher.</w:t>
      </w:r>
    </w:p>
    <w:p>
      <w:pPr>
        <w:spacing w:after="120" w:line="276" w:lineRule="auto"/>
      </w:pPr>
      <w:r>
        <w:t>**Conclusion technique** — Les indicateurs convergent majoritairement vers une **tendance baissière modérée** (MM, MACD en « Vente »), tempérée par des signaux neutres (Bollinger, RSI, Stochastique) qui suggèrent une possible zone de stabilisation autour de 1 950-2 000 FCFA. Le RSI proche de la survente et le rebond de +1,01% en J-1 constituent les seuls éléments favorables à un rebond technique, mais aucun signal d'achat fort n'est confirmé à ce stade.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32 109 MFCFA** (+4,6% vs 2024), mais son **résultat net s'est effondré à 466 MFCFA** contre 18 595 MFCFA en 2024, soit une chute de **-97,5%** (rapport annuel 2025). Cette débâcle s'explique par la disparition des produits exceptionnels (résultat HAO de 382 MFCFA vs 18 863 MFCFA en 2024) et l'effondrement des produits financiers (545 MFCFA vs 6 170 MFCFA), conséquence de la cession de filiales en 2024. Les ratios de rentabilité sont **très faibles** : **ROE de 2,97%** (très en deçà du seuil de 15% d'excellence) et **ROA de 1,19%**, tandis que la **marge nette chute à 1,45%** (contre 60,6% en 2024, artificiellement gonflée). En tant qu'entreprise industrielle, les **délais d'exploitation sont préoccupants** : délai clients de **213,7 jours** (risque de trésorerie élevé), durée de stockage de **214,7 jours** (immobilisation de capital massive) et BFR de **11 529 MFCFA**, finançant difficilement l'activité. La structure financière reste toutefois **solvable** (autonomie financière de 40,1%, liquidité générale de 158,6%), mais la **trésorerie nette est négative à -11 528 MFCFA** et le ratio d'endettement atteint **97,6%**, signalant une tension de bilan.</w:t>
      </w:r>
    </w:p>
    <w:p>
      <w:pPr>
        <w:spacing w:after="120" w:line="276" w:lineRule="auto"/>
      </w:pPr>
      <w:r>
        <w:t>**Estimations issues des rapports trimestriels** — Le **rapport T1 2026 (publié en 2026)** révèle un **chiffre d'affaires de 8 901 MFCFA, en hausse spectaculaire de +55%** vs T1 2025, porté par la forte demande d'emballages cacao. Le **résultat d'exploitation redevient positif à 75 MFCFA** (contre -78 MFCFA un an plus tôt), mais le **résultat net reste déficitaire à -154 MFCFA** (marge nette de -1,73%). On estime donc que **l'exercice 2026 devrait bénéficier d'un net redressement opérationnel**, mais la rentabilité nette pourrait rester négative si les charges financières et hors exploitation persistent. Le **communiqué du 08/07/2026** rassure sur la continuité d'activité malgré l'arrêt de la filature (interdiction d'exportation de jute par le Bangladesh), avec une solution alternative d'importation de fil — un risque maîtrisé mais qui pèsera sur les coûts.</w:t>
      </w:r>
    </w:p>
    <w:p>
      <w:pPr>
        <w:spacing w:after="120" w:line="276" w:lineRule="auto"/>
      </w:pPr>
      <w:r>
        <w:t>**Recommandation fondamentale** — FTSC présente un **profil de retournement fragile mais non confirmé** : la croissance du CA (+55% au T1 2026) et le retour à un résultat d'exploitation positif sont encourageants, mais la **persistance des pertes nettes**, l'**absence de dividende** (0% de distribution en 2025) et les **risques exogènes** (matières premières, fret, géopolitique) incitent à la prudence. La solidité financière est **moyenne** (solvabilité correcte mais trésorerie tendue), et les perspectives dépendent largement de la campagne cacaoyère 2026/2027.</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une **divergence préoccupante** entre les signaux. **Valorisation (Partie 0)** : le PER de 60,4x et l'EV/EBITDA de 36,6x indiquent une **surévaluation manifeste** au regard des bénéfices 2025, bien que le P/B de 1,79x reste raisonnable — le marché anticipe un redressement non encore matérialisé. **Comportement du cours (Partie 1)** : la tendance baissière (-10,14% sur 100 jours) et la volatilité élevée (33,3%) sont **préoccupantes**, mais le kurtosis mésokurtique (-0,709) et le skewness symétrique (0,455) suggèrent l'absence de risque extrême. **Signaux techniques (Partie 2)** : la convergence baissière (MM, MACD en « Vente ») est tempérée par des signaux neutres (RSI proche de la survente, Stochastique indécis), plaidant pour une **stabilisation à court terme**. **Fondamentaux (Partie 3)** : la croissance du CA (+55% au T1 2026) et le retour à un résultat d'exploitation positif sont des **signaux positifs**, mais la perte nette persistante (-154 MFCFA) et la trésorerie négative (-11,5 Mds FCFA) maintiennent un **risque élevé**. **Prédictions IA (J+1 à J+10)** : la trajectoire projetée (1 963 → 1 907 FCFA, soit -4,4% supplémentaires) **confirme la tendance baissière** et contredit l'hypothèse d'un rebond immédiat.</w:t>
      </w:r>
    </w:p>
    <w:p>
      <w:pPr>
        <w:spacing w:after="120" w:line="276" w:lineRule="auto"/>
      </w:pPr>
      <w:r>
        <w:t>**Recommandation finale : CONSERVER** — La convergence entre la surévaluation (PER/EV-EBITDA), la tendance technique baissière et les prédictions IA négatives plaide contre un achat immédiat, tandis que l'amélioration opérationnelle du T1 2026 et la solvabilité correcte excluent une vente panique. **Niveau de confiance : Moyen** (les signaux sont cohérents mais le retournement fondamental reste fragile). **Niveau de risque global : Élevé** (volatilité 33,3%, trésorerie négative, dépendance au cacao). **Horizon d'investissement optimal : Moyen terme (3-12 mois)**, en attendant la confirmation de deux trimestres consécutifs de résultat net positif et une clarification de la politique de dividende — un passage à l'ACHAT serait justifié si ces conditions sont remplies, avec un objectif de cours autour de 2 200-2 300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77.80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4,604 titres</w:t>
            </w:r>
          </w:p>
        </w:tc>
        <w:tc>
          <w:tcPr>
            <w:tcW w:type="dxa" w:w="2268"/>
            <w:shd w:fill="FFF2CC" w:val="clear"/>
          </w:tcPr>
          <w:p>
            <w:r>
              <w:rPr>
                <w:b/>
                <w:color w:val="503200"/>
                <w:sz w:val="16"/>
              </w:rPr>
              <w:t xml:space="preserve">Cours actuel : </w:t>
            </w:r>
            <w:r>
              <w:rPr>
                <w:color w:val="000000"/>
                <w:sz w:val="17"/>
              </w:rPr>
              <w:t>3,890 FCFA</w:t>
            </w:r>
          </w:p>
          <w:p>
            <w:r>
              <w:rPr>
                <w:b/>
                <w:color w:val="503200"/>
                <w:sz w:val="16"/>
              </w:rPr>
              <w:t xml:space="preserve">Var. 100 jours : </w:t>
            </w:r>
            <w:r>
              <w:rPr>
                <w:b/>
                <w:color w:val="007800"/>
                <w:sz w:val="17"/>
              </w:rPr>
              <w:t>+1.17%</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μ=4,074 FCFA, σ=193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β=0.6971 (Défensif) — Cov=0.000048, Var(idx)=0.000068, ρ=0.220,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3,681</w:t>
            </w:r>
          </w:p>
        </w:tc>
        <w:tc>
          <w:tcPr>
            <w:tcW w:type="dxa" w:w="1440"/>
            <w:shd w:fill="FAFAFA" w:val="clear"/>
          </w:tcPr>
          <w:p>
            <w:r>
              <w:rPr>
                <w:b/>
                <w:sz w:val="17"/>
              </w:rPr>
              <w:t>3,915</w:t>
            </w:r>
          </w:p>
        </w:tc>
        <w:tc>
          <w:tcPr>
            <w:tcW w:type="dxa" w:w="1440"/>
            <w:shd w:fill="FAFAFA" w:val="clear"/>
          </w:tcPr>
          <w:p>
            <w:r>
              <w:rPr>
                <w:sz w:val="17"/>
              </w:rPr>
              <w:t>4,149</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3,633</w:t>
            </w:r>
          </w:p>
        </w:tc>
        <w:tc>
          <w:tcPr>
            <w:tcW w:type="dxa" w:w="1440"/>
            <w:shd w:fill="FAFAFA" w:val="clear"/>
          </w:tcPr>
          <w:p>
            <w:r>
              <w:rPr>
                <w:b/>
                <w:sz w:val="17"/>
              </w:rPr>
              <w:t>3,920</w:t>
            </w:r>
          </w:p>
        </w:tc>
        <w:tc>
          <w:tcPr>
            <w:tcW w:type="dxa" w:w="1440"/>
            <w:shd w:fill="FAFAFA" w:val="clear"/>
          </w:tcPr>
          <w:p>
            <w:r>
              <w:rPr>
                <w:sz w:val="17"/>
              </w:rPr>
              <w:t>4,207</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3,591</w:t>
            </w:r>
          </w:p>
        </w:tc>
        <w:tc>
          <w:tcPr>
            <w:tcW w:type="dxa" w:w="1440"/>
            <w:shd w:fill="FAFAFA" w:val="clear"/>
          </w:tcPr>
          <w:p>
            <w:r>
              <w:rPr>
                <w:b/>
                <w:sz w:val="17"/>
              </w:rPr>
              <w:t>3,922</w:t>
            </w:r>
          </w:p>
        </w:tc>
        <w:tc>
          <w:tcPr>
            <w:tcW w:type="dxa" w:w="1440"/>
            <w:shd w:fill="FAFAFA" w:val="clear"/>
          </w:tcPr>
          <w:p>
            <w:r>
              <w:rPr>
                <w:sz w:val="17"/>
              </w:rPr>
              <w:t>4,254</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3,555</w:t>
            </w:r>
          </w:p>
        </w:tc>
        <w:tc>
          <w:tcPr>
            <w:tcW w:type="dxa" w:w="1440"/>
            <w:shd w:fill="FAFAFA" w:val="clear"/>
          </w:tcPr>
          <w:p>
            <w:r>
              <w:rPr>
                <w:b/>
                <w:sz w:val="17"/>
              </w:rPr>
              <w:t>3,926</w:t>
            </w:r>
          </w:p>
        </w:tc>
        <w:tc>
          <w:tcPr>
            <w:tcW w:type="dxa" w:w="1440"/>
            <w:shd w:fill="FAFAFA" w:val="clear"/>
          </w:tcPr>
          <w:p>
            <w:r>
              <w:rPr>
                <w:sz w:val="17"/>
              </w:rPr>
              <w:t>4,296</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3,522</w:t>
            </w:r>
          </w:p>
        </w:tc>
        <w:tc>
          <w:tcPr>
            <w:tcW w:type="dxa" w:w="1440"/>
            <w:shd w:fill="FAFAFA" w:val="clear"/>
          </w:tcPr>
          <w:p>
            <w:r>
              <w:rPr>
                <w:b/>
                <w:sz w:val="17"/>
              </w:rPr>
              <w:t>3,928</w:t>
            </w:r>
          </w:p>
        </w:tc>
        <w:tc>
          <w:tcPr>
            <w:tcW w:type="dxa" w:w="1440"/>
            <w:shd w:fill="FAFAFA" w:val="clear"/>
          </w:tcPr>
          <w:p>
            <w:r>
              <w:rPr>
                <w:sz w:val="17"/>
              </w:rPr>
              <w:t>4,335</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3,491</w:t>
            </w:r>
          </w:p>
        </w:tc>
        <w:tc>
          <w:tcPr>
            <w:tcW w:type="dxa" w:w="1440"/>
            <w:shd w:fill="FAFAFA" w:val="clear"/>
          </w:tcPr>
          <w:p>
            <w:r>
              <w:rPr>
                <w:b/>
                <w:sz w:val="17"/>
              </w:rPr>
              <w:t>3,931</w:t>
            </w:r>
          </w:p>
        </w:tc>
        <w:tc>
          <w:tcPr>
            <w:tcW w:type="dxa" w:w="1440"/>
            <w:shd w:fill="FAFAFA" w:val="clear"/>
          </w:tcPr>
          <w:p>
            <w:r>
              <w:rPr>
                <w:sz w:val="17"/>
              </w:rPr>
              <w:t>4,370</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3,462</w:t>
            </w:r>
          </w:p>
        </w:tc>
        <w:tc>
          <w:tcPr>
            <w:tcW w:type="dxa" w:w="1440"/>
            <w:shd w:fill="FAFAFA" w:val="clear"/>
          </w:tcPr>
          <w:p>
            <w:r>
              <w:rPr>
                <w:b/>
                <w:sz w:val="17"/>
              </w:rPr>
              <w:t>3,932</w:t>
            </w:r>
          </w:p>
        </w:tc>
        <w:tc>
          <w:tcPr>
            <w:tcW w:type="dxa" w:w="1440"/>
            <w:shd w:fill="FAFAFA" w:val="clear"/>
          </w:tcPr>
          <w:p>
            <w:r>
              <w:rPr>
                <w:sz w:val="17"/>
              </w:rPr>
              <w:t>4,402</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3,434</w:t>
            </w:r>
          </w:p>
        </w:tc>
        <w:tc>
          <w:tcPr>
            <w:tcW w:type="dxa" w:w="1440"/>
            <w:shd w:fill="FAFAFA" w:val="clear"/>
          </w:tcPr>
          <w:p>
            <w:r>
              <w:rPr>
                <w:b/>
                <w:sz w:val="17"/>
              </w:rPr>
              <w:t>3,932</w:t>
            </w:r>
          </w:p>
        </w:tc>
        <w:tc>
          <w:tcPr>
            <w:tcW w:type="dxa" w:w="1440"/>
            <w:shd w:fill="FAFAFA" w:val="clear"/>
          </w:tcPr>
          <w:p>
            <w:r>
              <w:rPr>
                <w:sz w:val="17"/>
              </w:rPr>
              <w:t>4,431</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3,410</w:t>
            </w:r>
          </w:p>
        </w:tc>
        <w:tc>
          <w:tcPr>
            <w:tcW w:type="dxa" w:w="1440"/>
            <w:shd w:fill="FAFAFA" w:val="clear"/>
          </w:tcPr>
          <w:p>
            <w:r>
              <w:rPr>
                <w:b/>
                <w:sz w:val="17"/>
              </w:rPr>
              <w:t>3,936</w:t>
            </w:r>
          </w:p>
        </w:tc>
        <w:tc>
          <w:tcPr>
            <w:tcW w:type="dxa" w:w="1440"/>
            <w:shd w:fill="FAFAFA" w:val="clear"/>
          </w:tcPr>
          <w:p>
            <w:r>
              <w:rPr>
                <w:sz w:val="17"/>
              </w:rPr>
              <w:t>4,462</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77,80 Mds FCFA, LNBB se positionne comme une valeur de taille intermédiaire sur le compartiment des sociétés non bancaires de la BRVM, bénéficiant d'un flottant relativement concentré autour de l'État béninois. Le BPA de 231 FCFA/action indique que chaque titre génère près de 231 FCFA de bénéfice net, ce qui, rapporté au cours actuel de 3 890 FCFA, confère un PER de 16,8x — soit une prime notable par rapport à la moyenne du marché BRVM (généralement comprise entre 8 et 12x), traduisant une anticipation de croissance par le marché. Le P/B de 3,54x signale que les investisseurs valorisent l'entreprise à plus de trois fois sa valeur comptable, une prime de croissance cohérente avec la transformation digitale en cours. Enfin, l'EV/EBITDA de 9,8x, situé dans la fourchette raisonnable de 5-10x, suggère que la valeur d'entreprise reste globalement proportionnée à la capacité opérationnelle de génération de cash-flows, sans exubérance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de +1,17%, avec une progression de +0,65% sur la dernière séance (J-1), traduisant une dynamique légèrement positive mais sans élan marqué. Le cours actuel de 3 890 FCFA se situe dans la moitié basse du range de trading établi entre un plus bas de 3 700 FCFA et un plus haut de 4 560 FCFA, soit un écart de 860 FCFA (23% du plus bas) qui témoigne d'une amplitude de fluctuation significative. La tendance générale apparaît stable à légèrement haussière, le titre évoluant sous sa moyenne (4 074 FCFA) et sa médiane (4 050 FCFA), ce qui révèle une pression vendeuse récente. Les statistiques descriptives confirment cette configuration : l'écart entre moyenne (4 074 FCFA) et médiane (4 050 FCFA) est faible, indiquant une distribution quasi-symétrique, corroborée par un skewness de 0,447 (asymétrie positive modérée). L'écart-type de 194 FCFA avec un coefficient de variation de 4,8% traduit une dispersion modérée du cours autour de sa moyenne, tandis que le kurtosis de -0,801 (mésokurtique) suggère une distribution proche de la normale, sans risque de pics extrêmes prononcé. La volatilité annualisée de 41,3% classe ce titre dans la catégorie des valeurs à volatilité élevée (&gt;30%), ce qui implique un risque de prix non négligeable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3 970,75 FCFA et la MM50 à 4 103,9 FCFA, toutes deux supérieures au cours actuel de 3 890 FCFA. Cette configuration baissière (cours sous ses deux moyennes, avec MM20 &lt; MM50) confirme la décision technique de « Vente », le titre évoluant sous une pression baissière de court et moyen terme.</w:t>
      </w:r>
    </w:p>
    <w:p>
      <w:pPr>
        <w:spacing w:after="120" w:line="276" w:lineRule="auto"/>
      </w:pPr>
      <w:r>
        <w:t>**Bandes de Bollinger :** Le cours (3 890 FCFA) se situe dans la partie basse de la bande, entre la borne inférieure (3 773,338 FCFA) et la borne supérieure (4 168,162 FCFA), plus proche du support que de la résistance. Cette position médiane-basse, avec une décision « Neutre », indique l'absence de signal directionnel fort, le titre n'étant ni en surachat ni en survente technique.</w:t>
      </w:r>
    </w:p>
    <w:p>
      <w:pPr>
        <w:spacing w:after="120" w:line="276" w:lineRule="auto"/>
      </w:pPr>
      <w:r>
        <w:t>**MACD :** La valeur du MACD (-55,022) est inférieure à son signal (-50,618), générant un histogramme négatif qui traduit un momentum baissier persistant. La décision « Vente » confirme que la dynamique de court terme reste défavorable, le croisement MACD/signal étant en territoire négatif.</w:t>
      </w:r>
    </w:p>
    <w:p>
      <w:pPr>
        <w:spacing w:after="120" w:line="276" w:lineRule="auto"/>
      </w:pPr>
      <w:r>
        <w:t>**RSI :** À 44,86, le RSI se situe en zone neutre (entre 30 et 70), sans signal de surachat ni de survente. Cette valeur légèrement sous la barre des 50 indique une faiblesse relative de la pression acheteuse, justifiant la décision « Neutre » sans urgence de vente.</w:t>
      </w:r>
    </w:p>
    <w:p>
      <w:pPr>
        <w:spacing w:after="120" w:line="276" w:lineRule="auto"/>
      </w:pPr>
      <w:r>
        <w:t>**Stochastique :** Le %K (47,5) est légèrement supérieur au %D (46,25), sans croisement significatif ni divergence marquée. La décision « Neutre » reflète l'absence de signal clair, le titre évoluant dans une zone médiane sans momentum directionnel affirmé.</w:t>
      </w:r>
    </w:p>
    <w:p>
      <w:pPr>
        <w:spacing w:after="120" w:line="276" w:lineRule="auto"/>
      </w:pPr>
      <w:r>
        <w:t>**Conclusion technique :** La convergence des signaux baissiers (MM, MACD) et neutres (Bollinger, RSI, Stochastique) dessine un tableau technique globalement défavorable à court terme. Le titre est sous pression, sans être en zone de survente extrême, ce qui suggère une poursuite possible de la consolidation baissière avant tout rebond technique. L'absence de signal d'achat fort invite à la prudence.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LNBB a réalisé un chiffre d'affaires de 98,598 Mds FCFA, en recul de -3,85% par rapport à 2024, sous l'effet d'une concurrence illégale accrue. Le résultat net s'établit à 4,622 Mds FCFA, avec une marge nette de 4,69% et une marge opérationnelle de 6,47%. La rentabilité des fonds propres (ROE) atteint 21,05%, un niveau excellent (&gt;15%), et le ROA de 14,17% témoigne d'une utilisation efficace des actifs. La structure financière est très saine : autonomie financière de 67,32%, ratio d'endettement de seulement 2,57%, et une trésorerie nette positive de 7,979 Mds FCFA. Le BFR est quasi nul (217,45 M FCFA), avec des délais clients très courts (4,82 jours) et des délais fournisseurs de 20,41 jours, traduisant une gestion rigoureuse du besoin en fonds de roulement. La rotation des actifs est élevée (302,37%), signe d'une forte intensité commerciale.</w:t>
      </w:r>
    </w:p>
    <w:p>
      <w:pPr>
        <w:spacing w:after="120" w:line="276" w:lineRule="auto"/>
      </w:pPr>
      <w:r>
        <w:t>**Estimations basées sur les rapports trimestriels :** Le rapport du T1 2026 (publié le 12/06/2026) indique un CA de 25,521 Mds FCFA (+6%) mais un résultat net en chute de -46% à 848 M FCFA, en raison d'un mix produit défavorable (pari sportif à 95% de taux de retour). Toutefois, le rapport du S1 2026 (publié le 01/08/2026) révèle un redressement spectaculaire : le résultat net progresse de +60% et le résultat d'exploitation de +40%, grâce à la maîtrise des charges et aux revenus de partenariats B2B. On estime donc que l'exercice 2026 devrait afficher une amélioration de la rentabilité nette, malgré la pression sur le Produit Brut des Jeux (-9% au S1). Le dividende brut proposé de 173 FCFA/action (net 164 FCFA, payable le 02/08/2026) offre un rendement d'environ 4,4% au cours actuel, confirmant une politique de distribution généreuse (~80% du résultat net).</w:t>
      </w:r>
    </w:p>
    <w:p>
      <w:pPr>
        <w:spacing w:after="120" w:line="276" w:lineRule="auto"/>
      </w:pPr>
      <w:r>
        <w:t>**Recommandation fondamentale :** La solidité financière (ROE 21%, trésorerie nette positive, endettement quasi nul) et le potentiel de redressement opérationnel (S1 2026 : RN +60%) constituent des atouts majeurs. Les risques persistent toutefois : concurrence illégale, dépendance au pari sportif à faible marge, et visibilité limitée sur la pérennité des revenus de partenariats. La recommandation fondamentale est **CONSERVER**, avec un biais positif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16,8x et le P/B de 3,54x indiquent une valorisation exigeante, bien au-dessus de la moyenne BRVM, mais justifiée par la qualité des fondamentaux et les perspectives de croissance digitale ; l'EV/EBITDA de 9,8x reste raisonnable. **Comportement du cours (Partie 1)** : la tendance est stable (+1,17% sur 100 jours), avec une volatilité élevée (41,3%) et une distribution symétrique (skewness 0,447, kurtosis -0,801), sans risque de pics extrêmes, mais le titre évolue sous ses moyennes. **Signaux techniques (Partie 2)** : la convergence baissière (MM, MACD) et neutre (Bollinger, RSI, Stochastique) plaide pour une prudence à court terme, sans signal d'achat. **Fondamentaux (Partie 3)** : la solidité financière (ROE 21%, trésorerie nette 7,98 Mds FCFA) et le redressement du S1 2026 (RN +60%) sont des arguments haussiers de moyen terme, mais les risques de marge et de concurrence persistent. **Prédictions IA (J+1 à J+10)** : la trajectoire projetée (3 915 → 3 928 FCFA) anticipe une légère hausse de +0,98% sur 10 jours, en contradiction avec les signaux techniques baissiers, mais cohérente avec le potentiel de rebond fondamental.</w:t>
      </w:r>
    </w:p>
    <w:p>
      <w:pPr>
        <w:spacing w:after="120" w:line="276" w:lineRule="auto"/>
      </w:pPr>
      <w:r>
        <w:t>**Recommandation finale : CONSERVER.** La convergence entre valorisation exigeante, technique baissière et fondamentaux solides mais sous pression justifie une position d'attente. Les prédictions IA, bien que légèrement haussières, ne suffisent pas à compenser les signaux techniques négatifs. **Niveau de confiance : Moyen** (les rapports trimestriels divergent entre T1 négatif et S1 positif). **Niveau de risque global : Moyen à Élevé** (volatilité 41,3%, concurrence sectorielle). **Horizon d'investissement optimal : Moyen terme (3-12 mois)**, en attendant la confirmation de la stabilisation du Produit Brut des Jeux et la pérennité des revenus de partenariats au S2 2026. Un renforcement pourra être envisagé si le titre revient vers 3 700-3 750 FCFA (support technique) avec confirmation d'un redressement durable des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2,654 titres</w:t>
            </w:r>
          </w:p>
        </w:tc>
        <w:tc>
          <w:tcPr>
            <w:tcW w:type="dxa" w:w="2268"/>
            <w:shd w:fill="FFF2CC" w:val="clear"/>
          </w:tcPr>
          <w:p>
            <w:r>
              <w:rPr>
                <w:b/>
                <w:color w:val="503200"/>
                <w:sz w:val="16"/>
              </w:rPr>
              <w:t xml:space="preserve">Cours actuel : </w:t>
            </w:r>
            <w:r>
              <w:rPr>
                <w:color w:val="000000"/>
                <w:sz w:val="17"/>
              </w:rPr>
              <w:t>2,245 FCFA</w:t>
            </w:r>
          </w:p>
          <w:p>
            <w:r>
              <w:rPr>
                <w:b/>
                <w:color w:val="503200"/>
                <w:sz w:val="16"/>
              </w:rPr>
              <w:t xml:space="preserve">Var. 100 jours : </w:t>
            </w:r>
            <w:r>
              <w:rPr>
                <w:b/>
                <w:color w:val="007800"/>
                <w:sz w:val="17"/>
              </w:rPr>
              <w:t>+28.65%</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1,745 FCFA</w:t>
            </w:r>
          </w:p>
          <w:p>
            <w:r>
              <w:rPr>
                <w:b/>
                <w:color w:val="503200"/>
                <w:sz w:val="16"/>
              </w:rPr>
              <w:t xml:space="preserve">Volatilité ann. : </w:t>
            </w:r>
            <w:r>
              <w:rPr>
                <w:color w:val="000000"/>
                <w:sz w:val="17"/>
              </w:rPr>
              <w:t>54.2%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12.97% (Moyenne) — μ=2,299 FCFA, σ=298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β=0.0457 (Défensif) — Cov=0.000003, Var(idx)=0.000068, ρ=0.011,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2,008</w:t>
            </w:r>
          </w:p>
        </w:tc>
        <w:tc>
          <w:tcPr>
            <w:tcW w:type="dxa" w:w="1440"/>
            <w:shd w:fill="FAFAFA" w:val="clear"/>
          </w:tcPr>
          <w:p>
            <w:r>
              <w:rPr>
                <w:b/>
                <w:sz w:val="17"/>
              </w:rPr>
              <w:t>2,217</w:t>
            </w:r>
          </w:p>
        </w:tc>
        <w:tc>
          <w:tcPr>
            <w:tcW w:type="dxa" w:w="1440"/>
            <w:shd w:fill="FAFAFA" w:val="clear"/>
          </w:tcPr>
          <w:p>
            <w:r>
              <w:rPr>
                <w:sz w:val="17"/>
              </w:rPr>
              <w:t>2,426</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1,948</w:t>
            </w:r>
          </w:p>
        </w:tc>
        <w:tc>
          <w:tcPr>
            <w:tcW w:type="dxa" w:w="1440"/>
            <w:shd w:fill="FAFAFA" w:val="clear"/>
          </w:tcPr>
          <w:p>
            <w:r>
              <w:rPr>
                <w:b/>
                <w:sz w:val="17"/>
              </w:rPr>
              <w:t>2,203</w:t>
            </w:r>
          </w:p>
        </w:tc>
        <w:tc>
          <w:tcPr>
            <w:tcW w:type="dxa" w:w="1440"/>
            <w:shd w:fill="FAFAFA" w:val="clear"/>
          </w:tcPr>
          <w:p>
            <w:r>
              <w:rPr>
                <w:sz w:val="17"/>
              </w:rPr>
              <w:t>2,457</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1,897</w:t>
            </w:r>
          </w:p>
        </w:tc>
        <w:tc>
          <w:tcPr>
            <w:tcW w:type="dxa" w:w="1440"/>
            <w:shd w:fill="FFDCE0" w:val="clear"/>
          </w:tcPr>
          <w:p>
            <w:r>
              <w:rPr>
                <w:b/>
                <w:sz w:val="17"/>
              </w:rPr>
              <w:t>2,188</w:t>
            </w:r>
          </w:p>
        </w:tc>
        <w:tc>
          <w:tcPr>
            <w:tcW w:type="dxa" w:w="1440"/>
            <w:shd w:fill="FFDCE0" w:val="clear"/>
          </w:tcPr>
          <w:p>
            <w:r>
              <w:rPr>
                <w:sz w:val="17"/>
              </w:rPr>
              <w:t>2,480</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1,850</w:t>
            </w:r>
          </w:p>
        </w:tc>
        <w:tc>
          <w:tcPr>
            <w:tcW w:type="dxa" w:w="1440"/>
            <w:shd w:fill="FFDCE0" w:val="clear"/>
          </w:tcPr>
          <w:p>
            <w:r>
              <w:rPr>
                <w:b/>
                <w:sz w:val="17"/>
              </w:rPr>
              <w:t>2,174</w:t>
            </w:r>
          </w:p>
        </w:tc>
        <w:tc>
          <w:tcPr>
            <w:tcW w:type="dxa" w:w="1440"/>
            <w:shd w:fill="FFDCE0" w:val="clear"/>
          </w:tcPr>
          <w:p>
            <w:r>
              <w:rPr>
                <w:sz w:val="17"/>
              </w:rPr>
              <w:t>2,498</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1,808</w:t>
            </w:r>
          </w:p>
        </w:tc>
        <w:tc>
          <w:tcPr>
            <w:tcW w:type="dxa" w:w="1440"/>
            <w:shd w:fill="FFDCE0" w:val="clear"/>
          </w:tcPr>
          <w:p>
            <w:r>
              <w:rPr>
                <w:b/>
                <w:sz w:val="17"/>
              </w:rPr>
              <w:t>2,161</w:t>
            </w:r>
          </w:p>
        </w:tc>
        <w:tc>
          <w:tcPr>
            <w:tcW w:type="dxa" w:w="1440"/>
            <w:shd w:fill="FFDCE0" w:val="clear"/>
          </w:tcPr>
          <w:p>
            <w:r>
              <w:rPr>
                <w:sz w:val="17"/>
              </w:rPr>
              <w:t>2,513</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1,769</w:t>
            </w:r>
          </w:p>
        </w:tc>
        <w:tc>
          <w:tcPr>
            <w:tcW w:type="dxa" w:w="1440"/>
            <w:shd w:fill="FFDCE0" w:val="clear"/>
          </w:tcPr>
          <w:p>
            <w:r>
              <w:rPr>
                <w:b/>
                <w:sz w:val="17"/>
              </w:rPr>
              <w:t>2,148</w:t>
            </w:r>
          </w:p>
        </w:tc>
        <w:tc>
          <w:tcPr>
            <w:tcW w:type="dxa" w:w="1440"/>
            <w:shd w:fill="FFDCE0" w:val="clear"/>
          </w:tcPr>
          <w:p>
            <w:r>
              <w:rPr>
                <w:sz w:val="17"/>
              </w:rPr>
              <w:t>2,527</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1,733</w:t>
            </w:r>
          </w:p>
        </w:tc>
        <w:tc>
          <w:tcPr>
            <w:tcW w:type="dxa" w:w="1440"/>
            <w:shd w:fill="FFDCE0" w:val="clear"/>
          </w:tcPr>
          <w:p>
            <w:r>
              <w:rPr>
                <w:b/>
                <w:sz w:val="17"/>
              </w:rPr>
              <w:t>2,136</w:t>
            </w:r>
          </w:p>
        </w:tc>
        <w:tc>
          <w:tcPr>
            <w:tcW w:type="dxa" w:w="1440"/>
            <w:shd w:fill="FFDCE0" w:val="clear"/>
          </w:tcPr>
          <w:p>
            <w:r>
              <w:rPr>
                <w:sz w:val="17"/>
              </w:rPr>
              <w:t>2,538</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1,699</w:t>
            </w:r>
          </w:p>
        </w:tc>
        <w:tc>
          <w:tcPr>
            <w:tcW w:type="dxa" w:w="1440"/>
            <w:shd w:fill="FFDCE0" w:val="clear"/>
          </w:tcPr>
          <w:p>
            <w:r>
              <w:rPr>
                <w:b/>
                <w:sz w:val="17"/>
              </w:rPr>
              <w:t>2,124</w:t>
            </w:r>
          </w:p>
        </w:tc>
        <w:tc>
          <w:tcPr>
            <w:tcW w:type="dxa" w:w="1440"/>
            <w:shd w:fill="FFDCE0" w:val="clear"/>
          </w:tcPr>
          <w:p>
            <w:r>
              <w:rPr>
                <w:sz w:val="17"/>
              </w:rPr>
              <w:t>2,548</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1,667</w:t>
            </w:r>
          </w:p>
        </w:tc>
        <w:tc>
          <w:tcPr>
            <w:tcW w:type="dxa" w:w="1440"/>
            <w:shd w:fill="FFDCE0" w:val="clear"/>
          </w:tcPr>
          <w:p>
            <w:r>
              <w:rPr>
                <w:b/>
                <w:sz w:val="17"/>
              </w:rPr>
              <w:t>2,113</w:t>
            </w:r>
          </w:p>
        </w:tc>
        <w:tc>
          <w:tcPr>
            <w:tcW w:type="dxa" w:w="1440"/>
            <w:shd w:fill="FFDCE0" w:val="clear"/>
          </w:tcPr>
          <w:p>
            <w:r>
              <w:rPr>
                <w:sz w:val="17"/>
              </w:rPr>
              <w:t>2,558</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et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28,66 milliards FCFA, NEIC se positionne comme une valeur de taille moyenne sur le marché BRVM, ce qui reste modeste à l'échelle régionale mais significatif pour le secteur de l'édition. Le BPA de 160 FCFA/action indique que chaque titre génère 160 FCFA de bénéfice net, un niveau appréciable qui traduit la capacité bénéficiaire de la société. Le PER de 14,1x se situe au-dessus de la moyenne BRVM (généralement comprise entre 8 et 12x), signalant que les investisseurs paient une prime modérée pour les bénéfices, ce qui suggère une anticipation de croissance mais aussi une valorisation raisonnablement tendue. Le P/B de 4,98x est particulièrement exigeant : le marché valorise la société à près de 5 fois sa valeur comptable, ce qui implique une forte prime liée aux actifs incorporels (notoriété, catalogue éditorial) ou à une anticipation de rentabilité future élevée. Enfin, l'EV/EBITDA de 20,8x, très supérieur au seuil de 15x, confirme une valorisation tendue par rapport à la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progression remarquable de +28,65%, portant le cours à 2 245 FCFA, malgré un repli de -2,39% lors de la dernière séance. Le range de trading est particulièrement large, avec un plus haut à 3 000 FCFA et un plus bas à 1 745 FCFA, soit une amplitude de plus de 70%, ce qui témoigne d'une forte volatilité et d'un intérêt marqué des investisseurs. La tendance générale est haussière, mais le repli récent depuis le sommet de 3 000 FCFA suggère une phase de consolidation ou de prise de bénéfices. Les statistiques descriptives révèlent une moyenne de 2 299 FCFA légèrement supérieure à la médiane de 2 272 FCFA, avec un mode à 1 990 FCFA : cet écart indique une distribution asymétrique où les cours élevés tirent la moyenne vers le haut, tandis que le skewness positif de 0,834 confirme cette asymétrie avec davantage de journées sous la moyenne. L'écart-type de 300 FCFA (CV de 13,0%) traduit une dispersion modérée autour de la moyenne, et le kurtosis de 0,245 (mésokurtique) suggère une distribution proche de la normale, sans risque excessif de pics extrêmes. La volatilité annualisée de 54,2% classe ce titre dans la catégorie des valeurs à volatilité élevée (&gt;30%), ce qui implique un risque significatif mais aussi des opportunités de rendement accrues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2 578,5 FCFA et la MM50 à 2 480,2 FCFA, toutes deux supérieures au cours actuel de 2 245 FCFA. Cette configuration indique que le titre évolue sous ses moyennes mobiles, ce qui est généralement un signal baissier à court terme. Cependant, la décision technique affichée est "Achat", probablement en anticipation d'un rebond technique après la correction récente, ou parce que la MM50 reste supérieure à la MM20, suggérant une tendance de fond encore haussière.</w:t>
      </w:r>
    </w:p>
    <w:p>
      <w:pPr>
        <w:spacing w:after="120" w:line="276" w:lineRule="auto"/>
      </w:pPr>
      <w:r>
        <w:t>**Bandes de Bollinger** : La borne supérieure est à 3 067,1 FCFA et la borne inférieure à 2 089,9 FCFA, avec un cours actuel de 2 245 FCFA. Le titre se situe dans la partie basse de la bande, sans être en zone de survente extrême, ce qui explique la décision "Neutre". La largeur des bandes (écart de près de 1 000 FCFA) reflète la forte volatilité du titre, et un retour vers la borne inférieure pourrait constituer une opportunité d'achat pour les investisseurs contrariants.</w:t>
      </w:r>
    </w:p>
    <w:p>
      <w:pPr>
        <w:spacing w:after="120" w:line="276" w:lineRule="auto"/>
      </w:pPr>
      <w:r>
        <w:t>**MACD** : La valeur du MACD est de -83,047, inférieure à son signal de -32,524, ce qui confirme un momentum baissier à court terme. La divergence négative entre le MACD et son signal justifie la décision "Vente", indiquant que la pression vendeuse reste dominante et qu'un retournement de tendance n'est pas encore confirmé.</w:t>
      </w:r>
    </w:p>
    <w:p>
      <w:pPr>
        <w:spacing w:after="120" w:line="276" w:lineRule="auto"/>
      </w:pPr>
      <w:r>
        <w:t>**RSI** : Le RSI s'établit à 22,404, un niveau nettement inférieur au seuil de survente de 30. Cette lecture signale que le titre est techniquement survendu, ce qui justifie la décision "Achat" : historiquement, un RSI aussi bas précède souvent un rebond technique, bien que la tendance baissière puisse persister si les fondamentaux ne suivent pas.</w:t>
      </w:r>
    </w:p>
    <w:p>
      <w:pPr>
        <w:spacing w:after="120" w:line="276" w:lineRule="auto"/>
      </w:pPr>
      <w:r>
        <w:t>**Stochastique** : Le %K et le %D sont tous deux à 0,0, indiquant que le cours se situe au plus bas de sa fourchette récente. Cette configuration extrême est un signal d'achat puissant selon l'indicateur, car elle suggère que la pression vendeuse est à son paroxysme et qu'un retournement est imminent. La décision "Achat" est donc cohérente avec cette lecture.</w:t>
      </w:r>
    </w:p>
    <w:p>
      <w:pPr>
        <w:spacing w:after="120" w:line="276" w:lineRule="auto"/>
      </w:pPr>
      <w:r>
        <w:t>**Conclusion technique** : Les indicateurs techniques présentent un tableau contrasté. D'un côté, le MACD confirme une dynamique baissière à court terme, et le cours évolue sous ses moyennes mobiles. De l'autre, le RSI en zone de survente et le stochastique à 0,0 signalent un potentiel rebond technique imminent. La décision globale est donc mitigée : les indicateurs de momentum (MACD) plaident pour la prudence, tandis que les indicateurs de survente (RSI, Stochastique) suggèrent une opportunité d'achat contrariante. Une confirmation par un retournement du MACD ou une cassure de la MM20 serait nécessaire pour valider un signal haussier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(source : brvm_donnees_financieres) révèlent une situation financière exceptionnelle pour NEI-CEDA CI. Le chiffre d'affaires s'établit à 5,139 milliards FCFA, en baisse de -23,8% par rapport à l'exercice précédent, ce qui traduit un net ralentissement de l'activité commerciale. Cependant, le résultat net atteint 2,037 milliards FCFA, générant une marge nette exceptionnelle de 39,63%, un niveau remarquable qui mérite d'être nuancé : selon le rapport du T3 2025 (daté du 30 septembre 2025), ce bénéfice est majoritairement dû à la reprise d'une provision pour redressement fiscal constituée en 2024, un élément non récurrent qui gonfle artificiellement la performance. Le ROE de 35,39% et le ROA de 27,25% placent la société parmi les plus rentables de la cote, mais ces ratios sont également affectés par l'effet exceptionnel. La structure financière est solide : l'autonomie financière de 77,01% (capitaux propres/total bilan) et la solvabilité générale de 435,02% témoignent d'un bilan sain, avec une trésorerie nette de 4,196 milliards FCFA. Le BFR de 1,498 milliard FCFA est positif, ce qui signifie que la société finance son cycle d'exploitation, mais le délai client élevé de 154,72 jours constitue un risque de trésorerie important, reflétant des créances clients de 2,209 milliards FCFA. Le délai fournisseurs de 69,56 jours et la durée de stockage de 54,49 jours complètent ce tableau. Les rapports trimestriels récents confirment la dichotomie : le T1 2026 (rapport daté de 2026) montre un chiffre d'affaires en forte croissance de +137% à 115,1 millions FCFA, mais une perte nette persistante de -168,9 millions FCFA, en amélioration par rapport aux -189,9 millions FCFA du T1 2025. Le rapport du T3 2025 (daté du 30 septembre 2025) indiquait déjà un CA en baisse de -35% à 3 406 millions FCFA, avec un résultat net exceptionnel de 1 596 millions FCFA dû à la reprise de provision. Le rapport annuel 2025 (daté de 2025) mentionne un dividende généreux de 2,04 milliards FCFA, équivalent à 100% du résultat net, ce qui limite la capacité d'autofinancement. En synthèse, la société présente une rentabilité apparente exceptionnelle mais dopée par des éléments non récurrents, une structure financière solide, mais une activité commerciale en recul et des pertes opérationnelles persistantes au T1 2026. La recommandation fondamentale est donc prudente : la solidité du bilan et la trésorerie abondante sont des atouts, mais la durabilité de la performance et la capacité à redresser l'activité opérationnelle restent incertaines.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 PER de 14,1x et le P/B de 4,98x indiquent une valorisation tendue, voire surévaluée, surtout au regard de l'EV/EBITDA de 20,8x qui laisse peu de marge de sécurité. Le comportement du cours (Partie 1) est haussier sur 100 jours (+28,65%) mais avec une volatilité élevée (54,2%) et une asymétrie positive (skewness de 0,834) qui suggère que les hausses ont été plus fréquentes que les baisses, bien que le repli récent de -2,39% et la position sous les moyennes mobiles tempèrent cet optimisme. Les signaux techniques (Partie 2) sont divergents : le MACD est baissier, mais le RSI en survente (22,4) et le stochastique à 0,0 plaident pour un rebond à court terme, ce qui crée une opportunité contrariante mais risquée. Les fondamentaux (Partie 3) sont solides en apparence (ROE de 35,39%, trésorerie de 4,196 milliards FCFA), mais la qualité des bénéfices est questionable en raison de l'effet non récurrent de la reprise de provision, et l'activité commerciale montre des signes de faiblesse (CA en baisse de -23,8% en 2025, pertes opérationnelles persistantes au T1 2026). Les prédictions IA (J+1 à J+10) anticipent une poursuite de la baisse jusqu'à 2 161 FCFA, ce qui contredit les signaux de survente technique et suggère que la pression baissière pourrait persister à court terme. **Recommandation finale : CONSERVER**, avec un niveau de confiance **Moyen** et un risque global **Élevé**. La convergence entre la valorisation tendue, la faiblesse des fondamentaux opérationnels et les prédictions baissières l'emporte sur les signaux techniques de rebond, qui restent fragiles. L'horizon d'investissement optimal est le **moyen terme (3-12 mois)**, en attendant des signes concrets de redressement de l'activité commerciale et une clarification sur la durabilité des bénéfices. Les investisseurs déjà positionnés peuvent conserver leurs titres en surveillant les prochains rapports trimestriels, tandis que les nouveaux entrants devraient attendre une confirmation de la reprise opérationnelle avant d'investir.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544.16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2,831 titres</w:t>
            </w:r>
          </w:p>
        </w:tc>
        <w:tc>
          <w:tcPr>
            <w:tcW w:type="dxa" w:w="2268"/>
            <w:shd w:fill="FFF2CC" w:val="clear"/>
          </w:tcPr>
          <w:p>
            <w:r>
              <w:rPr>
                <w:b/>
                <w:color w:val="503200"/>
                <w:sz w:val="16"/>
              </w:rPr>
              <w:t xml:space="preserve">Cours actuel : </w:t>
            </w:r>
            <w:r>
              <w:rPr>
                <w:color w:val="000000"/>
                <w:sz w:val="17"/>
              </w:rPr>
              <w:t>22,000 FCFA</w:t>
            </w:r>
          </w:p>
          <w:p>
            <w:r>
              <w:rPr>
                <w:b/>
                <w:color w:val="503200"/>
                <w:sz w:val="16"/>
              </w:rPr>
              <w:t xml:space="preserve">Var. 100 jours : </w:t>
            </w:r>
            <w:r>
              <w:rPr>
                <w:b/>
                <w:color w:val="007800"/>
                <w:sz w:val="17"/>
              </w:rPr>
              <w:t>+57.03%</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12.64% (Moyenne) — μ=21,152 FCFA, σ=2,674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β=1.4750 (Agressif) — Cov=0.000101, Var(idx)=0.000068, ρ=0.464,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19,942</w:t>
            </w:r>
          </w:p>
        </w:tc>
        <w:tc>
          <w:tcPr>
            <w:tcW w:type="dxa" w:w="1440"/>
            <w:shd w:fill="FFDCE0" w:val="clear"/>
          </w:tcPr>
          <w:p>
            <w:r>
              <w:rPr>
                <w:b/>
                <w:sz w:val="17"/>
              </w:rPr>
              <w:t>21,288</w:t>
            </w:r>
          </w:p>
        </w:tc>
        <w:tc>
          <w:tcPr>
            <w:tcW w:type="dxa" w:w="1440"/>
            <w:shd w:fill="FFDCE0" w:val="clear"/>
          </w:tcPr>
          <w:p>
            <w:r>
              <w:rPr>
                <w:sz w:val="17"/>
              </w:rPr>
              <w:t>22,635</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19,412</w:t>
            </w:r>
          </w:p>
        </w:tc>
        <w:tc>
          <w:tcPr>
            <w:tcW w:type="dxa" w:w="1440"/>
            <w:shd w:fill="FFDCE0" w:val="clear"/>
          </w:tcPr>
          <w:p>
            <w:r>
              <w:rPr>
                <w:b/>
                <w:sz w:val="17"/>
              </w:rPr>
              <w:t>21,042</w:t>
            </w:r>
          </w:p>
        </w:tc>
        <w:tc>
          <w:tcPr>
            <w:tcW w:type="dxa" w:w="1440"/>
            <w:shd w:fill="FFDCE0" w:val="clear"/>
          </w:tcPr>
          <w:p>
            <w:r>
              <w:rPr>
                <w:sz w:val="17"/>
              </w:rPr>
              <w:t>22,672</w:t>
            </w:r>
          </w:p>
        </w:tc>
        <w:tc>
          <w:tcPr>
            <w:tcW w:type="dxa" w:w="1440"/>
            <w:shd w:fill="FFDCE0" w:val="clear"/>
          </w:tcPr>
          <w:p>
            <w:r>
              <w:rPr>
                <w:b/>
                <w:color w:val="C00000"/>
                <w:sz w:val="17"/>
              </w:rPr>
              <w:t>-4.4%</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18,953</w:t>
            </w:r>
          </w:p>
        </w:tc>
        <w:tc>
          <w:tcPr>
            <w:tcW w:type="dxa" w:w="1440"/>
            <w:shd w:fill="FFDCE0" w:val="clear"/>
          </w:tcPr>
          <w:p>
            <w:r>
              <w:rPr>
                <w:b/>
                <w:sz w:val="17"/>
              </w:rPr>
              <w:t>20,815</w:t>
            </w:r>
          </w:p>
        </w:tc>
        <w:tc>
          <w:tcPr>
            <w:tcW w:type="dxa" w:w="1440"/>
            <w:shd w:fill="FFDCE0" w:val="clear"/>
          </w:tcPr>
          <w:p>
            <w:r>
              <w:rPr>
                <w:sz w:val="17"/>
              </w:rPr>
              <w:t>22,677</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18,534</w:t>
            </w:r>
          </w:p>
        </w:tc>
        <w:tc>
          <w:tcPr>
            <w:tcW w:type="dxa" w:w="1440"/>
            <w:shd w:fill="FFDCE0" w:val="clear"/>
          </w:tcPr>
          <w:p>
            <w:r>
              <w:rPr>
                <w:b/>
                <w:sz w:val="17"/>
              </w:rPr>
              <w:t>20,594</w:t>
            </w:r>
          </w:p>
        </w:tc>
        <w:tc>
          <w:tcPr>
            <w:tcW w:type="dxa" w:w="1440"/>
            <w:shd w:fill="FFDCE0" w:val="clear"/>
          </w:tcPr>
          <w:p>
            <w:r>
              <w:rPr>
                <w:sz w:val="17"/>
              </w:rPr>
              <w:t>22,653</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18,145</w:t>
            </w:r>
          </w:p>
        </w:tc>
        <w:tc>
          <w:tcPr>
            <w:tcW w:type="dxa" w:w="1440"/>
            <w:shd w:fill="FFDCE0" w:val="clear"/>
          </w:tcPr>
          <w:p>
            <w:r>
              <w:rPr>
                <w:b/>
                <w:sz w:val="17"/>
              </w:rPr>
              <w:t>20,377</w:t>
            </w:r>
          </w:p>
        </w:tc>
        <w:tc>
          <w:tcPr>
            <w:tcW w:type="dxa" w:w="1440"/>
            <w:shd w:fill="FFDCE0" w:val="clear"/>
          </w:tcPr>
          <w:p>
            <w:r>
              <w:rPr>
                <w:sz w:val="17"/>
              </w:rPr>
              <w:t>22,609</w:t>
            </w:r>
          </w:p>
        </w:tc>
        <w:tc>
          <w:tcPr>
            <w:tcW w:type="dxa" w:w="1440"/>
            <w:shd w:fill="FFDCE0" w:val="clear"/>
          </w:tcPr>
          <w:p>
            <w:r>
              <w:rPr>
                <w:b/>
                <w:color w:val="C00000"/>
                <w:sz w:val="17"/>
              </w:rPr>
              <w:t>-7.4%</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17,778</w:t>
            </w:r>
          </w:p>
        </w:tc>
        <w:tc>
          <w:tcPr>
            <w:tcW w:type="dxa" w:w="1440"/>
            <w:shd w:fill="FFDCE0" w:val="clear"/>
          </w:tcPr>
          <w:p>
            <w:r>
              <w:rPr>
                <w:b/>
                <w:sz w:val="17"/>
              </w:rPr>
              <w:t>20,164</w:t>
            </w:r>
          </w:p>
        </w:tc>
        <w:tc>
          <w:tcPr>
            <w:tcW w:type="dxa" w:w="1440"/>
            <w:shd w:fill="FFDCE0" w:val="clear"/>
          </w:tcPr>
          <w:p>
            <w:r>
              <w:rPr>
                <w:sz w:val="17"/>
              </w:rPr>
              <w:t>22,550</w:t>
            </w:r>
          </w:p>
        </w:tc>
        <w:tc>
          <w:tcPr>
            <w:tcW w:type="dxa" w:w="1440"/>
            <w:shd w:fill="FFDCE0" w:val="clear"/>
          </w:tcPr>
          <w:p>
            <w:r>
              <w:rPr>
                <w:b/>
                <w:color w:val="C00000"/>
                <w:sz w:val="17"/>
              </w:rPr>
              <w:t>-8.3%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17,430</w:t>
            </w:r>
          </w:p>
        </w:tc>
        <w:tc>
          <w:tcPr>
            <w:tcW w:type="dxa" w:w="1440"/>
            <w:shd w:fill="FFDCE0" w:val="clear"/>
          </w:tcPr>
          <w:p>
            <w:r>
              <w:rPr>
                <w:b/>
                <w:sz w:val="17"/>
              </w:rPr>
              <w:t>19,954</w:t>
            </w:r>
          </w:p>
        </w:tc>
        <w:tc>
          <w:tcPr>
            <w:tcW w:type="dxa" w:w="1440"/>
            <w:shd w:fill="FFDCE0" w:val="clear"/>
          </w:tcPr>
          <w:p>
            <w:r>
              <w:rPr>
                <w:sz w:val="17"/>
              </w:rPr>
              <w:t>22,478</w:t>
            </w:r>
          </w:p>
        </w:tc>
        <w:tc>
          <w:tcPr>
            <w:tcW w:type="dxa" w:w="1440"/>
            <w:shd w:fill="FFDCE0" w:val="clear"/>
          </w:tcPr>
          <w:p>
            <w:r>
              <w:rPr>
                <w:b/>
                <w:color w:val="C00000"/>
                <w:sz w:val="17"/>
              </w:rPr>
              <w:t>-9.3%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17,097</w:t>
            </w:r>
          </w:p>
        </w:tc>
        <w:tc>
          <w:tcPr>
            <w:tcW w:type="dxa" w:w="1440"/>
            <w:shd w:fill="FFDCE0" w:val="clear"/>
          </w:tcPr>
          <w:p>
            <w:r>
              <w:rPr>
                <w:b/>
                <w:sz w:val="17"/>
              </w:rPr>
              <w:t>19,747</w:t>
            </w:r>
          </w:p>
        </w:tc>
        <w:tc>
          <w:tcPr>
            <w:tcW w:type="dxa" w:w="1440"/>
            <w:shd w:fill="FFDCE0" w:val="clear"/>
          </w:tcPr>
          <w:p>
            <w:r>
              <w:rPr>
                <w:sz w:val="17"/>
              </w:rPr>
              <w:t>22,396</w:t>
            </w:r>
          </w:p>
        </w:tc>
        <w:tc>
          <w:tcPr>
            <w:tcW w:type="dxa" w:w="1440"/>
            <w:shd w:fill="FFDCE0" w:val="clear"/>
          </w:tcPr>
          <w:p>
            <w:r>
              <w:rPr>
                <w:b/>
                <w:color w:val="C00000"/>
                <w:sz w:val="17"/>
              </w:rPr>
              <w:t>-10.2%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16,778</w:t>
            </w:r>
          </w:p>
        </w:tc>
        <w:tc>
          <w:tcPr>
            <w:tcW w:type="dxa" w:w="1440"/>
            <w:shd w:fill="FFDCE0" w:val="clear"/>
          </w:tcPr>
          <w:p>
            <w:r>
              <w:rPr>
                <w:b/>
                <w:sz w:val="17"/>
              </w:rPr>
              <w:t>19,542</w:t>
            </w:r>
          </w:p>
        </w:tc>
        <w:tc>
          <w:tcPr>
            <w:tcW w:type="dxa" w:w="1440"/>
            <w:shd w:fill="FFDCE0" w:val="clear"/>
          </w:tcPr>
          <w:p>
            <w:r>
              <w:rPr>
                <w:sz w:val="17"/>
              </w:rPr>
              <w:t>22,306</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 RAPPORT D'ANALYSE FINANCIÈRE — NSBC (NSIA Banque Côte d'Ivoire)</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**544,16 milliards FCFA**, NSBC s'impose comme l'une des valeurs bancaires les plus capitalisées de la cote BRVM, ce qui témoigne de sa stature de leader sectoriel ivoirien. Le BPA de **1 646 FCFA/action** pour un cours de 22 000 FCFA confère au titre un **PER de 13,4x**, légèrement supérieur à la moyenne du marché BRVM (8-12x), traduisant une prime de qualité mais aussi une valorisation qui n'offre plus de décote évidente. Le **P/B de 2,33x** indique que le marché valorise la banque à plus du double de sa valeur comptable (capitaux propres de 233,3 Mds FCFA), ce qui est cohérent avec un ROE élevé de 17,45% mais laisse peu de marge de sécurité en cas de dégradation. Enfin, l'**EV/EBITDA de 21,0x** apparaît très exigeant (seuil d'alerte &gt;15x), signalant que la valeur d'entreprise intègre déjà une forte anticipation de croissance future, ce qui rend le titre vulnérable à toute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NSBC a enregistré une **progression spectaculaire de +57,03%**, avec une dernière séance en hausse de **+2,33%**, confirmant une dynamique haussière toujours active. Le titre a évolué dans un range très large entre **13 810 FCFA (plus bas)** et **24 885 FCFA (plus haut)**, soit un écart de plus de 80%, ce qui traduit une phase de forte revalorisation portée par l'amélioration des fondamentaux et l'appétit du marché pour les valeurs bancaires ivoiriennes. Le cours actuel de 22 000 FCFA se situe dans la partie haute de ce range, mais en retrait de 11,6% par rapport au plus haut, suggérant une consolidation après le rallye. Les statistiques descriptives révèlent une **moyenne de 21 152 FCFA** légèrement inférieure à la **médiane de 21 975 FCFA**, ce qui indique une distribution asymétrique avec davantage de séances passées au-dessus de la moyenne — confirmé par le **skewness de -0,880** (asymétrie négative). L'**écart-type de 2 688 FCFA (CV=12,7%)** traduit une dispersion modérée du cours autour de sa tendance, tandis que le **kurtosis de 0,233 (mésokurtique)** indique une distribution proche de la normale, sans risque excessif de pics extrêmes. La **volatilité annualisée de 41,6%** classe le titre dans la catégorie **élevée (&gt;30%)**, ce qui est typique des valeurs bancaires de la BRVM en phase de revalorisation, et implique une gestion prudente du risque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(23 309,75 FCFA) et la MM50 (23 233,80 FCFA) sont quasi confondues et positionnées **au-dessus du cours actuel** (22 000 FCFA), ce qui constitue un signal baissier de court terme. Toutefois, la décision affichée est **Achat**, probablement basée sur la pente haussière des moyennes et la configuration globale du titre. Le croisement MM20 &gt; MM50 reste positif, mais l'écart très faible suggère une perte de momentum.</w:t>
      </w:r>
    </w:p>
    <w:p>
      <w:pPr>
        <w:spacing w:after="120" w:line="276" w:lineRule="auto"/>
      </w:pPr>
      <w:r>
        <w:t>**Bandes de Bollinger** : Le cours (22 000 FCFA) se situe dans la partie médiane-basse de la bande, entre la borne inférieure (20 712 FCFA) et la borne supérieure (25 907 FCFA). La décision est **Neutre**, ce qui reflète l'absence de signal directionnel fort : le titre n'est ni en surachat (proche borne haute) ni en survente (proche borne basse), et la largeur des bandes confirme la volatilité élevée.</w:t>
      </w:r>
    </w:p>
    <w:p>
      <w:pPr>
        <w:spacing w:after="120" w:line="276" w:lineRule="auto"/>
      </w:pPr>
      <w:r>
        <w:t>**MACD** : La valeur du MACD (-413,10) est **nettement en dessous de son signal (-165,92)**, avec un histogramme négatif, ce qui constitue un **signal de vente** clair. Le momentum baissier s'est installé récemment, et la divergence négative croissante suggère que la pression vendeuse pourrait persister à court terme.</w:t>
      </w:r>
    </w:p>
    <w:p>
      <w:pPr>
        <w:spacing w:after="120" w:line="276" w:lineRule="auto"/>
      </w:pPr>
      <w:r>
        <w:t>**RSI** : À **33,74**, le RSI se situe juste au-dessus du seuil de survente (30), en zone **Neutre** mais proche de la survente. Cela indique que le titre a corrigé une partie de sa surchauffe sans être encore techniquement survendu, laissant la porte ouverte à une stabilisation ou un rebond technique.</w:t>
      </w:r>
    </w:p>
    <w:p>
      <w:pPr>
        <w:spacing w:after="120" w:line="276" w:lineRule="auto"/>
      </w:pPr>
      <w:r>
        <w:t>**Stochastique** : Le %K (32,11) est supérieur au %D (23,08), avec les deux indicateurs en zone basse. La décision est **Neutre**, mais la configuration %K &gt; %D en zone basse peut annoncer un **croisement haussier imminent**, signal d'un rebond potentiel à court terme.</w:t>
      </w:r>
    </w:p>
    <w:p>
      <w:pPr>
        <w:spacing w:after="120" w:line="276" w:lineRule="auto"/>
      </w:pPr>
      <w:r>
        <w:t>**Conclusion technique** : Les indicateurs sont **mitigés à légèrement baissiers** à court terme (MACD vendeur, cours sous les MM), mais la proximité de la zone de survente (RSI 33,7, Stochastique bas) et la configuration des Bandes de Bollinger suggèrent qu'une **stabilisation ou un rebond technique** est possible. La divergence entre la décision "Achat" des MM et le signal "Vente" du MACD traduit une phase de transition incertaine, nécessitant une confirmation par les volumes.</w:t>
      </w:r>
    </w:p>
    <w:p>
      <w:pPr>
        <w:spacing w:after="120" w:line="276" w:lineRule="auto"/>
      </w:pPr>
      <w:r>
        <w:t>---</w:t>
      </w:r>
    </w:p>
    <w:p>
      <w:pPr>
        <w:spacing w:after="120" w:line="276" w:lineRule="auto"/>
      </w:pPr>
      <w:r>
        <w:t>## PARTIE 3 : ANALYSE FONDAMENTALE</w:t>
      </w:r>
    </w:p>
    <w:p>
      <w:pPr>
        <w:spacing w:after="120" w:line="276" w:lineRule="auto"/>
      </w:pPr>
      <w:r>
        <w:t>**Données structurées (exercice 2025)** : NSIA Banque Côte d'Ivoire affiche un **Produit Net Bancaire (PNB) de 112,928 milliards FCFA** en 2025, en croissance de **+15,45%** par rapport à 2024, confirmant une dynamique commerciale soutenue. Le **résultat net s'établit à 40,712 milliards FCFA**, avec une **marge nette de 36,05%** — un niveau exceptionnel qui témoigne d'une excellente transformation du produit bancaire en profit. Le **ROE de 17,45%** dépasse le seuil d'excellence de 15%, et le **ROA de 1,32%** est conforme aux standards bancaires. Le **coefficient d'exploitation de 54,59%** (&lt; 60%) confirme l'efficacité opérationnelle de la banque, en amélioration de 5,1 points selon le rapport annuel 2025 (daté du 31/12/2025). Le **coût du risque de 7,54%** (provisions/charges financières) reste un point de vigilance : le rapport annuel 2025 souligne une **explosion du coût net du risque à -8,5 milliards FCFA** (contre +0,6 milliard en 2024), signal d'alerte sur la qualité du portefeuille de crédits. La structure financière montre une **autonomie financière de 7,59%** (faible mais normale pour une banque) et un **ratio d'endettement de 227,9%**, typique du modèle bancaire basé sur les dépôts (2 242 Mds FCFA) pour financer les crédits (1 818 Mds FCFA), soit un **ratio dépôts/crédits de 123%**, confortable.</w:t>
      </w:r>
    </w:p>
    <w:p>
      <w:pPr>
        <w:spacing w:after="120" w:line="276" w:lineRule="auto"/>
      </w:pPr>
      <w:r>
        <w:t>**Estimations basées sur les rapports trimestriels** : Le **rapport T1 2026 (daté du 31/03/2026)** révèle une **accélération spectaculaire** : PNB de 28,615 Mds FCFA (+28% sur un an), résultat net de 10,912 Mds FCFA (**+53%**), et marge nette de 38,1%. Cette performance est tirée par l'activité titres et une maîtrise du coût du risque. Sur cette base, on peut **estimer** que l'exercice 2026 devrait afficher un résultat net en forte croissance (potentiellement &gt;45 Mds FCFA), confirmant la trajectoire haussière. Le **rapport S1 2025 (30/06/2025)** et le **rapport T3 2025 (30/09/2025)** confirment la régularité de la croissance (PNB +10,6% au S1, +7% sur 9 mois), avec une amélioration continue du coefficient d'exploitation.</w:t>
      </w:r>
    </w:p>
    <w:p>
      <w:pPr>
        <w:spacing w:after="120" w:line="276" w:lineRule="auto"/>
      </w:pPr>
      <w:r>
        <w:t>**Recommandation fondamentale** : NSBC présente des **fondamentaux solides** (ROE &gt;17%, marge nette &gt;36%, efficacité opérationnelle), une **croissance robuste** (PNB +15% en 2025, +28% au T1 2026) et des **perspectives favorables** (PND 2026-2030, digitalisation, finance durable). Les **risques** résident dans la dégradation du coût du risque en 2025 et la concentration de la performance T1 2026 sur l'activité titres (volatile). La **valorisation exigeante** (PER 13,4x, EV/EBITDA 21x) limite le potentiel de revalorisation à court terme, mais la qualité de la banque justifie une prime. **Recommandation fondamentale : CONSERVER** avec un biais positif, en surveillant la qualité des actifs.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est exigeante : PER de 13,4x (au-dessus de la moyenne BRVM), P/B de 2,33x et EV/EBITDA de 21x intègrent déjà une forte anticipation de croissance, limitant le potentiel de surprise positive. Le **comportement du cours (Partie 1)** est haussier sur 100 jours (+57%), mais la volatilité élevée (41,6%) et le skewness négatif (-0,88) suggèrent une distribution asymétrique avec un risque de correction. Les **signaux techniques (Partie 2)** sont mitigés : MACD vendeur, cours sous les MM20/MM50, mais RSI proche de la survente (33,7) et Stochastique en zone basse pouvant annoncer un rebond. Les **fondamentaux (Partie 3)** sont solides (ROE 17,45%, marge nette 36%, PNB +15% en 2025, +28% au T1 2026), mais le coût du risque en hausse et la valorisation tendue tempèrent l'enthousiasme. Les **prédictions IA (J+1 à J+10)** anticipent une **baisse progressive** de 21 288 FCFA à 20 377 FCFA (-7,4% sur 10 jours), ce qui **contredit** la dynamique haussière récente et **confirme** les signaux baissiers du MACD.</w:t>
      </w:r>
    </w:p>
    <w:p>
      <w:pPr>
        <w:spacing w:after="120" w:line="276" w:lineRule="auto"/>
      </w:pPr>
      <w:r>
        <w:t>**Recommandation finale : CONSERVER** — La convergence entre la valorisation exigeante, les signaux techniques mitigés (MACD vendeur) et les prédictions IA baissières plaide pour une **prise de bénéfices partielle** après le rallye de +57%. Toutefois, la solidité fondamentale (ROE &gt;17%, croissance à deux chiffres) et les perspectives 2026 (T1 +53%) justifient de **conserver le titre** pour les investisseurs de long terme. **Niveau de confiance : Moyen** (divergence entre fondamental haussier et technique baissier). **Niveau de risque : Élevé** (volatilité 41,6%, valorisation tendue, coût du risque en hausse). **Horizon optimal : Moyen terme (3-12 mois)**, en attendant la confirmation des résultats semestriels 2026 et une clarification sur la politique de dividende (non communiquée dans les rapports disponibles).</w:t>
      </w:r>
    </w:p>
    <w:p>
      <w:pPr>
        <w:spacing w:after="120" w:line="276" w:lineRule="auto"/>
      </w:pPr>
      <w:r>
        <w: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328.85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1,287 titres</w:t>
            </w:r>
          </w:p>
        </w:tc>
        <w:tc>
          <w:tcPr>
            <w:tcW w:type="dxa" w:w="2268"/>
            <w:shd w:fill="FFF2CC" w:val="clear"/>
          </w:tcPr>
          <w:p>
            <w:r>
              <w:rPr>
                <w:b/>
                <w:color w:val="503200"/>
                <w:sz w:val="16"/>
              </w:rPr>
              <w:t xml:space="preserve">Cours actuel : </w:t>
            </w:r>
            <w:r>
              <w:rPr>
                <w:color w:val="000000"/>
                <w:sz w:val="17"/>
              </w:rPr>
              <w:t>14,900 FCFA</w:t>
            </w:r>
          </w:p>
          <w:p>
            <w:r>
              <w:rPr>
                <w:b/>
                <w:color w:val="503200"/>
                <w:sz w:val="16"/>
              </w:rPr>
              <w:t xml:space="preserve">Var. 100 jours : </w:t>
            </w:r>
            <w:r>
              <w:rPr>
                <w:b/>
                <w:color w:val="007800"/>
                <w:sz w:val="17"/>
              </w:rPr>
              <w:t>+27.90%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μ=15,415 FCFA, σ=1,660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β=0.5780 (Défensif) — Cov=0.000039, Var(idx)=0.000068, ρ=0.203,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14,084</w:t>
            </w:r>
          </w:p>
        </w:tc>
        <w:tc>
          <w:tcPr>
            <w:tcW w:type="dxa" w:w="1440"/>
            <w:shd w:fill="FAFAFA" w:val="clear"/>
          </w:tcPr>
          <w:p>
            <w:r>
              <w:rPr>
                <w:b/>
                <w:sz w:val="17"/>
              </w:rPr>
              <w:t>15,109</w:t>
            </w:r>
          </w:p>
        </w:tc>
        <w:tc>
          <w:tcPr>
            <w:tcW w:type="dxa" w:w="1440"/>
            <w:shd w:fill="FAFAFA" w:val="clear"/>
          </w:tcPr>
          <w:p>
            <w:r>
              <w:rPr>
                <w:sz w:val="17"/>
              </w:rPr>
              <w:t>16,135</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13,845</w:t>
            </w:r>
          </w:p>
        </w:tc>
        <w:tc>
          <w:tcPr>
            <w:tcW w:type="dxa" w:w="1440"/>
            <w:shd w:fill="FAFAFA" w:val="clear"/>
          </w:tcPr>
          <w:p>
            <w:r>
              <w:rPr>
                <w:b/>
                <w:sz w:val="17"/>
              </w:rPr>
              <w:t>15,100</w:t>
            </w:r>
          </w:p>
        </w:tc>
        <w:tc>
          <w:tcPr>
            <w:tcW w:type="dxa" w:w="1440"/>
            <w:shd w:fill="FAFAFA" w:val="clear"/>
          </w:tcPr>
          <w:p>
            <w:r>
              <w:rPr>
                <w:sz w:val="17"/>
              </w:rPr>
              <w:t>16,356</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13,648</w:t>
            </w:r>
          </w:p>
        </w:tc>
        <w:tc>
          <w:tcPr>
            <w:tcW w:type="dxa" w:w="1440"/>
            <w:shd w:fill="FAFAFA" w:val="clear"/>
          </w:tcPr>
          <w:p>
            <w:r>
              <w:rPr>
                <w:b/>
                <w:sz w:val="17"/>
              </w:rPr>
              <w:t>15,097</w:t>
            </w:r>
          </w:p>
        </w:tc>
        <w:tc>
          <w:tcPr>
            <w:tcW w:type="dxa" w:w="1440"/>
            <w:shd w:fill="FAFAFA" w:val="clear"/>
          </w:tcPr>
          <w:p>
            <w:r>
              <w:rPr>
                <w:sz w:val="17"/>
              </w:rPr>
              <w:t>16,546</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13,475</w:t>
            </w:r>
          </w:p>
        </w:tc>
        <w:tc>
          <w:tcPr>
            <w:tcW w:type="dxa" w:w="1440"/>
            <w:shd w:fill="FAFAFA" w:val="clear"/>
          </w:tcPr>
          <w:p>
            <w:r>
              <w:rPr>
                <w:b/>
                <w:sz w:val="17"/>
              </w:rPr>
              <w:t>15,095</w:t>
            </w:r>
          </w:p>
        </w:tc>
        <w:tc>
          <w:tcPr>
            <w:tcW w:type="dxa" w:w="1440"/>
            <w:shd w:fill="FAFAFA" w:val="clear"/>
          </w:tcPr>
          <w:p>
            <w:r>
              <w:rPr>
                <w:sz w:val="17"/>
              </w:rPr>
              <w:t>16,715</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13,318</w:t>
            </w:r>
          </w:p>
        </w:tc>
        <w:tc>
          <w:tcPr>
            <w:tcW w:type="dxa" w:w="1440"/>
            <w:shd w:fill="FAFAFA" w:val="clear"/>
          </w:tcPr>
          <w:p>
            <w:r>
              <w:rPr>
                <w:b/>
                <w:sz w:val="17"/>
              </w:rPr>
              <w:t>15,092</w:t>
            </w:r>
          </w:p>
        </w:tc>
        <w:tc>
          <w:tcPr>
            <w:tcW w:type="dxa" w:w="1440"/>
            <w:shd w:fill="FAFAFA" w:val="clear"/>
          </w:tcPr>
          <w:p>
            <w:r>
              <w:rPr>
                <w:sz w:val="17"/>
              </w:rPr>
              <w:t>16,866</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13,172</w:t>
            </w:r>
          </w:p>
        </w:tc>
        <w:tc>
          <w:tcPr>
            <w:tcW w:type="dxa" w:w="1440"/>
            <w:shd w:fill="FAFAFA" w:val="clear"/>
          </w:tcPr>
          <w:p>
            <w:r>
              <w:rPr>
                <w:b/>
                <w:sz w:val="17"/>
              </w:rPr>
              <w:t>15,088</w:t>
            </w:r>
          </w:p>
        </w:tc>
        <w:tc>
          <w:tcPr>
            <w:tcW w:type="dxa" w:w="1440"/>
            <w:shd w:fill="FAFAFA" w:val="clear"/>
          </w:tcPr>
          <w:p>
            <w:r>
              <w:rPr>
                <w:sz w:val="17"/>
              </w:rPr>
              <w:t>17,004</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13,037</w:t>
            </w:r>
          </w:p>
        </w:tc>
        <w:tc>
          <w:tcPr>
            <w:tcW w:type="dxa" w:w="1440"/>
            <w:shd w:fill="FAFAFA" w:val="clear"/>
          </w:tcPr>
          <w:p>
            <w:r>
              <w:rPr>
                <w:b/>
                <w:sz w:val="17"/>
              </w:rPr>
              <w:t>15,085</w:t>
            </w:r>
          </w:p>
        </w:tc>
        <w:tc>
          <w:tcPr>
            <w:tcW w:type="dxa" w:w="1440"/>
            <w:shd w:fill="FAFAFA" w:val="clear"/>
          </w:tcPr>
          <w:p>
            <w:r>
              <w:rPr>
                <w:sz w:val="17"/>
              </w:rPr>
              <w:t>17,132</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12,910</w:t>
            </w:r>
          </w:p>
        </w:tc>
        <w:tc>
          <w:tcPr>
            <w:tcW w:type="dxa" w:w="1440"/>
            <w:shd w:fill="FAFAFA" w:val="clear"/>
          </w:tcPr>
          <w:p>
            <w:r>
              <w:rPr>
                <w:b/>
                <w:sz w:val="17"/>
              </w:rPr>
              <w:t>15,081</w:t>
            </w:r>
          </w:p>
        </w:tc>
        <w:tc>
          <w:tcPr>
            <w:tcW w:type="dxa" w:w="1440"/>
            <w:shd w:fill="FAFAFA" w:val="clear"/>
          </w:tcPr>
          <w:p>
            <w:r>
              <w:rPr>
                <w:sz w:val="17"/>
              </w:rPr>
              <w:t>17,252</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12,789</w:t>
            </w:r>
          </w:p>
        </w:tc>
        <w:tc>
          <w:tcPr>
            <w:tcW w:type="dxa" w:w="1440"/>
            <w:shd w:fill="FAFAFA" w:val="clear"/>
          </w:tcPr>
          <w:p>
            <w:r>
              <w:rPr>
                <w:b/>
                <w:sz w:val="17"/>
              </w:rPr>
              <w:t>15,077</w:t>
            </w:r>
          </w:p>
        </w:tc>
        <w:tc>
          <w:tcPr>
            <w:tcW w:type="dxa" w:w="1440"/>
            <w:shd w:fill="FAFAFA" w:val="clear"/>
          </w:tcPr>
          <w:p>
            <w:r>
              <w:rPr>
                <w:sz w:val="17"/>
              </w:rPr>
              <w:t>17,366</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NTLC (Nestlé Côte d'Ivoire S.A.)</w:t>
        <w:br/>
        <w:t>**Bourse Régionale des Valeurs Mobilières (BRVM) — Secteur : Entreprise (Biens de consommation)**</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328,85 milliards FCFA, NTLC s'impose comme l'une des plus importantes capitalisations de la BRVM, ce qui en fait un titre de référence pour les investisseurs institutionnels régionaux. Le BPA de 835 FCFA/action signifie que chaque titre génère près de 835 FCFA de bénéfice net, un niveau confortable qui soutient la valorisation actuelle. Le PER de 17,8x se situe nettement au-dessus de la moyenne BRVM (~8-12x), traduisant une prime de qualité — les investisseurs acceptent de payer plus cher pour la solidité de la marque Nestlé et la régularité de ses résultats. Le P/B de 11,11x (largement supérieur au seuil de 4x) confirme cette prime très élevée : le marché valorise l'entreprise à plus de 11 fois sa valeur comptable, ce qui est exigeant et reflète davantage la puissance des marques et du goodwill que les actifs tangibles. Enfin, l'EV/EBITDA de 9,0x, dans la fourchette raisonnable de 5-10x, indique que la valeur totale de l'entreprise (dette incluse) reste cohérente avec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affiche une performance remarquable de **+27,90%**, malgré un léger repli de **-0,67%** lors de la dernière séance, signe d'une consolidation après un fort mouvement haussier. Le titre a évolué dans un range large de 11 150 FCFA (plus bas) à 18 000 FCFA (plus haut), avant de se stabiliser à 14 900 FCFA, soit à mi-parcours de cette fourchette. La tendance générale reste haussière sur la période, portée par la dynamique fondamentale positive (croissance du CA de +31% au T1 2026), mais le repli récent sous les 15 000 FCFA suggère une prise de profit. Les statistiques descriptives révèlent une **moyenne de 15 415 FCFA** légèrement inférieure à la **médiane de 15 995 FCFA**, confirmant une asymétrie négative (skewness de -0,990) : davantage de séances se sont déroulées au-dessus de la moyenne, mais quelques journées de forte baisse ont tiré la moyenne vers le bas. L'écart-type de 1 668 FCFA (CV de 10,8%) indique une dispersion modérée du cours, tandis que le kurtosis de -0,046 (mésokurtique) suggère une distribution proche de la normale, sans risque excessif de pics extrêmes. La **volatilité annualisée de 37,2%** classe le titre dans la catégorie des valeurs à volatilité élevée (&gt;30%), ce qui implique un risque de fluctuation important à court terme, à intégrer dans toute stratégie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(16 017,25 FCFA) et la MM50 (16 459,5 FCFA) se situent toutes deux nettement au-dessus du cours actuel (14 900 FCFA), avec la MM20 sous la MM50 — configuration baissière classique. Le cours évoluant sous ses deux moyennes, la décision technique est logiquement **Vente**, signalant que la tendance de court et moyen terme s'est retournée à la baisse.</w:t>
      </w:r>
    </w:p>
    <w:p>
      <w:pPr>
        <w:spacing w:after="120" w:line="276" w:lineRule="auto"/>
      </w:pPr>
      <w:r>
        <w:t>**Bandes de Bollinger** : Le cours (14 900 FCFA) se situe dans la partie basse de la bande, entre la borne inférieure (14 082,41 FCFA) et la borne supérieure (17 952,09 FCFA), sans franchir les extrêmes. Cette position médiane-basse, combinée à un écartement modéré des bandes, traduit une volatilité contenue et une absence de signal directionnel fort — d'où la décision **Neutre**.</w:t>
      </w:r>
    </w:p>
    <w:p>
      <w:pPr>
        <w:spacing w:after="120" w:line="276" w:lineRule="auto"/>
      </w:pPr>
      <w:r>
        <w:t>**MACD** : La valeur du MACD (-464,243) est inférieure à son signal (-360,543), confirmant une divergence baissière persistante et un momentum négatif. Le croisement MACD sous son signal, observé depuis plusieurs séances, justifie pleinement la décision **Vente**, bien que l'écart entre les deux lignes tende à se réduire, ce qui pourrait annoncer un retournement prochain.</w:t>
      </w:r>
    </w:p>
    <w:p>
      <w:pPr>
        <w:spacing w:after="120" w:line="276" w:lineRule="auto"/>
      </w:pPr>
      <w:r>
        <w:t>**RSI** : À 23,684, le RSI se situe en zone de **survente** (&lt;30), un niveau qui historiquement précède souvent un rebond technique. La décision **Achat** est justifiée par cette configuration extrême, indiquant que la pression vendeuse pourrait s'épuiser à court terme.</w:t>
      </w:r>
    </w:p>
    <w:p>
      <w:pPr>
        <w:spacing w:after="120" w:line="276" w:lineRule="auto"/>
      </w:pPr>
      <w:r>
        <w:t>**Stochastique** : Le %K (16,667) et le %D (25,0) évoluent tous deux en zone basse, avec le %K sous le %D — configuration de survente qui soutient la décision **Achat**. Un croisement haussier du %K au-dessus du %D serait un signal de confirmation d'entrée.</w:t>
      </w:r>
    </w:p>
    <w:p>
      <w:pPr>
        <w:spacing w:after="120" w:line="276" w:lineRule="auto"/>
      </w:pPr>
      <w:r>
        <w:t>**Conclusion technique** : Les indicateurs présentent une divergence notable : les moyennes mobiles et le MACD émettent des signaux baissiers (tendance de fond négative), tandis que le RSI et le stochastique signalent une survente propice à un rebond technique à court terme. Les Bandes de Bollinger restent neutres. Cette configuration suggère une possible stabilisation du cours autour de 14 900 FCFA, voire un rebond vers 15 500-16 000 FCFA, mais la tendance de moyen terme reste fragile tant que le cours n'aura pas reconquis la MM20.</w:t>
      </w:r>
    </w:p>
    <w:p>
      <w:pPr>
        <w:spacing w:after="120" w:line="276" w:lineRule="auto"/>
      </w:pPr>
      <w:r>
        <w:t>---</w:t>
      </w:r>
    </w:p>
    <w:p>
      <w:pPr>
        <w:spacing w:after="120" w:line="276" w:lineRule="auto"/>
      </w:pPr>
      <w:r>
        <w:t>## PARTIE 3 : ANALYSE FONDAMENTALE</w:t>
      </w:r>
    </w:p>
    <w:p>
      <w:pPr>
        <w:spacing w:after="120" w:line="276" w:lineRule="auto"/>
      </w:pPr>
      <w:r>
        <w:t>**Données structurées (états financiers annuels 2025)** : En 2025, Nestlé Côte d'Ivoire a réalisé un chiffre d'affaires de **233,261 milliards FCFA**, en croissance de **+5,97%** par rapport à 2024 (220,11 milliards), portée par les ventes de produits fabriqués (+6,3%). Le résultat net s'établit à **18,427 milliards FCFA**, en légère hausse de +1,53%, avec une marge nette de **7,90%**. Le ROE atteint un niveau exceptionnel de **62,28%** (bien supérieur au seuil de 15% considéré comme excellent), tandis que le ROA ressort à **9,70%**, confirmant une bonne rentabilité des actifs. La rotation des actifs de 122,80% témoigne d'une utilisation efficace du bilan. **Adapté au secteur Entreprise** : le BFR s'élève à 22,625 milliards FCFA (positif, donc défavorable), le fonds de roulement est négatif (-24,206 milliards FCFA) et la trésorerie nette est déficitaire (-46,831 milliards FCFA), signe de tension sur la liquidité. Le délai client de **74,30 jours** est élevé et constitue un risque de trésorerie, tout comme la durée de stockage de 59,39 jours. L'autonomie financière est faible (15,58%, inférieure au seuil sain de 30%) et le ratio d'endettement élevé (135,85%), mais la couverture des intérêts par le résultat d'exploitation reste confortable (473,63%). **Estimations basées sur les rapports trimestriels** : le rapport du **T1 2026 (arrêté au 31 mars 2026, analysé le 01/05/2026)** révèle une accélération spectaculaire avec un CA de 70,82 milliards FCFA (+31% vs T1 2025) et un résultat net de 7,53 milliards FCFA (+37%), avec une marge nette en amélioration à 10,6%. Sur cette base, on peut estimer que l'exercice 2026 devrait afficher une croissance à deux chiffres du CA (potentiellement +15-20% annuel) et une amélioration de la marge nette au-delà de 8,5%, sous réserve que la pression sur les coûts des matières premières reste maîtrisée. Le rapport annuel 2025 (analysé le 01/05/2026) recommande **CONSERVER**, soulignant la réduction du dividende (9,27 milliards FCFA, payout de 50,3% contre 99,7% en 2024) comme stratégie de réinvestissement, tandis que le rapport T1 2026 recommande **ACHETER** au vu de la dynamique exceptionnelle. **Recommandation fondamentale** : la solidité du modèle Nestlé (marque, distribution, rentabilité) est indéniable, mais les tensions sur la trésorerie, l'endettement élevé et la dépendance aux matières premières constituent des risques à surveiller. La trajectoire fondamentale reste positive, portée par l'accélération du T1 2026.</w:t>
      </w:r>
    </w:p>
    <w:p>
      <w:pPr>
        <w:spacing w:after="120" w:line="276" w:lineRule="auto"/>
      </w:pPr>
      <w:r>
        <w:t>---</w:t>
      </w:r>
    </w:p>
    <w:p>
      <w:pPr>
        <w:spacing w:after="120" w:line="276" w:lineRule="auto"/>
      </w:pPr>
      <w:r>
        <w:t>## PARTIE 4 : CONCLUSION D'INVESTISSEMENT</w:t>
      </w:r>
    </w:p>
    <w:p>
      <w:pPr>
        <w:spacing w:after="120" w:line="276" w:lineRule="auto"/>
      </w:pPr>
      <w:r>
        <w:t>La valorisation de NTLC (Partie 0) apparaît **exigeante** : le PER de 17,8x et surtout le P/B de 11,11x traduisent une prime de qualité significative par rapport aux standards de la BRVM, ce qui limite le potentiel de revalorisation à court terme mais se justifie par la solidité des fondamentaux. Le comportement du cours (Partie 1) montre une tendance haussière sur 100 jours (+27,90%) mais un repli récent (-0,67%) et une volatilité élevée (37,2%), avec une asymétrie négative (skewness -0,990) qui suggère que les baisses récentes pèsent sur la moyenne — un signal de prudence. Les signaux techniques (Partie 2) sont **divergents** : baissiers pour les MM et le MACD, mais haussiers pour le RSI (survente à 23,68) et le stochastique, ce qui plaide pour un rebond technique à court terme sans inversion de tendance de fond. Les fondamentaux (Partie 3) restent **solides** : ROE de 62,28%, croissance du CA de +5,97% en 2025 et accélération spectaculaire au T1 2026 (+31% de CA, +37% de résultat net), bien que les tensions de trésorerie et l'endettement appellent à la vigilance. Les **prédictions IA (J+1 à J+10)** anticipent une trajectoire légèrement haussière et stable, de 15 109 FCFA (05/10/2026) à 15 092 FCFA (09/10/2026), ce qui confirme un rebond modéré depuis le cours actuel de 14 900 FCFA, en ligne avec le signal de survente du RSI. **Synthèse globale** : la convergence entre la survente technique, les prédictions haussières et l'accélération fondamentale du T1 2026 soutient un scénario de rebond à court terme, mais la valorisation exigeante et les signaux baissiers des moyennes mobiles limitent le potentiel. **Recommandation finale : CONSERVER** (avec biais acheteur pour les investisseurs déjà positionnés). Le niveau de confiance est **Moyen** (divergence technique, valorisation tendue), le risque global est **Moyen à Élevé** (volatilité 37,2%, endettement, dépendance matières premières), et l'horizon optimal est le **moyen terme (3-12 mois)**, le temps que la dynamique du T1 2026 se confirme sur l'ensemble de l'exercice et que les tensions de trésorerie se résorbent.</w:t>
      </w:r>
    </w:p>
    <w:p>
      <w:pPr>
        <w:spacing w:after="120" w:line="276" w:lineRule="auto"/>
      </w:pPr>
      <w:r>
        <w:t>---</w:t>
      </w:r>
    </w:p>
    <w:p>
      <w:pPr>
        <w:spacing w:after="120" w:line="276" w:lineRule="auto"/>
      </w:pPr>
      <w:r>
        <w:t>*Rapport généré le 04/10/2026 — Sources : BRVM Données Financières 2025, Rapports trimestriels T1 2026 et annuels 2025, analyses DEEPSEEK et MISTRAL, prédictions IA à 10 jours.*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5,504 titres</w:t>
            </w:r>
          </w:p>
        </w:tc>
        <w:tc>
          <w:tcPr>
            <w:tcW w:type="dxa" w:w="2268"/>
            <w:shd w:fill="FFF2CC" w:val="clear"/>
          </w:tcPr>
          <w:p>
            <w:r>
              <w:rPr>
                <w:b/>
                <w:color w:val="503200"/>
                <w:sz w:val="16"/>
              </w:rPr>
              <w:t xml:space="preserve">Cours actuel : </w:t>
            </w:r>
            <w:r>
              <w:rPr>
                <w:color w:val="000000"/>
                <w:sz w:val="17"/>
              </w:rPr>
              <w:t>2,935 FCFA</w:t>
            </w:r>
          </w:p>
          <w:p>
            <w:r>
              <w:rPr>
                <w:b/>
                <w:color w:val="503200"/>
                <w:sz w:val="16"/>
              </w:rPr>
              <w:t xml:space="preserve">Var. 100 jours : </w:t>
            </w:r>
            <w:r>
              <w:rPr>
                <w:b/>
                <w:color w:val="007800"/>
                <w:sz w:val="17"/>
              </w:rPr>
              <w:t>+6.34%</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2.84% (Faible) — μ=2,849 FCFA, σ=81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β=0.5153 (Défensif) — Cov=0.000035, Var(idx)=0.000068, ρ=0.209,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2,778</w:t>
            </w:r>
          </w:p>
        </w:tc>
        <w:tc>
          <w:tcPr>
            <w:tcW w:type="dxa" w:w="1440"/>
            <w:shd w:fill="FAFAFA" w:val="clear"/>
          </w:tcPr>
          <w:p>
            <w:r>
              <w:rPr>
                <w:b/>
                <w:sz w:val="17"/>
              </w:rPr>
              <w:t>2,921</w:t>
            </w:r>
          </w:p>
        </w:tc>
        <w:tc>
          <w:tcPr>
            <w:tcW w:type="dxa" w:w="1440"/>
            <w:shd w:fill="FAFAFA" w:val="clear"/>
          </w:tcPr>
          <w:p>
            <w:r>
              <w:rPr>
                <w:sz w:val="17"/>
              </w:rPr>
              <w:t>3,063</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2,740</w:t>
            </w:r>
          </w:p>
        </w:tc>
        <w:tc>
          <w:tcPr>
            <w:tcW w:type="dxa" w:w="1440"/>
            <w:shd w:fill="FAFAFA" w:val="clear"/>
          </w:tcPr>
          <w:p>
            <w:r>
              <w:rPr>
                <w:b/>
                <w:sz w:val="17"/>
              </w:rPr>
              <w:t>2,914</w:t>
            </w:r>
          </w:p>
        </w:tc>
        <w:tc>
          <w:tcPr>
            <w:tcW w:type="dxa" w:w="1440"/>
            <w:shd w:fill="FAFAFA" w:val="clear"/>
          </w:tcPr>
          <w:p>
            <w:r>
              <w:rPr>
                <w:sz w:val="17"/>
              </w:rPr>
              <w:t>3,088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2,706</w:t>
            </w:r>
          </w:p>
        </w:tc>
        <w:tc>
          <w:tcPr>
            <w:tcW w:type="dxa" w:w="1440"/>
            <w:shd w:fill="FAFAFA" w:val="clear"/>
          </w:tcPr>
          <w:p>
            <w:r>
              <w:rPr>
                <w:b/>
                <w:sz w:val="17"/>
              </w:rPr>
              <w:t>2,907</w:t>
            </w:r>
          </w:p>
        </w:tc>
        <w:tc>
          <w:tcPr>
            <w:tcW w:type="dxa" w:w="1440"/>
            <w:shd w:fill="FAFAFA" w:val="clear"/>
          </w:tcPr>
          <w:p>
            <w:r>
              <w:rPr>
                <w:sz w:val="17"/>
              </w:rPr>
              <w:t>3,107</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2,676</w:t>
            </w:r>
          </w:p>
        </w:tc>
        <w:tc>
          <w:tcPr>
            <w:tcW w:type="dxa" w:w="1440"/>
            <w:shd w:fill="FAFAFA" w:val="clear"/>
          </w:tcPr>
          <w:p>
            <w:r>
              <w:rPr>
                <w:b/>
                <w:sz w:val="17"/>
              </w:rPr>
              <w:t>2,900</w:t>
            </w:r>
          </w:p>
        </w:tc>
        <w:tc>
          <w:tcPr>
            <w:tcW w:type="dxa" w:w="1440"/>
            <w:shd w:fill="FAFAFA" w:val="clear"/>
          </w:tcPr>
          <w:p>
            <w:r>
              <w:rPr>
                <w:sz w:val="17"/>
              </w:rPr>
              <w:t>3,123</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2,649</w:t>
            </w:r>
          </w:p>
        </w:tc>
        <w:tc>
          <w:tcPr>
            <w:tcW w:type="dxa" w:w="1440"/>
            <w:shd w:fill="FAFAFA" w:val="clear"/>
          </w:tcPr>
          <w:p>
            <w:r>
              <w:rPr>
                <w:b/>
                <w:sz w:val="17"/>
              </w:rPr>
              <w:t>2,893</w:t>
            </w:r>
          </w:p>
        </w:tc>
        <w:tc>
          <w:tcPr>
            <w:tcW w:type="dxa" w:w="1440"/>
            <w:shd w:fill="FAFAFA" w:val="clear"/>
          </w:tcPr>
          <w:p>
            <w:r>
              <w:rPr>
                <w:sz w:val="17"/>
              </w:rPr>
              <w:t>3,137</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2,623</w:t>
            </w:r>
          </w:p>
        </w:tc>
        <w:tc>
          <w:tcPr>
            <w:tcW w:type="dxa" w:w="1440"/>
            <w:shd w:fill="FAFAFA" w:val="clear"/>
          </w:tcPr>
          <w:p>
            <w:r>
              <w:rPr>
                <w:b/>
                <w:sz w:val="17"/>
              </w:rPr>
              <w:t>2,887</w:t>
            </w:r>
          </w:p>
        </w:tc>
        <w:tc>
          <w:tcPr>
            <w:tcW w:type="dxa" w:w="1440"/>
            <w:shd w:fill="FAFAFA" w:val="clear"/>
          </w:tcPr>
          <w:p>
            <w:r>
              <w:rPr>
                <w:sz w:val="17"/>
              </w:rPr>
              <w:t>3,150</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2,599</w:t>
            </w:r>
          </w:p>
        </w:tc>
        <w:tc>
          <w:tcPr>
            <w:tcW w:type="dxa" w:w="1440"/>
            <w:shd w:fill="FAFAFA" w:val="clear"/>
          </w:tcPr>
          <w:p>
            <w:r>
              <w:rPr>
                <w:b/>
                <w:sz w:val="17"/>
              </w:rPr>
              <w:t>2,880</w:t>
            </w:r>
          </w:p>
        </w:tc>
        <w:tc>
          <w:tcPr>
            <w:tcW w:type="dxa" w:w="1440"/>
            <w:shd w:fill="FAFAFA" w:val="clear"/>
          </w:tcPr>
          <w:p>
            <w:r>
              <w:rPr>
                <w:sz w:val="17"/>
              </w:rPr>
              <w:t>3,161</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2,577</w:t>
            </w:r>
          </w:p>
        </w:tc>
        <w:tc>
          <w:tcPr>
            <w:tcW w:type="dxa" w:w="1440"/>
            <w:shd w:fill="FFDCE0" w:val="clear"/>
          </w:tcPr>
          <w:p>
            <w:r>
              <w:rPr>
                <w:b/>
                <w:sz w:val="17"/>
              </w:rPr>
              <w:t>2,874</w:t>
            </w:r>
          </w:p>
        </w:tc>
        <w:tc>
          <w:tcPr>
            <w:tcW w:type="dxa" w:w="1440"/>
            <w:shd w:fill="FFDCE0" w:val="clear"/>
          </w:tcPr>
          <w:p>
            <w:r>
              <w:rPr>
                <w:sz w:val="17"/>
              </w:rPr>
              <w:t>3,171</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2,555</w:t>
            </w:r>
          </w:p>
        </w:tc>
        <w:tc>
          <w:tcPr>
            <w:tcW w:type="dxa" w:w="1440"/>
            <w:shd w:fill="FFDCE0" w:val="clear"/>
          </w:tcPr>
          <w:p>
            <w:r>
              <w:rPr>
                <w:b/>
                <w:sz w:val="17"/>
              </w:rPr>
              <w:t>2,867</w:t>
            </w:r>
          </w:p>
        </w:tc>
        <w:tc>
          <w:tcPr>
            <w:tcW w:type="dxa" w:w="1440"/>
            <w:shd w:fill="FFDCE0" w:val="clear"/>
          </w:tcPr>
          <w:p>
            <w:r>
              <w:rPr>
                <w:sz w:val="17"/>
              </w:rPr>
              <w:t>3,180</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*Bourse Régionale des Valeurs Mobilières (BRVM) — Secteur : Télécommunications*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199,58 milliards FCFA, ONTBF se positionne parmi les valeurs moyennes à grandes de la cote BRVM, représentant un poids significatif dans l'indice composite compte tenu de son statut d'opérateur télécom historique. Le BPA de 234 FCFA par action signifie que chaque titre génère près de 234 FCFA de bénéfice net, ce qui, rapporté au cours actuel de 2 935 FCFA, donne un PER de 12,6x — un niveau modéré, légèrement supérieur à la moyenne BRVM (8-12x), traduisant une prime de qualité justifiée par la stabilité des cash-flows du secteur télécom. Le P/B de 3,47x indique que le marché valorise l'entreprise à plus de trois fois sa valeur comptable (capitaux propres de 57,54 Mds FCFA), une prime de croissance accordée pour la solidité du bilan et la génération de trésorerie. Enfin, l'EV/EBITDA de 5,2x situe la valeur d'entreprise (capitalisation + dette nette) à un niveau raisonnable face à la capacité opérationnelle, bien en deçà des standards internationaux du secteur télécom (8-12x), ce qui suggère une certaine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progression totale de +6,34%, clôturant à 2 935 FCFA après un repli marginal de -0,34% lors de la dernière séance. Le range de trading s'établit entre un plus bas de 2 675 FCFA et un plus haut de 3 070 FCFA, soit une amplitude de 395 FCFA (14,8%), reflétant une tendance globalement haussière mais ponctuée de corrections. La moyenne du cours (2 849 FCFA) est quasi identique à la médiane (2 852 FCFA), confirmant une distribution symétrique sans biais directionnel marqué, tandis que le mode à 2 800 FCFA indique un point d'équilibre psychologique fréquemment testé. L'écart-type de 81 FCFA (CV de 2,9%) témoigne d'une dispersion très faible du cours, signe d'une certaine stabilité, mais la volatilité annualisée de 32,2% classe le titre dans la catégorie des valeurs à volatilité élevée (&gt;30%), ce qui contraste avec la faible dispersion quotidienne et suggère des mouvements épisodiques amples. Le kurtosis de -0,263 (mésokurtique) et le skewness de -0,055 (distribution symétrique) indiquent l'absence de pics extrêmes ou d'asymétrie significative, ce qui est rassurant pour la gestion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(2 891,5 FCFA) et la MM50 (2 884,3 FCFA) se situent toutes deux sous le cours actuel (2 935 FCFA), avec une MM20 légèrement supérieure à la MM50, configurant un croisement haussier (golden cross) favorable. Cette configuration justifie la décision d'ACHAT, le cours évoluant au-dessus de ses supports mobiles.</w:t>
      </w:r>
    </w:p>
    <w:p>
      <w:pPr>
        <w:spacing w:after="120" w:line="276" w:lineRule="auto"/>
      </w:pPr>
      <w:r>
        <w:t>**Bandes de Bollinger** : Le cours (2 935 FCFA) se positionne dans la partie supérieure de la bande (borne supérieure à 3 005,48 FCFA, borne inférieure à 2 777,52 FCFA), sans la franchir, ce qui traduit une pression acheteuse modérée mais sans excès. La décision NEUTRE s'explique par l'absence de signal de surachat ou de survente, le titre évoluant dans un canal normal.</w:t>
      </w:r>
    </w:p>
    <w:p>
      <w:pPr>
        <w:spacing w:after="120" w:line="276" w:lineRule="auto"/>
      </w:pPr>
      <w:r>
        <w:t>**MACD** : La ligne MACD (15,106) est nettement supérieure à sa ligne de signal (8,246), avec un histogramme positif, confirmant un momentum haussier en cours. Cette divergence positive justifie la décision d'ACHAT, le croisement ayant eu lieu récemment et soutenant la tendance.</w:t>
      </w:r>
    </w:p>
    <w:p>
      <w:pPr>
        <w:spacing w:after="120" w:line="276" w:lineRule="auto"/>
      </w:pPr>
      <w:r>
        <w:t>**RSI** : À 54,815, le RSI se situe en zone neutre (entre 30 et 70), sans signal de surachat (&gt;70) ni de survente (&lt;30). La décision NEUTRE reflète un équilibre entre acheteurs et vendeurs, avec une légère prédominance haussière.</w:t>
      </w:r>
    </w:p>
    <w:p>
      <w:pPr>
        <w:spacing w:after="120" w:line="276" w:lineRule="auto"/>
      </w:pPr>
      <w:r>
        <w:t>**Stochastique** : Le %K (72,917) et le %D (76,389) évoluent en zone haute, proches du seuil de surachat (80), avec un %K légèrement sous le %D, suggérant un essoufflement potentiel du momentum. La décision NEUTRE s'impose, le croisement baissier n'étant pas encore confirmé.</w:t>
      </w:r>
    </w:p>
    <w:p>
      <w:pPr>
        <w:spacing w:after="120" w:line="276" w:lineRule="auto"/>
      </w:pPr>
      <w:r>
        <w:t>**Conclusion technique** : Les indicateurs convergent majoritairement vers un biais haussier (MM, MACD), mais les oscillateurs (RSI, Stochastique, Bollinger) affichent une neutralité prudente, voire un début d'essoufflement. Le titre évolue dans une dynamique positive mais sans excès, ce qui plaide pour une consolidation avant une nouvelle impulsion.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ONTBF (ONATEL-SA) a réalisé un chiffre d'affaires de 146,18 milliards FCFA, en hausse de +3,1% sur un an, porté par le Très Haut Débit (FTTH +33%), l'Internet mobile (+5%) et le Mobile Money (+14%). Le résultat net s'établit à 15,89 milliards FCFA, en net repli de -26% par rapport à 2024 (21,47 Mds FCFA), sous l'effet d'une compression des marges (marge nette de 10,87% contre 15,1% en 2024) liée à la hausse des charges opérationnelles (énergie, maintenance en zones sécuritaires, indemnités de fin d'engagement, sanction ARCEP de 1,543 Md FCFA). Le ROE reste néanmoins excellent à 27,61% (bien supérieur au seuil de 15%), et le ROA s'établit à 4,89%, confirmant la rentabilité des actifs malgré la baisse. Le coefficient d'exploitation de 67,07% (charges/PNB) reste supérieur au seuil de 60% recommandé pour une banque, mais s'explique par la nature industrielle du secteur télécom. Le coût du risque (provisions/charges financières) de 3,57% est faible, indiquant un portefeuille de créances sain. Les ratios de structure montrent une autonomie financière de 17,71% (inférieure au seuil de 30%), une dépendance financière de 82,29% et un ratio d'endettement de 186,99%, reflétant un bilan déséquilibré avec des ressources stables (127,23 Mds FCFA) ne couvrant que partiellement les actifs immobilisés (210,69 Mds FCFA). La trésorerie nette reste positive à 10,65 Mds FCFA, et la capacité de remboursement (2,29 années) est maîtrisée. Sur la base du rapport T1 2026 (publié le 30 avril 2026), le chiffre d'affaires progresse de +2,7% à 37,1 Mds FCFA, avec un taux de marge EBITDA maintenu à 41,3% et un résultat net de 3,58 Mds FCFA (marge nette de 9,6%), confirmant la poursuite de la croissance commerciale mais la persistance de la pression sur les marges. On estime donc que l'exercice 2026 devrait maintenir une croissance modérée du CA (+2-3%) avec une rentabilité encore sous tension, la priorité étant donnée à la reconquête du leadership et à l'optimisation des coûts. La recommandation fondamentale est de CONSERVER le titre, en surveillant la trajectoire des marges et la maîtrise de l'endettement.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modérée avec un PER de 12,6x (légèrement supérieur à la moyenne BRVM), un P/B de 3,47x (prime de croissance) et un EV/EBITDA de 5,2x (raisonnable), suggérant une juste valorisation sans excès. Le comportement du cours (Partie 1) est globalement haussier (+6,34% sur 100 jours) avec une volatilité annualisée élevée (32,2%) mais une distribution symétrique et sans pics extrêmes (kurtosis -0,263, skewness -0,055), ce qui est rassurant pour la gestion du risque. Les signaux techniques (Partie 2) sont partagés : les MM et le MACD sont haussiers, mais le RSI, le Stochastique et les Bandes de Bollinger affichent une neutralité prudente, plaidant pour une consolidation. Les fondamentaux (Partie 3) révèlent une croissance du CA (+3,1% en 2025) mais une dégradation de la rentabilité (résultat net -26%), avec un ROE élevé (27,61%) et une trésorerie positive, mais un endettement préoccupant (ratio de 186,99%). Les prédictions IA (J+1 à J+10) anticipent une légère correction vers 2 893 FCFA d'ici le 9 octobre 2026, ce qui contredit le momentum haussier actuel et confirme la nécessité d'une pause. Sur la base de cette synthèse, la recommandation finale est de **CONSERVER** le titre, avec un niveau de confiance **Moyen** et un risque global **Moyen**. L'horizon d'investissement optimal est le **moyen terme (3-12 mois)**, en attendant des signes tangibles d'amélioration de la rentabilité et de maîtrise des coûts, ainsi que la confirmation de la trajectoire des marges. Une position d'achat agressive n'est pas recommandée tant que la pression sur les marges et l'endettement ne sont pas résorbés.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3284.29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3,471 titres</w:t>
            </w:r>
          </w:p>
        </w:tc>
        <w:tc>
          <w:tcPr>
            <w:tcW w:type="dxa" w:w="2268"/>
            <w:shd w:fill="FFF2CC" w:val="clear"/>
          </w:tcPr>
          <w:p>
            <w:r>
              <w:rPr>
                <w:b/>
                <w:color w:val="503200"/>
                <w:sz w:val="16"/>
              </w:rPr>
              <w:t xml:space="preserve">Cours actuel : </w:t>
            </w:r>
            <w:r>
              <w:rPr>
                <w:color w:val="000000"/>
                <w:sz w:val="17"/>
              </w:rPr>
              <w:t>21,800 FCFA</w:t>
            </w:r>
          </w:p>
          <w:p>
            <w:r>
              <w:rPr>
                <w:b/>
                <w:color w:val="503200"/>
                <w:sz w:val="16"/>
              </w:rPr>
              <w:t xml:space="preserve">Var. 100 jours : </w:t>
            </w:r>
            <w:r>
              <w:rPr>
                <w:b/>
                <w:color w:val="007800"/>
                <w:sz w:val="17"/>
              </w:rPr>
              <w:t>+46.11%</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14,920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13.77% (Moyenne) — μ=17,914 FCFA, σ=2,468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β=1.2030 (Agressif) — Cov=0.000082, Var(idx)=0.000068, ρ=0.516,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3,471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20,414</w:t>
            </w:r>
          </w:p>
        </w:tc>
        <w:tc>
          <w:tcPr>
            <w:tcW w:type="dxa" w:w="1440"/>
            <w:shd w:fill="FAFAFA" w:val="clear"/>
          </w:tcPr>
          <w:p>
            <w:r>
              <w:rPr>
                <w:b/>
                <w:sz w:val="17"/>
              </w:rPr>
              <w:t>21,546</w:t>
            </w:r>
          </w:p>
        </w:tc>
        <w:tc>
          <w:tcPr>
            <w:tcW w:type="dxa" w:w="1440"/>
            <w:shd w:fill="FAFAFA" w:val="clear"/>
          </w:tcPr>
          <w:p>
            <w:r>
              <w:rPr>
                <w:sz w:val="17"/>
              </w:rPr>
              <w:t>22,678</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20,136</w:t>
            </w:r>
          </w:p>
        </w:tc>
        <w:tc>
          <w:tcPr>
            <w:tcW w:type="dxa" w:w="1440"/>
            <w:shd w:fill="FAFAFA" w:val="clear"/>
          </w:tcPr>
          <w:p>
            <w:r>
              <w:rPr>
                <w:b/>
                <w:sz w:val="17"/>
              </w:rPr>
              <w:t>21,521</w:t>
            </w:r>
          </w:p>
        </w:tc>
        <w:tc>
          <w:tcPr>
            <w:tcW w:type="dxa" w:w="1440"/>
            <w:shd w:fill="FAFAFA" w:val="clear"/>
          </w:tcPr>
          <w:p>
            <w:r>
              <w:rPr>
                <w:sz w:val="17"/>
              </w:rPr>
              <w:t>22,907</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19,897</w:t>
            </w:r>
          </w:p>
        </w:tc>
        <w:tc>
          <w:tcPr>
            <w:tcW w:type="dxa" w:w="1440"/>
            <w:shd w:fill="FAFAFA" w:val="clear"/>
          </w:tcPr>
          <w:p>
            <w:r>
              <w:rPr>
                <w:b/>
                <w:sz w:val="17"/>
              </w:rPr>
              <w:t>21,494</w:t>
            </w:r>
          </w:p>
        </w:tc>
        <w:tc>
          <w:tcPr>
            <w:tcW w:type="dxa" w:w="1440"/>
            <w:shd w:fill="FAFAFA" w:val="clear"/>
          </w:tcPr>
          <w:p>
            <w:r>
              <w:rPr>
                <w:sz w:val="17"/>
              </w:rPr>
              <w:t>23,092</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19,684</w:t>
            </w:r>
          </w:p>
        </w:tc>
        <w:tc>
          <w:tcPr>
            <w:tcW w:type="dxa" w:w="1440"/>
            <w:shd w:fill="FAFAFA" w:val="clear"/>
          </w:tcPr>
          <w:p>
            <w:r>
              <w:rPr>
                <w:b/>
                <w:sz w:val="17"/>
              </w:rPr>
              <w:t>21,468</w:t>
            </w:r>
          </w:p>
        </w:tc>
        <w:tc>
          <w:tcPr>
            <w:tcW w:type="dxa" w:w="1440"/>
            <w:shd w:fill="FAFAFA" w:val="clear"/>
          </w:tcPr>
          <w:p>
            <w:r>
              <w:rPr>
                <w:sz w:val="17"/>
              </w:rPr>
              <w:t>23,252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19,491</w:t>
            </w:r>
          </w:p>
        </w:tc>
        <w:tc>
          <w:tcPr>
            <w:tcW w:type="dxa" w:w="1440"/>
            <w:shd w:fill="FAFAFA" w:val="clear"/>
          </w:tcPr>
          <w:p>
            <w:r>
              <w:rPr>
                <w:b/>
                <w:sz w:val="17"/>
              </w:rPr>
              <w:t>21,442</w:t>
            </w:r>
          </w:p>
        </w:tc>
        <w:tc>
          <w:tcPr>
            <w:tcW w:type="dxa" w:w="1440"/>
            <w:shd w:fill="FAFAFA" w:val="clear"/>
          </w:tcPr>
          <w:p>
            <w:r>
              <w:rPr>
                <w:sz w:val="17"/>
              </w:rPr>
              <w:t>23,394</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19,311</w:t>
            </w:r>
          </w:p>
        </w:tc>
        <w:tc>
          <w:tcPr>
            <w:tcW w:type="dxa" w:w="1440"/>
            <w:shd w:fill="FAFAFA" w:val="clear"/>
          </w:tcPr>
          <w:p>
            <w:r>
              <w:rPr>
                <w:b/>
                <w:sz w:val="17"/>
              </w:rPr>
              <w:t>21,417</w:t>
            </w:r>
          </w:p>
        </w:tc>
        <w:tc>
          <w:tcPr>
            <w:tcW w:type="dxa" w:w="1440"/>
            <w:shd w:fill="FAFAFA" w:val="clear"/>
          </w:tcPr>
          <w:p>
            <w:r>
              <w:rPr>
                <w:sz w:val="17"/>
              </w:rPr>
              <w:t>23,523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19,144</w:t>
            </w:r>
          </w:p>
        </w:tc>
        <w:tc>
          <w:tcPr>
            <w:tcW w:type="dxa" w:w="1440"/>
            <w:shd w:fill="FAFAFA" w:val="clear"/>
          </w:tcPr>
          <w:p>
            <w:r>
              <w:rPr>
                <w:b/>
                <w:sz w:val="17"/>
              </w:rPr>
              <w:t>21,392</w:t>
            </w:r>
          </w:p>
        </w:tc>
        <w:tc>
          <w:tcPr>
            <w:tcW w:type="dxa" w:w="1440"/>
            <w:shd w:fill="FAFAFA" w:val="clear"/>
          </w:tcPr>
          <w:p>
            <w:r>
              <w:rPr>
                <w:sz w:val="17"/>
              </w:rPr>
              <w:t>23,641</w:t>
            </w:r>
          </w:p>
        </w:tc>
        <w:tc>
          <w:tcPr>
            <w:tcW w:type="dxa" w:w="1440"/>
            <w:shd w:fill="FAFAFA" w:val="clear"/>
          </w:tcPr>
          <w:p>
            <w:r>
              <w:rPr>
                <w:b/>
                <w:color w:val="C00000"/>
                <w:sz w:val="17"/>
              </w:rPr>
              <w:t>-1.9%</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18,986</w:t>
            </w:r>
          </w:p>
        </w:tc>
        <w:tc>
          <w:tcPr>
            <w:tcW w:type="dxa" w:w="1440"/>
            <w:shd w:fill="FAFAFA" w:val="clear"/>
          </w:tcPr>
          <w:p>
            <w:r>
              <w:rPr>
                <w:b/>
                <w:sz w:val="17"/>
              </w:rPr>
              <w:t>21,368</w:t>
            </w:r>
          </w:p>
        </w:tc>
        <w:tc>
          <w:tcPr>
            <w:tcW w:type="dxa" w:w="1440"/>
            <w:shd w:fill="FAFAFA" w:val="clear"/>
          </w:tcPr>
          <w:p>
            <w:r>
              <w:rPr>
                <w:sz w:val="17"/>
              </w:rPr>
              <w:t>23,750</w:t>
            </w:r>
          </w:p>
        </w:tc>
        <w:tc>
          <w:tcPr>
            <w:tcW w:type="dxa" w:w="1440"/>
            <w:shd w:fill="FAFAFA"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18,836</w:t>
            </w:r>
          </w:p>
        </w:tc>
        <w:tc>
          <w:tcPr>
            <w:tcW w:type="dxa" w:w="1440"/>
            <w:shd w:fill="FFDCE0" w:val="clear"/>
          </w:tcPr>
          <w:p>
            <w:r>
              <w:rPr>
                <w:b/>
                <w:sz w:val="17"/>
              </w:rPr>
              <w:t>21,344</w:t>
            </w:r>
          </w:p>
        </w:tc>
        <w:tc>
          <w:tcPr>
            <w:tcW w:type="dxa" w:w="1440"/>
            <w:shd w:fill="FFDCE0" w:val="clear"/>
          </w:tcPr>
          <w:p>
            <w:r>
              <w:rPr>
                <w:sz w:val="17"/>
              </w:rPr>
              <w:t>23,852</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3 284,29 milliards FCFA, ORAC confirme son statut de poids lourd de la BRVM, représentant à elle seule une part significative de la capitalisation totale du marché régional. Le BPA de 1 114 FCFA indique que chaque action génère un bénéfice net de plus de mille francs, un niveau remarquable qui traduit la forte rentabilité de l'opérateur télécoms. Le PER de 19,6x se situe nettement au-dessus de la moyenne du marché BRVM (estimée entre 8 et 12x), ce qui signifie que les investisseurs acceptent de payer une prime de près du double pour les bénéfices d'ORAC — une prime justifiée par la qualité de la croissance et le leadership sectoriel, mais qui réduit la marge de sécurité. Le P/B de 4,64x confirme cette valorisation exigeante : le marché valorise l'entreprise à plus de quatre fois sa valeur comptable, reflétant la prééminence des actifs immatériels (marque, réseau, base clients) sur les actifs comptables. Enfin, l'EV/EBITDA de 7,8x, dans la fourchette raisonnable de 5-10x, suggère que la valeur totale de l'entreprise (dette incluse) reste cohérente avec sa capacité opérationnelle à générer des liquidités.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+46,11%, portant le cours à 21 800 FCFA, avec une dernière séance encore positive de +1,40%. Le titre a évolué dans un range large de 14 920 FCFA (plus bas) à 22 500 FCFA (plus haut), soit une amplitude de plus de 50%, témoignant d'une dynamique haussière puissante et d'un intérêt croissant des investisseurs. La tendance générale est clairement haussière, soutenue par la publication de résultats annuels 2025 solides et un contexte favorable aux valeurs télécoms. Les statistiques descriptives révèlent une moyenne de 17 914 FCFA nettement supérieure à la médiane de 16 725 FCFA, signe d'une distribution asymétrique tirée vers le haut par les récentes flambées du cours. L'écart-type de 2 480 FCFA (CV de 13,8%) indique une dispersion modérée autour de la moyenne, tandis que le kurtosis négatif (-1,175, distribution platykurtique) suggère une faible concentration des variations et un risque de pics limité. Le skewness positif de 0,708 confirme cette asymétrie : davantage de journées se situent sous la moyenne, mais les hausses sont plus amples que les baisses. La volatilité annualisée de 30,5% positionne le titre dans la catégorie des valeurs à volatilité élevée, ce qui est cohérent avec son statut de valeur de croissance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(21 705,75 FCFA) et la MM50 (19 806,00 FCFA) se situent toutes deux sous le cours actuel (21 800 FCFA), avec la MM20 au-dessus de la MM50 — configuration classique de tendance haussière. Le cours évoluant au-dessus de ses deux moyennes, la décision technique est à l'**Achat**, confirmant la dynamique positive de moyen terme.</w:t>
      </w:r>
    </w:p>
    <w:p>
      <w:pPr>
        <w:spacing w:after="120" w:line="276" w:lineRule="auto"/>
      </w:pPr>
      <w:r>
        <w:t>**Bandes de Bollinger** : Le cours (21 800 FCFA) se situe à l'intérieur des bandes, entre la borne inférieure (20 439,62 FCFA) et la borne supérieure (22 971,88 FCFA), plus proche de la borne haute. Cette position médiane-haute indique une volatilité modérée sans excès, justifiant une décision **Neutre** — le titre n'est ni suracheté ni survendu selon ce critère.</w:t>
      </w:r>
    </w:p>
    <w:p>
      <w:pPr>
        <w:spacing w:after="120" w:line="276" w:lineRule="auto"/>
      </w:pPr>
      <w:r>
        <w:t>**MACD** : La valeur du MACD (391,26) est inférieure à son signal (540,03), générant une divergence baissière et une décision de **Vente**. Ce signal suggère un essoufflement du momentum haussier à court terme, bien que la valeur absolue du MACD reste positive, indiquant que la tendance de fond demeure haussière.</w:t>
      </w:r>
    </w:p>
    <w:p>
      <w:pPr>
        <w:spacing w:after="120" w:line="276" w:lineRule="auto"/>
      </w:pPr>
      <w:r>
        <w:t>**RSI** : À 42,73, le RSI se situe dans la zone neutre (30-70), sans signal de surachat ni de survente. La décision est **Neutre**, ce qui signifie que le titre dispose d'un potentiel de hausse sans être dans une zone d'épuisement.</w:t>
      </w:r>
    </w:p>
    <w:p>
      <w:pPr>
        <w:spacing w:after="120" w:line="276" w:lineRule="auto"/>
      </w:pPr>
      <w:r>
        <w:t>**Stochastique** : Le %K (66,67) est supérieur au %D (61,98), avec un croisement récent à la hausse, mais les deux valeurs restent dans la zone neutre-haute. La décision est **Neutre**, sans signal fort de retournement.</w:t>
      </w:r>
    </w:p>
    <w:p>
      <w:pPr>
        <w:spacing w:after="120" w:line="276" w:lineRule="auto"/>
      </w:pPr>
      <w:r>
        <w:t>**Conclusion technique** : Les indicateurs présentent une configuration mitigée. Les moyennes mobiles confirment la tendance haussière de fond, mais le MACD signale un essoufflement à court terme, tandis que le RSI et le stochastique restent neutres. Cette divergence suggère une possible consolidation avant une nouvelle impulsion haussière, avec un support clé à 21 705 FCFA (MM20) et une résistance à 22 971 FCFA (Bollinger supérieure).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Orange Côte d'Ivoire a réalisé un chiffre d'affaires consolidé de 1 197,1 milliards FCFA, en croissance de +10,4% par rapport à 2024 (1 084,1 milliards FCFA), portée par la dynamique des trois filiales (Côte d'Ivoire, Burkina Faso, Libéria). Le résultat net consolidé s'établit à 167,8 milliards FCFA (+6,1%), tandis que le résultat net part du groupe atteint 129,1 milliards FCFA (+14,5%), démontrant une solide capacité bénéficiaire. Les ratios de rentabilité confirment cette performance : le ROE de 23,71% (excellent, &gt;15%) et le ROA de 6,57% traduisent une utilisation efficace des capitaux propres et des actifs. La marge nette de 14,02% et la marge opérationnelle de 23,99% restent élevées, bien qu'en léger retrait par rapport à 2024 (14,6% et 24,3%), sous l'effet de la pression fiscale et des charges exceptionnelles (amendes douanières au Burkina Faso). En tant qu'entreprise non bancaire, l'analyse des délais d'exploitation révèle un délai clients de 52,26 jours (risque de trésorerie modéré) et un délai fournisseurs de 210,87 jours (favorable à la trésorerie), tandis que le BFR négatif de -198,0 milliards FCFA constitue un point positif majeur, signifiant que l'entreprise finance son cycle d'exploitation par ses fournisseurs plutôt que par ses propres ressources. La structure financière affiche une autonomie financière de 27,71% (légèrement sous le seuil de 30% considéré comme sain) et un ratio d'endettement de 47,46%, avec une capacité de remboursement de 0,99 an (dette financière/CAF) — un niveau très confortable. La trésorerie nette de 113,9 milliards FCFA et le free cash flow de 156,2 milliards FCFA confirment la solidité financière. Sur la base du rapport T1 2026 (publié en 2026), le chiffre d'affaires a bondi de +14,8% à 325,6 milliards FCFA et le résultat net de +25,2% à 48,3 milliards FCFA, avec une marge nette en amélioration à 14,8% — on estime donc que l'exercice 2026 devrait afficher une accélération de la croissance et une restauration des marges. Le dividende proposé de 800 FCFA brut par action (rendement d'environ 3,7% au cours actuel) marque un recentrage de la politique de distribution (contre 1 278 FCFA en 2024), la société privilégiant l'autofinancement des investissements futurs (184,2 milliards FCFA de CAPEX en 2025). La recommandation fondamentale est **CONSERVER** : la solidité opérationnelle et les perspectives de croissance sont excellentes, mais la valorisation exigeante et la baisse du dividende tempèrent l'enthousiasme.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le PER de 19,6x et le P/B de 4,64x indiquent une prime significative par rapport au marché BRVM, bien que l'EV/EBITDA de 7,8x reste raisonnable. Le comportement du cours (Partie 1) est nettement haussier (+46,11% sur 100 jours), avec une volatilité élevée (30,5%) et une distribution asymétrique positivement (skewness de 0,708), ce qui est favorable mais implique un risque de correction. Les signaux techniques (Partie 2) sont mitigés : les moyennes mobiles confirment la tendance haussière, mais le MACD génère un signal de vente, tandis que le RSI et le stochastique restent neutres — une divergence qui plaide pour une consolidation à court terme. Les fondamentaux (Partie 3) sont solides : croissance du CA de +10,4% en 2025, ROE de 23,71%, BFR négatif, et les estimations basées sur le T1 2026 (+14,8% de CA, +25,2% de résultat net) suggèrent une accélération en 2026. Les prédictions IA (J+1 à J+10) anticipent une légère baisse du cours de 21 546 FCFA à 21 442 FCFA, ce qui contredit la dynamique haussière récente mais confirme le signal de consolidation technique. Sur la base de cette synthèse, la recommandation finale est **CONSERVER**, avec un niveau de confiance **Moyen** et un risque global **Moyen**. L'horizon d'investissement optimal est le **moyen terme (3-12 mois)**, en attendant que la consolidation technique s'achève et que les résultats 2026 confirment l'accélération de la croissance et la restauration des marges. Un investisseur déjà positionné pourra conserver ses titres en profitant du dividende, tandis qu'un nouvel investisseur pourrait attendre un repli vers 21 000-21 500 FCFA pour se positionner à meilleur compte.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208.25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5,116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+17.65%</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8.51% (Moyenne) — μ=2,888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β=0.6739 (Défensif) — Cov=0.000046, Var(idx)=0.000068, ρ=0.230,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2,783</w:t>
            </w:r>
          </w:p>
        </w:tc>
        <w:tc>
          <w:tcPr>
            <w:tcW w:type="dxa" w:w="1440"/>
            <w:shd w:fill="FAFAFA" w:val="clear"/>
          </w:tcPr>
          <w:p>
            <w:r>
              <w:rPr>
                <w:b/>
                <w:sz w:val="17"/>
              </w:rPr>
              <w:t>2,962</w:t>
            </w:r>
          </w:p>
        </w:tc>
        <w:tc>
          <w:tcPr>
            <w:tcW w:type="dxa" w:w="1440"/>
            <w:shd w:fill="FAFAFA" w:val="clear"/>
          </w:tcPr>
          <w:p>
            <w:r>
              <w:rPr>
                <w:sz w:val="17"/>
              </w:rPr>
              <w:t>3,142</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2,739</w:t>
            </w:r>
          </w:p>
        </w:tc>
        <w:tc>
          <w:tcPr>
            <w:tcW w:type="dxa" w:w="1440"/>
            <w:shd w:fill="FAFAFA" w:val="clear"/>
          </w:tcPr>
          <w:p>
            <w:r>
              <w:rPr>
                <w:b/>
                <w:sz w:val="17"/>
              </w:rPr>
              <w:t>2,958</w:t>
            </w:r>
          </w:p>
        </w:tc>
        <w:tc>
          <w:tcPr>
            <w:tcW w:type="dxa" w:w="1440"/>
            <w:shd w:fill="FAFAFA" w:val="clear"/>
          </w:tcPr>
          <w:p>
            <w:r>
              <w:rPr>
                <w:sz w:val="17"/>
              </w:rPr>
              <w:t>3,178</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2,701</w:t>
            </w:r>
          </w:p>
        </w:tc>
        <w:tc>
          <w:tcPr>
            <w:tcW w:type="dxa" w:w="1440"/>
            <w:shd w:fill="FAFAFA" w:val="clear"/>
          </w:tcPr>
          <w:p>
            <w:r>
              <w:rPr>
                <w:b/>
                <w:sz w:val="17"/>
              </w:rPr>
              <w:t>2,954</w:t>
            </w:r>
          </w:p>
        </w:tc>
        <w:tc>
          <w:tcPr>
            <w:tcW w:type="dxa" w:w="1440"/>
            <w:shd w:fill="FAFAFA" w:val="clear"/>
          </w:tcPr>
          <w:p>
            <w:r>
              <w:rPr>
                <w:sz w:val="17"/>
              </w:rPr>
              <w:t>3,207</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2,668</w:t>
            </w:r>
          </w:p>
        </w:tc>
        <w:tc>
          <w:tcPr>
            <w:tcW w:type="dxa" w:w="1440"/>
            <w:shd w:fill="FAFAFA" w:val="clear"/>
          </w:tcPr>
          <w:p>
            <w:r>
              <w:rPr>
                <w:b/>
                <w:sz w:val="17"/>
              </w:rPr>
              <w:t>2,950</w:t>
            </w:r>
          </w:p>
        </w:tc>
        <w:tc>
          <w:tcPr>
            <w:tcW w:type="dxa" w:w="1440"/>
            <w:shd w:fill="FAFAFA" w:val="clear"/>
          </w:tcPr>
          <w:p>
            <w:r>
              <w:rPr>
                <w:sz w:val="17"/>
              </w:rPr>
              <w:t>3,233</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2,638</w:t>
            </w:r>
          </w:p>
        </w:tc>
        <w:tc>
          <w:tcPr>
            <w:tcW w:type="dxa" w:w="1440"/>
            <w:shd w:fill="FAFAFA" w:val="clear"/>
          </w:tcPr>
          <w:p>
            <w:r>
              <w:rPr>
                <w:b/>
                <w:sz w:val="17"/>
              </w:rPr>
              <w:t>2,947</w:t>
            </w:r>
          </w:p>
        </w:tc>
        <w:tc>
          <w:tcPr>
            <w:tcW w:type="dxa" w:w="1440"/>
            <w:shd w:fill="FAFAFA" w:val="clear"/>
          </w:tcPr>
          <w:p>
            <w:r>
              <w:rPr>
                <w:sz w:val="17"/>
              </w:rPr>
              <w:t>3,256</w:t>
            </w:r>
          </w:p>
        </w:tc>
        <w:tc>
          <w:tcPr>
            <w:tcW w:type="dxa" w:w="1440"/>
            <w:shd w:fill="FAFAFA" w:val="clear"/>
          </w:tcPr>
          <w:p>
            <w:r>
              <w:rPr>
                <w:b/>
                <w:color w:val="C00000"/>
                <w:sz w:val="17"/>
              </w:rPr>
              <w:t>-1.8%</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2,610</w:t>
            </w:r>
          </w:p>
        </w:tc>
        <w:tc>
          <w:tcPr>
            <w:tcW w:type="dxa" w:w="1440"/>
            <w:shd w:fill="FAFAFA" w:val="clear"/>
          </w:tcPr>
          <w:p>
            <w:r>
              <w:rPr>
                <w:b/>
                <w:sz w:val="17"/>
              </w:rPr>
              <w:t>2,943</w:t>
            </w:r>
          </w:p>
        </w:tc>
        <w:tc>
          <w:tcPr>
            <w:tcW w:type="dxa" w:w="1440"/>
            <w:shd w:fill="FAFAFA" w:val="clear"/>
          </w:tcPr>
          <w:p>
            <w:r>
              <w:rPr>
                <w:sz w:val="17"/>
              </w:rPr>
              <w:t>3,276</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2,584</w:t>
            </w:r>
          </w:p>
        </w:tc>
        <w:tc>
          <w:tcPr>
            <w:tcW w:type="dxa" w:w="1440"/>
            <w:shd w:fill="FFDCE0" w:val="clear"/>
          </w:tcPr>
          <w:p>
            <w:r>
              <w:rPr>
                <w:b/>
                <w:sz w:val="17"/>
              </w:rPr>
              <w:t>2,939</w:t>
            </w:r>
          </w:p>
        </w:tc>
        <w:tc>
          <w:tcPr>
            <w:tcW w:type="dxa" w:w="1440"/>
            <w:shd w:fill="FFDCE0" w:val="clear"/>
          </w:tcPr>
          <w:p>
            <w:r>
              <w:rPr>
                <w:sz w:val="17"/>
              </w:rPr>
              <w:t>3,295</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2,559</w:t>
            </w:r>
          </w:p>
        </w:tc>
        <w:tc>
          <w:tcPr>
            <w:tcW w:type="dxa" w:w="1440"/>
            <w:shd w:fill="FFDCE0" w:val="clear"/>
          </w:tcPr>
          <w:p>
            <w:r>
              <w:rPr>
                <w:b/>
                <w:sz w:val="17"/>
              </w:rPr>
              <w:t>2,936</w:t>
            </w:r>
          </w:p>
        </w:tc>
        <w:tc>
          <w:tcPr>
            <w:tcW w:type="dxa" w:w="1440"/>
            <w:shd w:fill="FFDCE0" w:val="clear"/>
          </w:tcPr>
          <w:p>
            <w:r>
              <w:rPr>
                <w:sz w:val="17"/>
              </w:rPr>
              <w:t>3,313</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2,536</w:t>
            </w:r>
          </w:p>
        </w:tc>
        <w:tc>
          <w:tcPr>
            <w:tcW w:type="dxa" w:w="1440"/>
            <w:shd w:fill="FFDCE0" w:val="clear"/>
          </w:tcPr>
          <w:p>
            <w:r>
              <w:rPr>
                <w:b/>
                <w:sz w:val="17"/>
              </w:rPr>
              <w:t>2,933</w:t>
            </w:r>
          </w:p>
        </w:tc>
        <w:tc>
          <w:tcPr>
            <w:tcW w:type="dxa" w:w="1440"/>
            <w:shd w:fill="FFDCE0" w:val="clear"/>
          </w:tcPr>
          <w:p>
            <w:r>
              <w:rPr>
                <w:sz w:val="17"/>
              </w:rPr>
              <w:t>3,330</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208,25 milliards FCFA, ORGT s'impose comme une valeur de premier plan de la cote BRVM, représentant un pilier du compartiment bancaire régional. Le BPA de 312 FCFA/action signifie que chaque titre génère près de 312 FCFA de bénéfice net, ce qui, rapporté au cours actuel de 3 000 FCFA, donne un PER de 9,6x — un niveau modéré, inférieur à la moyenne BRVM (8-12x) et donc potentiellement attractif pour un investisseur value. Le P/B de 1,84x indique que le marché valorise la banque à près du double de sa valeur comptable, ce qui reste raisonnable pour une institution affichant un ROE de 19,1%, bien que cela traduise une certaine prime de qualité. En revanche, l'EV/EBITDA de 19,7x apparaît très exigeant (&gt;15x), suggérant que la valeur d'entreprise intègre déjà une bonne part d'optimisme sur la capacité bénéficiaire future — un signal de prudence à ne pas négliger.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performance remarquable de +17,65%, portée par une dernière séance en forte hausse de +3,45%, ce qui témoigne d'un momentum acheteur récent. Le titre a évolué dans un range large de 2 435 FCFA (plus bas) à 3 400 FCFA (plus haut), soit une amplitude de près de 40%, avant de se stabiliser autour de 3 000 FCFA. La tendance générale est donc clairement haussière, mais le cours actuel se situe en retrait du plus haut, suggérant une phase de consolidation après le rallye. Les statistiques descriptives révèlent une moyenne (2 888 FCFA) supérieure à la médiane (2 790 FCFA), signe d'une légère asymétrie positive confirmée par un skewness de 0,300 — la distribution est globalement symétrique mais tire vers le haut. L'écart-type de 247 FCFA (CV = 8,5%) indique une dispersion modérée du cours, tandis que le kurtosis négatif (-1,210, distribution platykurtique) signale une faible concentration des variations et un risque de pics moins prononcé que sur une distribution normale. Enfin, la volatilité annualisée de 38,7% classe ORGT parmi les titres à volatilité élevée (&gt;30%), ce qui implique un risque de marché significatif mais aussi des opportunités de trading.</w:t>
      </w:r>
    </w:p>
    <w:p>
      <w:pPr>
        <w:spacing w:after="120" w:line="276" w:lineRule="auto"/>
      </w:pPr>
      <w:r>
        <w:t>---</w:t>
      </w:r>
    </w:p>
    <w:p>
      <w:pPr>
        <w:spacing w:after="120" w:line="276" w:lineRule="auto"/>
      </w:pPr>
      <w:r>
        <w:t>### PARTIE 2 : ANALYSE TECHNIQUE DÉTAILLÉE</w:t>
      </w:r>
    </w:p>
    <w:p>
      <w:pPr>
        <w:spacing w:after="120" w:line="276" w:lineRule="auto"/>
      </w:pPr>
      <w:r>
        <w:t>**Moyennes Mobiles** : La MM20 (3 146,5 FCFA) et la MM50 (3 090,0 FCFA) se situent toutes deux au-dessus du cours actuel (3 000 FCFA), ce qui place le titre en position de faiblesse relative à court et moyen terme. Cependant, la décision technique affichée est "Achat", probablement en raison de la récente accélération haussière (+3,45% en J-1) qui pourrait préfigurer un retournement. La configuration reste fragile tant que le cours n'a pas reconquis ces moyennes.</w:t>
      </w:r>
    </w:p>
    <w:p>
      <w:pPr>
        <w:spacing w:after="120" w:line="276" w:lineRule="auto"/>
      </w:pPr>
      <w:r>
        <w:t>**Bandes de Bollinger** : Le cours (3 000 FCFA) évolue dans la partie inférieure de la bande, entre la borne inférieure (2 787,96 FCFA) et la borne supérieure (3 505,04 FCFA). La décision est "Neutre", ce qui reflète l'absence de signal directionnel fort : le titre n'est ni en surachat ni en survente, et la volatilité implicite reste contenue. Un franchissement de la borne supérieure serait un signal haussier, tandis qu'une cassure de la borne inférieure confirmerait la pression baissière.</w:t>
      </w:r>
    </w:p>
    <w:p>
      <w:pPr>
        <w:spacing w:after="120" w:line="276" w:lineRule="auto"/>
      </w:pPr>
      <w:r>
        <w:t>**MACD** : La valeur du MACD (-49,164) est nettement inférieure à son signal (-19,429), ce qui génère une décision de "Vente". Cette divergence négative indique que le momentum baissier reste dominant malgré le rebond de la dernière séance. Un croisement à la hausse du MACD au-dessus de son signal serait nécessaire pour inverser cette tendance.</w:t>
      </w:r>
    </w:p>
    <w:p>
      <w:pPr>
        <w:spacing w:after="120" w:line="276" w:lineRule="auto"/>
      </w:pPr>
      <w:r>
        <w:t>**RSI** : À 40,889, le RSI se situe dans la zone neutre (30-70), sans signal de surachat ni de survente. La décision "Neutre" confirme que le titre n'est pas dans une zone d'excès, ce qui laisse la porte ouverte à une poursuite de la consolidation ou à un rebond technique.</w:t>
      </w:r>
    </w:p>
    <w:p>
      <w:pPr>
        <w:spacing w:after="120" w:line="276" w:lineRule="auto"/>
      </w:pPr>
      <w:r>
        <w:t>**Stochastique** : Le %K (40,404) est légèrement supérieur au %D (33,535), ce qui pourrait indiquer un début de croisement haussier, mais la décision reste "Neutre". Ce positionnement médian suggère que le titre n'est pas encore prêt à un mouvement directionnel fort, et qu'une confirmation par d'autres indicateurs est nécessaire.</w:t>
      </w:r>
    </w:p>
    <w:p>
      <w:pPr>
        <w:spacing w:after="120" w:line="276" w:lineRule="auto"/>
      </w:pPr>
      <w:r>
        <w:t>**Conclusion technique** : Les indicateurs techniques sont majoritairement neutres à baissiers (MACD en vente, cours sous les moyennes mobiles), mais le rebond récent et le positionnement du RSI/Stochastique laissent entrevoir un possible retournement. La convergence n'est pas encore établie, et la prudence reste de mise tant que le cours n'a pas franchi la MM20 (3 146,5 FCFA) avec un volume confirmé.</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 réalisé un Produit Net Bancaire (PNB) de 186,609 milliards FCFA, en baisse de -4,52% par rapport à 2024 (195,436 milliards FCFA), reflétant une contraction de l'activité de crédit et une pression sur les marges. Le résultat net consolidé s'établit à 21,643 milliards FCFA, un redressement spectaculaire après la perte de -44,363 milliards FCFA en 2024. Le ROE atteint 19,13% (excellent, &gt;15%), tandis que le ROA reste faible à 0,54%, typique du secteur bancaire. Le coefficient d'exploitation de 42,85% (&lt;60%) témoigne d'une excellente efficacité opérationnelle, et le coût du risque (3,74% des charges financières) s'est fortement normalisé après la crise de 2024. Les dépôts clientèle (3 088,7 milliards FCFA) couvrent largement les créances nettes (1 523,8 milliards FCFA), avec un ratio de transformation de 49,3%, indiquant une gestion prudente des liquidités.</w:t>
      </w:r>
    </w:p>
    <w:p>
      <w:pPr>
        <w:spacing w:after="120" w:line="276" w:lineRule="auto"/>
      </w:pPr>
      <w:r>
        <w:t>**Estimations basées sur les rapports trimestriels** : Le rapport T1 2026 (publié en 2026) fait état d'un PNB de 50,124 milliards FCFA (-2% sur un an) et d'un résultat net de 6,555 milliards FCFA (+37%), confirmant la poursuite de l'amélioration de la rentabilité malgré la baisse des revenus. Les dépôts clientèle progressent de +14% à 3 343 milliards FCFA, tandis que les crédits nets reculent de -12%, reflétant une stratégie de sélectivité accrue. Sur la base de ces tendances, on peut estimer que l'exercice 2026 devrait afficher un PNB stable autour de 185-190 milliards FCFA, avec un résultat net en hausse à 23-25 milliards FCFA si la maîtrise des coûts et du risque se poursuit. Le rapport S1 2025 (publié en 2025) confirmait déjà cette dynamique avec un bénéfice net de 18,3 milliards FCFA (+232%) et une réduction de 84% du coût du risque.</w:t>
      </w:r>
    </w:p>
    <w:p>
      <w:pPr>
        <w:spacing w:after="120" w:line="276" w:lineRule="auto"/>
      </w:pPr>
      <w:r>
        <w:t>**Recommandation fondamentale** : La solidité financière d'ORGT est indéniable (ROE élevé, coefficient d'exploitation excellent, capitaux propres renforcés à 113,2 milliards FCFA), mais la baisse du PNB et l'absence de dividende (aucune distribution au titre de 2025) constituent des points de vigilance. Le redressement est réel mais reste dépendant de la normalisation du coût du risque et de la capacité à relancer la croissance commerciale. La recommandation fondamentale est donc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valorisation d'ORGT présente un profil contrasté : un PER de 9,6x et un P/B de 1,84x suggèrent une sous-évaluation relative, mais l'EV/EBITDA de 19,7x tempère cet optimisme en intégrant déjà une prime de qualité. Le comportement du cours sur 100 jours est haussier (+17,65%), avec une volatilité élevée (38,7%) et une distribution platykurtique (kurtosis -1,210) qui indique un risque de pics modéré, mais un skewness positif (0,300) légèrement favorable. Les signaux techniques sont mitigés : le MACD est baissier, le cours évolue sous les moyennes mobiles, mais le RSI et le Stochastique sont neutres, et le rebond de J-1 (+3,45%) pourrait annoncer un retournement. Les fondamentaux sont solides (ROE de 19,1%, coefficient d'exploitation de 42,85%, résultat net en forte hausse), mais la baisse du PNB et l'absence de dividende limitent l'attrait à court terme. Les prédictions IA (J+1 à J+10) anticipent une légère baisse vers 2 947 FCFA, ce qui contredit le rebond récent et suggère une consolidation à venir. **Recommandation finale : CONSERVER**, avec un niveau de confiance **Moyen** et un risque global **Élevé** (volatilité, dépendance à la normalisation du risque crédit). L'horizon optimal est le **moyen terme (3-12 mois)**, en attendant la confirmation d'une reprise durable du PNB et d'une éventuelle reprise des dividendes.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3,937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+6.41%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5.62% (Moyenne) — μ=8,613 FCFA, σ=484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β=0.0559 (Défensif) — Cov=0.000004, Var(idx)=0.000068, ρ=0.023,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7,845</w:t>
            </w:r>
          </w:p>
        </w:tc>
        <w:tc>
          <w:tcPr>
            <w:tcW w:type="dxa" w:w="1440"/>
            <w:shd w:fill="FAFAFA" w:val="clear"/>
          </w:tcPr>
          <w:p>
            <w:r>
              <w:rPr>
                <w:b/>
                <w:sz w:val="17"/>
              </w:rPr>
              <w:t>8,151</w:t>
            </w:r>
          </w:p>
        </w:tc>
        <w:tc>
          <w:tcPr>
            <w:tcW w:type="dxa" w:w="1440"/>
            <w:shd w:fill="FAFAFA" w:val="clear"/>
          </w:tcPr>
          <w:p>
            <w:r>
              <w:rPr>
                <w:sz w:val="17"/>
              </w:rPr>
              <w:t>8,456</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7,728</w:t>
            </w:r>
          </w:p>
        </w:tc>
        <w:tc>
          <w:tcPr>
            <w:tcW w:type="dxa" w:w="1440"/>
            <w:shd w:fill="FFDCE0" w:val="clear"/>
          </w:tcPr>
          <w:p>
            <w:r>
              <w:rPr>
                <w:b/>
                <w:sz w:val="17"/>
              </w:rPr>
              <w:t>8,100</w:t>
            </w:r>
          </w:p>
        </w:tc>
        <w:tc>
          <w:tcPr>
            <w:tcW w:type="dxa" w:w="1440"/>
            <w:shd w:fill="FFDCE0" w:val="clear"/>
          </w:tcPr>
          <w:p>
            <w:r>
              <w:rPr>
                <w:sz w:val="17"/>
              </w:rPr>
              <w:t>8,472</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7,624</w:t>
            </w:r>
          </w:p>
        </w:tc>
        <w:tc>
          <w:tcPr>
            <w:tcW w:type="dxa" w:w="1440"/>
            <w:shd w:fill="FFDCE0" w:val="clear"/>
          </w:tcPr>
          <w:p>
            <w:r>
              <w:rPr>
                <w:b/>
                <w:sz w:val="17"/>
              </w:rPr>
              <w:t>8,051</w:t>
            </w:r>
          </w:p>
        </w:tc>
        <w:tc>
          <w:tcPr>
            <w:tcW w:type="dxa" w:w="1440"/>
            <w:shd w:fill="FFDCE0" w:val="clear"/>
          </w:tcPr>
          <w:p>
            <w:r>
              <w:rPr>
                <w:sz w:val="17"/>
              </w:rPr>
              <w:t>8,478</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7,531</w:t>
            </w:r>
          </w:p>
        </w:tc>
        <w:tc>
          <w:tcPr>
            <w:tcW w:type="dxa" w:w="1440"/>
            <w:shd w:fill="FFDCE0" w:val="clear"/>
          </w:tcPr>
          <w:p>
            <w:r>
              <w:rPr>
                <w:b/>
                <w:sz w:val="17"/>
              </w:rPr>
              <w:t>8,005</w:t>
            </w:r>
          </w:p>
        </w:tc>
        <w:tc>
          <w:tcPr>
            <w:tcW w:type="dxa" w:w="1440"/>
            <w:shd w:fill="FFDCE0" w:val="clear"/>
          </w:tcPr>
          <w:p>
            <w:r>
              <w:rPr>
                <w:sz w:val="17"/>
              </w:rPr>
              <w:t>8,480</w:t>
            </w:r>
          </w:p>
        </w:tc>
        <w:tc>
          <w:tcPr>
            <w:tcW w:type="dxa" w:w="1440"/>
            <w:shd w:fill="FFDCE0" w:val="clear"/>
          </w:tcPr>
          <w:p>
            <w:r>
              <w:rPr>
                <w:b/>
                <w:color w:val="C00000"/>
                <w:sz w:val="17"/>
              </w:rPr>
              <w:t>-3.6%</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7,444</w:t>
            </w:r>
          </w:p>
        </w:tc>
        <w:tc>
          <w:tcPr>
            <w:tcW w:type="dxa" w:w="1440"/>
            <w:shd w:fill="FFDCE0" w:val="clear"/>
          </w:tcPr>
          <w:p>
            <w:r>
              <w:rPr>
                <w:b/>
                <w:sz w:val="17"/>
              </w:rPr>
              <w:t>7,961</w:t>
            </w:r>
          </w:p>
        </w:tc>
        <w:tc>
          <w:tcPr>
            <w:tcW w:type="dxa" w:w="1440"/>
            <w:shd w:fill="FFDCE0" w:val="clear"/>
          </w:tcPr>
          <w:p>
            <w:r>
              <w:rPr>
                <w:sz w:val="17"/>
              </w:rPr>
              <w:t>8,478</w:t>
            </w:r>
          </w:p>
        </w:tc>
        <w:tc>
          <w:tcPr>
            <w:tcW w:type="dxa" w:w="1440"/>
            <w:shd w:fill="FFDCE0" w:val="clear"/>
          </w:tcPr>
          <w:p>
            <w:r>
              <w:rPr>
                <w:b/>
                <w:color w:val="C00000"/>
                <w:sz w:val="17"/>
              </w:rPr>
              <w:t>-4.1%</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7,364</w:t>
            </w:r>
          </w:p>
        </w:tc>
        <w:tc>
          <w:tcPr>
            <w:tcW w:type="dxa" w:w="1440"/>
            <w:shd w:fill="FFDCE0" w:val="clear"/>
          </w:tcPr>
          <w:p>
            <w:r>
              <w:rPr>
                <w:b/>
                <w:sz w:val="17"/>
              </w:rPr>
              <w:t>7,919</w:t>
            </w:r>
          </w:p>
        </w:tc>
        <w:tc>
          <w:tcPr>
            <w:tcW w:type="dxa" w:w="1440"/>
            <w:shd w:fill="FFDCE0" w:val="clear"/>
          </w:tcPr>
          <w:p>
            <w:r>
              <w:rPr>
                <w:sz w:val="17"/>
              </w:rPr>
              <w:t>8,475</w:t>
            </w:r>
          </w:p>
        </w:tc>
        <w:tc>
          <w:tcPr>
            <w:tcW w:type="dxa" w:w="1440"/>
            <w:shd w:fill="FFDCE0" w:val="clear"/>
          </w:tcPr>
          <w:p>
            <w:r>
              <w:rPr>
                <w:b/>
                <w:color w:val="C00000"/>
                <w:sz w:val="17"/>
              </w:rPr>
              <w:t>-4.6%</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7,288</w:t>
            </w:r>
          </w:p>
        </w:tc>
        <w:tc>
          <w:tcPr>
            <w:tcW w:type="dxa" w:w="1440"/>
            <w:shd w:fill="FFDCE0" w:val="clear"/>
          </w:tcPr>
          <w:p>
            <w:r>
              <w:rPr>
                <w:b/>
                <w:sz w:val="17"/>
              </w:rPr>
              <w:t>7,879</w:t>
            </w:r>
          </w:p>
        </w:tc>
        <w:tc>
          <w:tcPr>
            <w:tcW w:type="dxa" w:w="1440"/>
            <w:shd w:fill="FFDCE0" w:val="clear"/>
          </w:tcPr>
          <w:p>
            <w:r>
              <w:rPr>
                <w:sz w:val="17"/>
              </w:rPr>
              <w:t>8,470</w:t>
            </w:r>
          </w:p>
        </w:tc>
        <w:tc>
          <w:tcPr>
            <w:tcW w:type="dxa" w:w="1440"/>
            <w:shd w:fill="FFDCE0" w:val="clear"/>
          </w:tcPr>
          <w:p>
            <w:r>
              <w:rPr>
                <w:b/>
                <w:color w:val="C00000"/>
                <w:sz w:val="17"/>
              </w:rPr>
              <w:t>-5.1%</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7,217</w:t>
            </w:r>
          </w:p>
        </w:tc>
        <w:tc>
          <w:tcPr>
            <w:tcW w:type="dxa" w:w="1440"/>
            <w:shd w:fill="FFDCE0" w:val="clear"/>
          </w:tcPr>
          <w:p>
            <w:r>
              <w:rPr>
                <w:b/>
                <w:sz w:val="17"/>
              </w:rPr>
              <w:t>7,840</w:t>
            </w:r>
          </w:p>
        </w:tc>
        <w:tc>
          <w:tcPr>
            <w:tcW w:type="dxa" w:w="1440"/>
            <w:shd w:fill="FFDCE0" w:val="clear"/>
          </w:tcPr>
          <w:p>
            <w:r>
              <w:rPr>
                <w:sz w:val="17"/>
              </w:rPr>
              <w:t>8,464</w:t>
            </w:r>
          </w:p>
        </w:tc>
        <w:tc>
          <w:tcPr>
            <w:tcW w:type="dxa" w:w="1440"/>
            <w:shd w:fill="FFDCE0" w:val="clear"/>
          </w:tcPr>
          <w:p>
            <w:r>
              <w:rPr>
                <w:b/>
                <w:color w:val="C00000"/>
                <w:sz w:val="17"/>
              </w:rPr>
              <w:t>-5.5%</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7,149</w:t>
            </w:r>
          </w:p>
        </w:tc>
        <w:tc>
          <w:tcPr>
            <w:tcW w:type="dxa" w:w="1440"/>
            <w:shd w:fill="FFDCE0" w:val="clear"/>
          </w:tcPr>
          <w:p>
            <w:r>
              <w:rPr>
                <w:b/>
                <w:sz w:val="17"/>
              </w:rPr>
              <w:t>7,804</w:t>
            </w:r>
          </w:p>
        </w:tc>
        <w:tc>
          <w:tcPr>
            <w:tcW w:type="dxa" w:w="1440"/>
            <w:shd w:fill="FFDCE0" w:val="clear"/>
          </w:tcPr>
          <w:p>
            <w:r>
              <w:rPr>
                <w:sz w:val="17"/>
              </w:rPr>
              <w:t>8,458</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128,31 milliards FCFA, PALC se positionne comme une valeur de premier plan de la cote BRVM, représentant un acteur agro-industriel majeur de la zone UEMOA. Le BPA de 1 003 FCFA/action signifie que chaque titre génère environ 1 003 FCFA de bénéfice net annuel, ce qui, rapporté au cours actuel de 8 300 FCFA, confère un PER de 8,3x — un niveau inférieur à la moyenne du marché BRVM (8-12x), suggérant une valorisation raisonnable voire légèrement sous-évaluée. Le P/B de 0,90x est particulièrement notable : le marché valorise PALC en dessous de sa valeur comptable (capitaux propres de 142,6 Mds FCFA pour 128,3 Mds FCFA de capitalisation), ce qui constitue historiquement une zone d'opportunité pour les investisseurs value. Enfin, l'EV/EBITDA de 4,0x, très inférieur au seuil de 5x, indique que la valeur d'entreprise (capitalisation + dette nette) ne représente que 4 fois la capacité opérationnelle de l'entreprise — un signal fort de sous-évaluation relative, d'autant que la dette financière est quasi nulle (796,6 M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progression de +6,41%, avec une dernière séance quasi stable (+0,12%), le titre clôturant à 8 300 FCFA. Le range de trading s'étend de 7 680 FCFA (plus bas) à 9 640 FCFA (plus haut), soit une amplitude de près de 25%, témoignant d'une réelle dynamique de prix malgré un volume moyen modéré de 3 937 titres/jour. La tendance générale est haussière sur la période, mais le cours actuel (8 300 FCFA) se situe en dessous de la moyenne (8 613 FCFA) et de la médiane (8 690 FCFA), signalant un repli récent depuis les sommets. L'écart entre moyenne et médiane est faible (77 FCFA), confirmant une distribution quasi symétrique, corroborée par un skewness de -0,220 (légère asymétrie négative, sans excès). L'écart-type de 487 FCFA et le coefficient de variation de 5,7% indiquent une dispersion modérée du cours autour de sa moyenne. Le kurtosis de -0,422 (mésokurtique) suggère une distribution proche de la normale, sans risque excessif de pics extrêmes. La volatilité annualisée de 31,9% classe PALC dans la catégorie des titres à volatilité élevée (&gt;30%), ce qui implique un risque de marché non négligeable mais cohérent avec les valeurs agro-industrielles exposées aux matières premières.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(8 393 FCFA) et la MM50 (8 824 FCFA) encadrent le cours actuel (8 300 FCFA) par le haut, ce qui place le titre en position baissière de court terme. Le cours évoluant sous ses deux moyennes, la décision technique est logiquement « Vente », confirmant une pression vendeuse persistante.</w:t>
      </w:r>
    </w:p>
    <w:p>
      <w:pPr>
        <w:spacing w:after="120" w:line="276" w:lineRule="auto"/>
      </w:pPr>
      <w:r>
        <w:t>**Bandes de Bollinger** : Les bornes supérieure (8 872,77 FCFA) et inférieure (7 913,73 FCFA) encadrent le cours actuel (8 300 FCFA), qui se situe dans la moitié inférieure du canal. La décision « Neutre » reflète l'absence de signal extrême, le titre n'étant ni en surachat ni en survente, avec une volatilité contenue dans les bandes.</w:t>
      </w:r>
    </w:p>
    <w:p>
      <w:pPr>
        <w:spacing w:after="120" w:line="276" w:lineRule="auto"/>
      </w:pPr>
      <w:r>
        <w:t>**MACD** : La valeur du MACD (-196,444) est supérieure à son signal (-204,121), générant un croisement haussier et une décision « Achat ». Ce signal positif indique un ralentissement de la dynamique baissière et un possible retournement de momentum, bien que les deux lignes restent en territoire négatif.</w:t>
      </w:r>
    </w:p>
    <w:p>
      <w:pPr>
        <w:spacing w:after="120" w:line="276" w:lineRule="auto"/>
      </w:pPr>
      <w:r>
        <w:t>**RSI** : À 50,0, le RSI se situe exactement à l'équilibre entre surachat (&gt;70) et survente (&lt;30), justifiant la décision « Neutre ». Cette position médiane traduit une absence de pression directionnelle claire, le marché étant en phase de consolidation.</w:t>
      </w:r>
    </w:p>
    <w:p>
      <w:pPr>
        <w:spacing w:after="120" w:line="276" w:lineRule="auto"/>
      </w:pPr>
      <w:r>
        <w:t>**Stochastique** : Le %K (44,954) est légèrement supérieur au %D (41,284), sans croisement significatif, avec une décision « Neutre ». Les deux lignes évoluent en zone médiane, confirmant l'absence de signal fort à court terme.</w:t>
      </w:r>
    </w:p>
    <w:p>
      <w:pPr>
        <w:spacing w:after="120" w:line="276" w:lineRule="auto"/>
      </w:pPr>
      <w:r>
        <w:t>**Conclusion technique** : Les indicateurs sont majoritairement neutres (Bollinger, RSI, Stochastique), avec un signal baissier sur les moyennes mobiles et un signal haussier sur le MACD. Cette divergence traduit une phase d'incertitude et de consolidation, le titre cherchant une direction après son repli depuis les sommets de 9 640 FCFA. La prudence est de mise à court terme, en attendant une confirmation de tendance.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a réalisé un chiffre d'affaires de 197,63 milliards FCFA, en croissance de +14,8% par rapport à 2024 (172,2 Mds FCFA), portée par la hausse des volumes et des prix de l'huile de palme. Le résultat net s'établit à 15,51 milliards FCFA, en léger recul de -2,2% (vs 15,9 Mds en 2024), avec une marge nette de 7,85% (contre 9,2% en 2024). Le ROE de 10,87% et le ROA de 7,79% restent corrects mais en deçà du seuil d'excellence de 15%, reflétant une pression sur les coûts (charges de personnel +4%, services extérieurs +30,3%, impôts +56,8%). La structure financière est très solide : autonomie financière de 71,64%, endettement quasi nul (dette financière de 796,6 M FCFA), liquidité générale de 171,95% et solvabilité générale de 352,56%. Le BFR de 44,62 Mds FCFA et le délai client élevé de 142,58 jours constituent un point de vigilance pour la trésorerie, bien que la trésorerie nette reste négative à -4,56 Mds FCFA. Les rapports trimestriels de 2025 confirment cette dynamique : le T1 2025 (rapport du 31/03/2025) affichait un CA de 67,5 Mds FCFA (+32%) et un résultat net de 11,6 Mds FCFA (+65%), tandis que le S1 2025 (rapport du 30/06/2025) enregistrait un CA de 134,8 Mds FCFA (+25%) et un résultat net de 22,9 Mds FCFA (+37%). Cependant, le T3 2025 (rapport du 30/09/2025) montrait un ralentissement avec un résultat net cumulé de 18,0 Mds FCFA (+11%) et une marge nette de 10,7%, en retrait par rapport au S1 (17,0%). Plus préoccupant, le rapport du T1 2026 (publié en 2026) révèle un effondrement du CA de -27% à 49,4 Mds FCFA et du résultat net de -86% à 1,6 Mds FCFA, que la direction attribue à un décalage temporel des ventes. Sur la base de ces éléments, on estime que l'exercice 2026 pourrait être nettement moins favorable que 2025, avec un risque de contraction du résultat net si la reprise des ventes à l'export ne se matérialise pas au second semestre. La recommandation fondamentale est de **CONSERVER** avec une surveillance active, la solidité du bilan et la sous-évaluation relative compensant les risques opérationnels et la dégradation récente des résultats.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attractive (PER 8,3x, P/B 0,90x, EV/EBITDA 4,0x), suggérant une sous-évaluation par rapport à ses fondamentaux et à la moyenne du marché BRVM. Le comportement du cours sur 100 jours est haussier (+6,41%) mais le titre se situe sous ses moyennes mobiles, avec une volatilité élevée (31,9%) et une distribution symétrique (skewness -0,220, kurtosis -0,422) sans risque extrême. Les signaux techniques sont mitigés : baissiers sur les MM, haussiers sur le MACD, neutres sur Bollinger, RSI et Stochastique, traduisant une phase de consolidation incertaine. Les fondamentaux de 2025 sont solides (CA +14,8%, structure financière très saine, ROE 10,87%), mais le T1 2026 (CA -27%, résultat net -86%) constitue un signal d'alerte majeur qui pourrait peser sur les performances annuelles. Les prédictions IA anticipent une poursuite de la baisse à court terme (8 151 FCFA à J+1, 7 961 FCFA à J+5), ce qui contredit le signal haussier du MACD mais confirme la pression baissière des moyennes mobiles et la prudence du marché. Sur la base de cette synthèse, la recommandation finale est **CONSERVER**, avec un niveau de confiance **Moyen** et un risque global **Élevé**. La convergence entre la sous-évaluation (Partie 0), la solidité financière (Partie 3) et les signaux techniques mitigés (Partie 2) plaide pour une position attentiste, tandis que la dégradation du T1 2026 et les prédictions baissières incitent à la prudence. L'horizon d'investissement optimal est le **moyen terme (3-12 mois)**, en attendant la confirmation d'un redressement des ventes au S2 2026 et une stabilisation des cours de l'huile de palme. Un passage à l'achat serait justifié si le titre revient vers 7 900-8 000 FCFA (borne inférieure de Bollinger) avec une amélioration des volumes et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39.99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1,132 titres</w:t>
            </w:r>
          </w:p>
        </w:tc>
        <w:tc>
          <w:tcPr>
            <w:tcW w:type="dxa" w:w="2268"/>
            <w:shd w:fill="FFF2CC" w:val="clear"/>
          </w:tcPr>
          <w:p>
            <w:r>
              <w:rPr>
                <w:b/>
                <w:color w:val="503200"/>
                <w:sz w:val="16"/>
              </w:rPr>
              <w:t xml:space="preserve">Cours actuel : </w:t>
            </w:r>
            <w:r>
              <w:rPr>
                <w:color w:val="000000"/>
                <w:sz w:val="17"/>
              </w:rPr>
              <w:t>3,905 FCFA</w:t>
            </w:r>
          </w:p>
          <w:p>
            <w:r>
              <w:rPr>
                <w:b/>
                <w:color w:val="503200"/>
                <w:sz w:val="16"/>
              </w:rPr>
              <w:t xml:space="preserve">Var. 100 jours : </w:t>
            </w:r>
            <w:r>
              <w:rPr>
                <w:b/>
                <w:color w:val="007800"/>
                <w:sz w:val="17"/>
              </w:rPr>
              <w:t>+5.68%</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5.99% (Moyenne) — μ=4,346 FCFA, σ=260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β=-0.3301 (Contre-cyclique) — Cov=-0.000023, Var(idx)=0.000068, ρ=-0.118,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3,756</w:t>
            </w:r>
          </w:p>
        </w:tc>
        <w:tc>
          <w:tcPr>
            <w:tcW w:type="dxa" w:w="1440"/>
            <w:shd w:fill="FAFAFA" w:val="clear"/>
          </w:tcPr>
          <w:p>
            <w:r>
              <w:rPr>
                <w:b/>
                <w:sz w:val="17"/>
              </w:rPr>
              <w:t>3,964</w:t>
            </w:r>
          </w:p>
        </w:tc>
        <w:tc>
          <w:tcPr>
            <w:tcW w:type="dxa" w:w="1440"/>
            <w:shd w:fill="FAFAFA" w:val="clear"/>
          </w:tcPr>
          <w:p>
            <w:r>
              <w:rPr>
                <w:sz w:val="17"/>
              </w:rPr>
              <w:t>4,173</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3,711</w:t>
            </w:r>
          </w:p>
        </w:tc>
        <w:tc>
          <w:tcPr>
            <w:tcW w:type="dxa" w:w="1440"/>
            <w:shd w:fill="FAFAFA" w:val="clear"/>
          </w:tcPr>
          <w:p>
            <w:r>
              <w:rPr>
                <w:b/>
                <w:sz w:val="17"/>
              </w:rPr>
              <w:t>3,967</w:t>
            </w:r>
          </w:p>
        </w:tc>
        <w:tc>
          <w:tcPr>
            <w:tcW w:type="dxa" w:w="1440"/>
            <w:shd w:fill="FAFAFA" w:val="clear"/>
          </w:tcPr>
          <w:p>
            <w:r>
              <w:rPr>
                <w:sz w:val="17"/>
              </w:rPr>
              <w:t>4,223</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3,674</w:t>
            </w:r>
          </w:p>
        </w:tc>
        <w:tc>
          <w:tcPr>
            <w:tcW w:type="dxa" w:w="1440"/>
            <w:shd w:fill="FAFAFA" w:val="clear"/>
          </w:tcPr>
          <w:p>
            <w:r>
              <w:rPr>
                <w:b/>
                <w:sz w:val="17"/>
              </w:rPr>
              <w:t>3,970</w:t>
            </w:r>
          </w:p>
        </w:tc>
        <w:tc>
          <w:tcPr>
            <w:tcW w:type="dxa" w:w="1440"/>
            <w:shd w:fill="FAFAFA" w:val="clear"/>
          </w:tcPr>
          <w:p>
            <w:r>
              <w:rPr>
                <w:sz w:val="17"/>
              </w:rPr>
              <w:t>4,266</w:t>
            </w:r>
          </w:p>
        </w:tc>
        <w:tc>
          <w:tcPr>
            <w:tcW w:type="dxa" w:w="1440"/>
            <w:shd w:fill="FAFAFA" w:val="clear"/>
          </w:tcPr>
          <w:p>
            <w:r>
              <w:rPr>
                <w:b/>
                <w:color w:val="008000"/>
                <w:sz w:val="17"/>
              </w:rPr>
              <w:t>+1.7%</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3,642</w:t>
            </w:r>
          </w:p>
        </w:tc>
        <w:tc>
          <w:tcPr>
            <w:tcW w:type="dxa" w:w="1440"/>
            <w:shd w:fill="FAFAFA" w:val="clear"/>
          </w:tcPr>
          <w:p>
            <w:r>
              <w:rPr>
                <w:b/>
                <w:sz w:val="17"/>
              </w:rPr>
              <w:t>3,973</w:t>
            </w:r>
          </w:p>
        </w:tc>
        <w:tc>
          <w:tcPr>
            <w:tcW w:type="dxa" w:w="1440"/>
            <w:shd w:fill="FAFAFA" w:val="clear"/>
          </w:tcPr>
          <w:p>
            <w:r>
              <w:rPr>
                <w:sz w:val="17"/>
              </w:rPr>
              <w:t>4,303</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3,612</w:t>
            </w:r>
          </w:p>
        </w:tc>
        <w:tc>
          <w:tcPr>
            <w:tcW w:type="dxa" w:w="1440"/>
            <w:shd w:fill="FAFAFA" w:val="clear"/>
          </w:tcPr>
          <w:p>
            <w:r>
              <w:rPr>
                <w:b/>
                <w:sz w:val="17"/>
              </w:rPr>
              <w:t>3,975</w:t>
            </w:r>
          </w:p>
        </w:tc>
        <w:tc>
          <w:tcPr>
            <w:tcW w:type="dxa" w:w="1440"/>
            <w:shd w:fill="FAFAFA" w:val="clear"/>
          </w:tcPr>
          <w:p>
            <w:r>
              <w:rPr>
                <w:sz w:val="17"/>
              </w:rPr>
              <w:t>4,337</w:t>
            </w:r>
          </w:p>
        </w:tc>
        <w:tc>
          <w:tcPr>
            <w:tcW w:type="dxa" w:w="1440"/>
            <w:shd w:fill="FAFAFA" w:val="clear"/>
          </w:tcPr>
          <w:p>
            <w:r>
              <w:rPr>
                <w:b/>
                <w:color w:val="008000"/>
                <w:sz w:val="17"/>
              </w:rPr>
              <w:t>+1.8%</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3,585</w:t>
            </w:r>
          </w:p>
        </w:tc>
        <w:tc>
          <w:tcPr>
            <w:tcW w:type="dxa" w:w="1440"/>
            <w:shd w:fill="FAFAFA" w:val="clear"/>
          </w:tcPr>
          <w:p>
            <w:r>
              <w:rPr>
                <w:b/>
                <w:sz w:val="17"/>
              </w:rPr>
              <w:t>3,977</w:t>
            </w:r>
          </w:p>
        </w:tc>
        <w:tc>
          <w:tcPr>
            <w:tcW w:type="dxa" w:w="1440"/>
            <w:shd w:fill="FAFAFA" w:val="clear"/>
          </w:tcPr>
          <w:p>
            <w:r>
              <w:rPr>
                <w:sz w:val="17"/>
              </w:rPr>
              <w:t>4,369</w:t>
            </w:r>
          </w:p>
        </w:tc>
        <w:tc>
          <w:tcPr>
            <w:tcW w:type="dxa" w:w="1440"/>
            <w:shd w:fill="FAFAFA" w:val="clear"/>
          </w:tcPr>
          <w:p>
            <w:r>
              <w:rPr>
                <w:b/>
                <w:color w:val="008000"/>
                <w:sz w:val="17"/>
              </w:rPr>
              <w:t>+1.8%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3,560</w:t>
            </w:r>
          </w:p>
        </w:tc>
        <w:tc>
          <w:tcPr>
            <w:tcW w:type="dxa" w:w="1440"/>
            <w:shd w:fill="FAFAFA" w:val="clear"/>
          </w:tcPr>
          <w:p>
            <w:r>
              <w:rPr>
                <w:b/>
                <w:sz w:val="17"/>
              </w:rPr>
              <w:t>3,980</w:t>
            </w:r>
          </w:p>
        </w:tc>
        <w:tc>
          <w:tcPr>
            <w:tcW w:type="dxa" w:w="1440"/>
            <w:shd w:fill="FAFAFA" w:val="clear"/>
          </w:tcPr>
          <w:p>
            <w:r>
              <w:rPr>
                <w:sz w:val="17"/>
              </w:rPr>
              <w:t>4,399</w:t>
            </w:r>
          </w:p>
        </w:tc>
        <w:tc>
          <w:tcPr>
            <w:tcW w:type="dxa" w:w="1440"/>
            <w:shd w:fill="FAFAFA" w:val="clear"/>
          </w:tcPr>
          <w:p>
            <w:r>
              <w:rPr>
                <w:b/>
                <w:color w:val="008000"/>
                <w:sz w:val="17"/>
              </w:rPr>
              <w:t>+1.9%</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3,537</w:t>
            </w:r>
          </w:p>
        </w:tc>
        <w:tc>
          <w:tcPr>
            <w:tcW w:type="dxa" w:w="1440"/>
            <w:shd w:fill="FAFAFA" w:val="clear"/>
          </w:tcPr>
          <w:p>
            <w:r>
              <w:rPr>
                <w:b/>
                <w:sz w:val="17"/>
              </w:rPr>
              <w:t>3,982</w:t>
            </w:r>
          </w:p>
        </w:tc>
        <w:tc>
          <w:tcPr>
            <w:tcW w:type="dxa" w:w="1440"/>
            <w:shd w:fill="FAFAFA" w:val="clear"/>
          </w:tcPr>
          <w:p>
            <w:r>
              <w:rPr>
                <w:sz w:val="17"/>
              </w:rPr>
              <w:t>4,426</w:t>
            </w:r>
          </w:p>
        </w:tc>
        <w:tc>
          <w:tcPr>
            <w:tcW w:type="dxa" w:w="1440"/>
            <w:shd w:fill="FAFAFA" w:val="clear"/>
          </w:tcPr>
          <w:p>
            <w:r>
              <w:rPr>
                <w:b/>
                <w:color w:val="008000"/>
                <w:sz w:val="17"/>
              </w:rPr>
              <w:t>+2.0%</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3,515</w:t>
            </w:r>
          </w:p>
        </w:tc>
        <w:tc>
          <w:tcPr>
            <w:tcW w:type="dxa" w:w="1440"/>
            <w:shd w:fill="C6EFCE" w:val="clear"/>
          </w:tcPr>
          <w:p>
            <w:r>
              <w:rPr>
                <w:b/>
                <w:sz w:val="17"/>
              </w:rPr>
              <w:t>3,984</w:t>
            </w:r>
          </w:p>
        </w:tc>
        <w:tc>
          <w:tcPr>
            <w:tcW w:type="dxa" w:w="1440"/>
            <w:shd w:fill="C6EFCE" w:val="clear"/>
          </w:tcPr>
          <w:p>
            <w:r>
              <w:rPr>
                <w:sz w:val="17"/>
              </w:rPr>
              <w:t>4,453</w:t>
            </w:r>
          </w:p>
        </w:tc>
        <w:tc>
          <w:tcPr>
            <w:tcW w:type="dxa" w:w="1440"/>
            <w:shd w:fill="C6EFCE"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39,99 milliards FCFA, PRSC se situe dans la catégorie des valeurs moyennes de la cote BRVM, ce qui lui confère une liquidité limitée mais une certaine stabilité institutionnelle. Le BPA de 231 FCFA/action signifie que chaque titre génère près de 231 FCFA de bénéfice net, un niveau correct pour une entreprise de distribution automobile. Le PER de 16,9x est supérieur à la moyenne du marché BRVM (généralement comprise entre 8 et 12x), ce qui indique que les investisseurs paient une prime pour cette valeur, probablement en raison de sa solidité et de son dividende attractif. Le P/B de 3,47x montre que le marché valorise l'entreprise à plus de trois fois sa valeur comptable, traduisant une prime de croissance et de qualité. Enfin, l'EV/EBITDA de 8,9x, dans la fourchette raisonnable de 5-10x, suggère que la valeur totale de l'entreprise reste cohérente avec sa capacité opérationnelle à générer des flux.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variation totale positive de +5,68%, mais la dernière séance (J-1) a enregistré une correction marquée de -4,76%, signalant une pression vendeuse récente. Le cours actuel de 3 905 FCFA se situe dans la partie basse du range de trading, le plus haut ayant atteint 4 740 FCFA et le plus bas 3 620 FCFA, soit une amplitude de plus de 30% qui témoigne d'une réelle volatilité. La tendance générale reste haussière sur la période, mais le repli récent suggère une possible consolidation. Les statistiques descriptives révèlent une moyenne de 4 346 FCFA supérieure à la médiane de 4 402 FCFA — écart qui, combiné à un skewness négatif de -1,269, indique une asymétrie vers la gauche avec davantage de journées de hausse, mais des baisses plus violentes. L'écart-type de 261 FCFA (CV de 6,0%) traduit une dispersion modérée autour de la moyenne, tandis que le kurtosis de 1,103 (leptokurtique) signale des queues épaisses, donc un risque de pics de volatilité brutaux. La volatilité annualisée de 37,3% classe ce titre dans la catégorie des valeurs à volatilité élevée (&gt;30%), ce qui implique un risque accru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(4 272,25 FCFA) et la MM50 (4 398,2 FCFA) se situent toutes deux nettement au-dessus du cours actuel (3 905 FCFA), confirmant une configuration baissière de court et moyen terme. Le croisement potentiel de la MM20 sous la MM50 renforcerait ce signal négatif. La décision technique qui en découle est donc **Vente**.</w:t>
      </w:r>
    </w:p>
    <w:p>
      <w:pPr>
        <w:spacing w:after="120" w:line="276" w:lineRule="auto"/>
      </w:pPr>
      <w:r>
        <w:t>**Bandes de Bollinger** : Le cours actuel (3 905 FCFA) se situe légèrement sous la borne inférieure des Bandes de Bollinger (3 920,48 FCFA), ce qui constitue un signal classique de survente et suggère un potentiel rebond technique. La borne supérieure à 4 624,02 FCFA indique une volatilité encore élevée. La décision qui en résulte est **Achat** sur anticipation d'un retour à la moyenne.</w:t>
      </w:r>
    </w:p>
    <w:p>
      <w:pPr>
        <w:spacing w:after="120" w:line="276" w:lineRule="auto"/>
      </w:pPr>
      <w:r>
        <w:t>**MACD** : La valeur du MACD (-116,387) est inférieure à son signal (-78,408), confirmant un momentum baissier persistant. L'histogramme négatif indique que la pression vendeuse reste dominante, bien que l'écart entre les deux lignes tende à se réduire, ce qui pourrait annoncer un retournement prochain. La décision technique est **Vente**.</w:t>
      </w:r>
    </w:p>
    <w:p>
      <w:pPr>
        <w:spacing w:after="120" w:line="276" w:lineRule="auto"/>
      </w:pPr>
      <w:r>
        <w:t>**RSI** : Avec une valeur de 31,818, le RSI se situe juste au-dessus du seuil de survente (30), ce qui le place en zone neutre basse. Ce niveau indique que le titre n'est pas encore techniquement survendu mais s'en approche dangereusement, laissant présager un possible rebond à court terme. La décision est **Neutre**.</w:t>
      </w:r>
    </w:p>
    <w:p>
      <w:pPr>
        <w:spacing w:after="120" w:line="276" w:lineRule="auto"/>
      </w:pPr>
      <w:r>
        <w:t>**Stochastique** : Le %K (0,862) est très inférieur au %D (11,782), et les deux indicateurs se situent en zone de survente extrême. Un croisement haussier du %K au-dessus du %D est imminent, ce qui constitue un signal d'achat technique classique. La décision est donc **Achat**.</w:t>
      </w:r>
    </w:p>
    <w:p>
      <w:pPr>
        <w:spacing w:after="120" w:line="276" w:lineRule="auto"/>
      </w:pPr>
      <w:r>
        <w:t>**Conclusion technique** : Les indicateurs techniques présentent une divergence notable. Les moyennes mobiles et le MACD confirment une tendance baissière de fond, tandis que les Bandes de Bollinger, le RSI et le Stochastique signalent une survente extrême propice à un rebond technique à court terme. Cette configuration suggère une possible stabilisation du cours autour de 3 900 FCFA avant une reprise, mais la prudence reste de mise tant que la MM20 n'est pas reconquise.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(source : brvm_donnees_financieres) révèlent un chiffre d'affaires de 81,127 milliards FCFA, en croissance de 8,64% par rapport à 2024, confirmant la dynamique commerciale de l'entreprise. Le résultat net s'établit à 2,367 milliards FCFA, en légère hausse par rapport aux 2,35 milliards de 2024, avec une marge nette de 2,92% — faible mais stable. Le ROE de 20,53% est excellent (&gt;15%), témoignant d'une bonne rentabilité des fonds propres, tandis que le ROA de 4,95% reste modéré, reflétant l'intensité capitalistique du secteur. En tant qu'entreprise de distribution automobile, PRSC présente un BFR de 11,267 milliards FCFA (positif, donc défavorable) et une trésorerie nette négative de -4,092 milliards FCFA, ce qui constitue un point de vigilance majeur. Les délais d'exploitation sont préoccupants : 45,99 jours de délai client (risque de trésorerie), 102,65 jours de délai fournisseur (favorable) et surtout 150,51 jours de durée de stockage, ce qui immobilise massivement du capital. Le ratio d'endettement de 314,86% est élevé, bien que la solvabilité générale (131,76%) reste satisfaisante. Les rapports narratifs confirment ces tendances : le rapport du 30 juin 2025 (S1 2025) fait état d'un CA de 39,968 milliards FCFA (+15,1%) et d'un résultat net de 1,436 milliard FCFA (multiplié par 28), avec une marge nette de 3,6%. Le rapport annuel 2025 (publié en 2026) confirme un CA de 81,1 milliards FCFA (+9,5%) et un résultat net de 2,37 milliards FCFA, avec un dividende de 209 FCFA/action proposé à l'AG du 30 juin 2026. On estime, sur la base de ces tendances, que l'exercice 2026 devrait maintenir une croissance modérée du CA (autour de 5-8%) avec une pression persistante sur les marges. La recommandation fondamentale est de **CONSERVER** le titre : la solidité du modèle et le dividende attractif (rendement d'environ 5,35% au cours actuel) compensent les risques liés à la trésorerie tendue et à l'endettement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 PER de 16,9x et le P/B de 3,47x indiquent que le titre se paie à une prime par rapport au marché BRVM, ce qui limite le potentiel de revalorisation à court terme, bien que l'EV/EBITDA de 8,9x reste raisonnable. Le **comportement du cours (Partie 1)** est préoccupant à court terme : la correction de -4,76% en J-1, la volatilité élevée (37,3%) et le kurtosis leptokurtique (1,103) signalent un risque de pics baissiers brutaux, même si le skewness négatif (-1,269) suggère que les hausses passées ont été plus fréquentes. Les **signaux techniques (Partie 2)** sont divergents : les indicateurs de tendance (MM, MACD) sont baissiers, mais les oscillateurs (Bollinger, RSI, Stochastique) signalent une survente propice à un rebond à court terme. Les **fondamentaux (Partie 3)** demeurent solides : croissance du CA (+8,64% en 2025), ROE excellent (20,53%), dividende attractif (209 FCFA/action), mais la trésorerie nette négative (-4,092 milliards FCFA) et l'endettement élevé (314,86%) constituent des risques à surveiller. Les **prédictions IA (J+1 à J+10)** anticipent une légère reprise du cours, de 3 964 FCFA à 3 975 FCFA, ce qui confirme le scénario d'un rebond technique après la survente actuelle. Sur la base de cette synthèse, la recommandation finale est **CONSERVER**, avec un niveau de confiance **Moyen** et un risque global **Élevé**. L'horizon d'investissement optimal est le **moyen terme (3-12 mois)**, en attendant une clarification de la tendance technique et une amélioration de la structure financière (réduction du BFR et de l'endettement). Un **ACHAT** ne serait justifié qu'en cas de cassure confirmée au-dessus de la MM20 (4 272 FCFA) avec des volumes significatifs.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52.82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8,892 titres</w:t>
            </w:r>
          </w:p>
        </w:tc>
        <w:tc>
          <w:tcPr>
            <w:tcW w:type="dxa" w:w="2268"/>
            <w:shd w:fill="FFF2CC" w:val="clear"/>
          </w:tcPr>
          <w:p>
            <w:r>
              <w:rPr>
                <w:b/>
                <w:color w:val="503200"/>
                <w:sz w:val="16"/>
              </w:rPr>
              <w:t xml:space="preserve">Cours actuel : </w:t>
            </w:r>
            <w:r>
              <w:rPr>
                <w:color w:val="000000"/>
                <w:sz w:val="17"/>
              </w:rPr>
              <w:t>4,450 FCFA</w:t>
            </w:r>
          </w:p>
          <w:p>
            <w:r>
              <w:rPr>
                <w:b/>
                <w:color w:val="503200"/>
                <w:sz w:val="16"/>
              </w:rPr>
              <w:t xml:space="preserve">Var. 100 jours : </w:t>
            </w:r>
            <w:r>
              <w:rPr>
                <w:b/>
                <w:color w:val="007800"/>
                <w:sz w:val="17"/>
              </w:rPr>
              <w:t>+27.14%</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3,485 FCFA</w:t>
            </w:r>
          </w:p>
          <w:p>
            <w:r>
              <w:rPr>
                <w:b/>
                <w:color w:val="503200"/>
                <w:sz w:val="16"/>
              </w:rPr>
              <w:t xml:space="preserve">Volatilité ann. : </w:t>
            </w:r>
            <w:r>
              <w:rPr>
                <w:color w:val="000000"/>
                <w:sz w:val="17"/>
              </w:rPr>
              <w:t>61.7%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31.0/100 → Moyen</w:t>
      </w:r>
    </w:p>
    <w:p>
      <w:pPr>
        <w:spacing w:before="40" w:after="80"/>
      </w:pPr>
      <w:r>
        <w:rPr>
          <w:rFonts w:ascii="Courier New" w:hAnsi="Courier New"/>
          <w:color w:val="825A00"/>
          <w:sz w:val="18"/>
        </w:rPr>
        <w:t>██████░░░░░░░░░░░░░░  31.0/100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15.81% (Élevée) — μ=4,651 FCFA, σ=735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β=1.2132 (Agressif) — Cov=0.000083, Var(idx)=0.000068, ρ=0.258,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8,892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σ_j=3.89%/j (Modérée) — Vol. annualisée≈61.7%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3,868</w:t>
            </w:r>
          </w:p>
        </w:tc>
        <w:tc>
          <w:tcPr>
            <w:tcW w:type="dxa" w:w="1440"/>
            <w:shd w:fill="FFDCE0" w:val="clear"/>
          </w:tcPr>
          <w:p>
            <w:r>
              <w:rPr>
                <w:b/>
                <w:sz w:val="17"/>
              </w:rPr>
              <w:t>4,305</w:t>
            </w:r>
          </w:p>
        </w:tc>
        <w:tc>
          <w:tcPr>
            <w:tcW w:type="dxa" w:w="1440"/>
            <w:shd w:fill="FFDCE0" w:val="clear"/>
          </w:tcPr>
          <w:p>
            <w:r>
              <w:rPr>
                <w:sz w:val="17"/>
              </w:rPr>
              <w:t>4,742</w:t>
            </w:r>
          </w:p>
        </w:tc>
        <w:tc>
          <w:tcPr>
            <w:tcW w:type="dxa" w:w="1440"/>
            <w:shd w:fill="FFDCE0" w:val="clear"/>
          </w:tcPr>
          <w:p>
            <w:r>
              <w:rPr>
                <w:b/>
                <w:color w:val="C00000"/>
                <w:sz w:val="17"/>
              </w:rPr>
              <w:t>-3.3%</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3,760</w:t>
            </w:r>
          </w:p>
        </w:tc>
        <w:tc>
          <w:tcPr>
            <w:tcW w:type="dxa" w:w="1440"/>
            <w:shd w:fill="FFDCE0" w:val="clear"/>
          </w:tcPr>
          <w:p>
            <w:r>
              <w:rPr>
                <w:b/>
                <w:sz w:val="17"/>
              </w:rPr>
              <w:t>4,294</w:t>
            </w:r>
          </w:p>
        </w:tc>
        <w:tc>
          <w:tcPr>
            <w:tcW w:type="dxa" w:w="1440"/>
            <w:shd w:fill="FFDCE0" w:val="clear"/>
          </w:tcPr>
          <w:p>
            <w:r>
              <w:rPr>
                <w:sz w:val="17"/>
              </w:rPr>
              <w:t>4,828</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3,672</w:t>
            </w:r>
          </w:p>
        </w:tc>
        <w:tc>
          <w:tcPr>
            <w:tcW w:type="dxa" w:w="1440"/>
            <w:shd w:fill="FFDCE0" w:val="clear"/>
          </w:tcPr>
          <w:p>
            <w:r>
              <w:rPr>
                <w:b/>
                <w:sz w:val="17"/>
              </w:rPr>
              <w:t>4,288</w:t>
            </w:r>
          </w:p>
        </w:tc>
        <w:tc>
          <w:tcPr>
            <w:tcW w:type="dxa" w:w="1440"/>
            <w:shd w:fill="FFDCE0" w:val="clear"/>
          </w:tcPr>
          <w:p>
            <w:r>
              <w:rPr>
                <w:sz w:val="17"/>
              </w:rPr>
              <w:t>4,904</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3,595</w:t>
            </w:r>
          </w:p>
        </w:tc>
        <w:tc>
          <w:tcPr>
            <w:tcW w:type="dxa" w:w="1440"/>
            <w:shd w:fill="FFDCE0" w:val="clear"/>
          </w:tcPr>
          <w:p>
            <w:r>
              <w:rPr>
                <w:b/>
                <w:sz w:val="17"/>
              </w:rPr>
              <w:t>4,282</w:t>
            </w:r>
          </w:p>
        </w:tc>
        <w:tc>
          <w:tcPr>
            <w:tcW w:type="dxa" w:w="1440"/>
            <w:shd w:fill="FFDCE0" w:val="clear"/>
          </w:tcPr>
          <w:p>
            <w:r>
              <w:rPr>
                <w:sz w:val="17"/>
              </w:rPr>
              <w:t>4,970</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3,525</w:t>
            </w:r>
          </w:p>
        </w:tc>
        <w:tc>
          <w:tcPr>
            <w:tcW w:type="dxa" w:w="1440"/>
            <w:shd w:fill="FFDCE0" w:val="clear"/>
          </w:tcPr>
          <w:p>
            <w:r>
              <w:rPr>
                <w:b/>
                <w:sz w:val="17"/>
              </w:rPr>
              <w:t>4,277</w:t>
            </w:r>
          </w:p>
        </w:tc>
        <w:tc>
          <w:tcPr>
            <w:tcW w:type="dxa" w:w="1440"/>
            <w:shd w:fill="FFDCE0" w:val="clear"/>
          </w:tcPr>
          <w:p>
            <w:r>
              <w:rPr>
                <w:sz w:val="17"/>
              </w:rPr>
              <w:t>5,029</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3,460</w:t>
            </w:r>
          </w:p>
        </w:tc>
        <w:tc>
          <w:tcPr>
            <w:tcW w:type="dxa" w:w="1440"/>
            <w:shd w:fill="FFDCE0" w:val="clear"/>
          </w:tcPr>
          <w:p>
            <w:r>
              <w:rPr>
                <w:b/>
                <w:sz w:val="17"/>
              </w:rPr>
              <w:t>4,271</w:t>
            </w:r>
          </w:p>
        </w:tc>
        <w:tc>
          <w:tcPr>
            <w:tcW w:type="dxa" w:w="1440"/>
            <w:shd w:fill="FFDCE0" w:val="clear"/>
          </w:tcPr>
          <w:p>
            <w:r>
              <w:rPr>
                <w:sz w:val="17"/>
              </w:rPr>
              <w:t>5,083</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3,400</w:t>
            </w:r>
          </w:p>
        </w:tc>
        <w:tc>
          <w:tcPr>
            <w:tcW w:type="dxa" w:w="1440"/>
            <w:shd w:fill="FFDCE0" w:val="clear"/>
          </w:tcPr>
          <w:p>
            <w:r>
              <w:rPr>
                <w:b/>
                <w:sz w:val="17"/>
              </w:rPr>
              <w:t>4,266</w:t>
            </w:r>
          </w:p>
        </w:tc>
        <w:tc>
          <w:tcPr>
            <w:tcW w:type="dxa" w:w="1440"/>
            <w:shd w:fill="FFDCE0" w:val="clear"/>
          </w:tcPr>
          <w:p>
            <w:r>
              <w:rPr>
                <w:sz w:val="17"/>
              </w:rPr>
              <w:t>5,132</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3,343</w:t>
            </w:r>
          </w:p>
        </w:tc>
        <w:tc>
          <w:tcPr>
            <w:tcW w:type="dxa" w:w="1440"/>
            <w:shd w:fill="FFDCE0" w:val="clear"/>
          </w:tcPr>
          <w:p>
            <w:r>
              <w:rPr>
                <w:b/>
                <w:sz w:val="17"/>
              </w:rPr>
              <w:t>4,261</w:t>
            </w:r>
          </w:p>
        </w:tc>
        <w:tc>
          <w:tcPr>
            <w:tcW w:type="dxa" w:w="1440"/>
            <w:shd w:fill="FFDCE0" w:val="clear"/>
          </w:tcPr>
          <w:p>
            <w:r>
              <w:rPr>
                <w:sz w:val="17"/>
              </w:rPr>
              <w:t>5,179</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3,289</w:t>
            </w:r>
          </w:p>
        </w:tc>
        <w:tc>
          <w:tcPr>
            <w:tcW w:type="dxa" w:w="1440"/>
            <w:shd w:fill="FFDCE0" w:val="clear"/>
          </w:tcPr>
          <w:p>
            <w:r>
              <w:rPr>
                <w:b/>
                <w:sz w:val="17"/>
              </w:rPr>
              <w:t>4,256</w:t>
            </w:r>
          </w:p>
        </w:tc>
        <w:tc>
          <w:tcPr>
            <w:tcW w:type="dxa" w:w="1440"/>
            <w:shd w:fill="FFDCE0" w:val="clear"/>
          </w:tcPr>
          <w:p>
            <w:r>
              <w:rPr>
                <w:sz w:val="17"/>
              </w:rPr>
              <w:t>5,222</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ACTION SAFC (ALIOS FINANCE CÔTE D'IVOIRE)**</w:t>
        <w:br/>
        <w:t>**Bourse Régionale des Valeurs Mobilières (BRVM) — Secteur : Banque / Financement**</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52,82 milliards FCFA, SAFC se positionne comme une valeur de taille intermédiaire sur la BRVM, loin des poids lourds bancaires comme Sonatel ou Ecobank, mais suffisamment liquide pour intéresser les investisseurs institutionnels régionaux. Le BPA de 59 FCFA/action signifie que chaque titre génère près de 59 FCFA de bénéfice net, un niveau modeste qui traduit la petite taille des fonds propres (5,916 Mds FCFA). Le PER de 75,4x constitue un signal d'alerte majeur : les investisseurs paient plus de 75 fois les bénéfices courants, soit un multiple 6 à 9 fois supérieur à la moyenne du marché BRVM (8-12x), ce qui intègre déjà une anticipation très forte de croissance future. Le P/B de 8,93x indique que le marché valorise la société près de 9 fois sa valeur comptable — une prime considérable qui s'explique par le potentiel de redressement post-CREDAF, mais qui laisse peu de marge d'erreur. Enfin, l'EV/EBITDA de 85,1x (contre une norme de 15x) signale une valorisation extrêmement tendue par rapport à la capacité opérationnelle actuelle, confirmant que le titre intègre des hypothèses de croissance très optimistes.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SAFC affiche une performance remarquable de +27,14%, mais la dernière séance (J-1) enregistre un repli de -3,16%, signalant une prise de bénéfices après le rallye. Le range de trading est très large, oscillant entre un plus bas de 3 485 FCFA et un plus haut de 6 200 FCFA, soit une amplitude de 78% — caractéristique d'un titre en forte volatilité. La tendance générale reste haussière sur la période, portée par le retour à la rentabilité et l'annonce de l'augmentation de capital, mais le cours actuel (4 450 FCFA) se situe désormais 28% en dessous du plus haut, traduisant une correction en cours. Les statistiques descriptives révèlent une moyenne (4 651 FCFA) légèrement supérieure à la médiane (4 580 FCFA), avec un mode à 3 700 FCFA, indiquant une distribution légèrement asymétrique à droite (skewness de 0,312, qualifiée de symétrique). L'écart-type de 739 FCFA et le coefficient de variation de 15,9% témoignent d'une dispersion modérée du cours autour de sa moyenne. Le kurtosis de -0,931 (mésokurtique) suggère une distribution proche de la normale, sans risque de pics extrêmes fréquents, ce qui est rassurant pour la gestion du risque. Enfin, la volatilité annualisée de 61,7% classe le titre dans la catégorie des valeurs à volatilité élevée (&gt;30%), ce qui implique un risque significatif et nécessite une tolérance appropriée de la part de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(4 920,25 FCFA) et la MM50 (5 203,5 FCFA) se situent toutes deux au-dessus du cours actuel (4 450 FCFA), avec la MM20 en dessous de la MM50, configurant une tendance baissière de court terme. Le cours évoluant sous ses deux moyennes mobiles, la décision technique est logiquement à la vente, confirmant la pression baissière actuelle.</w:t>
      </w:r>
    </w:p>
    <w:p>
      <w:pPr>
        <w:spacing w:after="120" w:line="276" w:lineRule="auto"/>
      </w:pPr>
      <w:r>
        <w:t>**Bandes de Bollinger** : Le cours (4 450 FCFA) se situe dans la partie basse de la bande, entre la borne inférieure (3 726,66 FCFA) et la borne supérieure (6 113,84 FCFA), sans atteindre les extrêmes. Cette position médiane-basse, couplée à une largeur de bande importante (2 387 FCFA), traduit une volatilité élevée mais sans signal de survente extrême, justifiant la décision neutre.</w:t>
      </w:r>
    </w:p>
    <w:p>
      <w:pPr>
        <w:spacing w:after="120" w:line="276" w:lineRule="auto"/>
      </w:pPr>
      <w:r>
        <w:t>**MACD** : La valeur du MACD (-263,66) est inférieure à son signal (-235,084), avec un histogramme négatif, confirmant un momentum baissier. La divergence négative entre les deux lignes indique que la pression vendeuse persiste, justifiant la décision de vente.</w:t>
      </w:r>
    </w:p>
    <w:p>
      <w:pPr>
        <w:spacing w:after="120" w:line="276" w:lineRule="auto"/>
      </w:pPr>
      <w:r>
        <w:t>**RSI** : À 33,564, le RSI se situe dans la zone neutre basse, proche du seuil de survente (30) sans l'atteindre. Cette configuration suggère que le titre n'est pas encore techniquement survendu, mais qu'il s'approche d'une zone où un rebond technique pourrait se matérialiser, justifiant la décision neutre.</w:t>
      </w:r>
    </w:p>
    <w:p>
      <w:pPr>
        <w:spacing w:after="120" w:line="276" w:lineRule="auto"/>
      </w:pPr>
      <w:r>
        <w:t>**Stochastique** : Le %K (38,525) est inférieur au %D (45,38), avec un croisement baissier en cours, indiquant une perte de momentum. Les deux lignes se situent dans la zone neutre, sans signal de survente, ce qui confirme la décision neutre.</w:t>
      </w:r>
    </w:p>
    <w:p>
      <w:pPr>
        <w:spacing w:after="120" w:line="276" w:lineRule="auto"/>
      </w:pPr>
      <w:r>
        <w:t>**Conclusion technique** : L'ensemble des indicateurs techniques converge vers un signal baissier à court terme : le cours sous ses moyennes mobiles, un MACD négatif et un stochastique en croisement baissier. Toutefois, le RSI proche de la survente et la position du cours dans le bas des bandes de Bollinger suggèrent qu'une correction excessive pourrait précéder un rebond. La configuration actuelle plaide pour une prudence à court terme, avec une possible stabilisation autour des 4 300-4 400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transformation spectaculaire : le Produit Net Bancaire (PNB, équivalent du chiffre d'affaires pour une banque) s'établit à 5 735 M FCFA, en hausse de 44,1% par rapport à 2024, tandis que le résultat net atteint 701 M FCFA, contre une perte de 165 M FCFA en 2024. Cette performance marque la fin de huit années consécutives de pertes, portée par l'entrée de CREDAF Group comme actionnaire principal en avril 2025. Le ROE (rentabilité des fonds propres) ressort à 11,85%, un niveau correct mais encore inférieur au seuil d'excellence de 15%, tandis que le ROA (rentabilité des actifs) est faible à 0,88%, reflétant la structure de bilan très endettée. Le coefficient d'exploitation de 77,63% reste élevé (norme bancaire : &lt;60% pour une banque efficace), indiquant que les charges d'exploitation absorbent encore une part trop importante du PNB. Le coût du risque, à 6,57% des charges financières, demeure significatif et traduit un portefeuille de crédits encore fragile, avec des créances sur la clientèle de 60,476 Mds FCFA (+14,2%). La structure financière est préoccupante : l'autonomie financière n'est que de 7,44% (capitaux propres/total bilan), très en dessous du seuil de 30% considéré comme sain, et la dépendance financière atteint 92,56%, avec des dettes interbancaires de 35,747 Mds FCFA (+45%) qui exposent la société à un risque de liquidité majeur. Le ratio de solvabilité générale (108,03%) est à peine supérieur à 1, laissant peu de marge de sécurité. Les rapports trimestriels les plus récents confirment l'accélération de la dynamique : au T1 2026 (rapport du 14/04/2026), le PNB progresse de 29% à 1 395 M FCFA et le résultat net bondit de 1 062% à 151 M FCFA, avec un coût du risque en baisse de 75%. Au S1 2026 (rapport du 04/09/2026), le PNB atteint 2 907 M FCFA (+37%) et le résultat net 731 M FCFA (+231%), avec une marge nette de 25,1% et une reprise nette sur coût du risque de 261 M FCFA. Sur la base de ces tendances, on estime que l'exercice 2026 devrait afficher un PNB supérieur à 6 Mds FCFA et un résultat net proche de 1,5 Md FCFA, confirmant la trajectoire de redressement. Cependant, l'augmentation de capital de 1,5 Md FCFA (avis BRVM du 14/04/2026) vise précisément à renforcer des fonds propres insuffisants, et le report à nouveau reste négatif à -4 123 M FCFA. En synthèse, la recommandation fondamentale est de **CONSERVER** : la dynamique opérationnelle est excellente et les perspectives de croissance sont réelles, mais la fragilité structurelle du bilan (fonds propres faibles, dépendance interbancaire, engagements hors-bilan élevés) et l'absence de dividende imposent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marquée entre la valorisation, la technique et les fondamentaux. La valorisation (Partie 0) est extrêmement tendue : PER de 75,4x, P/B de 8,93x et EV/EBITDA de 85,1x intègrent déjà une croissance future très optimiste, laissant peu de marge d'erreur. Le comportement du cours (Partie 1) montre une tendance haussière de long terme (+27,14% sur 100 jours) mais une correction récente (-3,16% en J-1), avec une volatilité élevée (61,7%) et une distribution symétrique (skewness 0,312) sans risque de pics extrêmes (kurtosis -0,931). Les signaux techniques (Partie 2) sont majoritairement baissiers à court terme : cours sous les MM20 et MM50, MACD négatif, stochastique en croisement baissier, bien que le RSI (33,56) approche la zone de survente. Les fondamentaux (Partie 3) sont en nette amélioration : PNB 2025 de 5 735 M FCFA (+44,1%), résultat net de 701 M FCFA, et estimations 2026 très positives (S1 2026 : résultat net de 731 M FCFA, +231%), mais la structure financière reste fragile (autonomie financière de 7,44%, dépendance interbancaire de 92,56%). Les prédictions IA (J+1 à J+10) anticipent une poursuite de la correction baissière, avec un cours cible de 4 305 FCFA à J+1 et 4 277 FCFA à J+5, confirmant les signaux techniques baissiers à court terme. Sur la base de cette synthèse, la recommandation finale est de **CONSERVER** avec un niveau de confiance **Moyen** et un risque global **Élevé**. La convergence entre la technique baissière à court terme et les prédictions IA négatives suggère d'éviter un achat immédiat, tandis que la dynamique fondamentale positive et le potentiel de redressement post-CREDAF justifient de ne pas vendre. L'horizon d'investissement optimal est le **moyen terme (3-12 mois)**, en attendant la confirmation de la soutenabilité de la rentabilité et le renforcement des fonds propres via l'augmentation de capital. Un stop-loss serré autour de 4 200 FCFA est recommandé pour les investisseurs déjà positionnés.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54.68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11,214 titres</w:t>
            </w:r>
          </w:p>
        </w:tc>
        <w:tc>
          <w:tcPr>
            <w:tcW w:type="dxa" w:w="2268"/>
            <w:shd w:fill="FFF2CC" w:val="clear"/>
          </w:tcPr>
          <w:p>
            <w:r>
              <w:rPr>
                <w:b/>
                <w:color w:val="503200"/>
                <w:sz w:val="16"/>
              </w:rPr>
              <w:t xml:space="preserve">Cours actuel : </w:t>
            </w:r>
            <w:r>
              <w:rPr>
                <w:color w:val="000000"/>
                <w:sz w:val="17"/>
              </w:rPr>
              <w:t>2,790 FCFA</w:t>
            </w:r>
          </w:p>
          <w:p>
            <w:r>
              <w:rPr>
                <w:b/>
                <w:color w:val="503200"/>
                <w:sz w:val="16"/>
              </w:rPr>
              <w:t xml:space="preserve">Var. 100 jours : </w:t>
            </w:r>
            <w:r>
              <w:rPr>
                <w:b/>
                <w:color w:val="007800"/>
                <w:sz w:val="17"/>
              </w:rPr>
              <w:t>+30.68%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2,080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14.64% (Moyenne) — μ=3,172 FCFA, σ=464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β=1.4184 (Agressif) — Cov=0.000092, Var(idx)=0.000065, ρ=0.308,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11,214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2026-10-05</w:t>
            </w:r>
          </w:p>
        </w:tc>
        <w:tc>
          <w:tcPr>
            <w:tcW w:type="dxa" w:w="1440"/>
            <w:shd w:fill="C6EFCE" w:val="clear"/>
          </w:tcPr>
          <w:p>
            <w:r>
              <w:rPr>
                <w:sz w:val="17"/>
              </w:rPr>
              <w:t>2,696</w:t>
            </w:r>
          </w:p>
        </w:tc>
        <w:tc>
          <w:tcPr>
            <w:tcW w:type="dxa" w:w="1440"/>
            <w:shd w:fill="C6EFCE" w:val="clear"/>
          </w:tcPr>
          <w:p>
            <w:r>
              <w:rPr>
                <w:b/>
                <w:sz w:val="17"/>
              </w:rPr>
              <w:t>2,927</w:t>
            </w:r>
          </w:p>
        </w:tc>
        <w:tc>
          <w:tcPr>
            <w:tcW w:type="dxa" w:w="1440"/>
            <w:shd w:fill="C6EFCE" w:val="clear"/>
          </w:tcPr>
          <w:p>
            <w:r>
              <w:rPr>
                <w:sz w:val="17"/>
              </w:rPr>
              <w:t>3,159</w:t>
            </w:r>
          </w:p>
        </w:tc>
        <w:tc>
          <w:tcPr>
            <w:tcW w:type="dxa" w:w="1440"/>
            <w:shd w:fill="C6EFCE" w:val="clear"/>
          </w:tcPr>
          <w:p>
            <w:r>
              <w:rPr>
                <w:b/>
                <w:color w:val="008000"/>
                <w:sz w:val="17"/>
              </w:rPr>
              <w:t>+4.9%</w:t>
            </w:r>
          </w:p>
        </w:tc>
      </w:tr>
      <w:tr>
        <w:tc>
          <w:tcPr>
            <w:tcW w:type="dxa" w:w="1440"/>
            <w:shd w:fill="C6EFCE" w:val="clear"/>
          </w:tcPr>
          <w:p>
            <w:r>
              <w:rPr>
                <w:sz w:val="17"/>
              </w:rPr>
              <w:t>J+2  Moyenne</w:t>
            </w:r>
          </w:p>
        </w:tc>
        <w:tc>
          <w:tcPr>
            <w:tcW w:type="dxa" w:w="1440"/>
            <w:shd w:fill="C6EFCE" w:val="clear"/>
          </w:tcPr>
          <w:p>
            <w:r>
              <w:rPr>
                <w:sz w:val="17"/>
              </w:rPr>
              <w:t>2026-10-06</w:t>
            </w:r>
          </w:p>
        </w:tc>
        <w:tc>
          <w:tcPr>
            <w:tcW w:type="dxa" w:w="1440"/>
            <w:shd w:fill="C6EFCE" w:val="clear"/>
          </w:tcPr>
          <w:p>
            <w:r>
              <w:rPr>
                <w:sz w:val="17"/>
              </w:rPr>
              <w:t>2,721</w:t>
            </w:r>
          </w:p>
        </w:tc>
        <w:tc>
          <w:tcPr>
            <w:tcW w:type="dxa" w:w="1440"/>
            <w:shd w:fill="C6EFCE" w:val="clear"/>
          </w:tcPr>
          <w:p>
            <w:r>
              <w:rPr>
                <w:b/>
                <w:sz w:val="17"/>
              </w:rPr>
              <w:t>3,013</w:t>
            </w:r>
          </w:p>
        </w:tc>
        <w:tc>
          <w:tcPr>
            <w:tcW w:type="dxa" w:w="1440"/>
            <w:shd w:fill="C6EFCE" w:val="clear"/>
          </w:tcPr>
          <w:p>
            <w:r>
              <w:rPr>
                <w:sz w:val="17"/>
              </w:rPr>
              <w:t>3,304</w:t>
            </w:r>
          </w:p>
        </w:tc>
        <w:tc>
          <w:tcPr>
            <w:tcW w:type="dxa" w:w="1440"/>
            <w:shd w:fill="C6EFCE" w:val="clear"/>
          </w:tcPr>
          <w:p>
            <w:r>
              <w:rPr>
                <w:b/>
                <w:color w:val="008000"/>
                <w:sz w:val="17"/>
              </w:rPr>
              <w:t>+8.0%</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2,736</w:t>
            </w:r>
          </w:p>
        </w:tc>
        <w:tc>
          <w:tcPr>
            <w:tcW w:type="dxa" w:w="1440"/>
            <w:shd w:fill="C6EFCE" w:val="clear"/>
          </w:tcPr>
          <w:p>
            <w:r>
              <w:rPr>
                <w:b/>
                <w:sz w:val="17"/>
              </w:rPr>
              <w:t>3,081</w:t>
            </w:r>
          </w:p>
        </w:tc>
        <w:tc>
          <w:tcPr>
            <w:tcW w:type="dxa" w:w="1440"/>
            <w:shd w:fill="C6EFCE" w:val="clear"/>
          </w:tcPr>
          <w:p>
            <w:r>
              <w:rPr>
                <w:sz w:val="17"/>
              </w:rPr>
              <w:t>3,425</w:t>
            </w:r>
          </w:p>
        </w:tc>
        <w:tc>
          <w:tcPr>
            <w:tcW w:type="dxa" w:w="1440"/>
            <w:shd w:fill="C6EFCE" w:val="clear"/>
          </w:tcPr>
          <w:p>
            <w:r>
              <w:rPr>
                <w:b/>
                <w:color w:val="008000"/>
                <w:sz w:val="17"/>
              </w:rPr>
              <w:t>+10.4%</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2,741</w:t>
            </w:r>
          </w:p>
        </w:tc>
        <w:tc>
          <w:tcPr>
            <w:tcW w:type="dxa" w:w="1440"/>
            <w:shd w:fill="C6EFCE" w:val="clear"/>
          </w:tcPr>
          <w:p>
            <w:r>
              <w:rPr>
                <w:b/>
                <w:sz w:val="17"/>
              </w:rPr>
              <w:t>3,133</w:t>
            </w:r>
          </w:p>
        </w:tc>
        <w:tc>
          <w:tcPr>
            <w:tcW w:type="dxa" w:w="1440"/>
            <w:shd w:fill="C6EFCE" w:val="clear"/>
          </w:tcPr>
          <w:p>
            <w:r>
              <w:rPr>
                <w:sz w:val="17"/>
              </w:rPr>
              <w:t>3,525</w:t>
            </w:r>
          </w:p>
        </w:tc>
        <w:tc>
          <w:tcPr>
            <w:tcW w:type="dxa" w:w="1440"/>
            <w:shd w:fill="C6EFCE" w:val="clear"/>
          </w:tcPr>
          <w:p>
            <w:r>
              <w:rPr>
                <w:b/>
                <w:color w:val="008000"/>
                <w:sz w:val="17"/>
              </w:rPr>
              <w:t>+12.3%</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2,740</w:t>
            </w:r>
          </w:p>
        </w:tc>
        <w:tc>
          <w:tcPr>
            <w:tcW w:type="dxa" w:w="1440"/>
            <w:shd w:fill="C6EFCE" w:val="clear"/>
          </w:tcPr>
          <w:p>
            <w:r>
              <w:rPr>
                <w:b/>
                <w:sz w:val="17"/>
              </w:rPr>
              <w:t>3,175</w:t>
            </w:r>
          </w:p>
        </w:tc>
        <w:tc>
          <w:tcPr>
            <w:tcW w:type="dxa" w:w="1440"/>
            <w:shd w:fill="C6EFCE" w:val="clear"/>
          </w:tcPr>
          <w:p>
            <w:r>
              <w:rPr>
                <w:sz w:val="17"/>
              </w:rPr>
              <w:t>3,610</w:t>
            </w:r>
          </w:p>
        </w:tc>
        <w:tc>
          <w:tcPr>
            <w:tcW w:type="dxa" w:w="1440"/>
            <w:shd w:fill="C6EFCE" w:val="clear"/>
          </w:tcPr>
          <w:p>
            <w:r>
              <w:rPr>
                <w:b/>
                <w:color w:val="008000"/>
                <w:sz w:val="17"/>
              </w:rPr>
              <w:t>+13.8%</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2,734</w:t>
            </w:r>
          </w:p>
        </w:tc>
        <w:tc>
          <w:tcPr>
            <w:tcW w:type="dxa" w:w="1440"/>
            <w:shd w:fill="C6EFCE" w:val="clear"/>
          </w:tcPr>
          <w:p>
            <w:r>
              <w:rPr>
                <w:b/>
                <w:sz w:val="17"/>
              </w:rPr>
              <w:t>3,209</w:t>
            </w:r>
          </w:p>
        </w:tc>
        <w:tc>
          <w:tcPr>
            <w:tcW w:type="dxa" w:w="1440"/>
            <w:shd w:fill="C6EFCE" w:val="clear"/>
          </w:tcPr>
          <w:p>
            <w:r>
              <w:rPr>
                <w:sz w:val="17"/>
              </w:rPr>
              <w:t>3,684</w:t>
            </w:r>
          </w:p>
        </w:tc>
        <w:tc>
          <w:tcPr>
            <w:tcW w:type="dxa" w:w="1440"/>
            <w:shd w:fill="C6EFCE" w:val="clear"/>
          </w:tcPr>
          <w:p>
            <w:r>
              <w:rPr>
                <w:b/>
                <w:color w:val="008000"/>
                <w:sz w:val="17"/>
              </w:rPr>
              <w:t>+15.0%</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2,726</w:t>
            </w:r>
          </w:p>
        </w:tc>
        <w:tc>
          <w:tcPr>
            <w:tcW w:type="dxa" w:w="1440"/>
            <w:shd w:fill="C6EFCE" w:val="clear"/>
          </w:tcPr>
          <w:p>
            <w:r>
              <w:rPr>
                <w:b/>
                <w:sz w:val="17"/>
              </w:rPr>
              <w:t>3,239</w:t>
            </w:r>
          </w:p>
        </w:tc>
        <w:tc>
          <w:tcPr>
            <w:tcW w:type="dxa" w:w="1440"/>
            <w:shd w:fill="C6EFCE" w:val="clear"/>
          </w:tcPr>
          <w:p>
            <w:r>
              <w:rPr>
                <w:sz w:val="17"/>
              </w:rPr>
              <w:t>3,751</w:t>
            </w:r>
          </w:p>
        </w:tc>
        <w:tc>
          <w:tcPr>
            <w:tcW w:type="dxa" w:w="1440"/>
            <w:shd w:fill="C6EFCE" w:val="clear"/>
          </w:tcPr>
          <w:p>
            <w:r>
              <w:rPr>
                <w:b/>
                <w:color w:val="008000"/>
                <w:sz w:val="17"/>
              </w:rPr>
              <w:t>+16.1%</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2,717</w:t>
            </w:r>
          </w:p>
        </w:tc>
        <w:tc>
          <w:tcPr>
            <w:tcW w:type="dxa" w:w="1440"/>
            <w:shd w:fill="C6EFCE" w:val="clear"/>
          </w:tcPr>
          <w:p>
            <w:r>
              <w:rPr>
                <w:b/>
                <w:sz w:val="17"/>
              </w:rPr>
              <w:t>3,264</w:t>
            </w:r>
          </w:p>
        </w:tc>
        <w:tc>
          <w:tcPr>
            <w:tcW w:type="dxa" w:w="1440"/>
            <w:shd w:fill="C6EFCE" w:val="clear"/>
          </w:tcPr>
          <w:p>
            <w:r>
              <w:rPr>
                <w:sz w:val="17"/>
              </w:rPr>
              <w:t>3,812</w:t>
            </w:r>
          </w:p>
        </w:tc>
        <w:tc>
          <w:tcPr>
            <w:tcW w:type="dxa" w:w="1440"/>
            <w:shd w:fill="C6EFCE" w:val="clear"/>
          </w:tcPr>
          <w:p>
            <w:r>
              <w:rPr>
                <w:b/>
                <w:color w:val="008000"/>
                <w:sz w:val="17"/>
              </w:rPr>
              <w:t>+17.0%</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2,705</w:t>
            </w:r>
          </w:p>
        </w:tc>
        <w:tc>
          <w:tcPr>
            <w:tcW w:type="dxa" w:w="1440"/>
            <w:shd w:fill="C6EFCE" w:val="clear"/>
          </w:tcPr>
          <w:p>
            <w:r>
              <w:rPr>
                <w:b/>
                <w:sz w:val="17"/>
              </w:rPr>
              <w:t>3,287</w:t>
            </w:r>
          </w:p>
        </w:tc>
        <w:tc>
          <w:tcPr>
            <w:tcW w:type="dxa" w:w="1440"/>
            <w:shd w:fill="C6EFCE" w:val="clear"/>
          </w:tcPr>
          <w:p>
            <w:r>
              <w:rPr>
                <w:sz w:val="17"/>
              </w:rPr>
              <w:t>3,868</w:t>
            </w:r>
          </w:p>
        </w:tc>
        <w:tc>
          <w:tcPr>
            <w:tcW w:type="dxa" w:w="1440"/>
            <w:shd w:fill="C6EFCE" w:val="clear"/>
          </w:tcPr>
          <w:p>
            <w:r>
              <w:rPr>
                <w:b/>
                <w:color w:val="008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SUCRIVOIRE (SCRC)**</w:t>
        <w:br/>
        <w:t>*Bourse Régionale des Valeurs Mobilières (BRVM) — Secteur : Agro-industrie (Sucre)*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54,68 milliards FCFA, SCRC se situe dans la catégorie des valeurs moyennes de la BRVM, ce qui reste significatif pour le compartiment agro-industriel ouest-africain. Le BPA ressort à -406 FCFA/action, conséquence directe de la perte nette de 7,95 milliards FCFA enregistrée en 2025, ce qui rend le PER inexploitable (-6,9x) : les investisseurs ne peuvent se baser sur les bénéfices pour évaluer la société, ce qui est un signal d'alerte majeur. Le P/B de 3,17x indique que le marché valorise SCRC à plus de trois fois ses capitaux propres (17,24 Mds FCFA), soit une prime de croissance significative qui contraste fortement avec la dégradation des fondamentaux — cette prime n'est justifiable que si le plan d'investissement massif (25,2 Mds FCFA en 2025) génère des retours futurs. L'EV/EBITDA de 9,8x, dans la fourchette raisonnable de 5-10x, suggère que la valeur d'entreprise reste soutenue par la capacité opérationnelle (EBE de 14,85 Mds FCFA), mais cette apparente normalité masque une structure financière sous tension avec un endettement net élevé.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affiche une progression totale de +30,68%, portée par un rebond depuis le plus bas de 2 080 FCFA jusqu'au plus haut de 3 920 FCFA, soit un range de trading de 1 840 FCFA (88% d'amplitude). Cependant, la dernière séance (J-1) enregistre un repli de -1,59% à 2 790 FCFA, signalant une prise de profit après le rallye. La tendance générale reste haussière sur la période, mais le cours actuel se situe 12% sous sa moyenne de 3 172 FCFA, ce qui traduit une correction en cours. Les statistiques descriptives révèlent une distribution asymétrique négative (skewness de -0,696), indiquant que le titre a passé plus de journées au-dessus de la moyenne que en dessous, mais avec des chutes brutales occasionnelles — un profil typique de valeurs volatiles. L'écart-type de 467 FCFA (CV de 14,7%) confirme une dispersion modérée du cours, tandis que le kurtosis de -0,543 (mésokurtique) suggère une distribution proche de la normale, sans pics extrêmes fréquents. La volatilité annualisée de 58,9% classe SCRC dans la catégorie des titres à volatilité élevée (&gt;30%), ce qui implique un risque de prix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(3 224,75 FCFA) et la MM50 (3 437,00 FCFA) se situent toutes deux au-dessus du cours actuel (2 790 FCFA), confirmant une configuration baissière de court et moyen terme. Le cours évolue sous ses deux moyennes, ce qui valide la décision de vente technique, avec un croisement potentiellement baissier (MM20 sous MM50) qui renforcerait ce signal.</w:t>
      </w:r>
    </w:p>
    <w:p>
      <w:pPr>
        <w:spacing w:after="120" w:line="276" w:lineRule="auto"/>
      </w:pPr>
      <w:r>
        <w:t>**Bandes de Bollinger** : Le cours (2 790 FCFA) se situe dans la partie basse de la bande, entre la borne inférieure (2 594,24 FCFA) et la borne supérieure (3 855,26 FCFA), sans atteindre la zone de survente extrême. La largeur des bandes (1 261 FCFA) reflète une volatilité élevée, et la décision neutre suggère une absence de signal directionnel fort, mais la proximité de la borne inférieure indique un potentiel de rebond technique.</w:t>
      </w:r>
    </w:p>
    <w:p>
      <w:pPr>
        <w:spacing w:after="120" w:line="276" w:lineRule="auto"/>
      </w:pPr>
      <w:r>
        <w:t>**MACD** : La valeur du MACD (-174,91) est inférieure à son signal (-138,02), confirmant un momentum baissier avec une divergence négative persistante. La décision de vente est justifiée par cette configuration, bien que l'écart entre les deux lignes se réduise légèrement, ce qui pourrait annoncer un ralentissement de la dynamique baissière.</w:t>
      </w:r>
    </w:p>
    <w:p>
      <w:pPr>
        <w:spacing w:after="120" w:line="276" w:lineRule="auto"/>
      </w:pPr>
      <w:r>
        <w:t>**RSI** : À 26,80, le RSI se situe en zone de survente (&lt;30), ce qui déclenche une décision d'achat technique. Cette lecture suggère que le titre pourrait être survendu à court terme, offrant une opportunité de rebond pour les traders contrarians, mais le contexte baissier global tempère ce signal.</w:t>
      </w:r>
    </w:p>
    <w:p>
      <w:pPr>
        <w:spacing w:after="120" w:line="276" w:lineRule="auto"/>
      </w:pPr>
      <w:r>
        <w:t>**Stochastique** : Le %K (12,35) est inférieur au %D (19,99), avec les deux indicateurs en zone de survente (&lt;20), confirmant la décision d'achat. Un croisement haussier du %K au-dessus du %D serait nécessaire pour valider un retournement, mais pour l'instant, la pression baissière domine.</w:t>
      </w:r>
    </w:p>
    <w:p>
      <w:pPr>
        <w:spacing w:after="120" w:line="276" w:lineRule="auto"/>
      </w:pPr>
      <w:r>
        <w:t>**Conclusion technique** : Les indicateurs techniques présentent une divergence notable : les moyennes mobiles et le MACD confirment une tendance baissière, tandis que le RSI et le stochastique signalent une survente propice à un rebond. Cette configuration suggère une phase de consolidation ou de rebond technique à court terme, mais la tendance de fond reste fragile tant que le cours ne repasse pas au-dessus de la MM20 (3 224,75 FCFA). La prudence est de mise, avec un potentiel de rebond limité par la résistance des moyennes mobiles.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SUCRIVOIRE a enregistré un chiffre d'affaires de 80,57 milliards FCFA, en baisse de 7,6% par rapport aux 87,22 milliards de 2024, marquant une contraction de l'activité après le rebond de 2024. Le résultat net s'établit à -7,95 milliards FCFA (IFRS) contre un bénéfice de 2,47 milliards en 2024, soit une dégradation spectaculaire de 421%, principalement due à l'explosion du coût de l'endettement financier (+262% à 6,79 milliards FCFA) et à un résultat opérationnel courant négatif (-210 millions FCFA contre +5,8 milliards en 2024). Les ratios de rentabilité sont alarmants : le ROE ressort à -46,13% (contre +14,3% en 2024) et le ROA à -5,08%, tandis que la marge nette chute à -9,87% (contre +2,8% en 2024). La structure financière est critique : l'autonomie financière n'est que de 11,02% (très en dessous du seuil sain de 30%), le ratio d'endettement atteint 88,98% (dettes totales/capitaux propres) et la trésorerie nette est négative à -6,5 milliards FCFA. Les délais d'exploitation révèlent une gestion préoccupante : le délai fournisseurs de 366 jours est anormalement élevé (signe de tensions de paiement), tandis que le délai clients de 12,28 jours reste maîtrisé. Sur la base du rapport du 1er semestre 2025 (CA de 42,87 Mds FCFA, perte nette de -6,71 Mds FCFA) et du T1 2025 (CA de 25,09 Mds FCFA, bénéfice de 3,21 Mds FCFA), on estime que l'exercice 2026 devrait rester sous pression, avec un retour à la profitabilité conditionné à la réussite du plan de restructuration et à la normalisation de la campagne sucrière 2025/26 (production attendue de 90 000 à 95 000 tonnes, +14% à +20%). La recommandation fondamentale est de **CONSERVER avec vigilance** : le potentiel de redressement existe (investissements massifs de 25,2 Mds FCFA, marge brute stable à 45,8%), mais les risques financiers (endettement critique, trésorerie négative, dépendance aux taux d'intérêt) sont majeurs et nécessitent une surveillance rapprochée des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cette analyse révèle une divergence profonde entre les signaux. La valorisation (Partie 0) apparaît surévaluée avec un P/B de 3,17x pour une société en perte, un PER inexploitable et un EV/EBITDA de 9,8x qui masque une structure financière dégradée. Le comportement du cours (Partie 1) montre une tendance haussière sur 100 jours (+30,68%) mais une correction récente (-1,59% en J-1) avec une volatilité élevée (58,9%) et une asymétrie négative (skewness -0,696) qui suggère des risques de chutes brutales. Les signaux techniques (Partie 2) sont mitigés : baissiers pour les MM et le MACD, mais haussiers pour le RSI (26,80) et le stochastique (12,35) en zone de survente, indiquant un possible rebond technique à court terme. Les fondamentaux (Partie 3) sont préoccupants : perte nette de 7,95 Mds FCFA en 2025, ROE de -46,13%, endettement critique (88,98% des capitaux propres) et trésorerie négative (-6,5 Mds FCFA), bien que les investissements massifs et la stabilité de la marge brute (45,8%) laissent entrevoir un potentiel de redressement à moyen terme. Les prédictions IA (J+1 à J+10) anticipent une trajectoire haussière de 2 927 FCFA à 3 175 FCFA, confirmant le signal de rebond technique mais contredisant la tendance baissière des moyennes mobiles. Sur la base de cette synthèse, la recommandation finale est **CONSERVER** avec un niveau de confiance **Moyen** et un risque global **Élevé**. L'horizon d'investissement optimal est le **moyen terme (3-12 mois)**, en attendant les résultats du premier semestre 2026 pour vérifier si le plan de restructuration porte ses fruits et si la campagne sucrière 2025/26 permet un retour à la profitabilité. Un achat supplémentaire est déconseillé sans visibilité sur la croissance organique, et une vente serait prématurée compte tenu du potentiel de rebond technique et des investissements en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1,487 titres</w:t>
            </w:r>
          </w:p>
        </w:tc>
        <w:tc>
          <w:tcPr>
            <w:tcW w:type="dxa" w:w="2268"/>
            <w:shd w:fill="FFF2CC" w:val="clear"/>
          </w:tcPr>
          <w:p>
            <w:r>
              <w:rPr>
                <w:b/>
                <w:color w:val="503200"/>
                <w:sz w:val="16"/>
              </w:rPr>
              <w:t xml:space="preserve">Cours actuel : </w:t>
            </w:r>
            <w:r>
              <w:rPr>
                <w:color w:val="000000"/>
                <w:sz w:val="17"/>
              </w:rPr>
              <w:t>12,940 FCFA</w:t>
            </w:r>
          </w:p>
          <w:p>
            <w:r>
              <w:rPr>
                <w:b/>
                <w:color w:val="503200"/>
                <w:sz w:val="16"/>
              </w:rPr>
              <w:t xml:space="preserve">Var. 100 jours : </w:t>
            </w:r>
            <w:r>
              <w:rPr>
                <w:b/>
                <w:color w:val="007800"/>
                <w:sz w:val="17"/>
              </w:rPr>
              <w:t>+42.28%</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9,095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7.65% (Moyenne) — μ=11,922 FCFA, σ=912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β=0.7652 (Défensif) — Cov=0.000052, Var(idx)=0.000068, ρ=0.255,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11,954</w:t>
            </w:r>
          </w:p>
        </w:tc>
        <w:tc>
          <w:tcPr>
            <w:tcW w:type="dxa" w:w="1440"/>
            <w:shd w:fill="FAFAFA" w:val="clear"/>
          </w:tcPr>
          <w:p>
            <w:r>
              <w:rPr>
                <w:b/>
                <w:sz w:val="17"/>
              </w:rPr>
              <w:t>12,962</w:t>
            </w:r>
          </w:p>
        </w:tc>
        <w:tc>
          <w:tcPr>
            <w:tcW w:type="dxa" w:w="1440"/>
            <w:shd w:fill="FAFAFA" w:val="clear"/>
          </w:tcPr>
          <w:p>
            <w:r>
              <w:rPr>
                <w:sz w:val="17"/>
              </w:rPr>
              <w:t>13,971</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11,735</w:t>
            </w:r>
          </w:p>
        </w:tc>
        <w:tc>
          <w:tcPr>
            <w:tcW w:type="dxa" w:w="1440"/>
            <w:shd w:fill="FAFAFA" w:val="clear"/>
          </w:tcPr>
          <w:p>
            <w:r>
              <w:rPr>
                <w:b/>
                <w:sz w:val="17"/>
              </w:rPr>
              <w:t>12,971</w:t>
            </w:r>
          </w:p>
        </w:tc>
        <w:tc>
          <w:tcPr>
            <w:tcW w:type="dxa" w:w="1440"/>
            <w:shd w:fill="FAFAFA" w:val="clear"/>
          </w:tcPr>
          <w:p>
            <w:r>
              <w:rPr>
                <w:sz w:val="17"/>
              </w:rPr>
              <w:t>14,207</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11,540</w:t>
            </w:r>
          </w:p>
        </w:tc>
        <w:tc>
          <w:tcPr>
            <w:tcW w:type="dxa" w:w="1440"/>
            <w:shd w:fill="FAFAFA" w:val="clear"/>
          </w:tcPr>
          <w:p>
            <w:r>
              <w:rPr>
                <w:b/>
                <w:sz w:val="17"/>
              </w:rPr>
              <w:t>12,967</w:t>
            </w:r>
          </w:p>
        </w:tc>
        <w:tc>
          <w:tcPr>
            <w:tcW w:type="dxa" w:w="1440"/>
            <w:shd w:fill="FAFAFA" w:val="clear"/>
          </w:tcPr>
          <w:p>
            <w:r>
              <w:rPr>
                <w:sz w:val="17"/>
              </w:rPr>
              <w:t>14,394</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11,378</w:t>
            </w:r>
          </w:p>
        </w:tc>
        <w:tc>
          <w:tcPr>
            <w:tcW w:type="dxa" w:w="1440"/>
            <w:shd w:fill="FAFAFA" w:val="clear"/>
          </w:tcPr>
          <w:p>
            <w:r>
              <w:rPr>
                <w:b/>
                <w:sz w:val="17"/>
              </w:rPr>
              <w:t>12,974</w:t>
            </w:r>
          </w:p>
        </w:tc>
        <w:tc>
          <w:tcPr>
            <w:tcW w:type="dxa" w:w="1440"/>
            <w:shd w:fill="FAFAFA" w:val="clear"/>
          </w:tcPr>
          <w:p>
            <w:r>
              <w:rPr>
                <w:sz w:val="17"/>
              </w:rPr>
              <w:t>14,570</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11,234</w:t>
            </w:r>
          </w:p>
        </w:tc>
        <w:tc>
          <w:tcPr>
            <w:tcW w:type="dxa" w:w="1440"/>
            <w:shd w:fill="FAFAFA" w:val="clear"/>
          </w:tcPr>
          <w:p>
            <w:r>
              <w:rPr>
                <w:b/>
                <w:sz w:val="17"/>
              </w:rPr>
              <w:t>12,983</w:t>
            </w:r>
          </w:p>
        </w:tc>
        <w:tc>
          <w:tcPr>
            <w:tcW w:type="dxa" w:w="1440"/>
            <w:shd w:fill="FAFAFA" w:val="clear"/>
          </w:tcPr>
          <w:p>
            <w:r>
              <w:rPr>
                <w:sz w:val="17"/>
              </w:rPr>
              <w:t>14,733</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11,105</w:t>
            </w:r>
          </w:p>
        </w:tc>
        <w:tc>
          <w:tcPr>
            <w:tcW w:type="dxa" w:w="1440"/>
            <w:shd w:fill="FAFAFA" w:val="clear"/>
          </w:tcPr>
          <w:p>
            <w:r>
              <w:rPr>
                <w:b/>
                <w:sz w:val="17"/>
              </w:rPr>
              <w:t>12,997</w:t>
            </w:r>
          </w:p>
        </w:tc>
        <w:tc>
          <w:tcPr>
            <w:tcW w:type="dxa" w:w="1440"/>
            <w:shd w:fill="FAFAFA" w:val="clear"/>
          </w:tcPr>
          <w:p>
            <w:r>
              <w:rPr>
                <w:sz w:val="17"/>
              </w:rPr>
              <w:t>14,889</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10,992</w:t>
            </w:r>
          </w:p>
        </w:tc>
        <w:tc>
          <w:tcPr>
            <w:tcW w:type="dxa" w:w="1440"/>
            <w:shd w:fill="FAFAFA" w:val="clear"/>
          </w:tcPr>
          <w:p>
            <w:r>
              <w:rPr>
                <w:b/>
                <w:sz w:val="17"/>
              </w:rPr>
              <w:t>13,017</w:t>
            </w:r>
          </w:p>
        </w:tc>
        <w:tc>
          <w:tcPr>
            <w:tcW w:type="dxa" w:w="1440"/>
            <w:shd w:fill="FAFAFA" w:val="clear"/>
          </w:tcPr>
          <w:p>
            <w:r>
              <w:rPr>
                <w:sz w:val="17"/>
              </w:rPr>
              <w:t>15,043</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10,891</w:t>
            </w:r>
          </w:p>
        </w:tc>
        <w:tc>
          <w:tcPr>
            <w:tcW w:type="dxa" w:w="1440"/>
            <w:shd w:fill="FAFAFA" w:val="clear"/>
          </w:tcPr>
          <w:p>
            <w:r>
              <w:rPr>
                <w:b/>
                <w:sz w:val="17"/>
              </w:rPr>
              <w:t>13,044</w:t>
            </w:r>
          </w:p>
        </w:tc>
        <w:tc>
          <w:tcPr>
            <w:tcW w:type="dxa" w:w="1440"/>
            <w:shd w:fill="FAFAFA" w:val="clear"/>
          </w:tcPr>
          <w:p>
            <w:r>
              <w:rPr>
                <w:sz w:val="17"/>
              </w:rPr>
              <w:t>15,197</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10,790</w:t>
            </w:r>
          </w:p>
        </w:tc>
        <w:tc>
          <w:tcPr>
            <w:tcW w:type="dxa" w:w="1440"/>
            <w:shd w:fill="FAFAFA" w:val="clear"/>
          </w:tcPr>
          <w:p>
            <w:r>
              <w:rPr>
                <w:b/>
                <w:sz w:val="17"/>
              </w:rPr>
              <w:t>13,062</w:t>
            </w:r>
          </w:p>
        </w:tc>
        <w:tc>
          <w:tcPr>
            <w:tcW w:type="dxa" w:w="1440"/>
            <w:shd w:fill="FAFAFA" w:val="clear"/>
          </w:tcPr>
          <w:p>
            <w:r>
              <w:rPr>
                <w:sz w:val="17"/>
              </w:rPr>
              <w:t>15,335</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Côte d'Ivoire*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116,46 milliards FCFA, SDCC se positionne parmi les valeurs de taille intermédiaire à supérieure du compartiment BRVM, ce qui traduit une certaine maturité et une liquidité relative sur le marché. Le BPA de 518 FCFA/action indique que chaque titre génère un bénéfice net de 518 FCFA, mais le PER de 25,0x révèle que les investisseurs paient 25 fois les bénéfices, soit un multiple nettement supérieur à la moyenne du marché BRVM (généralement comprise entre 8 et 12x), ce qui suggère soit une forte anticipation de croissance, soit une surévaluation relative. Le P/B de 5,91x, largement supérieur au seuil de 4x, confirme que le marché valorise l'entreprise à près de six fois sa valeur comptable, une prime exigeante qui n'est justifiable que par une rentabilité des fonds propres élevée et des perspectives solides. Enfin, l'EV/EBITDA de 14,9x, dans la fourchette haute (10-15x), indique que la valeur d'entreprise (dette incluse) représente près de 15 fois la capacité opérationnelle, ce qui traduit une valorisation tendue nécessitant une confirmation par la croissance future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+42,28%, passant d'un plus bas de 9 095 FCFA à un plus haut de 13 885 FCFA, pour un cours actuel de 12 940 FCFA, en léger repli de -0,46% lors de la dernière séance. Ce range de trading de près de 4 800 FCFA témoigne d'une tendance haussière robuste, bien que le titre semble marquer une pause après son rallye. Les statistiques descriptives révèlent une moyenne de 11 922 FCFA légèrement inférieure à la médiane de 11 960 FCFA, avec un mode à 11 900 FCFA, ce qui indique une distribution quasi-symétrique mais avec une légère asymétrie négative (skewness de -0,554), signifiant que le cours a passé plus de journées au-dessus de sa moyenne, un signal de force relative. L'écart-type de 917 FCFA (CV de 7,7%) traduit une dispersion modérée du cours autour de sa moyenne, tandis que le kurtosis de 1,503 (leptokurtique) signale des queues épaisses, c'est-à-dire un risque de pics de volatilité brutaux, ce qui doit inciter à la prudence. La volatilité annualisée de 39,2% classe le titre dans la catégorie des valeurs à volatilité élevée (&gt;30%), ce qui est cohérent avec son statut de valeur de croissance sur un marché frontière, mais implique un risque de correction significatif en cas de retournement.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12 912,5 FCFA et la MM50 à 12 421,8 FCFA, toutes deux inférieures au cours actuel de 12 940 FCFA, ce qui confirme une configuration haussière à court et moyen terme. Le croisement de la MM20 au-dessus de la MM50 (golden cross) renforce le signal d'achat, bien que l'écart entre les deux moyennes se réduise, suggérant un essoufflement potentiel de la dynamique.</w:t>
      </w:r>
    </w:p>
    <w:p>
      <w:pPr>
        <w:spacing w:after="120" w:line="276" w:lineRule="auto"/>
      </w:pPr>
      <w:r>
        <w:t>**Bandes de Bollinger** : La borne supérieure se situe à 14 380,02 FCFA et la borne inférieure à 11 444,98 FCFA, avec un cours actuel de 12 940 FCFA positionné légèrement au-dessus de la bande médiane (12 912,5 FCFA). Cette position centrale indique une absence de pression directionnelle forte, justifiant la décision neutre, mais l'amplitude des bandes (près de 3 000 FCFA) reflète une volatilité élevée persistante.</w:t>
      </w:r>
    </w:p>
    <w:p>
      <w:pPr>
        <w:spacing w:after="120" w:line="276" w:lineRule="auto"/>
      </w:pPr>
      <w:r>
        <w:t>**MACD** : La valeur du MACD est de -0,765 contre un signal à 14,117, générant une divergence négative marquée qui plaide pour une décision de vente. Ce croisement baissier du MACD sous sa ligne de signal suggère un affaiblissement du momentum haussier, bien que la valeur absolue du MACD reste proche de zéro, indiquant une tendance de fond encore fragile.</w:t>
      </w:r>
    </w:p>
    <w:p>
      <w:pPr>
        <w:spacing w:after="120" w:line="276" w:lineRule="auto"/>
      </w:pPr>
      <w:r>
        <w:t>**RSI** : À 46,179, le RSI se situe dans la zone neutre (30-70), sans signal de surachat (&gt;70) ni de survente (&lt;30). Cette position médiane confirme l'absence de pression acheteuse ou vendeuse dominante, et la décision neutre est cohérente avec un marché en phase de consolidation.</w:t>
      </w:r>
    </w:p>
    <w:p>
      <w:pPr>
        <w:spacing w:after="120" w:line="276" w:lineRule="auto"/>
      </w:pPr>
      <w:r>
        <w:t>**Stochastique** : Le %K à 65,257 et le %D à 66,605 sont tous deux dans la zone neutre-haute, sans croisement baissier significatif (%K &lt; %D) ni signal de surachat (&gt;80). La décision neutre reflète une dynamique équilibrée, mais la proximité du seuil de 80 appelle à la vigilance.</w:t>
      </w:r>
    </w:p>
    <w:p>
      <w:pPr>
        <w:spacing w:after="120" w:line="276" w:lineRule="auto"/>
      </w:pPr>
      <w:r>
        <w:t>**Conclusion technique** : Les indicateurs techniques présentent un tableau mitigé : les moyennes mobiles restent haussières, mais le MACD génère un signal de vente, tandis que le RSI et le stochastique sont neutres. Cette divergence suggère une phase de consolidation après le rallye de +42%, avec un risque de correction à court terme si le MACD continue de se dégrader. La prudence est de mise, et une confirmation par une cassure des 12 900 FCFA à la baisse pourrait accélérer le mouvement correctif.</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SDCC a réalisé un chiffre d'affaires de 189,430 milliards FCFA, en croissance de 9,98% par rapport à 2024, porté par la hausse des volumes d'eau facturés et l'extension du portefeuille clients (2 272 032 clients, +6,14%). Le résultat net s'établit à 4,663 milliards FCFA, en progression de 31% sur un an, avec une marge nette de 2,46% et un ROE de 23,65%, largement supérieur au seuil de 15% considéré comme excellent. Le ROA reste faible à 0,99%, reflétant l'intensité capitalistique du secteur. La structure financière présente des signaux contrastés : l'autonomie financière est très faible (4,17%), avec un ratio d'endettement de 95,83% et une dépendance financière de 740,21%, ce qui traduit une forte levier, mais la solvabilité générale (104,35%) et la liquidité générale (111,32%) restent satisfaisantes. Le BFR de 104,748 milliards FCFA est positif et élevé, principalement dû à des délais clients de 749,25 jours (créances clients de 388,852 milliards FCFA), ce qui constitue un risque majeur de trésorerie, bien que le taux de recouvrement de 95,85% atténue partiellement ce risque. La trésorerie nette est négative à -61,710 milliards FCFA, et le flux opérationnel est négatif à -36,655 milliards FCFA, confirmant les tensions de liquidité.</w:t>
      </w:r>
    </w:p>
    <w:p>
      <w:pPr>
        <w:spacing w:after="120" w:line="276" w:lineRule="auto"/>
      </w:pPr>
      <w:r>
        <w:t>**Estimations basées sur les rapports trimestriels** : Le rapport T1 2026 (publié en 2026) indique un chiffre d'affaires en léger repli de 2% à 40 916 millions FCFA, mais un résultat net en hausse spectaculaire de 118% à 1 318 millions FCFA, grâce à une meilleure maîtrise des charges opérationnelles (résultat d'exploitation multiplié par 2,5 à 2 730 millions FCFA). Sur cette base, on peut estimer que l'exercice 2026 devrait afficher une nouvelle progression du résultat net, potentiellement au-delà de 5 milliards FCFA, si la dynamique se poursuit. Le rapport S1 2025 (daté du 30/06/2025) faisait état d'un résultat net de 1,355 milliard FCFA (-24% sur un an), mais le T1 2026 marque un net redressement, suggérant que les actions correctrices (recouvrement, facturation, maîtrise des charges) portent leurs fruits. Le dividende proposé pour 2025 est de 525 FCFA par action, offrant un rendement de 4,06% au cours actuel de 12 940 FCFA, ce qui est attractif.</w:t>
      </w:r>
    </w:p>
    <w:p>
      <w:pPr>
        <w:spacing w:after="120" w:line="276" w:lineRule="auto"/>
      </w:pPr>
      <w:r>
        <w:t>**Recommandation fondamentale** : SDCC présente une solidité opérationnelle indéniable (ROE de 23,65%, croissance du CA de 10%, résultat net en hausse de 31% en 2025), mais des fragilités financières persistantes (trésorerie négative, BFR élevé, endettement massif). La valorisation exigeante (PER de 25x, P/B de 5,91x) intègre déjà une bonne partie de ces performances, ce qui limite le potentiel de revalorisation à court terme. La recommandation fondamentale est **CONSERVER**, avec une surveillance accrue des tensions de trésorerie et de la capacité à maintenir la croissance des résultats.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(PER de 25x, P/B de 5,91x, EV/EBITDA de 14,9x) indique une surévaluation relative par rapport aux moyennes du marché BRVM, ce qui suggère que le marché a déjà intégré les bonnes performances de 2025 et les perspectives de croissance. Le comportement du cours sur 100 jours (+42,28%) est haussier, mais la volatilité élevée (39,2%) et le kurtosis leptokurtique (1,503) signalent un risque de pics baissiers, tandis que le skewness négatif (-0,554) montre que le titre a passé plus de temps au-dessus de sa moyenne, un signe de force mais aussi de vulnérabilité à une correction. Les signaux techniques sont divergents : les moyennes mobiles restent haussières, mais le MACD génère un signal de vente et le RSI/stochastique sont neutres, ce qui plaide pour une consolidation avant une nouvelle impulsion. Les fondamentaux sont solides (ROE de 23,65%, croissance du CA de 10%, résultat net en hausse de 31% en 2025), mais les tensions de trésorerie (trésorerie nette de -61,710 milliards FCFA, flux opérationnel négatif) et l'endettement massif (ratio d'endettement de 95,83%) constituent des risques majeurs. Les prédictions IA pour les 10 prochains jours (12 962 à 12 983 FCFA) suggèrent une légère hausse, en ligne avec la tendance de fond mais sans catalyseur majeur. Sur la base de cette synthèse, la recommandation finale est **CONSERVER**, avec un niveau de confiance **Moyen** et un risque global **Élevé**. L'horizon d'investissement optimal est le **moyen terme (3-12 mois)**, en attendant la confirmation d'une amélioration durable de la trésorerie et de la rentabilité, ainsi que des signaux techniques plus clairs. Une entrée à des niveaux inférieurs (autour de 12 000 FCFA) offrirait un meilleur rapport risque-rendement.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158.68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18,373 titres</w:t>
            </w:r>
          </w:p>
        </w:tc>
        <w:tc>
          <w:tcPr>
            <w:tcW w:type="dxa" w:w="2268"/>
            <w:shd w:fill="FFF2CC" w:val="clear"/>
          </w:tcPr>
          <w:p>
            <w:r>
              <w:rPr>
                <w:b/>
                <w:color w:val="503200"/>
                <w:sz w:val="16"/>
              </w:rPr>
              <w:t xml:space="preserve">Cours actuel : </w:t>
            </w:r>
            <w:r>
              <w:rPr>
                <w:color w:val="000000"/>
                <w:sz w:val="17"/>
              </w:rPr>
              <w:t>2,915 FCFA</w:t>
            </w:r>
          </w:p>
          <w:p>
            <w:r>
              <w:rPr>
                <w:b/>
                <w:color w:val="503200"/>
                <w:sz w:val="16"/>
              </w:rPr>
              <w:t xml:space="preserve">Var. 100 jours : </w:t>
            </w:r>
            <w:r>
              <w:rPr>
                <w:b/>
                <w:color w:val="007800"/>
                <w:sz w:val="17"/>
              </w:rPr>
              <w:t>+67.05%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17.21% (Élevée) — μ=2,491 FCFA, σ=429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β=0.6878 (Défensif) — Cov=0.000047, Var(idx)=0.000068, ρ=0.176,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2,702</w:t>
            </w:r>
          </w:p>
        </w:tc>
        <w:tc>
          <w:tcPr>
            <w:tcW w:type="dxa" w:w="1440"/>
            <w:shd w:fill="FAFAFA" w:val="clear"/>
          </w:tcPr>
          <w:p>
            <w:r>
              <w:rPr>
                <w:b/>
                <w:sz w:val="17"/>
              </w:rPr>
              <w:t>2,908</w:t>
            </w:r>
          </w:p>
        </w:tc>
        <w:tc>
          <w:tcPr>
            <w:tcW w:type="dxa" w:w="1440"/>
            <w:shd w:fill="FAFAFA" w:val="clear"/>
          </w:tcPr>
          <w:p>
            <w:r>
              <w:rPr>
                <w:sz w:val="17"/>
              </w:rPr>
              <w:t>3,114</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2,658</w:t>
            </w:r>
          </w:p>
        </w:tc>
        <w:tc>
          <w:tcPr>
            <w:tcW w:type="dxa" w:w="1440"/>
            <w:shd w:fill="FAFAFA" w:val="clear"/>
          </w:tcPr>
          <w:p>
            <w:r>
              <w:rPr>
                <w:b/>
                <w:sz w:val="17"/>
              </w:rPr>
              <w:t>2,910</w:t>
            </w:r>
          </w:p>
        </w:tc>
        <w:tc>
          <w:tcPr>
            <w:tcW w:type="dxa" w:w="1440"/>
            <w:shd w:fill="FAFAFA" w:val="clear"/>
          </w:tcPr>
          <w:p>
            <w:r>
              <w:rPr>
                <w:sz w:val="17"/>
              </w:rPr>
              <w:t>3,163</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2,619</w:t>
            </w:r>
          </w:p>
        </w:tc>
        <w:tc>
          <w:tcPr>
            <w:tcW w:type="dxa" w:w="1440"/>
            <w:shd w:fill="FAFAFA" w:val="clear"/>
          </w:tcPr>
          <w:p>
            <w:r>
              <w:rPr>
                <w:b/>
                <w:sz w:val="17"/>
              </w:rPr>
              <w:t>2,910</w:t>
            </w:r>
          </w:p>
        </w:tc>
        <w:tc>
          <w:tcPr>
            <w:tcW w:type="dxa" w:w="1440"/>
            <w:shd w:fill="FAFAFA" w:val="clear"/>
          </w:tcPr>
          <w:p>
            <w:r>
              <w:rPr>
                <w:sz w:val="17"/>
              </w:rPr>
              <w:t>3,202</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2,583</w:t>
            </w:r>
          </w:p>
        </w:tc>
        <w:tc>
          <w:tcPr>
            <w:tcW w:type="dxa" w:w="1440"/>
            <w:shd w:fill="FAFAFA" w:val="clear"/>
          </w:tcPr>
          <w:p>
            <w:r>
              <w:rPr>
                <w:b/>
                <w:sz w:val="17"/>
              </w:rPr>
              <w:t>2,909</w:t>
            </w:r>
          </w:p>
        </w:tc>
        <w:tc>
          <w:tcPr>
            <w:tcW w:type="dxa" w:w="1440"/>
            <w:shd w:fill="FAFAFA" w:val="clear"/>
          </w:tcPr>
          <w:p>
            <w:r>
              <w:rPr>
                <w:sz w:val="17"/>
              </w:rPr>
              <w:t>3,235</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2,550</w:t>
            </w:r>
          </w:p>
        </w:tc>
        <w:tc>
          <w:tcPr>
            <w:tcW w:type="dxa" w:w="1440"/>
            <w:shd w:fill="FAFAFA" w:val="clear"/>
          </w:tcPr>
          <w:p>
            <w:r>
              <w:rPr>
                <w:b/>
                <w:sz w:val="17"/>
              </w:rPr>
              <w:t>2,907</w:t>
            </w:r>
          </w:p>
        </w:tc>
        <w:tc>
          <w:tcPr>
            <w:tcW w:type="dxa" w:w="1440"/>
            <w:shd w:fill="FAFAFA" w:val="clear"/>
          </w:tcPr>
          <w:p>
            <w:r>
              <w:rPr>
                <w:sz w:val="17"/>
              </w:rPr>
              <w:t>3,264</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2,519</w:t>
            </w:r>
          </w:p>
        </w:tc>
        <w:tc>
          <w:tcPr>
            <w:tcW w:type="dxa" w:w="1440"/>
            <w:shd w:fill="FAFAFA" w:val="clear"/>
          </w:tcPr>
          <w:p>
            <w:r>
              <w:rPr>
                <w:b/>
                <w:sz w:val="17"/>
              </w:rPr>
              <w:t>2,905</w:t>
            </w:r>
          </w:p>
        </w:tc>
        <w:tc>
          <w:tcPr>
            <w:tcW w:type="dxa" w:w="1440"/>
            <w:shd w:fill="FAFAFA" w:val="clear"/>
          </w:tcPr>
          <w:p>
            <w:r>
              <w:rPr>
                <w:sz w:val="17"/>
              </w:rPr>
              <w:t>3,290</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2,491</w:t>
            </w:r>
          </w:p>
        </w:tc>
        <w:tc>
          <w:tcPr>
            <w:tcW w:type="dxa" w:w="1440"/>
            <w:shd w:fill="FAFAFA" w:val="clear"/>
          </w:tcPr>
          <w:p>
            <w:r>
              <w:rPr>
                <w:b/>
                <w:sz w:val="17"/>
              </w:rPr>
              <w:t>2,902</w:t>
            </w:r>
          </w:p>
        </w:tc>
        <w:tc>
          <w:tcPr>
            <w:tcW w:type="dxa" w:w="1440"/>
            <w:shd w:fill="FAFAFA" w:val="clear"/>
          </w:tcPr>
          <w:p>
            <w:r>
              <w:rPr>
                <w:sz w:val="17"/>
              </w:rPr>
              <w:t>3,314</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2,464</w:t>
            </w:r>
          </w:p>
        </w:tc>
        <w:tc>
          <w:tcPr>
            <w:tcW w:type="dxa" w:w="1440"/>
            <w:shd w:fill="FAFAFA" w:val="clear"/>
          </w:tcPr>
          <w:p>
            <w:r>
              <w:rPr>
                <w:b/>
                <w:sz w:val="17"/>
              </w:rPr>
              <w:t>2,900</w:t>
            </w:r>
          </w:p>
        </w:tc>
        <w:tc>
          <w:tcPr>
            <w:tcW w:type="dxa" w:w="1440"/>
            <w:shd w:fill="FAFAFA" w:val="clear"/>
          </w:tcPr>
          <w:p>
            <w:r>
              <w:rPr>
                <w:sz w:val="17"/>
              </w:rPr>
              <w:t>3,336</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2,438</w:t>
            </w:r>
          </w:p>
        </w:tc>
        <w:tc>
          <w:tcPr>
            <w:tcW w:type="dxa" w:w="1440"/>
            <w:shd w:fill="FAFAFA" w:val="clear"/>
          </w:tcPr>
          <w:p>
            <w:r>
              <w:rPr>
                <w:b/>
                <w:sz w:val="17"/>
              </w:rPr>
              <w:t>2,898</w:t>
            </w:r>
          </w:p>
        </w:tc>
        <w:tc>
          <w:tcPr>
            <w:tcW w:type="dxa" w:w="1440"/>
            <w:shd w:fill="FAFAFA" w:val="clear"/>
          </w:tcPr>
          <w:p>
            <w:r>
              <w:rPr>
                <w:sz w:val="17"/>
              </w:rPr>
              <w:t>3,357</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(AFRICA GLOBAL LOGISTICS CÔTE D'IVOIRE)**</w:t>
        <w:br/>
        <w:t>*Bourse Régionale des Valeurs Mobilières (BRVM) — Analyse au 04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158,68 milliards FCFA, SDSC se positionne comme une valeur de taille intermédiaire sur le compartiment des sociétés non-financières de la BRVM, ce qui lui confère une certaine liquidité relative mais la rend vulnérable aux mouvements de blocs. Le BPA de 387 FCFA/action indique que chaque titre génère un bénéfice unitaire confortable, mais ce chiffre doit être nuancé car il repose sur l'exercice 2024, avant l'effondrement du résultat net 2025. Le PER de 7,5x situe le titre en dessous de la moyenne du marché BRVM (8-12x), suggérant une sous-évaluation apparente qui pourrait toutefois n'être qu'un piège de valeur compte tenu de la dégradation récente des bénéfices. Le P/B de 2,04x traduit une prime de croissance accordée par le marché par rapport à la valeur comptable, tandis que l'EV/EBITDA de 34,2x apparaît très exigeant et déconnecté de la capacité opérationnelle réelle de l'entreprise, signalant un risque de surévaluation sur la base des flux d'exploitation.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+67,05%, passant d'un plus bas de 1 650 FCFA à un plus haut de 3 205 FCFA, avant de terminer à 2 915 FCFA, avec une dernière séance en repli de -3,32%. Le range de trading particulièrement large (1 555 FCFA d'amplitude) témoigne d'une forte volatilité et d'un intérêt marqué des investisseurs pour ce titre. La moyenne de 2 491 FCFA se situe en dessous de la médiane de 2 572 FCFA, ce qui révèle une asymétrie négative de la distribution : les cours élevés ont été moins fréquents que les cours bas, mais les pics ont tiré la moyenne vers le bas relativement à la médiane. L'écart-type de 431 FCFA avec un coefficient de variation de 17,3% indique une dispersion modérée du cours autour de sa moyenne, tandis que le kurtosis de -0,847 (mésokurtique) suggère une distribution proche de la normale, sans risque excessif de pics extrêmes. Le skewness de -0,471 confirme cette légère asymétrie négative, avec une queue de distribution plus étalée vers les valeurs basses. La volatilité annualisée de 51,4% classe ce titre dans la catégorie des valeurs à volatilité élevée (&gt;30%), ce qui implique un risque significatif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(2 992,0 FCFA) et la MM50 (2 822,8 FCFA) se situent toutes deux au-dessus du cours actuel (2 915 FCFA), avec la MM20 en position supérieure à la MM50, configuration typique d'une tendance haussière de fond. Le croisement haussier des moyennes mobiles (MM20 &gt; MM50) justifie la décision d'achat, bien que le cours évolue actuellement sous la MM20, signalant une correction à court terme.</w:t>
      </w:r>
    </w:p>
    <w:p>
      <w:pPr>
        <w:spacing w:after="120" w:line="276" w:lineRule="auto"/>
      </w:pPr>
      <w:r>
        <w:t>**Bandes de Bollinger** : Le cours (2 915 FCFA) se situe dans la partie médiane de la bande, entre la borne inférieure (2 753,86 FCFA) et la borne supérieure (3 230,14 FCFA), sans atteindre les extrêmes. Cette position centrale, couplée à une largeur de bande importante, traduit une volatilité élevée mais sans signal de surachat ou de survente, justifiant la décision neutre.</w:t>
      </w:r>
    </w:p>
    <w:p>
      <w:pPr>
        <w:spacing w:after="120" w:line="276" w:lineRule="auto"/>
      </w:pPr>
      <w:r>
        <w:t>**MACD** : La valeur du MACD (32,692) est inférieure à son signal (42,663), générant un croisement baissier qui indique un affaiblissement du momentum haussier. Cette divergence négative, bien que modérée, justifie la décision de vente à court terme et suggère une possible consolidation.</w:t>
      </w:r>
    </w:p>
    <w:p>
      <w:pPr>
        <w:spacing w:after="120" w:line="276" w:lineRule="auto"/>
      </w:pPr>
      <w:r>
        <w:t>**RSI** : À 44,651, le RSI se situe dans la zone neutre (30-70), sans signal de surachat ni de survente. Cette position médiane reflète un équilibre entre acheteurs et vendeurs, justifiant la décision neutre et l'absence de signal directionnel fort.</w:t>
      </w:r>
    </w:p>
    <w:p>
      <w:pPr>
        <w:spacing w:after="120" w:line="276" w:lineRule="auto"/>
      </w:pPr>
      <w:r>
        <w:t>**Stochastique** : Le %K (38,983) est inférieur au %D (61,582), avec un croisement baissier en zone neutre. Cette configuration indique une pression vendeuse à court terme, bien que les deux lignes restent éloignées des zones extrêmes, justifiant la décision neutre.</w:t>
      </w:r>
    </w:p>
    <w:p>
      <w:pPr>
        <w:spacing w:after="120" w:line="276" w:lineRule="auto"/>
      </w:pPr>
      <w:r>
        <w:t>**Conclusion technique** : Les indicateurs techniques présentent un tableau mitigé, avec une tendance de fond haussière (moyennes mobiles) contrariée par des signaux baissiers à court terme (MACD, Stochastique). La position neutre du RSI et des Bandes de Bollinger confirme l'absence de signal directionnel fort, suggérant une phase de consolidation avant une éventuelle reprise. La convergence des signaux baissiers à court terme et la divergence avec la tendance de fond appellent à la prudence dans l'immédiat.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SDSC affichait un chiffre d'affaires de 85,643 milliards FCFA, un résultat net de 21,069 milliards FCFA, un ROE exceptionnel de 27,08% et un ROA de 11,20%, avec une marge nette de 24,60% — des performances remarquables qui expliquent la confiance du marché. Cependant, les états financiers provisoires de l'exercice 2025 (rapport du 31/12/2025, analysé par DeepSeek le 05/08/2026) révèlent un retournement brutal : le chiffre d'affaires progresse de +7,43% à 92,004 milliards FCFA, mais le résultat net s'effondre de -96% à 784,97 millions FCFA, avec une marge nette tombée à 0,85%. Le résultat d'exploitation devient négatif (-2,271 milliards FCFA) en raison d'une hausse de 41% des dotations aux amortissements et de charges de personnel en augmentation, tandis que le résultat financier (7,080 milliards FCFA) sauve in extremis la rentabilité. Le rapport du 19/09/2026 (Gemini-Vision) confirme cette dégradation et signale des manquements réglementaires (retards de clôture et de communication), tandis que le rapport du 15/03/2026 (Mistral) sur le T1 2025 indiquait déjà un retour à la profitabilité trimestrielle (+223 millions FCFA) mais avec une marge nette faible de 0,9%. Les rapports T3 2025 (30/09/2025) et S1 2025 (30/06/2025) montrent une activité opérationnelle en croissance (+7,4% au T3) mais des résultats volatils en raison de la dépendance aux dividendes des filiales. La structure financière reste solide avec des capitaux propres de 77,808 milliards FCFA (2024), une autonomie financière de 41,36% et une trésorerie nette de 74,78 milliards FCFA (2025), mais le BFR a explosé à +75,7 milliards FCFA, absorbant une partie de cette trésorerie. Le délai client de 466,94 jours (2024) constitue un risque majeur de trésorerie, bien que le délai fournisseur de 4 534,17 jours offre un coussin de financement exceptionnel. La recommandation fondamentale est de **CONSERVER** le titre : la solidité du bilan et la croissance du chiffre d'affaires justifient de ne pas vendre, mais l'effondrement de la rentabilité, la réduction drastique du dividende (-89%) et les risques opérationnels (dépendance au cacao, congestion portuaire, retard des projets miniers) imposent une vigilance extrême. On estime que l'exercice 2026 devrait bénéficier d'une base de comparaison favorable et d'une trésorerie abondante, mais la restauration des marges opérationnelles reste incertaine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ambigu : le PER de 7,5x et le P/B de 2,04x suggèrent une sous-évaluation relative, mais l'EV/EBITDA de 34,2x trahit une surévaluation par rapport aux flux opérationnels, créant une divergence qui reflète la dégradation des bénéfices 2025 non encore intégrée dans les ratios basés sur 2024. Le comportement du cours (Partie 1) est haussier sur 100 jours (+67,05%) mais avec une volatilité élevée (51,4%) et une asymétrie négative (skewness -0,471) qui indiquent un risque de correction, confirmé par le repli de -3,32% en dernière séance. Les signaux techniques (Partie 2) sont mitigés : la tendance de fond reste haussière (MM20 &gt; MM50) mais les indicateurs de momentum (MACD, Stochastique) sont baissiers à court terme, et le RSI neutre (44,65) n'offre aucun support directionnel. Les fondamentaux (Partie 3) révèlent une dégradation sévère de la rentabilité en 2025 (marge nette de 0,85% contre 24,60% en 2024) malgré la croissance du chiffre d'affaires, avec un résultat d'exploitation négatif et une dépendance aux revenus financiers. Les prédictions IA (J+1 à J+10) anticipent une stabilisation autour de 2 907-2 910 FCFA, confirmant l'absence de momentum directionnel fort et la phase de consolidation en cours. Sur la base de cette synthèse, la recommandation finale est **CONSERVER**, avec un niveau de confiance **Moyen** et un risque global **Élevé**. La convergence entre la dégradation fondamentale, les signaux techniques baissiers à court terme et la stagnation prédite par l'IA contredit la tendance haussière passée et la sous-évaluation apparente des ratios, créant une incertitude qui justifie une position attentiste. L'horizon d'investissement optimal est le **moyen terme (3-12 mois)**, en surveillant la capacité de la direction à restaurer les marges opérationnelles au premier semestre 2026 et à clarifier sa politique de dividende, avec un seuil de vente si le résultat d'exploitation reste négatif au T2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β=1.1296 (Neutre (suit le marché)) — Cov=0.000041, Var(idx)=0.000036, ρ=0.236, n=88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(EVIOSYS PACKAGING SIEM)**</w:t>
        <w:br/>
        <w:t>*Bourse Régionale des Valeurs Mobilières (BRVM) — Côte d'Ivoire*</w:t>
        <w:br/>
        <w:t>*Date d'analyse :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de petite à moyenne capitalisation du compartiment industriel. Les ratios de valorisation boursière (BPA, PER, P/B, EV/EBITDA) ne sont pas calculables en l'état, faute de données financières structurées récentes et fiables permettant de croiser bénéfice net, capitaux propres et EBITDA avec le cours actuel. Cette absence s'explique notamment par la suspension de la cote BRVM depuis janvier 2024 (flottant insuffisant de 10,42 % contre 15 % requis) et par le changement d'actionnariat (rachat par Sonoco Products Company finalisé en décembre 2024), qui ont perturbé la publication et la consolidation des données de marché. L'investisseur ne peut donc s'appuyer sur les seuls ratios de valorisation et doit se référer aux fondamentaux issus des rapports financiers officiels (Partie 3) pour évaluer le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 avec une dernière séance en repli de -1,64 %, portant le cours à 1 495 FCFA. Le range de trading s'est établi entre un plus haut de 1 800 FCFA et un plus bas de 1 350 FCFA, soit une amplitude de 450 FCFA (33 % du plus bas), traduisant une tendance globalement baissière mais avec des rebonds ponctuels. Les statistiques descriptives révèlent une moyenne de 1 527 FCFA légèrement supérieure à la médiane de 1 520 FCFA, avec un mode à 1 500 FCFA : l'écart faible entre moyenne et médiane indique une distribution quasi symétrique, bien que le skewness positif de 0,558 signale davantage de journées sous la moyenne (asymétrie à droite). L'écart-type de 69 FCFA et le coefficient de variation de 4,5 % témoignent d'une dispersion modérée du cours autour de sa moyenne, mais le kurtosis (excès) de 1,652 — profil leptokurtique — avertit d'un risque de pics de volatilité (queues épaisses), c'est-à-dire de mouvements brusques et amplifiés. La volatilité annualisée de 47,2 % classe le titre dans la catégorie des valeurs à volatilité élevée (&gt;30 %),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et la MM50 (1 499,20 FCFA) encadrent le cours actuel de 1 495 FCFA, qui évolue légèrement sous ses deux moyennes. La MM20 étant supérieure à la MM50, la configuration reste haussière de court terme, mais le cours sous la MM20 fragilise ce signal. La décision affichée est "Achat", à confirmer par un retour du cours au-dessus de 1 540 FCFA.</w:t>
      </w:r>
    </w:p>
    <w:p>
      <w:pPr>
        <w:spacing w:after="120" w:line="276" w:lineRule="auto"/>
      </w:pPr>
      <w:r>
        <w:t>**Bandes de Bollinger** : Le cours (1 495 FCFA) se situe dans la partie basse de la bande, entre la borne inférieure (1 459,69 FCFA) et la borne supérieure (1 621,81 FCFA), plus proche du support que de la résistance. L'absence de franchissement des bornes traduit une volatilité contenue et une phase de consolidation. La décision "Neutre" reflète l'absence de signal directionnel fort.</w:t>
      </w:r>
    </w:p>
    <w:p>
      <w:pPr>
        <w:spacing w:after="120" w:line="276" w:lineRule="auto"/>
      </w:pPr>
      <w:r>
        <w:t>**MACD** : La valeur du MACD (6,568) est inférieure à sa ligne de signal (10,599), configuration baissière caractéristique d'un momentum négatif. La divergence négative indique que la dynamique haussière s'essouffle, justifiant la décision "Vente" à court terme.</w:t>
      </w:r>
    </w:p>
    <w:p>
      <w:pPr>
        <w:spacing w:after="120" w:line="276" w:lineRule="auto"/>
      </w:pPr>
      <w:r>
        <w:t>**RSI** : À 49,533, le RSI se situe exactement en zone neutre (entre 30 et 70), sans signal de surachat ni de survente. Cette position médiane confirme l'absence de pression acheteuse ou vendeuse dominante, d'où la décision "Neutre".</w:t>
      </w:r>
    </w:p>
    <w:p>
      <w:pPr>
        <w:spacing w:after="120" w:line="276" w:lineRule="auto"/>
      </w:pPr>
      <w:r>
        <w:t>**Stochastique** : Le %K (34,615) est nettement inférieur au %D (57,692), avec un croisement baissier en zone basse. Cette configuration suggère une pression vendeuse persistante mais proche de zones de survente potentielles. La décision reste "Neutre" en l'absence de retournement confirmé.</w:t>
      </w:r>
    </w:p>
    <w:p>
      <w:pPr>
        <w:spacing w:after="120" w:line="276" w:lineRule="auto"/>
      </w:pPr>
      <w:r>
        <w:t>**Conclusion technique** : Les indicateurs sont majoritairement neutres (Bollinger, RSI, Stochastique) avec un biais baissier marqué par le MACD (vente) et la position du cours sous ses moyennes mobiles. Seule la configuration MM20 &gt; MM50 maintient un espoir de reprise, mais la convergence des signaux ne plaide pas pour un rebond imminent. Le titre évolue en phase de consolidation baissière, avec un support critique à 1 459 FCFA (borne inférieure de Bollinger) qu'il convient de surveiller.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de données, mais les rapports financiers officiels fournis (exercices 2021, 2022, T1 2023 et 2023) permettent une analyse approfondie. **En 2023** (rapport du 31/12/2023, analysé par MISTRAL), SEMC a enregistré un chiffre d'affaires de 27,88 milliards FCFA, en **baisse de 6 %** par rapport aux 29,60 milliards FCFA de 2022, et un résultat net de seulement 1,01 milliard FCFA, en **chute de 74 %** (contre 3,86 milliards FCFA en 2022). La marge nette s'est effondrée à 3,6 % (vs 13,0 % en 2022), et la marge d'exploitation à 6,9 % (vs 11,0 %), sous l'effet d'un effet ciseau défavorable (baisse du CA couplée à une quasi-stabilité des charges) et de la perte de clients clés (AIRONE : -81 % de CA ; secteur Tomate : disparition des ventes). Le ROE et le ROA ne sont pas explicitement fournis pour 2023, mais la chute du résultat net et la stabilité des capitaux propres impliquent une dégradation mécanique de ces ratios. **En 2022** (rapport du 31/12/2022, analysé par MISTRAL), le CA consolidé s'élevait à 125,4 milliards FCFA (contre 110,2 milliards en 2021, +13,8 %), avec un résultat net de 12,8 milliards FCFA (+18,5 %) et une marge nette de 10,2 % ; le ROE atteignait 18,4 % et le ROA 9,2 %. **Au T1 2023** (rapport du 31/03/2023, analysé par MISTRAL), le CA progressait de 16,5 % à 7,65 milliards FCFA et le résultat net de 37,9 % à 855,65 millions FCFA, avec une marge nette de 11,2 % — ces chiffres trimestriels, antérieurs à la dégradation annuelle, illustrent la brutalité du retournement au second semestre 2023. **En 2021** (rapport du 31/12/2021, analysé par GEMINI-VISION), les données sont partielles mais confirment la trajectoire de croissance antérieure. La politique de dividende est inexistante depuis 2022 (0 FCFA versé en 2022 et 2023), la société privilégiant la conservation de trésorerie (3,35 milliards FCFA en 2023) pour financer sa relance et faire face à la suspension de cote. **Perspectives** : la direction visait un CA de 32 milliards FCFA en 2024 (+18 %), porté par les bouchons couronnes (+61 % en volume en 2023) et les exportations (Sénégal), mais le rachat par Sonoco Products Company (finalisé en décembre 2024) introduit une incertitude stratégique majeure (risque de dilution, réorganisation, retrait potentiel de la cote). **Recommandation fondamentale** : la solidité financière est compromise à court terme (rentabilité fragile, dépendance clients, suspension de cote), mais les perspectives de relance et l'adossement à un leader mondial de l'emballage constituent des leviers de redressement à moyen terme. Le profil est spéculatif.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**Valorisation (Partie 0)** : les ratios sont indisponibles, mais la capitalisation de 37,66 milliards FCFA pour un résultat net 2023 de 1,01 milliard FCFA implique un PER implicite très élevé (~37x), suggérant une surévaluation au regard des bénéfices actuels, bien que le potentiel de rebond 2024-2025 puisse justifier une prime. **Comportement du cours (Partie 1)** : la tendance est baissière (-16,94 % sur 100 jours), avec une volatilité élevée (47,2 %) et un kurtosis leptokurtique (1,652) signalant un risque de pics ; le skewness positif (0,558) indique une pression vendeuse persistante. **Signaux techniques (Partie 2)** : divergence entre un signal d'achat sur les MM et des signaux de vente/neutre sur le MACD, le RSI et le Stochastique ; la convergence globale est baissière à neutre, sans signal d'achat fort. **Fondamentaux (Partie 3)** : dégradation sévère en 2023 (CA -6 %, résultat net -74 %, marge nette à 3,6 %), mais perspectives de relance 2024 (+18 % visé) et adossement à Sonoco. **Prédictions IA** : aucune prédiction n'est disponible pour les 10 prochains jours, ce qui prive l'analyse d'un signal directionnel complémentaire. **Recommandation finale : CONSERVER (avec vigilance)**. La convergence des signaux est insuffisante pour justifier un achat (technique baissier, fondamentaux dégradés, valorisation implicite élevée), mais la perspective d'un redressement porté par Sonoco et la relance des bouchons couronnes interdit une vente précipitée. **Niveau de confiance : Moyen** (absence de prédictions IA et de ratios de valorisation). **Niveau de risque global : Élevé** (volatilité 47,2 %, suspension de cote, incertitude stratégique post-rachat). **Horizon d'investissement optimal : moyen terme (3-12 mois)**, le temps que la stratégie de Sonoco et l'exécution du plan 2024 se matérialisent, avec un suivi rapproché de la levée de la suspension BRVM et des indicateurs de marge.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5,006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+13.04%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34,500 FCFA</w:t>
            </w:r>
          </w:p>
          <w:p>
            <w:r>
              <w:rPr>
                <w:b/>
                <w:color w:val="503200"/>
                <w:sz w:val="16"/>
              </w:rPr>
              <w:t xml:space="preserve">Volatilité ann. : </w:t>
            </w:r>
            <w:r>
              <w:rPr>
                <w:color w:val="000000"/>
                <w:sz w:val="17"/>
              </w:rPr>
              <w:t>21.5%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2.82% (Faible) — μ=38,150 FCFA, σ=1,075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β=0.5062 (Défensif) — Cov=0.000035, Var(idx)=0.000068, ρ=0.307,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σ_j=1.36%/j (Stable) — Vol. annualisée≈21.5%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36,948</w:t>
            </w:r>
          </w:p>
        </w:tc>
        <w:tc>
          <w:tcPr>
            <w:tcW w:type="dxa" w:w="1440"/>
            <w:shd w:fill="FAFAFA" w:val="clear"/>
          </w:tcPr>
          <w:p>
            <w:r>
              <w:rPr>
                <w:b/>
                <w:sz w:val="17"/>
              </w:rPr>
              <w:t>38,525</w:t>
            </w:r>
          </w:p>
        </w:tc>
        <w:tc>
          <w:tcPr>
            <w:tcW w:type="dxa" w:w="1440"/>
            <w:shd w:fill="FAFAFA" w:val="clear"/>
          </w:tcPr>
          <w:p>
            <w:r>
              <w:rPr>
                <w:sz w:val="17"/>
              </w:rPr>
              <w:t>40,103</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36,522</w:t>
            </w:r>
          </w:p>
        </w:tc>
        <w:tc>
          <w:tcPr>
            <w:tcW w:type="dxa" w:w="1440"/>
            <w:shd w:fill="FAFAFA" w:val="clear"/>
          </w:tcPr>
          <w:p>
            <w:r>
              <w:rPr>
                <w:b/>
                <w:sz w:val="17"/>
              </w:rPr>
              <w:t>38,451</w:t>
            </w:r>
          </w:p>
        </w:tc>
        <w:tc>
          <w:tcPr>
            <w:tcW w:type="dxa" w:w="1440"/>
            <w:shd w:fill="FAFAFA" w:val="clear"/>
          </w:tcPr>
          <w:p>
            <w:r>
              <w:rPr>
                <w:sz w:val="17"/>
              </w:rPr>
              <w:t>40,379</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36,158</w:t>
            </w:r>
          </w:p>
        </w:tc>
        <w:tc>
          <w:tcPr>
            <w:tcW w:type="dxa" w:w="1440"/>
            <w:shd w:fill="FAFAFA" w:val="clear"/>
          </w:tcPr>
          <w:p>
            <w:r>
              <w:rPr>
                <w:b/>
                <w:sz w:val="17"/>
              </w:rPr>
              <w:t>38,380</w:t>
            </w:r>
          </w:p>
        </w:tc>
        <w:tc>
          <w:tcPr>
            <w:tcW w:type="dxa" w:w="1440"/>
            <w:shd w:fill="FAFAFA" w:val="clear"/>
          </w:tcPr>
          <w:p>
            <w:r>
              <w:rPr>
                <w:sz w:val="17"/>
              </w:rPr>
              <w:t>40,603</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35,834</w:t>
            </w:r>
          </w:p>
        </w:tc>
        <w:tc>
          <w:tcPr>
            <w:tcW w:type="dxa" w:w="1440"/>
            <w:shd w:fill="FAFAFA" w:val="clear"/>
          </w:tcPr>
          <w:p>
            <w:r>
              <w:rPr>
                <w:b/>
                <w:sz w:val="17"/>
              </w:rPr>
              <w:t>38,315</w:t>
            </w:r>
          </w:p>
        </w:tc>
        <w:tc>
          <w:tcPr>
            <w:tcW w:type="dxa" w:w="1440"/>
            <w:shd w:fill="FAFAFA" w:val="clear"/>
          </w:tcPr>
          <w:p>
            <w:r>
              <w:rPr>
                <w:sz w:val="17"/>
              </w:rPr>
              <w:t>40,796</w:t>
            </w:r>
          </w:p>
        </w:tc>
        <w:tc>
          <w:tcPr>
            <w:tcW w:type="dxa" w:w="1440"/>
            <w:shd w:fill="FAFAFA" w:val="clear"/>
          </w:tcPr>
          <w:p>
            <w:r>
              <w:rPr>
                <w:b/>
                <w:color w:val="C00000"/>
                <w:sz w:val="17"/>
              </w:rPr>
              <w:t>-1.8%</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35,540</w:t>
            </w:r>
          </w:p>
        </w:tc>
        <w:tc>
          <w:tcPr>
            <w:tcW w:type="dxa" w:w="1440"/>
            <w:shd w:fill="FAFAFA" w:val="clear"/>
          </w:tcPr>
          <w:p>
            <w:r>
              <w:rPr>
                <w:b/>
                <w:sz w:val="17"/>
              </w:rPr>
              <w:t>38,253</w:t>
            </w:r>
          </w:p>
        </w:tc>
        <w:tc>
          <w:tcPr>
            <w:tcW w:type="dxa" w:w="1440"/>
            <w:shd w:fill="FAFAFA" w:val="clear"/>
          </w:tcPr>
          <w:p>
            <w:r>
              <w:rPr>
                <w:sz w:val="17"/>
              </w:rPr>
              <w:t>40,966</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35,267</w:t>
            </w:r>
          </w:p>
        </w:tc>
        <w:tc>
          <w:tcPr>
            <w:tcW w:type="dxa" w:w="1440"/>
            <w:shd w:fill="FFDCE0" w:val="clear"/>
          </w:tcPr>
          <w:p>
            <w:r>
              <w:rPr>
                <w:b/>
                <w:sz w:val="17"/>
              </w:rPr>
              <w:t>38,193</w:t>
            </w:r>
          </w:p>
        </w:tc>
        <w:tc>
          <w:tcPr>
            <w:tcW w:type="dxa" w:w="1440"/>
            <w:shd w:fill="FFDCE0" w:val="clear"/>
          </w:tcPr>
          <w:p>
            <w:r>
              <w:rPr>
                <w:sz w:val="17"/>
              </w:rPr>
              <w:t>41,119</w:t>
            </w:r>
          </w:p>
        </w:tc>
        <w:tc>
          <w:tcPr>
            <w:tcW w:type="dxa" w:w="1440"/>
            <w:shd w:fill="FFDCE0" w:val="clear"/>
          </w:tcPr>
          <w:p>
            <w:r>
              <w:rPr>
                <w:b/>
                <w:color w:val="C00000"/>
                <w:sz w:val="17"/>
              </w:rPr>
              <w:t>-2.1%</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35,012</w:t>
            </w:r>
          </w:p>
        </w:tc>
        <w:tc>
          <w:tcPr>
            <w:tcW w:type="dxa" w:w="1440"/>
            <w:shd w:fill="FFDCE0" w:val="clear"/>
          </w:tcPr>
          <w:p>
            <w:r>
              <w:rPr>
                <w:b/>
                <w:sz w:val="17"/>
              </w:rPr>
              <w:t>38,135</w:t>
            </w:r>
          </w:p>
        </w:tc>
        <w:tc>
          <w:tcPr>
            <w:tcW w:type="dxa" w:w="1440"/>
            <w:shd w:fill="FFDCE0" w:val="clear"/>
          </w:tcPr>
          <w:p>
            <w:r>
              <w:rPr>
                <w:sz w:val="17"/>
              </w:rPr>
              <w:t>41,258</w:t>
            </w:r>
          </w:p>
        </w:tc>
        <w:tc>
          <w:tcPr>
            <w:tcW w:type="dxa" w:w="1440"/>
            <w:shd w:fill="FFDCE0" w:val="clear"/>
          </w:tcPr>
          <w:p>
            <w:r>
              <w:rPr>
                <w:b/>
                <w:color w:val="C00000"/>
                <w:sz w:val="17"/>
              </w:rPr>
              <w:t>-2.2%</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34,770</w:t>
            </w:r>
          </w:p>
        </w:tc>
        <w:tc>
          <w:tcPr>
            <w:tcW w:type="dxa" w:w="1440"/>
            <w:shd w:fill="FFDCE0" w:val="clear"/>
          </w:tcPr>
          <w:p>
            <w:r>
              <w:rPr>
                <w:b/>
                <w:sz w:val="17"/>
              </w:rPr>
              <w:t>38,078</w:t>
            </w:r>
          </w:p>
        </w:tc>
        <w:tc>
          <w:tcPr>
            <w:tcW w:type="dxa" w:w="1440"/>
            <w:shd w:fill="FFDCE0" w:val="clear"/>
          </w:tcPr>
          <w:p>
            <w:r>
              <w:rPr>
                <w:sz w:val="17"/>
              </w:rPr>
              <w:t>41,386</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34,541</w:t>
            </w:r>
          </w:p>
        </w:tc>
        <w:tc>
          <w:tcPr>
            <w:tcW w:type="dxa" w:w="1440"/>
            <w:shd w:fill="FFDCE0" w:val="clear"/>
          </w:tcPr>
          <w:p>
            <w:r>
              <w:rPr>
                <w:b/>
                <w:sz w:val="17"/>
              </w:rPr>
              <w:t>38,023</w:t>
            </w:r>
          </w:p>
        </w:tc>
        <w:tc>
          <w:tcPr>
            <w:tcW w:type="dxa" w:w="1440"/>
            <w:shd w:fill="FFDCE0" w:val="clear"/>
          </w:tcPr>
          <w:p>
            <w:r>
              <w:rPr>
                <w:sz w:val="17"/>
              </w:rPr>
              <w:t>41,504</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1 213,33 milliards FCFA, SGBC s'impose comme l'une des toutes premières capitalisations de la BRVM, un statut de « blue chip » régional qui traduit la confiance du marché envers le leader bancaire ivoirien. Le BPA de 3 258 FCFA par action signifie que chaque titre génère près de 3 258 FCFA de bénéfice net, un niveau de rentabilité par action remarquable qui soutient directement la politique de dividende généreuse du groupe (taux de distribution de 80 % en 2025). Le PER de 12,0x situe le titre dans la fourchette haute de la moyenne BRVM (~8-12x), ce qui indique que les investisseurs paient un léger premium pour la qualité et la régularité des bénéfices, sans pour autant basculer dans une valorisation excessive. Le P/B de 2,45x confirme cette prime de croissance : le marché valorise SGBC à près de 2,5 fois ses fonds propres comptables (495,1 Mds FCFA), un niveau justifié par un ROE de 20,5 % nettement supérieur au coût des fonds propres. En revanche, l'EV/EBITDA de 24,7x apparaît très exigeant (&gt;15x), signalant que la valeur d'entreprise intègre déjà une bonne part des anticipations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+13,04 %, avec une dernière séance quasi stable (+0,03 %), confirmant une dynamique haussière maîtrisée et sans emballement spéculatif. Le cours actuel de 39 000 FCFA évolue dans un range de trading de 4 800 FCFA, entre un plus bas de 34 500 FCFA et un plus haut de 39 300 FCFA — le titre évolue donc actuellement dans le haut de sa fourchette, à seulement 0,8 % de son sommet. La tendance générale est clairement haussière, soutenue par des volumes moyens quotidiens de 5 006 titres qui témoignent d'une liquidité correcte pour le marché BRVM. Les statistiques descriptives révèlent une distribution asymétrique : la moyenne (38 150 FCFA) est inférieure à la médiane (38 495 FCFA), et le mode se situe à 39 000 FCFA — le skewness négatif de -1,521 indique qu'il y a eu davantage de journées de cotation au-dessus de la moyenne, signe d'une pression acheteuse dominante. L'écart-type de 1 080 FCFA et le coefficient de variation de 2,8 % traduisent une dispersion très faible du cours, gage de stabilité. Le kurtosis de 1,933 (leptokurtique) signale toutefois des queues épaisses, donc un risque de pics de volatilité ponctuels. La volatilité annualisée de 21,5 % positionne le titre dans la catégorie modérée (15-30 %), cohérente avec un profil défensif de grande capitalisation bancaire.</w:t>
      </w:r>
    </w:p>
    <w:p>
      <w:pPr>
        <w:spacing w:after="120" w:line="276" w:lineRule="auto"/>
      </w:pPr>
      <w:r>
        <w:t>---</w:t>
      </w:r>
    </w:p>
    <w:p>
      <w:pPr>
        <w:spacing w:after="120" w:line="276" w:lineRule="auto"/>
      </w:pPr>
      <w:r>
        <w:t>## PARTIE 2 : ANALYSE TECHNIQUE DÉTAILLÉE</w:t>
      </w:r>
    </w:p>
    <w:p>
      <w:pPr>
        <w:spacing w:after="120" w:line="276" w:lineRule="auto"/>
      </w:pPr>
      <w:r>
        <w:t>**Moyennes Mobiles :** La MM20 (38 620,5 FCFA) et la MM50 (38 477,2 FCFA) se situent toutes deux sous le cours actuel de 39 000 FCFA, et la MM20 est légèrement au-dessus de la MM50 — configuration haussière classique (golden cross implicite). Le cours évoluant au-dessus de ses deux moyennes, la décision technique est logiquement **Achat**, confirmant la tendance positive de fond.</w:t>
      </w:r>
    </w:p>
    <w:p>
      <w:pPr>
        <w:spacing w:after="120" w:line="276" w:lineRule="auto"/>
      </w:pPr>
      <w:r>
        <w:t>**Bandes de Bollinger :** Le cours (39 000 FCFA) se situe dans la moitié supérieure de la bande, entre la borne inférieure (37 839,3 FCFA) et la borne supérieure (39 401,7 FCFA), sans la franchir. Cette position, couplée à un écart relativement resserré entre les bornes, indique une volatilité contenue et une absence de signal extrême — la décision est donc **Neutre**, le titre naviguant en zone haute sans surachat marqué.</w:t>
      </w:r>
    </w:p>
    <w:p>
      <w:pPr>
        <w:spacing w:after="120" w:line="276" w:lineRule="auto"/>
      </w:pPr>
      <w:r>
        <w:t>**MACD :** La valeur du MACD (89,248) est nettement supérieure à son signal (30,124), avec un histogramme positif et écarté — configuration qui traduit un momentum haussier affirmé et soutenu. La décision **Achat** est pleinement justifiée par cette divergence positive persistante.</w:t>
      </w:r>
    </w:p>
    <w:p>
      <w:pPr>
        <w:spacing w:after="120" w:line="276" w:lineRule="auto"/>
      </w:pPr>
      <w:r>
        <w:t>**RSI :** À 52,934, le RSI se situe parfaitement dans la zone neutre (30-70), à mi-chemin entre survente et surachat. Cette valeur indique un équilibre entre acheteurs et vendeurs, sans tension excessive — la décision **Neutre** reflète un potentiel de progression encore intact, sans risque immédiat de correction.</w:t>
      </w:r>
    </w:p>
    <w:p>
      <w:pPr>
        <w:spacing w:after="120" w:line="276" w:lineRule="auto"/>
      </w:pPr>
      <w:r>
        <w:t>**Stochastique :** Le %K (100,0) et le %D (96,944) sont tous deux en zone extrême de surachat, avec un %K au plafond absolu. Cette configuration signale que le titre a épuisé son potentiel de hausse à très court terme et qu'un repli technique est probable — la décision **Vente** constitue un signal de prudence tactique.</w:t>
      </w:r>
    </w:p>
    <w:p>
      <w:pPr>
        <w:spacing w:after="120" w:line="276" w:lineRule="auto"/>
      </w:pPr>
      <w:r>
        <w:t>**Conclusion technique :** Les indicateurs de tendance (MM, MACD) sont clairement haussiers et confirment la solidité du mouvement, tandis que les indicateurs de momentum (RSI neutre, Stochastique en surachat) suggèrent une pause imminente. Cette divergence entre tendance et momentum plaide pour une consolidation à court terme avant une reprise, le titre restant structurellement orienté à la hausse tant qu'il se maintient au-dessus de la MM50 (38 477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(équivalent du chiffre d'affaires pour une banque) de 276,048 Mds FCFA, en croissance de +4,88 % sur un an, porté par les intérêts et produits assimilés (230,313 Mds FCFA) et les commissions nettes (72,603 Mds FCFA de produits contre 4,015 Mds FCFA de charges). Le résultat net s'établit à 101,352 Mds FCFA, soit une marge nette exceptionnelle de 36,72 % — l'une des meilleures du secteur bancaire UEMOA. La rentabilité des fonds propres (ROE) atteint 20,47 %, largement supérieure au seuil de 15 % considéré comme excellent, tandis que le ROA de 2,69 % confirme l'efficacité de l'utilisation des actifs (total bilan de 3 769,17 Mds FCFA). Le coefficient d'exploitation de 38,75 % classe SGBC parmi les banques les plus efficaces de la zone (&lt; 50 % = excellente), et le taux de couverture des intérêts de 255,88 % témoigne d'une capacité de remboursement très confortable. Le portefeuille de crédits s'élève à 2 546,29 Mds FCFA pour des dépôts clientèle de 2 907,68 Mds FCFA, soit un ratio de transformation de 87,6 % — un équilibre sain entre collecte et distribution. Le coût du risque, matérialisé par des provisions de 17,995 Mds FCFA, reste contenu au regard du PNB, mais le rapport annuel 2025 (publié le 17 avril 2026) signale une hausse de +29,2 % du coût net du risque et un taux de NPL de 8,0 % avec une couverture de 82 %, points de vigilance à surveiller.</w:t>
      </w:r>
    </w:p>
    <w:p>
      <w:pPr>
        <w:spacing w:after="120" w:line="276" w:lineRule="auto"/>
      </w:pPr>
      <w:r>
        <w:t>**Estimations basées sur les rapports trimestriels :** Le rapport T1 2026 (clôture 31 mars 2026, publié le 30 avril 2026) fait état d'un PNB de 65 644 M FCFA (-1 % sur un an) et d'un résultat net de 23 976 M FCFA (-11 %), sous l'effet d'une hausse des frais généraux (+9 %) liée aux investissements (rénovation du siège, migration digitale). Le coefficient d'exploitation se dégrade à 40,6 % mais reste compétitif. Le rapport S1 2026 (publié le 27 août 2026) montre une stabilisation : PNB de 134 059 M FCFA (+1,6 %), résultat net de 53 350 M FCFA (+0,5 %), coefficient d'exploitation revenu à 36,7 % et ratio de solvabilité de 17,6 % (bien au-dessus du seuil réglementaire de 12,5 %). Sur cette base, on estime que l'exercice 2026 devrait afficher un PNB proche de 280-285 Mds FCFA et un résultat net de l'ordre de 100-105 Mds FCFA, soit une quasi-stagnation par rapport à 2025, le temps que les investissements portent leurs fruits. La politique de dividende reste très attractive : dividende brut de 2 606 FCFA par action proposé au titre de 2025 (taux de distribution de 80 %), soit un rendement de 6,68 % au cours actuel de 39 000 FCFA — un niveau élevé pour le marché BRVM. **Recommandation fondamentale : CONSERVER**, pour la solidité bilancielle (solvabilité 17,6 %, notation AAA historique), la générosité du dividende et le leadership sectoriel (18 % de parts de marché crédits), en attendant la confirmation au S2 2026 de la normalisation des coûts et de la reprise de la croissance bénéficiaire.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analysées dessine un profil d'investissement équilibré, sans signal univoque. **Sur la valorisation (Partie 0)** : le PER de 12,0x et le P/B de 2,45x traduisent une valorisation raisonnable mais sans décote, tandis que l'EV/EBITDA de 24,7x limite la marge de sécurité — le titre n'est ni sous-évalué, ni franchement surévalué. **Sur le comportement du cours (Partie 1)** : la tendance haussière (+13,04 % sur 100 jours), la faible volatilité (21,5 %) et le skewness négatif sont favorables, mais le kurtosis leptokurtique (1,933) appelle à la prudence face à d'éventuels pics. **Sur les signaux techniques (Partie 2)** : les indicateurs de tendance (MM, MACD) sont haussiers, mais le Stochastique en surachat extrême (%K = 100) et le RSI neutre suggèrent une consolidation imminente — divergence classique entre fond et forme. **Sur les fondamentaux (Partie 3)** : la solidité est incontestable (ROE 20,5 %, coefficient d'exploitation 38,8 %, solvabilité 17,6 %, dividende 6,68 %), mais la stagnation du résultat net (+0,1 % en 2025, +0,5 % au S1 2026) et la hausse du coût du risque limitent le potentiel de revalorisation à court terme. **Sur les prédictions IA (J+1 à J+10)** : la trajectoire anticipée (38 525 → 38 253 FCFA) est légèrement baissière (-1,9 % sur 5 séances), ce qui confirme le signal de consolidation technique et contredit la dynamique haussière récente — les prédictions valident donc l'idée d'une pause.</w:t>
      </w:r>
    </w:p>
    <w:p>
      <w:pPr>
        <w:spacing w:after="120" w:line="276" w:lineRule="auto"/>
      </w:pPr>
      <w:r>
        <w:t>**Recommandation finale : CONSERVER.** La convergence entre valorisation correcte, fondamentaux solides mais en décélération, signaux techniques mitigés (tendance haussière vs momentum en surachat) et prédictions baissières à court terme plaide pour une position d'attente plutôt qu'un renforcement immédiat. Le titre mérite d'être conservé pour son rendement (6,68 %) et sa qualité défensive, mais un passage à l'ACHAT ne serait justifié qu'en cas de (i) repli vers la MM50 (38 477 FCFA) offrant un point d'entrée plus favorable, (ii) confirmation au T3/S2 2026 de la reprise du PNB et de la maîtrise des coûts, ou (iii) inflexion du coût du risque. **Niveau de confiance : Moyen** (fondamentaux solides mais croissance atone, signaux techniques divergents). **Niveau de risque global : Faible à Moyen** (titre défensif, volatilité modérée, mais sensibilité aux taux et à la qualité du portefeuille de crédits). **Horizon d'investissement optimal : Moyen terme (3-12 mois)**, le temps que le cycle d'investissement 2025-2026 se traduise par une reprise de la croissance bénéficiaire et que le marché intègre pleinement la normalisation des coûts.</w:t>
      </w:r>
    </w:p>
    <w:p>
      <w:pPr>
        <w:spacing w:after="120" w:line="276" w:lineRule="auto"/>
      </w:pPr>
      <w:r>
        <w:t>---</w:t>
      </w:r>
    </w:p>
    <w:p>
      <w:pPr>
        <w:spacing w:after="120" w:line="276" w:lineRule="auto"/>
      </w:pPr>
      <w:r>
        <w:t>*Rapport établi sur la base des données de marché au 100 derniers jours, des états financiers 2025, des rapports trimestriels T1 2026 (30/04/2026) et S1 2026 (27/08/2026), et des analyses fondamentales disponibles. Les prédictions IA couvrent la période du 05/10/2026 au 09/10/2026.*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4,985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+18.25%</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10.30% (Moyenne) — μ=2,253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β=0.9443 (Neutre (suit le marché)) — Cov=0.000064, Var(idx)=0.000068, ρ=0.293,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2,121</w:t>
            </w:r>
          </w:p>
        </w:tc>
        <w:tc>
          <w:tcPr>
            <w:tcW w:type="dxa" w:w="1440"/>
            <w:shd w:fill="FAFAFA" w:val="clear"/>
          </w:tcPr>
          <w:p>
            <w:r>
              <w:rPr>
                <w:b/>
                <w:sz w:val="17"/>
              </w:rPr>
              <w:t>2,318</w:t>
            </w:r>
          </w:p>
        </w:tc>
        <w:tc>
          <w:tcPr>
            <w:tcW w:type="dxa" w:w="1440"/>
            <w:shd w:fill="FAFAFA" w:val="clear"/>
          </w:tcPr>
          <w:p>
            <w:r>
              <w:rPr>
                <w:sz w:val="17"/>
              </w:rPr>
              <w:t>2,514</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2,080</w:t>
            </w:r>
          </w:p>
        </w:tc>
        <w:tc>
          <w:tcPr>
            <w:tcW w:type="dxa" w:w="1440"/>
            <w:shd w:fill="FAFAFA" w:val="clear"/>
          </w:tcPr>
          <w:p>
            <w:r>
              <w:rPr>
                <w:b/>
                <w:sz w:val="17"/>
              </w:rPr>
              <w:t>2,320</w:t>
            </w:r>
          </w:p>
        </w:tc>
        <w:tc>
          <w:tcPr>
            <w:tcW w:type="dxa" w:w="1440"/>
            <w:shd w:fill="FAFAFA" w:val="clear"/>
          </w:tcPr>
          <w:p>
            <w:r>
              <w:rPr>
                <w:sz w:val="17"/>
              </w:rPr>
              <w:t>2,561</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2,044</w:t>
            </w:r>
          </w:p>
        </w:tc>
        <w:tc>
          <w:tcPr>
            <w:tcW w:type="dxa" w:w="1440"/>
            <w:shd w:fill="FAFAFA" w:val="clear"/>
          </w:tcPr>
          <w:p>
            <w:r>
              <w:rPr>
                <w:b/>
                <w:sz w:val="17"/>
              </w:rPr>
              <w:t>2,322</w:t>
            </w:r>
          </w:p>
        </w:tc>
        <w:tc>
          <w:tcPr>
            <w:tcW w:type="dxa" w:w="1440"/>
            <w:shd w:fill="FAFAFA" w:val="clear"/>
          </w:tcPr>
          <w:p>
            <w:r>
              <w:rPr>
                <w:sz w:val="17"/>
              </w:rPr>
              <w:t>2,600</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2,012</w:t>
            </w:r>
          </w:p>
        </w:tc>
        <w:tc>
          <w:tcPr>
            <w:tcW w:type="dxa" w:w="1440"/>
            <w:shd w:fill="FAFAFA" w:val="clear"/>
          </w:tcPr>
          <w:p>
            <w:r>
              <w:rPr>
                <w:b/>
                <w:sz w:val="17"/>
              </w:rPr>
              <w:t>2,322</w:t>
            </w:r>
          </w:p>
        </w:tc>
        <w:tc>
          <w:tcPr>
            <w:tcW w:type="dxa" w:w="1440"/>
            <w:shd w:fill="FAFAFA" w:val="clear"/>
          </w:tcPr>
          <w:p>
            <w:r>
              <w:rPr>
                <w:sz w:val="17"/>
              </w:rPr>
              <w:t>2,633</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1,982</w:t>
            </w:r>
          </w:p>
        </w:tc>
        <w:tc>
          <w:tcPr>
            <w:tcW w:type="dxa" w:w="1440"/>
            <w:shd w:fill="FAFAFA" w:val="clear"/>
          </w:tcPr>
          <w:p>
            <w:r>
              <w:rPr>
                <w:b/>
                <w:sz w:val="17"/>
              </w:rPr>
              <w:t>2,322</w:t>
            </w:r>
          </w:p>
        </w:tc>
        <w:tc>
          <w:tcPr>
            <w:tcW w:type="dxa" w:w="1440"/>
            <w:shd w:fill="FAFAFA" w:val="clear"/>
          </w:tcPr>
          <w:p>
            <w:r>
              <w:rPr>
                <w:sz w:val="17"/>
              </w:rPr>
              <w:t>2,662</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1,953</w:t>
            </w:r>
          </w:p>
        </w:tc>
        <w:tc>
          <w:tcPr>
            <w:tcW w:type="dxa" w:w="1440"/>
            <w:shd w:fill="FAFAFA" w:val="clear"/>
          </w:tcPr>
          <w:p>
            <w:r>
              <w:rPr>
                <w:b/>
                <w:sz w:val="17"/>
              </w:rPr>
              <w:t>2,320</w:t>
            </w:r>
          </w:p>
        </w:tc>
        <w:tc>
          <w:tcPr>
            <w:tcW w:type="dxa" w:w="1440"/>
            <w:shd w:fill="FAFAFA" w:val="clear"/>
          </w:tcPr>
          <w:p>
            <w:r>
              <w:rPr>
                <w:sz w:val="17"/>
              </w:rPr>
              <w:t>2,688</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1,926</w:t>
            </w:r>
          </w:p>
        </w:tc>
        <w:tc>
          <w:tcPr>
            <w:tcW w:type="dxa" w:w="1440"/>
            <w:shd w:fill="FAFAFA" w:val="clear"/>
          </w:tcPr>
          <w:p>
            <w:r>
              <w:rPr>
                <w:b/>
                <w:sz w:val="17"/>
              </w:rPr>
              <w:t>2,319</w:t>
            </w:r>
          </w:p>
        </w:tc>
        <w:tc>
          <w:tcPr>
            <w:tcW w:type="dxa" w:w="1440"/>
            <w:shd w:fill="FAFAFA" w:val="clear"/>
          </w:tcPr>
          <w:p>
            <w:r>
              <w:rPr>
                <w:sz w:val="17"/>
              </w:rPr>
              <w:t>2,711</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1,901</w:t>
            </w:r>
          </w:p>
        </w:tc>
        <w:tc>
          <w:tcPr>
            <w:tcW w:type="dxa" w:w="1440"/>
            <w:shd w:fill="FAFAFA" w:val="clear"/>
          </w:tcPr>
          <w:p>
            <w:r>
              <w:rPr>
                <w:b/>
                <w:sz w:val="17"/>
              </w:rPr>
              <w:t>2,317</w:t>
            </w:r>
          </w:p>
        </w:tc>
        <w:tc>
          <w:tcPr>
            <w:tcW w:type="dxa" w:w="1440"/>
            <w:shd w:fill="FAFAFA" w:val="clear"/>
          </w:tcPr>
          <w:p>
            <w:r>
              <w:rPr>
                <w:sz w:val="17"/>
              </w:rPr>
              <w:t>2,733</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1,877</w:t>
            </w:r>
          </w:p>
        </w:tc>
        <w:tc>
          <w:tcPr>
            <w:tcW w:type="dxa" w:w="1440"/>
            <w:shd w:fill="FAFAFA" w:val="clear"/>
          </w:tcPr>
          <w:p>
            <w:r>
              <w:rPr>
                <w:b/>
                <w:sz w:val="17"/>
              </w:rPr>
              <w:t>2,315</w:t>
            </w:r>
          </w:p>
        </w:tc>
        <w:tc>
          <w:tcPr>
            <w:tcW w:type="dxa" w:w="1440"/>
            <w:shd w:fill="FAFAFA" w:val="clear"/>
          </w:tcPr>
          <w:p>
            <w:r>
              <w:rPr>
                <w:sz w:val="17"/>
              </w:rPr>
              <w:t>2,753</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144,90 milliards FCFA, SHEC se positionne parmi les valeurs moyennes à grandes de la cote BRVM, ce qui traduit une certaine maturité et une liquidité relative sur le marché. Le BPA de 96 FCFA/action signifie que chaque titre génère près d'un centième de sa valeur en bénéfice net, un niveau cohérent avec les marges très faibles du secteur pétrolier aval. Le PER de 24,0x est nettement supérieur à la moyenne BRVM (~8-12x), signalant que les investisseurs paient une prime élevée pour les bénéfices actuels, probablement en anticipation d'une croissance ou par effet de rareté du titre. Le P/B de 5,34x (bien au-dessus du seuil de 4x) indique que le marché valorise la société à plus de cinq fois sa valeur comptable, une prime exigeante qui suppose une forte confiance dans la capacité bénéficiaire future. Enfin, l'EV/EBITDA de 12,9x, dans la fourchette haute (10-15x), confirme que la valeur totale de l'entreprise (dette incluse) est chèrement valorisée par rapport à sa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affiche une performance remarquable de +18,25%, malgré un repli de -2,54% lors de la dernière séance, qui marque une prise de bénéfices après un rallye soutenu. Le cours actuel de 2 300 FCFA se situe dans la partie médiane du range de trading, le plus haut ayant atteint 2 980 FCFA et le plus bas 1 900 FCFA, soit une amplitude de 1 080 FCFA (57% du plus bas), ce qui témoigne d'une forte volatilité intra-période. La tendance générale est donc haussière, portée par un volume moyen quotidien de 4 985 titres, relativement modeste mais suffisant pour assurer une liquidité correcte. Les statistiques descriptives révèlent une moyenne (2 253 FCFA) légèrement supérieure à la médiane et au mode (2 200 FCFA), confirmant une asymétrie positive (skewness de 0,974) avec davantage de journées sous la moyenne mais des pics haussiers marqués. L'écart-type de 233 FCFA et le coefficient de variation de 10,3% indiquent une dispersion modérée autour de la moyenne, tandis que le kurtosis de 1,094 (leptokurtique) signale des queues épaisses, donc un risque de mouvements extrêmes plus fréquents qu'une distribution normale. Enfin, la volatilité annualisée de 42,3% classe le titre dans la catégorie des valeurs à volatilité élevée (&gt;30%), ce qui implique un risque significatif à court terme mais aussi des opportunités de trading.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(2 575,75 FCFA) et la MM50 (2 419,80 FCFA) sont toutes deux supérieures au cours actuel (2 300 FCFA), ce qui place le titre en dessous de ses moyennes de court et moyen terme. Cependant, la MM20 reste au-dessus de la MM50, signalant que la tendance de fond demeure haussière malgré la correction récente. La décision technique affichée est "Achat", probablement en anticipation d'un rebond vers les moyennes, mais la position actuelle du cours sous ces niveaux incite à la prudence.</w:t>
      </w:r>
    </w:p>
    <w:p>
      <w:pPr>
        <w:spacing w:after="120" w:line="276" w:lineRule="auto"/>
      </w:pPr>
      <w:r>
        <w:t>**Bandes de Bollinger** : Le cours (2 300 FCFA) se situe entre la borne inférieure (2 142,21 FCFA) et la borne supérieure (3 009,29 FCFA), plus proche de la borne basse, ce qui indique une pression vendeuse récente mais sans rupture baissière. La largeur des bandes (867 FCFA) reflète une volatilité élevée, cohérente avec la volatilité annualisée de 42,3%. La décision "Neutre" suggère que le titre n'est ni en surachat ni en survente selon ce critère, et qu'une consolidation est possible avant un nouveau mouvement directionnel.</w:t>
      </w:r>
    </w:p>
    <w:p>
      <w:pPr>
        <w:spacing w:after="120" w:line="276" w:lineRule="auto"/>
      </w:pPr>
      <w:r>
        <w:t>**MACD** : La valeur du MACD (-18,655) est nettement inférieure à son signal (39,091), ce qui génère une divergence baissière et un momentum négatif. La décision "Vente" confirme que la dynamique de court terme est défavorable, le MACD ayant probablement franchi son signal à la baisse récemment. Cela renforce l'idée que la correction actuelle pourrait se poursuivre avant un retournement.</w:t>
      </w:r>
    </w:p>
    <w:p>
      <w:pPr>
        <w:spacing w:after="120" w:line="276" w:lineRule="auto"/>
      </w:pPr>
      <w:r>
        <w:t>**RSI** : À 41,883, le RSI se situe dans la zone neutre (30-70), sans signal de surachat ni de survente. La décision "Neutre" indique que le titre n'est pas encore dans une zone d'achat agressive, mais qu'il n'est pas non plus en territoire de survente extrême. Un RSI sous 50 traduit toutefois une légère faiblesse relative.</w:t>
      </w:r>
    </w:p>
    <w:p>
      <w:pPr>
        <w:spacing w:after="120" w:line="276" w:lineRule="auto"/>
      </w:pPr>
      <w:r>
        <w:t>**Stochastique** : Le %K et le %D sont tous deux à 0,0, ce qui est un signal extrême de survente. La décision "Achat" est justifiée par le fait que le stochastic oscille au plus bas, suggérant qu'un rebond technique est probable à court terme. Cependant, un %K à 0 peut aussi indiquer une tendance baissière très forte, et il convient d'attendre un croisement haussier du %K au-dessus du %D pour confirmer.</w:t>
      </w:r>
    </w:p>
    <w:p>
      <w:pPr>
        <w:spacing w:after="120" w:line="276" w:lineRule="auto"/>
      </w:pPr>
      <w:r>
        <w:t>**Conclusion technique** : Les indicateurs sont divergents : les moyennes mobiles et le stochastique plaident pour un achat (survente et tendance de fond haussière), tandis que le MACD et la position du cours sous les moyennes mobiles incitent à la prudence. Le RSI neutre et les bandes de Bollinger neutres confirment l'absence de signal directionnel fort. Dans l'ensemble, le titre se trouve dans une phase de correction au sein d'une tendance haussière, et un rebond technique est possible, mais la confirmation d'un retournement haussier nécessitera un franchissement des moyennes mobiles et un croisement haussier du MACD.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604,978 milliards FCFA, en très légère hausse de +0,71% par rapport à 2024 (600,708 milliards FCFA), selon les états financiers provisoires au 31/12/2025. Le résultat net s'établit à 6,028 milliards FCFA, en progression de +12,6% sur un an, porté par une amélioration de la marge nette (1,00% contre 0,89% en 2024) et une réduction des charges financières (-12% à -17,7% selon les rapports). Le ROE (rentabilité des fonds propres) atteint 22,20%, un niveau excellent (&gt;15%), tandis que le ROA (rentabilité des actifs) est de 3,11%, reflétant la faible intensité capitalistique du modèle de distribution. La rotation des actifs est très élevée (312,55%), typique d'une activité de négoce à forte rotation. Cependant, la structure financière est préoccupante : l'autonomie financière n'est que de 14,03% (bien en dessous du seuil sain de 30%), la trésorerie nette est fortement négative à -65,264 milliards FCFA, et le BFR s'élève à 15,315 milliards FCFA. Les délais clients (23,27 jours) et fournisseurs (35,47 jours) sont globalement maîtrisés, mais la durée de stockage très courte (7,47 jours) confirme la nature de négoce. Le ratio de liquidité générale (118,17%) est satisfaisant, mais la liquidité immédiate (5,97%) est faible, exposant la société à un risque de tension de trésorerie. Sur la base du rapport du 1er semestre 2026 (publié en 2026), le chiffre d'affaires recule de -1% à 305,038 milliards FCFA, avec une baisse des volumes de -3% (aviation, bitume, entreprises), mais le résultat d'exploitation progresse de +17% à 6,133 milliards FCFA grâce au butane. Le résultat net du S1 2026 s'élève à 3,016 milliards FCFA, avec une marge nette de 0,99%, quasi stable. On estime donc que l'exercice 2026 devrait être marqué par une consolidation du chiffre d'affaires (autour de 600-610 milliards FCFA) et une rentabilité nette maintenue autour de 1%, avec un résultat net proche de 6 milliards FCFA. La politique de dividende est très généreuse : un dividende brut de 6,09 milliards FCFA a été proposé pour 2025 (soit environ 1 933 FCFA/action), représentant un taux de distribution de 101% du résultat net, ce qui est soutenable grâce aux reports à nouveau mais fragilise la structure financière. Les risques identifiés dans les rapports (dates : 2026-05-05, 2026-06-04, 2026-07-22) incluent la volatilité des volumes sur l'aviation et le bitume, la dépendance aux concours bancaires (trésorerie passive de 70,3 milliards FCFA en 2025, +27%), et la hausse des impôts (+60% au S1 2026). En synthèse, la société est solide opérationnellement (ROE élevé, marges en amélioration) mais financièrement fragile (endettement court terme élevé, trésorerie nette négative), ce qui justifie une recommandation fondamentale de **CONSERVER** avec une surveillance accrue de la liquidité et de la politique de distribution.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exigeante : le PER de 24,0x et le P/B de 5,34x sont nettement supérieurs aux moyennes du marché, ce qui intègre déjà une prime de croissance et de qualité qui pourrait être remise en cause en cas de déception. Le comportement du cours sur 100 jours est haussier (+18,25%) mais la correction récente (-2,54% J-1) et la volatilité élevée (42,3%) avec un kurtosis leptokurtique (1,094) et un skewness positif (0,974) indiquent un risque de pics baissiers et une asymétrie défavorable à court terme. Les signaux techniques sont divergents : les moyennes mobiles et le stochastique plaident pour un rebond, mais le MACD baissier et la position du cours sous les MM20/MM50 incitent à la prudence, avec une décision globale "Neutre" à "Achat" selon les indicateurs. Les fondamentaux sont mitigés : la rentabilité est en amélioration (ROE de 22,20%, résultat net +12,6% en 2025) et le dividende est attractif (rendement estimé à environ 84% sur la base du cours actuel, ce qui est exceptionnellement élevé), mais la structure financière est fragile (trésorerie nette de -65,264 milliards FCFA, autonomie financière de 14,03%, endettement court terme élevé). Les prédictions IA pour les 10 prochains jours (2 318 → 2 322 FCFA) suggèrent une stabilisation autour de 2 320 FCFA, soit une légère hausse de +0,87% par rapport au cours actuel, ce qui confirme une tendance à la consolidation sans direction forte. Sur la base de cette synthèse, la recommandation finale est **CONSERVER**, avec un niveau de confiance **Moyen** et un risque global **Élevé**. En effet, la convergence entre une valorisation tendue, des signaux techniques mitigés et une structure financière fragile ne justifie pas un achat agressif, mais le dividende exceptionnel et la résilience opérationnelle incitent à ne pas vendre. L'horizon d'investissement optimal est le **moyen terme (3-12 mois)**, en attendant la publication des comptes définitifs 2025 et les résultats du S2 2026, qui permettront de confirmer la capacité de la société à réduire son endettement court terme et à maintenir sa rentabilité. Un renforcement pourrait être envisagé si le cours revient vers 2 100-2 200 FCFA (borne inférieure des Bollinger) et si le MACD se retourne à la hausse, mais une dégradation de la trésorerie nette ou une baisse du dividende serait un signal de vente.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10,987 titres</w:t>
            </w:r>
          </w:p>
        </w:tc>
        <w:tc>
          <w:tcPr>
            <w:tcW w:type="dxa" w:w="2268"/>
            <w:shd w:fill="FFF2CC" w:val="clear"/>
          </w:tcPr>
          <w:p>
            <w:r>
              <w:rPr>
                <w:b/>
                <w:color w:val="503200"/>
                <w:sz w:val="16"/>
              </w:rPr>
              <w:t xml:space="preserve">Cours actuel : </w:t>
            </w:r>
            <w:r>
              <w:rPr>
                <w:color w:val="000000"/>
                <w:sz w:val="17"/>
              </w:rPr>
              <w:t>9,160 FCFA</w:t>
            </w:r>
          </w:p>
          <w:p>
            <w:r>
              <w:rPr>
                <w:b/>
                <w:color w:val="503200"/>
                <w:sz w:val="16"/>
              </w:rPr>
              <w:t xml:space="preserve">Var. 100 jours : </w:t>
            </w:r>
            <w:r>
              <w:rPr>
                <w:b/>
                <w:color w:val="007800"/>
                <w:sz w:val="17"/>
              </w:rPr>
              <w:t>+29.11%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7,095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μ=8,816 FCFA, σ=525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β=0.7908 (Défensif) — Cov=0.000054, Var(idx)=0.000068, ρ=0.335,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10,987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8,601</w:t>
            </w:r>
          </w:p>
        </w:tc>
        <w:tc>
          <w:tcPr>
            <w:tcW w:type="dxa" w:w="1440"/>
            <w:shd w:fill="FAFAFA" w:val="clear"/>
          </w:tcPr>
          <w:p>
            <w:r>
              <w:rPr>
                <w:b/>
                <w:sz w:val="17"/>
              </w:rPr>
              <w:t>8,986</w:t>
            </w:r>
          </w:p>
        </w:tc>
        <w:tc>
          <w:tcPr>
            <w:tcW w:type="dxa" w:w="1440"/>
            <w:shd w:fill="FAFAFA" w:val="clear"/>
          </w:tcPr>
          <w:p>
            <w:r>
              <w:rPr>
                <w:sz w:val="17"/>
              </w:rPr>
              <w:t>9,371</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8,441</w:t>
            </w:r>
          </w:p>
        </w:tc>
        <w:tc>
          <w:tcPr>
            <w:tcW w:type="dxa" w:w="1440"/>
            <w:shd w:fill="FFDCE0" w:val="clear"/>
          </w:tcPr>
          <w:p>
            <w:r>
              <w:rPr>
                <w:b/>
                <w:sz w:val="17"/>
              </w:rPr>
              <w:t>8,909</w:t>
            </w:r>
          </w:p>
        </w:tc>
        <w:tc>
          <w:tcPr>
            <w:tcW w:type="dxa" w:w="1440"/>
            <w:shd w:fill="FFDCE0" w:val="clear"/>
          </w:tcPr>
          <w:p>
            <w:r>
              <w:rPr>
                <w:sz w:val="17"/>
              </w:rPr>
              <w:t>9,376</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8,305</w:t>
            </w:r>
          </w:p>
        </w:tc>
        <w:tc>
          <w:tcPr>
            <w:tcW w:type="dxa" w:w="1440"/>
            <w:shd w:fill="FFDCE0" w:val="clear"/>
          </w:tcPr>
          <w:p>
            <w:r>
              <w:rPr>
                <w:b/>
                <w:sz w:val="17"/>
              </w:rPr>
              <w:t>8,840</w:t>
            </w:r>
          </w:p>
        </w:tc>
        <w:tc>
          <w:tcPr>
            <w:tcW w:type="dxa" w:w="1440"/>
            <w:shd w:fill="FFDCE0" w:val="clear"/>
          </w:tcPr>
          <w:p>
            <w:r>
              <w:rPr>
                <w:sz w:val="17"/>
              </w:rPr>
              <w:t>9,375</w:t>
            </w:r>
          </w:p>
        </w:tc>
        <w:tc>
          <w:tcPr>
            <w:tcW w:type="dxa" w:w="1440"/>
            <w:shd w:fill="FFDCE0" w:val="clear"/>
          </w:tcPr>
          <w:p>
            <w:r>
              <w:rPr>
                <w:b/>
                <w:color w:val="C00000"/>
                <w:sz w:val="17"/>
              </w:rPr>
              <w:t>-3.5%</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8,185</w:t>
            </w:r>
          </w:p>
        </w:tc>
        <w:tc>
          <w:tcPr>
            <w:tcW w:type="dxa" w:w="1440"/>
            <w:shd w:fill="FFDCE0" w:val="clear"/>
          </w:tcPr>
          <w:p>
            <w:r>
              <w:rPr>
                <w:b/>
                <w:sz w:val="17"/>
              </w:rPr>
              <w:t>8,779</w:t>
            </w:r>
          </w:p>
        </w:tc>
        <w:tc>
          <w:tcPr>
            <w:tcW w:type="dxa" w:w="1440"/>
            <w:shd w:fill="FFDCE0" w:val="clear"/>
          </w:tcPr>
          <w:p>
            <w:r>
              <w:rPr>
                <w:sz w:val="17"/>
              </w:rPr>
              <w:t>9,374</w:t>
            </w:r>
          </w:p>
        </w:tc>
        <w:tc>
          <w:tcPr>
            <w:tcW w:type="dxa" w:w="1440"/>
            <w:shd w:fill="FFDCE0" w:val="clear"/>
          </w:tcPr>
          <w:p>
            <w:r>
              <w:rPr>
                <w:b/>
                <w:color w:val="C00000"/>
                <w:sz w:val="17"/>
              </w:rPr>
              <w:t>-4.2%</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8,077</w:t>
            </w:r>
          </w:p>
        </w:tc>
        <w:tc>
          <w:tcPr>
            <w:tcW w:type="dxa" w:w="1440"/>
            <w:shd w:fill="FFDCE0" w:val="clear"/>
          </w:tcPr>
          <w:p>
            <w:r>
              <w:rPr>
                <w:b/>
                <w:sz w:val="17"/>
              </w:rPr>
              <w:t>8,724</w:t>
            </w:r>
          </w:p>
        </w:tc>
        <w:tc>
          <w:tcPr>
            <w:tcW w:type="dxa" w:w="1440"/>
            <w:shd w:fill="FFDCE0" w:val="clear"/>
          </w:tcPr>
          <w:p>
            <w:r>
              <w:rPr>
                <w:sz w:val="17"/>
              </w:rPr>
              <w:t>9,371</w:t>
            </w:r>
          </w:p>
        </w:tc>
        <w:tc>
          <w:tcPr>
            <w:tcW w:type="dxa" w:w="1440"/>
            <w:shd w:fill="FFDCE0" w:val="clear"/>
          </w:tcPr>
          <w:p>
            <w:r>
              <w:rPr>
                <w:b/>
                <w:color w:val="C00000"/>
                <w:sz w:val="17"/>
              </w:rPr>
              <w:t>-4.8%</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7,979</w:t>
            </w:r>
          </w:p>
        </w:tc>
        <w:tc>
          <w:tcPr>
            <w:tcW w:type="dxa" w:w="1440"/>
            <w:shd w:fill="FFDCE0" w:val="clear"/>
          </w:tcPr>
          <w:p>
            <w:r>
              <w:rPr>
                <w:b/>
                <w:sz w:val="17"/>
              </w:rPr>
              <w:t>8,674</w:t>
            </w:r>
          </w:p>
        </w:tc>
        <w:tc>
          <w:tcPr>
            <w:tcW w:type="dxa" w:w="1440"/>
            <w:shd w:fill="FFDCE0" w:val="clear"/>
          </w:tcPr>
          <w:p>
            <w:r>
              <w:rPr>
                <w:sz w:val="17"/>
              </w:rPr>
              <w:t>9,369</w:t>
            </w:r>
          </w:p>
        </w:tc>
        <w:tc>
          <w:tcPr>
            <w:tcW w:type="dxa" w:w="1440"/>
            <w:shd w:fill="FFDCE0" w:val="clear"/>
          </w:tcPr>
          <w:p>
            <w:r>
              <w:rPr>
                <w:b/>
                <w:color w:val="C00000"/>
                <w:sz w:val="17"/>
              </w:rPr>
              <w:t>-5.3%</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7,888</w:t>
            </w:r>
          </w:p>
        </w:tc>
        <w:tc>
          <w:tcPr>
            <w:tcW w:type="dxa" w:w="1440"/>
            <w:shd w:fill="FFDCE0" w:val="clear"/>
          </w:tcPr>
          <w:p>
            <w:r>
              <w:rPr>
                <w:b/>
                <w:sz w:val="17"/>
              </w:rPr>
              <w:t>8,627</w:t>
            </w:r>
          </w:p>
        </w:tc>
        <w:tc>
          <w:tcPr>
            <w:tcW w:type="dxa" w:w="1440"/>
            <w:shd w:fill="FFDCE0" w:val="clear"/>
          </w:tcPr>
          <w:p>
            <w:r>
              <w:rPr>
                <w:sz w:val="17"/>
              </w:rPr>
              <w:t>9,366</w:t>
            </w:r>
          </w:p>
        </w:tc>
        <w:tc>
          <w:tcPr>
            <w:tcW w:type="dxa" w:w="1440"/>
            <w:shd w:fill="FFDCE0" w:val="clear"/>
          </w:tcPr>
          <w:p>
            <w:r>
              <w:rPr>
                <w:b/>
                <w:color w:val="C00000"/>
                <w:sz w:val="17"/>
              </w:rPr>
              <w:t>-5.8%</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7,804</w:t>
            </w:r>
          </w:p>
        </w:tc>
        <w:tc>
          <w:tcPr>
            <w:tcW w:type="dxa" w:w="1440"/>
            <w:shd w:fill="FFDCE0" w:val="clear"/>
          </w:tcPr>
          <w:p>
            <w:r>
              <w:rPr>
                <w:b/>
                <w:sz w:val="17"/>
              </w:rPr>
              <w:t>8,584</w:t>
            </w:r>
          </w:p>
        </w:tc>
        <w:tc>
          <w:tcPr>
            <w:tcW w:type="dxa" w:w="1440"/>
            <w:shd w:fill="FFDCE0" w:val="clear"/>
          </w:tcPr>
          <w:p>
            <w:r>
              <w:rPr>
                <w:sz w:val="17"/>
              </w:rPr>
              <w:t>9,364</w:t>
            </w:r>
          </w:p>
        </w:tc>
        <w:tc>
          <w:tcPr>
            <w:tcW w:type="dxa" w:w="1440"/>
            <w:shd w:fill="FFDCE0" w:val="clear"/>
          </w:tcPr>
          <w:p>
            <w:r>
              <w:rPr>
                <w:b/>
                <w:color w:val="C00000"/>
                <w:sz w:val="17"/>
              </w:rPr>
              <w:t>-6.3%</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7,726</w:t>
            </w:r>
          </w:p>
        </w:tc>
        <w:tc>
          <w:tcPr>
            <w:tcW w:type="dxa" w:w="1440"/>
            <w:shd w:fill="FFDCE0" w:val="clear"/>
          </w:tcPr>
          <w:p>
            <w:r>
              <w:rPr>
                <w:b/>
                <w:sz w:val="17"/>
              </w:rPr>
              <w:t>8,544</w:t>
            </w:r>
          </w:p>
        </w:tc>
        <w:tc>
          <w:tcPr>
            <w:tcW w:type="dxa" w:w="1440"/>
            <w:shd w:fill="FFDCE0" w:val="clear"/>
          </w:tcPr>
          <w:p>
            <w:r>
              <w:rPr>
                <w:sz w:val="17"/>
              </w:rPr>
              <w:t>9,362</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916,00 Mds FCFA, la SIBC s'impose comme l'une des toutes premières capitalisations de la BRVM, ce qui en fait une valeur incontournable de l'indice. Le BPA de 556 FCFA/action signifie que chaque titre génère près de 556 FCFA de bénéfice net, un niveau remarquable pour le secteur. Le PER de 16,5x se situe nettement au-dessus de la moyenne du marché BRVM (8-12x), ce qui indique que les investisseurs paient une prime significative pour la qualité et la régularité des résultats de la banque — une valorisation modérée mais non bon marché. Le P/B de 4,47x traduit une forte prime par rapport à la valeur comptable (204,765 Mds FCFA de capitaux propres), reflétant la confiance du marché dans la capacité bénéficiaire future de la banque. Enfin, l'EV/EBITDA de 15,3x, très exigeant, confirme que le marché intègre déjà une grande partie des bonnes performances opérationnelles dans le cours actuel.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 enregistré une progression remarquable de **+29,11%**, avec un cours actuel de 9 160 FCFA et une variation nulle sur la dernière séance (J-1 : +0,00%), signe d'une stabilisation après la forte hausse. Le range de trading s'étend de 7 095 FCFA (plus bas) à 9 500 FCFA (plus haut), soit une amplitude de 34%, témoignant d'une tendance nettement haussière portée par la dynamique fondamentale solide de la banque. Les statistiques descriptives révèlent une moyenne de 8 816 FCFA légèrement inférieure à la médiane de 8 962 FCFA, avec un mode à 9 000 FCFA, ce qui indique une distribution asymétrique où le cours a passé plus de temps dans les niveaux élevés en fin de période. L'écart-type de 528 FCFA (CV = 6,0%) traduit une dispersion modérée du cours, tandis que le kurtosis de 2,560 (leptokurtique) signale des queues épaisses et un risque de pics de volatilité brutaux. Le skewness de -1,791 (asymétrie négative) confirme que les journées de baisse ont été plus rares mais plus amples que les hausses, ce qui invite à la prudence sur les points d'entrée. La volatilité annualisée de 30,8% positionne le titre dans la catégorie **élevée** (&gt;30%), ce qui est cohérent avec un marché frontière comme la BRVM et justifie une approche d'investissement progressive.</w:t>
      </w:r>
    </w:p>
    <w:p>
      <w:pPr>
        <w:spacing w:after="120" w:line="276" w:lineRule="auto"/>
      </w:pPr>
      <w:r>
        <w:t>---</w:t>
      </w:r>
    </w:p>
    <w:p>
      <w:pPr>
        <w:spacing w:after="120" w:line="276" w:lineRule="auto"/>
      </w:pPr>
      <w:r>
        <w:t>## PARTIE 2 : ANALYSE TECHNIQUE DÉTAILLÉE</w:t>
      </w:r>
    </w:p>
    <w:p>
      <w:pPr>
        <w:spacing w:after="120" w:line="276" w:lineRule="auto"/>
      </w:pPr>
      <w:r>
        <w:t>**Moyennes Mobiles :** La MM20 (9 127,25 FCFA) et la MM50 (9 117,50 FCFA) sont toutes deux légèrement supérieures au cours actuel (9 160 FCFA), avec un croisement haussier (MM20 &gt; MM50) qui confirme la dynamique positive de fond. Le cours évoluant à proximité immédiate de ces supports dynamiques, la décision technique est à l'**Achat**, tant que le titre se maintient au-dessus de ces niveaux.</w:t>
      </w:r>
    </w:p>
    <w:p>
      <w:pPr>
        <w:spacing w:after="120" w:line="276" w:lineRule="auto"/>
      </w:pPr>
      <w:r>
        <w:t>**Bandes de Bollinger :** Le cours (9 160 FCFA) se situe dans la partie médiane-haute de la bande, entre la borne inférieure (8 773,12 FCFA) et la borne supérieure (9 481,38 FCFA), sans contact avec les extrêmes. Cette position centrale, combinée à un resserrement relatif des bandes, suggère une phase de consolidation avant une éventuelle reprise directionnelle, justifiant la décision **Neutre**.</w:t>
      </w:r>
    </w:p>
    <w:p>
      <w:pPr>
        <w:spacing w:after="120" w:line="276" w:lineRule="auto"/>
      </w:pPr>
      <w:r>
        <w:t>**MACD :** La ligne MACD (-19,248) est supérieure à sa ligne de signal (-21,486), avec un histogramme positif qui indique un momentum haussier en formation malgré des valeurs négatives. Ce croisement haussier du MACD au-dessus de son signal confirme la décision d'**Achat**, bien que la faiblesse des valeurs absolues invite à attendre une confirmation par le franchissement de la ligne zéro.</w:t>
      </w:r>
    </w:p>
    <w:p>
      <w:pPr>
        <w:spacing w:after="120" w:line="276" w:lineRule="auto"/>
      </w:pPr>
      <w:r>
        <w:t>**RSI :** À 45,652, le RSI se situe dans la zone neutre (30-70), sans signal de surachat ni de survente. Cette position médiane indique que le titre dispose d'un potentiel de hausse sans être contraint par une pression vendeuse, justifiant la décision **Neutre** avec un biais haussier modéré.</w:t>
      </w:r>
    </w:p>
    <w:p>
      <w:pPr>
        <w:spacing w:after="120" w:line="276" w:lineRule="auto"/>
      </w:pPr>
      <w:r>
        <w:t>**Stochastique :** Avec un %K à 82,278 et un %D à 81,857, l'indicateur stochastique se situe en zone de surachat (&gt;80), signalant une possible correction à court terme. Le croisement des deux lignes en zone haute confirme la décision de **Vente** à court terme, bien que ce signal doive être pondéré par la tendance haussière de fond.</w:t>
      </w:r>
    </w:p>
    <w:p>
      <w:pPr>
        <w:spacing w:after="120" w:line="276" w:lineRule="auto"/>
      </w:pPr>
      <w:r>
        <w:t>**Conclusion technique :** Les indicateurs présentent un tableau mitigé mais globalement constructif : les moyennes mobiles et le MACD confirment une dynamique haussière de fond, tandis que le RSI neutre et les Bandes de Bollinger offrent un potentiel de progression. Cependant, le stochastique en zone de surachat suggère une consolidation imminente à court terme. La convergence des signaux pointe vers un **biais haussier à moyen terme avec une prudence à court terme**, le titre devant digérer sa récente progression avant de reprendre son élan.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SIBC affiche un Produit Net Bancaire (équivalent du chiffre d'affaires pour une banque) de **108,663 Mds FCFA**, un résultat net de **55,623 Mds FCFA**, un ROE exceptionnel de **27,16%** (largement supérieur au seuil de 15% considéré comme excellent) et un ROA de **2,96%**. Le coefficient d'exploitation de **38,59%** est excellent (&lt; 50%), témoignant d'une efficacité opérationnelle remarquable. Le ratio dépôts/crédits s'établit à 1 503,441 Mds FCFA de dépôts clientèle pour 1 226,720 Mds FCFA de créances clientèle, soit un taux de transformation de 81,6%, indiquant une gestion équilibrée du bilan. La marge nette de **51,19%** et la marge opérationnelle de **58,06%** confirment la robustesse du modèle. Le ratio de solvabilité générale de 112,21% et l'autonomie financière de 10,88% (faible mais typique du modèle bancaire) sont conformes aux exigences réglementaires.</w:t>
      </w:r>
    </w:p>
    <w:p>
      <w:pPr>
        <w:spacing w:after="120" w:line="276" w:lineRule="auto"/>
      </w:pPr>
      <w:r>
        <w:t>**Estimations basées sur les rapports trimestriels :** Le rapport du **T1 2026 (publié le 7 mai 2026)** indique un PNB de 27,7 Mds FCFA (+4% en glissement annuel) et un résultat net de 15,2 Mds FCFA (+11%), avec une marge nette exceptionnelle de 54,9%. Le rapport du **S1 2026 (publié le 29 septembre 2026)** confirme cette dynamique avec un PNB de 56,592 Mds FCFA (+4,2%) et un résultat net de 32,140 Mds FCFA (+9,3%), accompagné d'une forte amélioration du coût du risque (-75,3% à 287 M FCFA). Sur la base de ces tendances, on estime que l'exercice 2026 devrait afficher un PNB annuel d'environ **113-115 Mds FCFA** (+4-5%) et un résultat net de l'ordre de **58-60 Mds FCFA** (+5-8%), confirmant la trajectoire de croissance régulière de la banque. Le rapport du **T3 2025 (30 septembre 2025)** montrait déjà un PNB cumulé de 81,4 Mds FCFA (+8%) et un résultat net de 43,0 Mds FCFA (+11%), validant la solidité du modèle sur l'ensemble de l'exercice 2025.</w:t>
      </w:r>
    </w:p>
    <w:p>
      <w:pPr>
        <w:spacing w:after="120" w:line="276" w:lineRule="auto"/>
      </w:pPr>
      <w:r>
        <w:t>**Recommandation fondamentale :** La SIBC présente des fondamentaux de très haute qualité : rentabilité exceptionnelle (ROE &gt;27%), efficacité opérationnelle remarquable (coefficient &lt;40%), croissance régulière du PNB et du résultat net, et solvabilité confortable. Les principaux risques identifiés dans les rapports incluent la concurrence bancaire accrue dans la zone UEMOA, le renforcement des standards réglementaires (Bâle III) et la dépendance à la conjoncture ivoirienne. La valorisation exigeante (PER 16,5x, P/B 4,47x) constitue le principal frein à court terme, mais la qualité des fondamentaux justifie une prime durable. **Recommandation fondamentale : CONSERVER avec biais positif**, la banque offrant une combinaison rare de croissance et de rentabilité sur le marché BRVM.</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dresse un tableau globalement favorable mais nuancé. **Sur le plan de la valorisation (Partie 0)** , les ratios PER (16,5x), P/B (4,47x) et EV/EBITDA (15,3x) indiquent une **surévaluation relative** par rapport à la moyenne du marché BRVM, le marché ayant déjà intégré les excellentes performances de la banque dans le cours. **Sur le plan du comportement du cours (Partie 1)** , la tendance haussière de +29,11% sur 100 jours est impressionnante, mais le kurtosis élevé (2,560) et le skewness négatif (-1,791) signalent un risque de correction brutale, tandis que la volatilité de 30,8% positionne le titre dans la catégorie élevée. **Sur le plan technique (Partie 2)** , les signaux sont mitigés : les moyennes mobiles et le MACD sont haussiers, mais le stochastique en zone de surachat et le RSI neutre suggèrent une consolidation à court terme. **Sur le plan fondamental (Partie 3)** , la solidité est incontestable : ROE de 27,16%, coefficient d'exploitation de 38,59%, croissance régulière du PNB et du résultat net, avec des estimations 2026 favorables (PNB ~113-115 Mds FCFA, RN ~58-60 Mds FCFA). **Les prédictions IA (J+1 à J+10)** anticipent une trajectoire baissière à court terme (de 8 986 FCFA à 8 724 FCFA), ce qui **contredit** les signaux techniques haussiers et confirme le risque de consolidation identifié par le stochastique.</w:t>
      </w:r>
    </w:p>
    <w:p>
      <w:pPr>
        <w:spacing w:after="120" w:line="276" w:lineRule="auto"/>
      </w:pPr>
      <w:r>
        <w:t>**Recommandation finale : CONSERVER** — La convergence entre une valorisation exigeante, un stochastique en surachat et des prédictions IA baissières à court terme suggère d'éviter un achat immédiat, tandis que la solidité fondamentale et la tendance haussière de fond justifient de conserver les positions existantes. **Niveau de confiance : Moyen** (les signaux contradictoires entre technique et prédictions IA limitent la conviction). **Niveau de risque global : Moyen à Élevé** (volatilité de 30,8%, kurtosis leptokurtique, valorisation tendue). **Horizon d'investissement optimal : Moyen terme (3-12 mois)** , en attendant une correction du cours vers les 8 700-8 900 FCFA pour un point d'entrée plus favorable, ou la publication des résultats annuels 2026 pour confirmer la tendance bénéficiaire.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β=-1.1072 (Contre-cyclique) — Cov=-0.000040, Var(idx)=0.000036, ρ=-0.179, n=88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ACTION SICC (SICOR CI)**</w:t>
        <w:br/>
        <w:t>**Bourse Régionale des Valeurs Mobilières (BRVM) — Secteur Agro-industriel**</w:t>
        <w:br/>
        <w:t>**Date d'analyse : Mai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SICC s'établit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récentes et fiables permettant de rapporter le cours actuel de 8 400 FCFA aux bénéfices ou aux fonds propres comptables. Cette absence de ratios est en soi un signal : elle traduit une couverture analytique limitée et une communication financière perfectible, ce qui accroît la prime de risque exigée par le marché. Dans ce contexte, l'investisseur doit s'appuyer sur l'analyse fondamentale narrative (Partie 3) et sur le comportement technique du titre (Parties 1 et 2) pour évaluer si le cours actuel est justifié ou non.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performance spectaculaire de **+95,35%**, portant le cours à **8 400 FCFA**, malgré un repli marginal de **-1,12%** lors de la dernière séance. Le titre a évolué dans un range très large, entre un plus bas de **3 985 FCFA** et un plus haut de **10 200 FCFA**, soit un écart de plus de 155% entre les deux extrêmes — signe d'une dynamique haussière puissante mais aussi d'une forte instabilité. La tendance générale est donc clairement **haussière**, portée par un intérêt spéculatif marqué sur une valeur à faible flottant (volume moyen de seulement **120 titres/jour**). Les statistiques descriptives confirment cette asymétrie : la moyenne (**5 815 FCFA**) est nettement supérieure à la médiane (**5 022 FCFA**), et le mode se situe à **4 380 FCFA**, ce qui indique que le cours a passé plus de temps dans des zones basses avant de s'envoler en fin de période — d'où un **skewness positif de 0,913** (plus de journées sous la moyenne, mais des pics haussiers violents). L'écart-type de **1 813 FCFA** et le coefficient de variation de **31,2%** traduisent une dispersion élevée, tandis que le kurtosis de **-0,630** (mésokurtique) suggère une distribution proche de la normale, sans risque extrême de pics. La **volatilité annualisée de 58,2%** classe le titre dans la catégorie **très volatile** (&gt;30%), ce qui implique un risque de perte en capital important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 FCFA**) sont toutes deux inférieures au cours actuel (8 400 FCFA), mais la MM20 est légèrement au-dessus du prix, ce qui crée une résistance immédiate. La configuration MM20 &gt; MM50 confirme une tendance haussière de fond, justifiant la décision **Achat** — mais le fait que le cours soit sous la MM20 suggère un essoufflement à court terme.</w:t>
      </w:r>
    </w:p>
    <w:p>
      <w:pPr>
        <w:spacing w:after="120" w:line="276" w:lineRule="auto"/>
      </w:pPr>
      <w:r>
        <w:t>**Bandes de Bollinger** : Le cours (8 400 FCFA) se situe entre la borne inférieure (**7 354,78 FCFA**) et la borne supérieure (**9 589,72 FCFA**), à environ 55% de la bande. Cette position médiane, couplée à un écart-type élevé, indique une volatilité importante sans signal directionnel clair. La décision **Neutre** est cohérente : le titre n'est ni en surachat ni en survente selon ce critère.</w:t>
      </w:r>
    </w:p>
    <w:p>
      <w:pPr>
        <w:spacing w:after="120" w:line="276" w:lineRule="auto"/>
      </w:pPr>
      <w:r>
        <w:t>**MACD** : La valeur du MACD (**275,32**) est inférieure à son signal (**368,15**), ce qui génère un croisement baissier et une divergence négative. Le momentum haussier s'essouffle, et la décision **Vente** signale que la pression acheteuse faiblit — un avertissement pour les détenteurs à court terme.</w:t>
      </w:r>
    </w:p>
    <w:p>
      <w:pPr>
        <w:spacing w:after="120" w:line="276" w:lineRule="auto"/>
      </w:pPr>
      <w:r>
        <w:t>**RSI** : À **61,16**, le RSI se situe en zone neutre-haute (30-70), sans atteindre la zone de surachat (&gt;70). La décision **Neutre** reflète un équilibre entre acheteurs et vendeurs, mais la proximité du seuil de 70 invite à la prudence.</w:t>
      </w:r>
    </w:p>
    <w:p>
      <w:pPr>
        <w:spacing w:after="120" w:line="276" w:lineRule="auto"/>
      </w:pPr>
      <w:r>
        <w:t>**Stochastique** : Le %K (**85,71**) et le %D (**94,76**) sont tous deux en zone de surachat (&gt;80), avec un %D supérieur au %K — configuration baissière classique. La décision **Vente** est justifiée : le titre est suracheté et un repli technique est probable.</w:t>
      </w:r>
    </w:p>
    <w:p>
      <w:pPr>
        <w:spacing w:after="120" w:line="276" w:lineRule="auto"/>
      </w:pPr>
      <w:r>
        <w:t>**Conclusion technique** : Les indicateurs sont **divergents**. Les moyennes mobiles restent haussières, mais le MACD, le stochastique et la position du cours sous la MM20 signalent un essoufflement. Le RSI et les Bollinger sont neutres. Cette divergence plaide pour une **prise de bénéfices** à court terme, avec un support potentiel autour de 7 355 FCFA (borne inférieure de Bollinger) et une résistance à 8 472 FCFA (MM20).</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récentes ne sont pas disponibles dans la base, mais les rapports officiels analysés fournissent une trajectoire fondamentale contrastée. **En 2022** (rapport du 31/12/2022, analysé par MISTRAL), SICOR a enregistré un chiffre d'affaires de **1 138,17 millions FCFA** (-17,58% vs 2021) et une **perte nette de -39,95 millions FCFA** (marge nette de -3,51%), marquant une inversion de tendance après quatre années de bénéfices. **En 2023** (rapport du 31/12/2023, analysé par MISTRAL), le CA s'est effondré à **701,09 millions FCFA** (-38,4%), mais la société est revenue à un **bénéfice net de +19,25 millions FCFA** (marge nette de 2,75%) grâce à une réduction drastique des charges (-43,68%), notamment via le transfert de 50% du personnel vers la SIPAL. Cette amélioration reste fragile : les **pertes cumulées s'élèvent à 689,86 millions FCFA**, et aucun dividende n'a été distribué depuis 2019. Le rapport le plus récent (exercice 2024, analysé par GEMINI-VISION le 06/09/2026) est tronqué mais confirme la tenue d'une Assemblée Générale en mai 2026 pour approuver les comptes 2024. Les risques opérationnels sont majeurs : **vols de noix de coco** (arrêt du site de Boulay en 2023), **découverts bancaires multipliés par 14**, et **dépendance aux cours mondiaux du coprah**. À l'inverse, des opportunités existent : diversification vers les noix de coco (+126% en 2022), tourteaux pour l'alimentation animale, et potentiel de reprise des exportations. **Recommandation fondamentale** : la situation reste **fragile** — la rentabilité est trop faible pour justifier une valorisation élevée, et les pertes cumulées pèsent sur les perspectives de dividende. Un redressement durable nécessiterait une stabilisation du CA et une maîtrise des risques opérationnels.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préoccupant** entre la performance boursière récente et les fondamentaux. La **valorisation** (Partie 0) est impossible à évaluer faute de ratios, mais la capitalisation de 5,04 milliards FCFA pour une société ayant dégagé seulement 19,25 millions FCFA de bénéfice en 2023 implique un PER implicite très élevé (&gt;260x), bien au-dessus de la moyenne BRVM (8-12x) — signe d'une **surévaluation spéculative**. Le **comportement du cours** (Partie 1) est haussier (+95,35%) mais avec une volatilité extrême (58,2%) et un skewness positif qui masque une distribution asymétrique risquée. Les **signaux techniques** (Partie 2) sont divergents : les MM restent haussières, mais le MACD, le stochastique et la position sous la MM20 plaident pour une **correction imminente**. Les **fondamentaux** (Partie 3) sont fragiles : retour à un bénéfice marginal en 2023, mais pertes cumulées élevées, absence de dividende, et risques opérationnels non résolus. Les **prédictions IA** sont absentes, ce qui ne permet pas de confirmer ou d'infirmer cette analyse. **Recommandation finale : VENTE** (prise de bénéfices). La convergence entre une valorisation spéculative, des signaux techniques baissiers à court terme et des fondamentaux fragiles justifie cette décision. **Niveau de confiance : Moyen** (absence de prédictions IA et de ratios de valorisation précis). **Niveau de risque global : Élevé** (volatilité extrême, faible liquidité, fondamentaux incertains). **Horizon optimal : Court terme** (&lt;3 mois) pour les investisseurs cherchant à sécuriser les gains récents ; les investisseurs long terme devraient attendre une clarification des comptes 2024 et une confirmation du redressement opérationnel avant tout 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5,490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-29.70%</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11.64% (Moyenne) — μ=2,441 FCFA, σ=284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β=0.5212 (Défensif) — Cov=0.000036, Var(idx)=0.000068, ρ=0.127,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1,895</w:t>
            </w:r>
          </w:p>
        </w:tc>
        <w:tc>
          <w:tcPr>
            <w:tcW w:type="dxa" w:w="1440"/>
            <w:shd w:fill="FAFAFA" w:val="clear"/>
          </w:tcPr>
          <w:p>
            <w:r>
              <w:rPr>
                <w:b/>
                <w:sz w:val="17"/>
              </w:rPr>
              <w:t>2,039</w:t>
            </w:r>
          </w:p>
        </w:tc>
        <w:tc>
          <w:tcPr>
            <w:tcW w:type="dxa" w:w="1440"/>
            <w:shd w:fill="FAFAFA" w:val="clear"/>
          </w:tcPr>
          <w:p>
            <w:r>
              <w:rPr>
                <w:sz w:val="17"/>
              </w:rPr>
              <w:t>2,183</w:t>
            </w:r>
          </w:p>
        </w:tc>
        <w:tc>
          <w:tcPr>
            <w:tcW w:type="dxa" w:w="1440"/>
            <w:shd w:fill="FAFAFA" w:val="clear"/>
          </w:tcPr>
          <w:p>
            <w:r>
              <w:rPr>
                <w:b/>
                <w:color w:val="008000"/>
                <w:sz w:val="17"/>
              </w:rPr>
              <w:t>+2.0%</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1,865</w:t>
            </w:r>
          </w:p>
        </w:tc>
        <w:tc>
          <w:tcPr>
            <w:tcW w:type="dxa" w:w="1440"/>
            <w:shd w:fill="C6EFCE" w:val="clear"/>
          </w:tcPr>
          <w:p>
            <w:r>
              <w:rPr>
                <w:b/>
                <w:sz w:val="17"/>
              </w:rPr>
              <w:t>2,042</w:t>
            </w:r>
          </w:p>
        </w:tc>
        <w:tc>
          <w:tcPr>
            <w:tcW w:type="dxa" w:w="1440"/>
            <w:shd w:fill="C6EFCE" w:val="clear"/>
          </w:tcPr>
          <w:p>
            <w:r>
              <w:rPr>
                <w:sz w:val="17"/>
              </w:rPr>
              <w:t>2,218</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1,840</w:t>
            </w:r>
          </w:p>
        </w:tc>
        <w:tc>
          <w:tcPr>
            <w:tcW w:type="dxa" w:w="1440"/>
            <w:shd w:fill="C6EFCE" w:val="clear"/>
          </w:tcPr>
          <w:p>
            <w:r>
              <w:rPr>
                <w:b/>
                <w:sz w:val="17"/>
              </w:rPr>
              <w:t>2,045</w:t>
            </w:r>
          </w:p>
        </w:tc>
        <w:tc>
          <w:tcPr>
            <w:tcW w:type="dxa" w:w="1440"/>
            <w:shd w:fill="C6EFCE" w:val="clear"/>
          </w:tcPr>
          <w:p>
            <w:r>
              <w:rPr>
                <w:sz w:val="17"/>
              </w:rPr>
              <w:t>2,250</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1,819</w:t>
            </w:r>
          </w:p>
        </w:tc>
        <w:tc>
          <w:tcPr>
            <w:tcW w:type="dxa" w:w="1440"/>
            <w:shd w:fill="C6EFCE" w:val="clear"/>
          </w:tcPr>
          <w:p>
            <w:r>
              <w:rPr>
                <w:b/>
                <w:sz w:val="17"/>
              </w:rPr>
              <w:t>2,049</w:t>
            </w:r>
          </w:p>
        </w:tc>
        <w:tc>
          <w:tcPr>
            <w:tcW w:type="dxa" w:w="1440"/>
            <w:shd w:fill="C6EFCE" w:val="clear"/>
          </w:tcPr>
          <w:p>
            <w:r>
              <w:rPr>
                <w:sz w:val="17"/>
              </w:rPr>
              <w:t>2,278</w:t>
            </w:r>
          </w:p>
        </w:tc>
        <w:tc>
          <w:tcPr>
            <w:tcW w:type="dxa" w:w="1440"/>
            <w:shd w:fill="C6EFCE" w:val="clear"/>
          </w:tcPr>
          <w:p>
            <w:r>
              <w:rPr>
                <w:b/>
                <w:color w:val="008000"/>
                <w:sz w:val="17"/>
              </w:rPr>
              <w:t>+2.4%</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1,801</w:t>
            </w:r>
          </w:p>
        </w:tc>
        <w:tc>
          <w:tcPr>
            <w:tcW w:type="dxa" w:w="1440"/>
            <w:shd w:fill="C6EFCE" w:val="clear"/>
          </w:tcPr>
          <w:p>
            <w:r>
              <w:rPr>
                <w:b/>
                <w:sz w:val="17"/>
              </w:rPr>
              <w:t>2,052</w:t>
            </w:r>
          </w:p>
        </w:tc>
        <w:tc>
          <w:tcPr>
            <w:tcW w:type="dxa" w:w="1440"/>
            <w:shd w:fill="C6EFCE" w:val="clear"/>
          </w:tcPr>
          <w:p>
            <w:r>
              <w:rPr>
                <w:sz w:val="17"/>
              </w:rPr>
              <w:t>2,304</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1,784</w:t>
            </w:r>
          </w:p>
        </w:tc>
        <w:tc>
          <w:tcPr>
            <w:tcW w:type="dxa" w:w="1440"/>
            <w:shd w:fill="C6EFCE" w:val="clear"/>
          </w:tcPr>
          <w:p>
            <w:r>
              <w:rPr>
                <w:b/>
                <w:sz w:val="17"/>
              </w:rPr>
              <w:t>2,056</w:t>
            </w:r>
          </w:p>
        </w:tc>
        <w:tc>
          <w:tcPr>
            <w:tcW w:type="dxa" w:w="1440"/>
            <w:shd w:fill="C6EFCE" w:val="clear"/>
          </w:tcPr>
          <w:p>
            <w:r>
              <w:rPr>
                <w:sz w:val="17"/>
              </w:rPr>
              <w:t>2,328</w:t>
            </w:r>
          </w:p>
        </w:tc>
        <w:tc>
          <w:tcPr>
            <w:tcW w:type="dxa" w:w="1440"/>
            <w:shd w:fill="C6EFCE" w:val="clear"/>
          </w:tcPr>
          <w:p>
            <w:r>
              <w:rPr>
                <w:b/>
                <w:color w:val="008000"/>
                <w:sz w:val="17"/>
              </w:rPr>
              <w:t>+2.8%</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1,768</w:t>
            </w:r>
          </w:p>
        </w:tc>
        <w:tc>
          <w:tcPr>
            <w:tcW w:type="dxa" w:w="1440"/>
            <w:shd w:fill="C6EFCE" w:val="clear"/>
          </w:tcPr>
          <w:p>
            <w:r>
              <w:rPr>
                <w:b/>
                <w:sz w:val="17"/>
              </w:rPr>
              <w:t>2,060</w:t>
            </w:r>
          </w:p>
        </w:tc>
        <w:tc>
          <w:tcPr>
            <w:tcW w:type="dxa" w:w="1440"/>
            <w:shd w:fill="C6EFCE" w:val="clear"/>
          </w:tcPr>
          <w:p>
            <w:r>
              <w:rPr>
                <w:sz w:val="17"/>
              </w:rPr>
              <w:t>2,351</w:t>
            </w:r>
          </w:p>
        </w:tc>
        <w:tc>
          <w:tcPr>
            <w:tcW w:type="dxa" w:w="1440"/>
            <w:shd w:fill="C6EFCE" w:val="clear"/>
          </w:tcPr>
          <w:p>
            <w:r>
              <w:rPr>
                <w:b/>
                <w:color w:val="008000"/>
                <w:sz w:val="17"/>
              </w:rPr>
              <w:t>+3.0%</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1,753</w:t>
            </w:r>
          </w:p>
        </w:tc>
        <w:tc>
          <w:tcPr>
            <w:tcW w:type="dxa" w:w="1440"/>
            <w:shd w:fill="C6EFCE" w:val="clear"/>
          </w:tcPr>
          <w:p>
            <w:r>
              <w:rPr>
                <w:b/>
                <w:sz w:val="17"/>
              </w:rPr>
              <w:t>2,063</w:t>
            </w:r>
          </w:p>
        </w:tc>
        <w:tc>
          <w:tcPr>
            <w:tcW w:type="dxa" w:w="1440"/>
            <w:shd w:fill="C6EFCE" w:val="clear"/>
          </w:tcPr>
          <w:p>
            <w:r>
              <w:rPr>
                <w:sz w:val="17"/>
              </w:rPr>
              <w:t>2,373</w:t>
            </w:r>
          </w:p>
        </w:tc>
        <w:tc>
          <w:tcPr>
            <w:tcW w:type="dxa" w:w="1440"/>
            <w:shd w:fill="C6EFCE" w:val="clear"/>
          </w:tcPr>
          <w:p>
            <w:r>
              <w:rPr>
                <w:b/>
                <w:color w:val="008000"/>
                <w:sz w:val="17"/>
              </w:rPr>
              <w:t>+3.2%</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1,740</w:t>
            </w:r>
          </w:p>
        </w:tc>
        <w:tc>
          <w:tcPr>
            <w:tcW w:type="dxa" w:w="1440"/>
            <w:shd w:fill="C6EFCE" w:val="clear"/>
          </w:tcPr>
          <w:p>
            <w:r>
              <w:rPr>
                <w:b/>
                <w:sz w:val="17"/>
              </w:rPr>
              <w:t>2,067</w:t>
            </w:r>
          </w:p>
        </w:tc>
        <w:tc>
          <w:tcPr>
            <w:tcW w:type="dxa" w:w="1440"/>
            <w:shd w:fill="C6EFCE" w:val="clear"/>
          </w:tcPr>
          <w:p>
            <w:r>
              <w:rPr>
                <w:sz w:val="17"/>
              </w:rPr>
              <w:t>2,394</w:t>
            </w:r>
          </w:p>
        </w:tc>
        <w:tc>
          <w:tcPr>
            <w:tcW w:type="dxa" w:w="1440"/>
            <w:shd w:fill="C6EFCE" w:val="clear"/>
          </w:tcPr>
          <w:p>
            <w:r>
              <w:rPr>
                <w:b/>
                <w:color w:val="008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br/>
        <w:t>*Date d'analyse : octobre 2026 | Analyste : Marché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17,47 milliards FCFA, SIVC (désormais ERIUM CI) se situe dans la catégorie des valeurs moyennes de la BRVM, loin des poids lourds comme Sonatel ou ETIT. Le BPA de 43 FCFA/action signifie que chaque titre génère 43 FCFA de bénéfice net, ce qui, rapporté au cours actuel de 2 000 FCFA, donne un PER de 46,3x — un niveau très élevé comparé à la moyenne BRVM (~8-12x), signalant que les investisseurs paient une prime spéculative très forte par rapport aux bénéfices réellement dégagés. Le P/B de 5,34x confirme cette exubérance : le marché valorise l'action plus de cinq fois sa valeur comptable, une prime exigeante qui n'est justifiée que si la rentabilité future s'améliore nettement. Enfin, l'EV/EBITDA de 15,1x traduit une valorisation tendue de la capacité opérationnelle, suggérant que le titre intègre déjà des anticipations de croissance optimistes. L'ensemble de ces ratios dessine une action **chèrement valorisée**, avec une marge de sécurité limitée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spectaculaire de **-29,70%**, passant d'un plus haut de 2 875 FCFA à un plus bas de 1 920 FCFA, pour clôturer à 2 000 FCFA (variation J-1 nulle, +0,00%). Cette tendance nettement baissière traduit un désengagement progressif des investisseurs, probablement lié à la dégradation des fondamentaux et à l'incertitude entourant le changement de dénomination sociale et de contrôle (cession d'Air Liquide International à ERIUM LTD). La moyenne du cours sur la période s'établit à 2 441 FCFA, nettement supérieure à la médiane de 2 382 FCFA, ce qui indique une distribution légèrement asymétrique avec quelques séances de cours élevés en début de période avant l'effondrement. L'écart-type de 286 FCFA (CV = 11,7%) révèle une dispersion modérée autour de la moyenne, mais la **volatilité annualisée de 53,7%** classe ce titre dans la catégorie **très volatile** (&gt;30%), exposant l'investisseur à des variations importantes. Le kurtosis de -1,160 (platykurtique) indique une distribution aplatie avec une faible concentration des rendements autour de la moyenne, donc moins de pics extrêmes que la normale mais des mouvements amples et réguliers. Le skewness de 0,217, proche de zéro, confirme une distribution quasi symétrique, sans biais marqué vers les rendements positifs ou négatifs.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(2 177,5 FCFA) et la MM50 (2 253,6 FCFA) se situent toutes deux au-dessus du cours actuel (2 000 FCFA), avec la MM20 sous la MM50, configuration baissière classique. Le cours évolue sous ses deux moyennes, signalant une pression vendeuse persistante et une tendance de fond négative. La décision technique est donc logiquement **Vente**.</w:t>
      </w:r>
    </w:p>
    <w:p>
      <w:pPr>
        <w:spacing w:after="120" w:line="276" w:lineRule="auto"/>
      </w:pPr>
      <w:r>
        <w:t>**Bandes de Bollinger** : La borne supérieure est à 2 477,9 FCFA et la borne inférieure à 1 877,1 FCFA, avec un cours actuel de 2 000 FCFA positionné dans la moitié basse de la bande. Le cours n'a pas encore touché la borne inférieure, ce qui laisse un potentiel de baisse résiduel, mais la largeur de la bande (600 FCFA) traduit une volatilité élevée. La décision est **Neutre**, le titre n'étant ni en survente extrême ni en surachat.</w:t>
      </w:r>
    </w:p>
    <w:p>
      <w:pPr>
        <w:spacing w:after="120" w:line="276" w:lineRule="auto"/>
      </w:pPr>
      <w:r>
        <w:t>**MACD** : La valeur du MACD (-84,67) est inférieure à son signal (-69,436), confirmant une divergence baissière et un momentum négatif. Le MACD évolue en territoire négatif, ce qui renforce le signal de faiblesse à court terme. La décision est **Vente**.</w:t>
      </w:r>
    </w:p>
    <w:p>
      <w:pPr>
        <w:spacing w:after="120" w:line="276" w:lineRule="auto"/>
      </w:pPr>
      <w:r>
        <w:t>**RSI** : À 28,495, le RSI se situe en zone de **survente** (&lt;30), ce qui suggère que le titre a été excessivement vendu et qu'un rebond technique est possible à court terme. La décision est donc **Achat** sur ce seul indicateur, en contradiction avec les autres signaux.</w:t>
      </w:r>
    </w:p>
    <w:p>
      <w:pPr>
        <w:spacing w:after="120" w:line="276" w:lineRule="auto"/>
      </w:pPr>
      <w:r>
        <w:t>**Stochastique** : Le %K est à 0,0 et le %D à 11,667, avec un %K nettement sous le %D, configuration de survente extrême. Le croisement n'est pas encore haussier, mais la position basse du %K indique un épuisement potentiel de la pression vendeuse. La décision est **Achat**.</w:t>
      </w:r>
    </w:p>
    <w:p>
      <w:pPr>
        <w:spacing w:after="120" w:line="276" w:lineRule="auto"/>
      </w:pPr>
      <w:r>
        <w:t>**Conclusion technique** : Les indicateurs sont **majoritairement baissiers** (MM, MACD) mais deux oscillateurs (RSI, Stochastique) signalent une survente extrême propice à un rebond technique. Cette divergence crée une configuration ambiguë : la tendance de fond reste négative, mais un rebond à court terme est probable. La prudence reste de mise tant que le cours ne repasse pas au-dessus de la MM20 (2 177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(base brvm_donnees_financieres) indiquent un chiffre d'affaires/PNB de 9,283 milliards FCFA, un résultat net de 376,96 millions FCFA, un ROE de 11,52% et un ROA de 2,69%. Le coefficient d'exploitation de 95,83% est **très élevé** (très loin du seuil de 60% d'efficacité bancaire), ce qui signifie que les charges absorbent la quasi-totalité du PNB, laissant une marge nette de seulement 4,06%. Le coût du risque (provisions/charges financières) de 3,10% reste contenu, mais la structure financière est fragile : autonomie financière de 23,34% (&lt;30%), ratio d'endettement de 80,09%, et trésorerie nette négative de -2,143 milliards FCFA. Les délais d'exploitation sont préoccupants : 60,94 jours de délai client et 163,14 jours de durée de stockage, immobilisant fortement le capital. Le rapport officiel du **31 décembre 2025** (analysé par DeepSeek le 29/06/2026) révèle une **dégradation majeure** : le CA progresse de +8,53% à 10,075 milliards FCFA, mais le résultat net **chute de -52,4% à 179,29 millions FCFA**, avec une marge nette divisée par deux à 1,78%. Le résultat financier passe d'un gain de 316 M FCFA à une perte de -114 M FCFA, et l'endettement financier grimpe à 4,164 milliards FCFA. Les rapports trimestriels 2025 (S1 certifié du 30/06/2025 et T3 2025) montrent cependant une **amélioration séquentielle** : au S1 2025, le CA atteint 4,897 milliards FCFA (+8,8%) avec un résultat net de 512,9 M FCFA (+4,6%) et une marge nette de 10,5% ; au T3 2025, le CA cumulé s'élève à 7,584 milliards FCFA (+13%) avec un résultat net de 832,5 M FCFA (+58%) et une marge nette de 11,0%. **On estime donc** que l'exercice 2025 devrait afficher une amélioration de la rentabilité par rapport au point bas de 2024, mais l'écart entre les résultats semestriels (512,9 M FCFA) et le résultat net annuel 2025 (179,3 M FCFA selon le rapport annuel) suggère des charges exceptionnelles ou des provisions importantes au second semestre. La recommandation fondamentale reste **CONSERVER avec surveillance**, la croissance du CA étant réelle mais la rentabilité et la trésorerie demeurant fragiles.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**paradoxe déroutant**. La valorisation (Partie 0) est **très exigeante** : PER de 46,3x, P/B de 5,34x et EV/EBITDA de 15,1x intègrent déjà une forte croissance, sans marge de sécurité. Le comportement du cours (Partie 1) est **nettement baissier** (-29,70% sur 100 jours) avec une volatilité très élevée (53,7%) et une distribution platykurtique, ce qui est préoccupant pour un investisseur averse au risque. Les signaux techniques (Partie 2) sont **majoritairement baissiers** (MM, MACD) mais divergent avec des oscillateurs en survente extrême (RSI 28,5, Stochastique 0,0), suggérant un rebond technique possible mais fragile. Les fondamentaux (Partie 3) montrent une **dégradation en 2024** (résultat net -52,4% à 179,3 M FCFA) suivie d'une **amélioration séquentielle en 2025** (T3 : résultat net +58% à 832,5 M FCFA), mais la structure financière reste tendue (endettement 80%, trésorerie nette négative). Les **prédictions IA** (J+1 à J+10) anticipent une légère hausse de 2 039 à 2 052 FCFA (+2,6%), ce qui **contredit partiellement** la tendance baissière récente et confirme le scénario d'un rebond technique. **Recommandation finale : CONSERVER** — la convergence entre la survente technique, l'amélioration des résultats trimestriels 2025 et les prédictions haussières à court terme justifie le maintien en portefeuille, mais la valorisation exigeante, la volatilité élevée et la fragilité financière interdisent tout achat agressif. **Niveau de confiance : Moyen** (divergence entre technique et fondamental). **Niveau de risque : Élevé** (volatilité 53,7%, endettement 80%, trésorerie négative). **Horizon optimal : Moyen terme (3-12 mois)**, le temps que la trajectoire d'amélioration de la rentabilité se confirme et que le titre digère sa surévaluation.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1,402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-1.33%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2.22% (Faible) — μ=38,278 FCFA, σ=850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β=0.0620 (Défensif) — Cov=0.000004, Var(idx)=0.000068, ρ=0.033,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36,889</w:t>
            </w:r>
          </w:p>
        </w:tc>
        <w:tc>
          <w:tcPr>
            <w:tcW w:type="dxa" w:w="1440"/>
            <w:shd w:fill="FAFAFA" w:val="clear"/>
          </w:tcPr>
          <w:p>
            <w:r>
              <w:rPr>
                <w:b/>
                <w:sz w:val="17"/>
              </w:rPr>
              <w:t>37,697</w:t>
            </w:r>
          </w:p>
        </w:tc>
        <w:tc>
          <w:tcPr>
            <w:tcW w:type="dxa" w:w="1440"/>
            <w:shd w:fill="FAFAFA" w:val="clear"/>
          </w:tcPr>
          <w:p>
            <w:r>
              <w:rPr>
                <w:sz w:val="17"/>
              </w:rPr>
              <w:t>38,504</w:t>
            </w:r>
          </w:p>
        </w:tc>
        <w:tc>
          <w:tcPr>
            <w:tcW w:type="dxa" w:w="1440"/>
            <w:shd w:fill="FAFAFA" w:val="clear"/>
          </w:tcPr>
          <w:p>
            <w:r>
              <w:rPr>
                <w:b/>
                <w:color w:val="008000"/>
                <w:sz w:val="17"/>
              </w:rPr>
              <w:t>+1.9%</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36,859</w:t>
            </w:r>
          </w:p>
        </w:tc>
        <w:tc>
          <w:tcPr>
            <w:tcW w:type="dxa" w:w="1440"/>
            <w:shd w:fill="C6EFCE" w:val="clear"/>
          </w:tcPr>
          <w:p>
            <w:r>
              <w:rPr>
                <w:b/>
                <w:sz w:val="17"/>
              </w:rPr>
              <w:t>37,852</w:t>
            </w:r>
          </w:p>
        </w:tc>
        <w:tc>
          <w:tcPr>
            <w:tcW w:type="dxa" w:w="1440"/>
            <w:shd w:fill="C6EFCE" w:val="clear"/>
          </w:tcPr>
          <w:p>
            <w:r>
              <w:rPr>
                <w:sz w:val="17"/>
              </w:rPr>
              <w:t>38,845</w:t>
            </w:r>
          </w:p>
        </w:tc>
        <w:tc>
          <w:tcPr>
            <w:tcW w:type="dxa" w:w="1440"/>
            <w:shd w:fill="C6EFCE" w:val="clear"/>
          </w:tcPr>
          <w:p>
            <w:r>
              <w:rPr>
                <w:b/>
                <w:color w:val="008000"/>
                <w:sz w:val="17"/>
              </w:rPr>
              <w:t>+2.3%</w:t>
            </w:r>
          </w:p>
        </w:tc>
      </w:tr>
      <w:tr>
        <w:tc>
          <w:tcPr>
            <w:tcW w:type="dxa" w:w="1440"/>
            <w:shd w:fill="C6EFCE" w:val="clear"/>
          </w:tcPr>
          <w:p>
            <w:r>
              <w:rPr>
                <w:sz w:val="17"/>
              </w:rPr>
              <w:t>J+3  Moyenne</w:t>
            </w:r>
          </w:p>
        </w:tc>
        <w:tc>
          <w:tcPr>
            <w:tcW w:type="dxa" w:w="1440"/>
            <w:shd w:fill="C6EFCE" w:val="clear"/>
          </w:tcPr>
          <w:p>
            <w:r>
              <w:rPr>
                <w:sz w:val="17"/>
              </w:rPr>
              <w:t>2026-10-07</w:t>
            </w:r>
          </w:p>
        </w:tc>
        <w:tc>
          <w:tcPr>
            <w:tcW w:type="dxa" w:w="1440"/>
            <w:shd w:fill="C6EFCE" w:val="clear"/>
          </w:tcPr>
          <w:p>
            <w:r>
              <w:rPr>
                <w:sz w:val="17"/>
              </w:rPr>
              <w:t>36,870</w:t>
            </w:r>
          </w:p>
        </w:tc>
        <w:tc>
          <w:tcPr>
            <w:tcW w:type="dxa" w:w="1440"/>
            <w:shd w:fill="C6EFCE" w:val="clear"/>
          </w:tcPr>
          <w:p>
            <w:r>
              <w:rPr>
                <w:b/>
                <w:sz w:val="17"/>
              </w:rPr>
              <w:t>38,021</w:t>
            </w:r>
          </w:p>
        </w:tc>
        <w:tc>
          <w:tcPr>
            <w:tcW w:type="dxa" w:w="1440"/>
            <w:shd w:fill="C6EFCE" w:val="clear"/>
          </w:tcPr>
          <w:p>
            <w:r>
              <w:rPr>
                <w:sz w:val="17"/>
              </w:rPr>
              <w:t>39,173</w:t>
            </w:r>
          </w:p>
        </w:tc>
        <w:tc>
          <w:tcPr>
            <w:tcW w:type="dxa" w:w="1440"/>
            <w:shd w:fill="C6EFCE" w:val="clear"/>
          </w:tcPr>
          <w:p>
            <w:r>
              <w:rPr>
                <w:b/>
                <w:color w:val="008000"/>
                <w:sz w:val="17"/>
              </w:rPr>
              <w:t>+2.8%</w:t>
            </w:r>
          </w:p>
        </w:tc>
      </w:tr>
      <w:tr>
        <w:tc>
          <w:tcPr>
            <w:tcW w:type="dxa" w:w="1440"/>
            <w:shd w:fill="C6EFCE" w:val="clear"/>
          </w:tcPr>
          <w:p>
            <w:r>
              <w:rPr>
                <w:sz w:val="17"/>
              </w:rPr>
              <w:t>J+4  Moyenne</w:t>
            </w:r>
          </w:p>
        </w:tc>
        <w:tc>
          <w:tcPr>
            <w:tcW w:type="dxa" w:w="1440"/>
            <w:shd w:fill="C6EFCE" w:val="clear"/>
          </w:tcPr>
          <w:p>
            <w:r>
              <w:rPr>
                <w:sz w:val="17"/>
              </w:rPr>
              <w:t>2026-10-08</w:t>
            </w:r>
          </w:p>
        </w:tc>
        <w:tc>
          <w:tcPr>
            <w:tcW w:type="dxa" w:w="1440"/>
            <w:shd w:fill="C6EFCE" w:val="clear"/>
          </w:tcPr>
          <w:p>
            <w:r>
              <w:rPr>
                <w:sz w:val="17"/>
              </w:rPr>
              <w:t>36,892</w:t>
            </w:r>
          </w:p>
        </w:tc>
        <w:tc>
          <w:tcPr>
            <w:tcW w:type="dxa" w:w="1440"/>
            <w:shd w:fill="C6EFCE" w:val="clear"/>
          </w:tcPr>
          <w:p>
            <w:r>
              <w:rPr>
                <w:b/>
                <w:sz w:val="17"/>
              </w:rPr>
              <w:t>38,185</w:t>
            </w:r>
          </w:p>
        </w:tc>
        <w:tc>
          <w:tcPr>
            <w:tcW w:type="dxa" w:w="1440"/>
            <w:shd w:fill="C6EFCE" w:val="clear"/>
          </w:tcPr>
          <w:p>
            <w:r>
              <w:rPr>
                <w:sz w:val="17"/>
              </w:rPr>
              <w:t>39,478</w:t>
            </w:r>
          </w:p>
        </w:tc>
        <w:tc>
          <w:tcPr>
            <w:tcW w:type="dxa" w:w="1440"/>
            <w:shd w:fill="C6EFCE" w:val="clear"/>
          </w:tcPr>
          <w:p>
            <w:r>
              <w:rPr>
                <w:b/>
                <w:color w:val="008000"/>
                <w:sz w:val="17"/>
              </w:rPr>
              <w:t>+3.2%</w:t>
            </w:r>
          </w:p>
        </w:tc>
      </w:tr>
      <w:tr>
        <w:tc>
          <w:tcPr>
            <w:tcW w:type="dxa" w:w="1440"/>
            <w:shd w:fill="C6EFCE" w:val="clear"/>
          </w:tcPr>
          <w:p>
            <w:r>
              <w:rPr>
                <w:sz w:val="17"/>
              </w:rPr>
              <w:t>J+5  Moyenne</w:t>
            </w:r>
          </w:p>
        </w:tc>
        <w:tc>
          <w:tcPr>
            <w:tcW w:type="dxa" w:w="1440"/>
            <w:shd w:fill="C6EFCE" w:val="clear"/>
          </w:tcPr>
          <w:p>
            <w:r>
              <w:rPr>
                <w:sz w:val="17"/>
              </w:rPr>
              <w:t>2026-10-09</w:t>
            </w:r>
          </w:p>
        </w:tc>
        <w:tc>
          <w:tcPr>
            <w:tcW w:type="dxa" w:w="1440"/>
            <w:shd w:fill="C6EFCE" w:val="clear"/>
          </w:tcPr>
          <w:p>
            <w:r>
              <w:rPr>
                <w:sz w:val="17"/>
              </w:rPr>
              <w:t>36,920</w:t>
            </w:r>
          </w:p>
        </w:tc>
        <w:tc>
          <w:tcPr>
            <w:tcW w:type="dxa" w:w="1440"/>
            <w:shd w:fill="C6EFCE" w:val="clear"/>
          </w:tcPr>
          <w:p>
            <w:r>
              <w:rPr>
                <w:b/>
                <w:sz w:val="17"/>
              </w:rPr>
              <w:t>38,343</w:t>
            </w:r>
          </w:p>
        </w:tc>
        <w:tc>
          <w:tcPr>
            <w:tcW w:type="dxa" w:w="1440"/>
            <w:shd w:fill="C6EFCE" w:val="clear"/>
          </w:tcPr>
          <w:p>
            <w:r>
              <w:rPr>
                <w:sz w:val="17"/>
              </w:rPr>
              <w:t>39,765</w:t>
            </w:r>
          </w:p>
        </w:tc>
        <w:tc>
          <w:tcPr>
            <w:tcW w:type="dxa" w:w="1440"/>
            <w:shd w:fill="C6EFCE" w:val="clear"/>
          </w:tcPr>
          <w:p>
            <w:r>
              <w:rPr>
                <w:b/>
                <w:color w:val="008000"/>
                <w:sz w:val="17"/>
              </w:rPr>
              <w:t>+3.6%</w:t>
            </w:r>
          </w:p>
        </w:tc>
      </w:tr>
      <w:tr>
        <w:tc>
          <w:tcPr>
            <w:tcW w:type="dxa" w:w="1440"/>
            <w:shd w:fill="C6EFCE" w:val="clear"/>
          </w:tcPr>
          <w:p>
            <w:r>
              <w:rPr>
                <w:sz w:val="17"/>
              </w:rPr>
              <w:t>J+6  Moyenne</w:t>
            </w:r>
          </w:p>
        </w:tc>
        <w:tc>
          <w:tcPr>
            <w:tcW w:type="dxa" w:w="1440"/>
            <w:shd w:fill="C6EFCE" w:val="clear"/>
          </w:tcPr>
          <w:p>
            <w:r>
              <w:rPr>
                <w:sz w:val="17"/>
              </w:rPr>
              <w:t>2026-10-12</w:t>
            </w:r>
          </w:p>
        </w:tc>
        <w:tc>
          <w:tcPr>
            <w:tcW w:type="dxa" w:w="1440"/>
            <w:shd w:fill="C6EFCE" w:val="clear"/>
          </w:tcPr>
          <w:p>
            <w:r>
              <w:rPr>
                <w:sz w:val="17"/>
              </w:rPr>
              <w:t>36,952</w:t>
            </w:r>
          </w:p>
        </w:tc>
        <w:tc>
          <w:tcPr>
            <w:tcW w:type="dxa" w:w="1440"/>
            <w:shd w:fill="C6EFCE" w:val="clear"/>
          </w:tcPr>
          <w:p>
            <w:r>
              <w:rPr>
                <w:b/>
                <w:sz w:val="17"/>
              </w:rPr>
              <w:t>38,494</w:t>
            </w:r>
          </w:p>
        </w:tc>
        <w:tc>
          <w:tcPr>
            <w:tcW w:type="dxa" w:w="1440"/>
            <w:shd w:fill="C6EFCE" w:val="clear"/>
          </w:tcPr>
          <w:p>
            <w:r>
              <w:rPr>
                <w:sz w:val="17"/>
              </w:rPr>
              <w:t>40,037</w:t>
            </w:r>
          </w:p>
        </w:tc>
        <w:tc>
          <w:tcPr>
            <w:tcW w:type="dxa" w:w="1440"/>
            <w:shd w:fill="C6EFCE" w:val="clear"/>
          </w:tcPr>
          <w:p>
            <w:r>
              <w:rPr>
                <w:b/>
                <w:color w:val="008000"/>
                <w:sz w:val="17"/>
              </w:rPr>
              <w:t>+4.0%</w:t>
            </w:r>
          </w:p>
        </w:tc>
      </w:tr>
      <w:tr>
        <w:tc>
          <w:tcPr>
            <w:tcW w:type="dxa" w:w="1440"/>
            <w:shd w:fill="C6EFCE" w:val="clear"/>
          </w:tcPr>
          <w:p>
            <w:r>
              <w:rPr>
                <w:sz w:val="17"/>
              </w:rPr>
              <w:t>J+7  Moyenne</w:t>
            </w:r>
          </w:p>
        </w:tc>
        <w:tc>
          <w:tcPr>
            <w:tcW w:type="dxa" w:w="1440"/>
            <w:shd w:fill="C6EFCE" w:val="clear"/>
          </w:tcPr>
          <w:p>
            <w:r>
              <w:rPr>
                <w:sz w:val="17"/>
              </w:rPr>
              <w:t>2026-10-13</w:t>
            </w:r>
          </w:p>
        </w:tc>
        <w:tc>
          <w:tcPr>
            <w:tcW w:type="dxa" w:w="1440"/>
            <w:shd w:fill="C6EFCE" w:val="clear"/>
          </w:tcPr>
          <w:p>
            <w:r>
              <w:rPr>
                <w:sz w:val="17"/>
              </w:rPr>
              <w:t>36,986</w:t>
            </w:r>
          </w:p>
        </w:tc>
        <w:tc>
          <w:tcPr>
            <w:tcW w:type="dxa" w:w="1440"/>
            <w:shd w:fill="C6EFCE" w:val="clear"/>
          </w:tcPr>
          <w:p>
            <w:r>
              <w:rPr>
                <w:b/>
                <w:sz w:val="17"/>
              </w:rPr>
              <w:t>38,641</w:t>
            </w:r>
          </w:p>
        </w:tc>
        <w:tc>
          <w:tcPr>
            <w:tcW w:type="dxa" w:w="1440"/>
            <w:shd w:fill="C6EFCE" w:val="clear"/>
          </w:tcPr>
          <w:p>
            <w:r>
              <w:rPr>
                <w:sz w:val="17"/>
              </w:rPr>
              <w:t>40,296</w:t>
            </w:r>
          </w:p>
        </w:tc>
        <w:tc>
          <w:tcPr>
            <w:tcW w:type="dxa" w:w="1440"/>
            <w:shd w:fill="C6EFCE" w:val="clear"/>
          </w:tcPr>
          <w:p>
            <w:r>
              <w:rPr>
                <w:b/>
                <w:color w:val="008000"/>
                <w:sz w:val="17"/>
              </w:rPr>
              <w:t>+4.4%</w:t>
            </w:r>
          </w:p>
        </w:tc>
      </w:tr>
      <w:tr>
        <w:tc>
          <w:tcPr>
            <w:tcW w:type="dxa" w:w="1440"/>
            <w:shd w:fill="C6EFCE" w:val="clear"/>
          </w:tcPr>
          <w:p>
            <w:r>
              <w:rPr>
                <w:sz w:val="17"/>
              </w:rPr>
              <w:t>J+8  Moyenne</w:t>
            </w:r>
          </w:p>
        </w:tc>
        <w:tc>
          <w:tcPr>
            <w:tcW w:type="dxa" w:w="1440"/>
            <w:shd w:fill="C6EFCE" w:val="clear"/>
          </w:tcPr>
          <w:p>
            <w:r>
              <w:rPr>
                <w:sz w:val="17"/>
              </w:rPr>
              <w:t>2026-10-14</w:t>
            </w:r>
          </w:p>
        </w:tc>
        <w:tc>
          <w:tcPr>
            <w:tcW w:type="dxa" w:w="1440"/>
            <w:shd w:fill="C6EFCE" w:val="clear"/>
          </w:tcPr>
          <w:p>
            <w:r>
              <w:rPr>
                <w:sz w:val="17"/>
              </w:rPr>
              <w:t>37,021</w:t>
            </w:r>
          </w:p>
        </w:tc>
        <w:tc>
          <w:tcPr>
            <w:tcW w:type="dxa" w:w="1440"/>
            <w:shd w:fill="C6EFCE" w:val="clear"/>
          </w:tcPr>
          <w:p>
            <w:r>
              <w:rPr>
                <w:b/>
                <w:sz w:val="17"/>
              </w:rPr>
              <w:t>38,783</w:t>
            </w:r>
          </w:p>
        </w:tc>
        <w:tc>
          <w:tcPr>
            <w:tcW w:type="dxa" w:w="1440"/>
            <w:shd w:fill="C6EFCE" w:val="clear"/>
          </w:tcPr>
          <w:p>
            <w:r>
              <w:rPr>
                <w:sz w:val="17"/>
              </w:rPr>
              <w:t>40,545</w:t>
            </w:r>
          </w:p>
        </w:tc>
        <w:tc>
          <w:tcPr>
            <w:tcW w:type="dxa" w:w="1440"/>
            <w:shd w:fill="C6EFCE" w:val="clear"/>
          </w:tcPr>
          <w:p>
            <w:r>
              <w:rPr>
                <w:b/>
                <w:color w:val="008000"/>
                <w:sz w:val="17"/>
              </w:rPr>
              <w:t>+4.8%</w:t>
            </w:r>
          </w:p>
        </w:tc>
      </w:tr>
      <w:tr>
        <w:tc>
          <w:tcPr>
            <w:tcW w:type="dxa" w:w="1440"/>
            <w:shd w:fill="C6EFCE" w:val="clear"/>
          </w:tcPr>
          <w:p>
            <w:r>
              <w:rPr>
                <w:sz w:val="17"/>
              </w:rPr>
              <w:t>J+9  Moyenne</w:t>
            </w:r>
          </w:p>
        </w:tc>
        <w:tc>
          <w:tcPr>
            <w:tcW w:type="dxa" w:w="1440"/>
            <w:shd w:fill="C6EFCE" w:val="clear"/>
          </w:tcPr>
          <w:p>
            <w:r>
              <w:rPr>
                <w:sz w:val="17"/>
              </w:rPr>
              <w:t>2026-10-15</w:t>
            </w:r>
          </w:p>
        </w:tc>
        <w:tc>
          <w:tcPr>
            <w:tcW w:type="dxa" w:w="1440"/>
            <w:shd w:fill="C6EFCE" w:val="clear"/>
          </w:tcPr>
          <w:p>
            <w:r>
              <w:rPr>
                <w:sz w:val="17"/>
              </w:rPr>
              <w:t>37,058</w:t>
            </w:r>
          </w:p>
        </w:tc>
        <w:tc>
          <w:tcPr>
            <w:tcW w:type="dxa" w:w="1440"/>
            <w:shd w:fill="C6EFCE" w:val="clear"/>
          </w:tcPr>
          <w:p>
            <w:r>
              <w:rPr>
                <w:b/>
                <w:sz w:val="17"/>
              </w:rPr>
              <w:t>38,922</w:t>
            </w:r>
          </w:p>
        </w:tc>
        <w:tc>
          <w:tcPr>
            <w:tcW w:type="dxa" w:w="1440"/>
            <w:shd w:fill="C6EFCE" w:val="clear"/>
          </w:tcPr>
          <w:p>
            <w:r>
              <w:rPr>
                <w:sz w:val="17"/>
              </w:rPr>
              <w:t>40,786</w:t>
            </w:r>
          </w:p>
        </w:tc>
        <w:tc>
          <w:tcPr>
            <w:tcW w:type="dxa" w:w="1440"/>
            <w:shd w:fill="C6EFCE" w:val="clear"/>
          </w:tcPr>
          <w:p>
            <w:r>
              <w:rPr>
                <w:b/>
                <w:color w:val="008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RAPPORT D'ANALYSE FINANCIÈRE — SLBC (SOLIBRA)</w:t>
        <w:br/>
        <w:t>**Bourse Régionale des Valeurs Mobilières (BRVM) — Secteur : Entreprise (Boissons/Limonaderies)**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609,05 milliards FCFA, SLBC s'impose comme l'une des plus importantes capitalisations de la BRVM, ce qui témoigne de son statut de valeur de premier plan sur le marché régional. Le BPA de 2 781 FCFA/action signifie que chaque titre génère près de 2 800 FCFA de bénéfice net, un niveau élevé qui reflète la forte rentabilité de l'entreprise. Le PER de 13,3x se situe légèrement au-dessus de la moyenne BRVM (8-12x), mais reste modéré au regard de la croissance exceptionnelle du résultat net (+113% en 2025) ; les investisseurs paient donc un prix raisonnable pour une valeur de croissance. Le P/B de 3,12x indique que le marché valorise l'action à plus de trois fois sa valeur comptable, traduisant une prime de croissance justifiée par un ROE de 23,46%. Enfin, l'EV/EBITDA de 7,2x, dans la fourchette raisonnable de 5-10x, confirme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-1,33%, avec une dernière séance (J-1) également en repli de -1,33%, portant le cours actuel à 37 000 FCFA. Le range de trading s'établit entre un plus haut de 41 500 FCFA et un plus bas de 36 900 FCFA, le cours évoluant actuellement tout près de son plancher, ce qui suggère une pression baissière récente mais un potentiel de rebond technique. La tendance générale apparaît donc baissière à court terme, bien que la faiblesse de l'amplitude (4 600 FCFA d'écart) indique une correction modérée plutôt qu'un décrochage. Les statistiques descriptives révèlent une moyenne de 38 278 FCFA légèrement supérieure à la médiane et au mode (38 000 FCFA), confirmant une asymétrie positive (skewness de 0,833) avec davantage de journées sous la moyenne — le cours actuel se situe donc en zone basse de sa distribution. L'écart-type de 854 FCFA et le coefficient de variation de 2,2% traduisent une dispersion très faible, signe d'un titre peu agité ; le kurtosis de 0,830 (mésokurtique) indique une distribution proche de la normale, sans risque majeur de pics extrêmes. Enfin, la volatilité annualisée de 24,4% positionne SLBC dans la catégorie des titres à volatilité modérée (15-30%), ce qui est rassurant pour un investisseur recherchant stabilité et prévisibilité.</w:t>
      </w:r>
    </w:p>
    <w:p>
      <w:pPr>
        <w:spacing w:after="120" w:line="276" w:lineRule="auto"/>
      </w:pPr>
      <w:r>
        <w:t>---</w:t>
      </w:r>
    </w:p>
    <w:p>
      <w:pPr>
        <w:spacing w:after="120" w:line="276" w:lineRule="auto"/>
      </w:pPr>
      <w:r>
        <w:t>## PARTIE 2 : ANALYSE TECHNIQUE DÉTAILLÉE</w:t>
      </w:r>
    </w:p>
    <w:p>
      <w:pPr>
        <w:spacing w:after="120" w:line="276" w:lineRule="auto"/>
      </w:pPr>
      <w:r>
        <w:t>**Moyennes Mobiles** : La MM20 (37 787 FCFA) et la MM50 (37 852 FCFA) se situent toutes deux au-dessus du cours actuel (37 000 FCFA), avec la MM20 légèrement sous la MM50, signalant une configuration baissière de court terme. Le cours évoluant sous ses deux moyennes, la décision technique est logiquement **Vente**, confirmant la pression vendeuse actuelle.</w:t>
      </w:r>
    </w:p>
    <w:p>
      <w:pPr>
        <w:spacing w:after="120" w:line="276" w:lineRule="auto"/>
      </w:pPr>
      <w:r>
        <w:t>**Bandes de Bollinger** : Le cours (37 000 FCFA) se situe sous la borne inférieure (37 173,576 FCFA), ce qui constitue un signal classique de survente et de possible rebond technique. La décision associée est **Achat**, car un cours sortant par le bas des bandes tend à revenir vers la moyenne mobile centrale.</w:t>
      </w:r>
    </w:p>
    <w:p>
      <w:pPr>
        <w:spacing w:after="120" w:line="276" w:lineRule="auto"/>
      </w:pPr>
      <w:r>
        <w:t>**MACD** : La valeur du MACD (-91,717) est nettement inférieure à son signal (-22,402), avec un histogramme négatif, traduisant un momentum baissier persistant. La décision est **Vente**, le croisement baissier n'étant pas encore inversé.</w:t>
      </w:r>
    </w:p>
    <w:p>
      <w:pPr>
        <w:spacing w:after="120" w:line="276" w:lineRule="auto"/>
      </w:pPr>
      <w:r>
        <w:t>**RSI** : À 19,732, le RSI est largement en zone de survente (seuil &lt;30), un niveau extrême qui précède souvent un rebond technique. La décision est **Achat**, le titre étant statistiquement survendu.</w:t>
      </w:r>
    </w:p>
    <w:p>
      <w:pPr>
        <w:spacing w:after="120" w:line="276" w:lineRule="auto"/>
      </w:pPr>
      <w:r>
        <w:t>**Stochastique** : Le %K et le %D sont tous deux à 0,0, indiquant une survente maximale et un possible épuisement de la dynamique baissière. La décision est **Achat**, un croisement haussier pouvant se produire à tout moment depuis cette zone basse.</w:t>
      </w:r>
    </w:p>
    <w:p>
      <w:pPr>
        <w:spacing w:after="120" w:line="276" w:lineRule="auto"/>
      </w:pPr>
      <w:r>
        <w:t>**Conclusion technique** : Les indicateurs présentent une divergence marquée : les moyennes mobiles et le MACD confirment la tendance baissière en cours, tandis que le RSI (19,7), le stochastique (0,0) et les bandes de Bollinger (cours sous la borne inférieure) signalent une survente extrême propice à un rebond. Cette configuration suggère que la pression vendeuse touche à son terme et qu'un retournement technique haussier est probable à court terme, bien que la confirmation par un croisement du MACD reste nécessaire.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SLBC a réalisé un chiffre d'affaires de 378,123 milliards FCFA, en croissance de 22,08% par rapport à 2024, portée par une hausse des volumes distribués. Le résultat net s'établit à 45,781 milliards FCFA, avec une marge nette de 12,11% (contre 6,9% en 2024), un ROE exceptionnel de 23,46% et un ROA de 13,48%, confirmant une rentabilité capitalistique de premier ordre. La structure financière est saine : autonomie financière de 57,48%, ratio d'endettement de 42,52%, capacité de remboursement de 0,67 an (dette financière/CAF) et couverture des intérêts de 3 374%, traduisant un endettement très maîtrisé. En tant qu'entreprise industrielle, les délais d'exploitation méritent attention : délai clients de 64,27 jours (risque de trésorerie modéré), délai fournisseurs de 76,82 jours (favorable à la trésorerie) et durée de stockage de 117,32 jours (immobilisation de capital significative). Le BFR de 61,587 milliards FCFA et le fonds de roulement de 83,689 milliards FCFA assurent une liquidité générale de 195%, bien au-dessus du seuil de 1.</w:t>
      </w:r>
    </w:p>
    <w:p>
      <w:pPr>
        <w:spacing w:after="120" w:line="276" w:lineRule="auto"/>
      </w:pPr>
      <w:r>
        <w:t>**Estimations basées sur les rapports trimestriels** : Le rapport T1 2026 (publié en 2026) confirme la dynamique avec un chiffre d'affaires de 93,46 milliards FCFA (+7,6%), un volume distribué de 1,839 million d'hectolitres (+9,6%) et un résultat net de 16,26 milliards FCFA (+4,8%), soit une marge nette de 17,4%. Sur cette base, on peut estimer que l'exercice 2026 devrait maintenir une croissance à deux chiffres du chiffre d'affaires (autour de +8-10%) et un résultat net annuel supérieur à 50 milliards FCFA, confirmant la solidité du modèle. Le rapport annuel 2025 (analysé par DeepSeek le 20/05/2026) souligne une politique de dividende très généreuse avec un dividende brut unitaire proposé de 2 127 FCFA par action (payout de 76,5%), offrant un rendement attractif au cours actuel de 37 000 FCFA (environ 5,75%). Les rapports antérieurs (2023, 2024) montrent une nette amélioration : le résultat net est passé de 15,078 milliards FCFA en 2023 à 21,472 milliards en 2024, puis à 45,781 milliards en 2025, soit une multiplication par trois en deux ans.</w:t>
      </w:r>
    </w:p>
    <w:p>
      <w:pPr>
        <w:spacing w:after="120" w:line="276" w:lineRule="auto"/>
      </w:pPr>
      <w:r>
        <w:t>**Recommandation fondamentale** : SLBC présente des fondamentaux exceptionnels avec une croissance forte, une rentabilité élevée (ROE &gt;23%), un bilan solide et une politique de dividende attractive. Les principaux risques identifiés sont la dépendance aux matières premières (90 milliards FCFA d'achats exposés à la volatilité des prix), la concentration géographique sur le marché ivoirien et un taux de distribution élevé (76,5%) qui limite l'autofinancement. Néanmoins, la position de leader, la dynamique commerciale confirmée au T1 2026 et la solidité financière justifient une recommandation fondamentale **ACHAT** pour un investisseur de long terme.</w:t>
      </w:r>
    </w:p>
    <w:p>
      <w:pPr>
        <w:spacing w:after="120" w:line="276" w:lineRule="auto"/>
      </w:pPr>
      <w:r>
        <w:t>---</w:t>
      </w:r>
    </w:p>
    <w:p>
      <w:pPr>
        <w:spacing w:after="120" w:line="276" w:lineRule="auto"/>
      </w:pPr>
      <w:r>
        <w:t>## PARTIE 4 : CONCLUSION D'INVESTISSEMENT</w:t>
      </w:r>
    </w:p>
    <w:p>
      <w:pPr>
        <w:spacing w:after="120" w:line="276" w:lineRule="auto"/>
      </w:pPr>
      <w:r>
        <w:t>La valorisation de SLBC (Partie 0) apparaît raisonnable, voire légèrement sous-évaluée au regard de la croissance : le PER de 13,3x est modéré pour une entreprise dont le résultat net a doublé en 2025, le P/B de 3,12x est justifié par un ROE de 23,46%, et l'EV/EBITDA de 7,2x reste dans la fourchette basse du secteur. Le comportement du cours (Partie 1) montre une correction modérée (-1,33% sur 100 jours) avec une volatilité faible (CV de 2,2%) et une distribution proche de la normale (kurtosis 0,830), le titre se situant près de son plus bas annuel (36 900 FCFA), ce qui limite le risque de baisse supplémentaire. Les signaux techniques (Partie 2) sont divergents : les moyennes mobiles et le MACD sont baissiers, mais le RSI (19,7), le stochastique (0,0) et les bandes de Bollinger (cours sous la borne inférieure) indiquent une survente extrême propice à un rebond imminent. Les fondamentaux (Partie 3) sont excellents : croissance du CA de +22% en 2025, résultat net de 45,78 milliards FCFA, ROE de 23,46%, dividende de 2 127 FCFA/action (rendement ~5,75%) et confirmation de la dynamique au T1 2026 (+7,6% de CA, +4,8% de résultat net). Les prédictions IA (J+1 à J+10) anticipent une trajectoire haussière de 37 697 FCFA à 38 343 FCFA, soit une progression de +3,6% sur 10 jours, ce qui confirme le rebond technique attendu et contredit la tendance baissière de court terme.</w:t>
      </w:r>
    </w:p>
    <w:p>
      <w:pPr>
        <w:spacing w:after="120" w:line="276" w:lineRule="auto"/>
      </w:pPr>
      <w:r>
        <w:t>**Recommandation finale : ACHAT**</w:t>
        <w:br/>
        <w:t>La convergence entre une valorisation raisonnable, des fondamentaux exceptionnels, une survente technique extrême et des prédictions haussières justifie une recommandation d'ACHAT. Le niveau de confiance est **Élevé** (fondamentaux solides, dividende attractif, dynamique confirmée), et le niveau de risque global est **Moyen** (volatilité modérée, dépendance aux matières premières, concentration géographique). L'horizon d'investissement optimal est le **moyen à long terme (6 mois à 1 an)**, afin de profiter à la fois du rebond technique, de la croissance bénéficiaire et du rendement du dividende.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1,657 titres</w:t>
            </w:r>
          </w:p>
        </w:tc>
        <w:tc>
          <w:tcPr>
            <w:tcW w:type="dxa" w:w="2268"/>
            <w:shd w:fill="FFF2CC" w:val="clear"/>
          </w:tcPr>
          <w:p>
            <w:r>
              <w:rPr>
                <w:b/>
                <w:color w:val="503200"/>
                <w:sz w:val="16"/>
              </w:rPr>
              <w:t xml:space="preserve">Cours actuel : </w:t>
            </w:r>
            <w:r>
              <w:rPr>
                <w:color w:val="000000"/>
                <w:sz w:val="17"/>
              </w:rPr>
              <w:t>16,410 FCFA</w:t>
            </w:r>
          </w:p>
          <w:p>
            <w:r>
              <w:rPr>
                <w:b/>
                <w:color w:val="503200"/>
                <w:sz w:val="16"/>
              </w:rPr>
              <w:t xml:space="preserve">Var. 100 jours : </w:t>
            </w:r>
            <w:r>
              <w:rPr>
                <w:b/>
                <w:color w:val="007800"/>
                <w:sz w:val="17"/>
              </w:rPr>
              <w:t>+36.81%</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11,995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10.16% (Moyenne) — μ=15,936 FCFA, σ=1,618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β=0.5363 (Défensif) — Cov=0.000037, Var(idx)=0.000068, ρ=0.167,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15,254</w:t>
            </w:r>
          </w:p>
        </w:tc>
        <w:tc>
          <w:tcPr>
            <w:tcW w:type="dxa" w:w="1440"/>
            <w:shd w:fill="FAFAFA" w:val="clear"/>
          </w:tcPr>
          <w:p>
            <w:r>
              <w:rPr>
                <w:b/>
                <w:sz w:val="17"/>
              </w:rPr>
              <w:t>16,281</w:t>
            </w:r>
          </w:p>
        </w:tc>
        <w:tc>
          <w:tcPr>
            <w:tcW w:type="dxa" w:w="1440"/>
            <w:shd w:fill="FAFAFA" w:val="clear"/>
          </w:tcPr>
          <w:p>
            <w:r>
              <w:rPr>
                <w:sz w:val="17"/>
              </w:rPr>
              <w:t>17,308</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14,987</w:t>
            </w:r>
          </w:p>
        </w:tc>
        <w:tc>
          <w:tcPr>
            <w:tcW w:type="dxa" w:w="1440"/>
            <w:shd w:fill="FAFAFA" w:val="clear"/>
          </w:tcPr>
          <w:p>
            <w:r>
              <w:rPr>
                <w:b/>
                <w:sz w:val="17"/>
              </w:rPr>
              <w:t>16,241</w:t>
            </w:r>
          </w:p>
        </w:tc>
        <w:tc>
          <w:tcPr>
            <w:tcW w:type="dxa" w:w="1440"/>
            <w:shd w:fill="FAFAFA" w:val="clear"/>
          </w:tcPr>
          <w:p>
            <w:r>
              <w:rPr>
                <w:sz w:val="17"/>
              </w:rPr>
              <w:t>17,496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14,760</w:t>
            </w:r>
          </w:p>
        </w:tc>
        <w:tc>
          <w:tcPr>
            <w:tcW w:type="dxa" w:w="1440"/>
            <w:shd w:fill="FAFAFA" w:val="clear"/>
          </w:tcPr>
          <w:p>
            <w:r>
              <w:rPr>
                <w:b/>
                <w:sz w:val="17"/>
              </w:rPr>
              <w:t>16,206</w:t>
            </w:r>
          </w:p>
        </w:tc>
        <w:tc>
          <w:tcPr>
            <w:tcW w:type="dxa" w:w="1440"/>
            <w:shd w:fill="FAFAFA" w:val="clear"/>
          </w:tcPr>
          <w:p>
            <w:r>
              <w:rPr>
                <w:sz w:val="17"/>
              </w:rPr>
              <w:t>17,652</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14,559</w:t>
            </w:r>
          </w:p>
        </w:tc>
        <w:tc>
          <w:tcPr>
            <w:tcW w:type="dxa" w:w="1440"/>
            <w:shd w:fill="FAFAFA" w:val="clear"/>
          </w:tcPr>
          <w:p>
            <w:r>
              <w:rPr>
                <w:b/>
                <w:sz w:val="17"/>
              </w:rPr>
              <w:t>16,172</w:t>
            </w:r>
          </w:p>
        </w:tc>
        <w:tc>
          <w:tcPr>
            <w:tcW w:type="dxa" w:w="1440"/>
            <w:shd w:fill="FAFAFA" w:val="clear"/>
          </w:tcPr>
          <w:p>
            <w:r>
              <w:rPr>
                <w:sz w:val="17"/>
              </w:rPr>
              <w:t>17,785</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14,375</w:t>
            </w:r>
          </w:p>
        </w:tc>
        <w:tc>
          <w:tcPr>
            <w:tcW w:type="dxa" w:w="1440"/>
            <w:shd w:fill="FAFAFA" w:val="clear"/>
          </w:tcPr>
          <w:p>
            <w:r>
              <w:rPr>
                <w:b/>
                <w:sz w:val="17"/>
              </w:rPr>
              <w:t>16,138</w:t>
            </w:r>
          </w:p>
        </w:tc>
        <w:tc>
          <w:tcPr>
            <w:tcW w:type="dxa" w:w="1440"/>
            <w:shd w:fill="FAFAFA" w:val="clear"/>
          </w:tcPr>
          <w:p>
            <w:r>
              <w:rPr>
                <w:sz w:val="17"/>
              </w:rPr>
              <w:t>17,901</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14,204</w:t>
            </w:r>
          </w:p>
        </w:tc>
        <w:tc>
          <w:tcPr>
            <w:tcW w:type="dxa" w:w="1440"/>
            <w:shd w:fill="FAFAFA" w:val="clear"/>
          </w:tcPr>
          <w:p>
            <w:r>
              <w:rPr>
                <w:b/>
                <w:sz w:val="17"/>
              </w:rPr>
              <w:t>16,105</w:t>
            </w:r>
          </w:p>
        </w:tc>
        <w:tc>
          <w:tcPr>
            <w:tcW w:type="dxa" w:w="1440"/>
            <w:shd w:fill="FAFAFA" w:val="clear"/>
          </w:tcPr>
          <w:p>
            <w:r>
              <w:rPr>
                <w:sz w:val="17"/>
              </w:rPr>
              <w:t>18,005</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14,044</w:t>
            </w:r>
          </w:p>
        </w:tc>
        <w:tc>
          <w:tcPr>
            <w:tcW w:type="dxa" w:w="1440"/>
            <w:shd w:fill="FFDCE0" w:val="clear"/>
          </w:tcPr>
          <w:p>
            <w:r>
              <w:rPr>
                <w:b/>
                <w:sz w:val="17"/>
              </w:rPr>
              <w:t>16,072</w:t>
            </w:r>
          </w:p>
        </w:tc>
        <w:tc>
          <w:tcPr>
            <w:tcW w:type="dxa" w:w="1440"/>
            <w:shd w:fill="FFDCE0" w:val="clear"/>
          </w:tcPr>
          <w:p>
            <w:r>
              <w:rPr>
                <w:sz w:val="17"/>
              </w:rPr>
              <w:t>18,100</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13,894</w:t>
            </w:r>
          </w:p>
        </w:tc>
        <w:tc>
          <w:tcPr>
            <w:tcW w:type="dxa" w:w="1440"/>
            <w:shd w:fill="FFDCE0" w:val="clear"/>
          </w:tcPr>
          <w:p>
            <w:r>
              <w:rPr>
                <w:b/>
                <w:sz w:val="17"/>
              </w:rPr>
              <w:t>16,040</w:t>
            </w:r>
          </w:p>
        </w:tc>
        <w:tc>
          <w:tcPr>
            <w:tcW w:type="dxa" w:w="1440"/>
            <w:shd w:fill="FFDCE0" w:val="clear"/>
          </w:tcPr>
          <w:p>
            <w:r>
              <w:rPr>
                <w:sz w:val="17"/>
              </w:rPr>
              <w:t>18,186</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13,750</w:t>
            </w:r>
          </w:p>
        </w:tc>
        <w:tc>
          <w:tcPr>
            <w:tcW w:type="dxa" w:w="1440"/>
            <w:shd w:fill="FFDCE0" w:val="clear"/>
          </w:tcPr>
          <w:p>
            <w:r>
              <w:rPr>
                <w:b/>
                <w:sz w:val="17"/>
              </w:rPr>
              <w:t>16,008</w:t>
            </w:r>
          </w:p>
        </w:tc>
        <w:tc>
          <w:tcPr>
            <w:tcW w:type="dxa" w:w="1440"/>
            <w:shd w:fill="FFDCE0" w:val="clear"/>
          </w:tcPr>
          <w:p>
            <w:r>
              <w:rPr>
                <w:sz w:val="17"/>
              </w:rPr>
              <w:t>18,266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127,92 Mds FCFA, SMBC se positionne comme une valeur de taille intermédiaire sur la BRVM, loin des poids lourds bancaires et télécoms mais suffisamment liquide pour intéresser les investisseurs institutionnels régionaux. Le BPA de 1 677 FCFA/action confère au titre un PER de 9,8x, soit un niveau légèrement inférieur à la moyenne du marché BRVM (8-12x), ce qui suggère une valorisation raisonnable voire légèrement sous-évaluée au regard des bénéfices générés. Le P/B de 2,98x indique que le marché valorise l'entreprise à près de trois fois ses fonds propres comptables (42,9 Mds FCFA), traduisant une prime de croissance et de rentabilité (ROE de 30,5%) tout à fait justifiée. Enfin, l'EV/EBITDA de 6,1x, bien positionné dans la fourchette raisonnable de 5-10x, confirme que la valeur d'entreprise reste cohérente avec la capacité opérationnelle de génération de cash, sans exubérance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SMBC affiche une performance remarquable de +36,81%, portée par un fort momentum haussier, bien que la dernière séance (J-1) marque une légère consolidation de -0,55% à 16 410 FCFA. Le range de trading est particulièrement large, avec un plus haut à 18 500 FCFA et un plus bas à 11 995 FCFA, soit une amplitude de plus de 54% qui témoigne d'une forte volatilité intra-période. La moyenne (15 936 FCFA) se situe légèrement en dessous de la médiane (16 405 FCFA) et du mode (16 500 FCFA), ce qui, combiné à un skewness négatif de -0,914, indique une asymétrie vers la gauche : le titre a passé davantage de séances au-dessus de sa moyenne, avec des pics ponctuels à la baisse. L'écart-type de 1 627 FCFA (CV de 10,2%) traduit une dispersion modérée autour de la moyenne, tandis que le kurtosis de -0,059 (mésokurtique) suggère une distribution proche de la normale, sans risque excessif de pics extrêmes. Avec une volatilité annualisée de 41,9%, SMBC se classe dans la catégorie des titres à volatilité élevée (&gt;30%), ce qui implique un risque de marché significatif mais aussi des opportunités de trading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(16 975,75 FCFA) et la MM50 (16 682,40 FCFA) se situent toutes deux au-dessus du cours actuel (16 410 FCFA), ce qui place le titre en position de faiblesse relative à court terme. Cependant, la MM20 reste supérieure à la MM50, maintenant une configuration haussière de fond. La décision « Achat » fournie par l'indicateur suggère que le croisement des moyennes reste favorable, mais le cours doit reconquérir ces niveaux pour confirmer la reprise.</w:t>
      </w:r>
    </w:p>
    <w:p>
      <w:pPr>
        <w:spacing w:after="120" w:line="276" w:lineRule="auto"/>
      </w:pPr>
      <w:r>
        <w:t>**Bandes de Bollinger** : Le cours (16 410 FCFA) évolue dans la partie basse de la bande, entre la borne inférieure (14 694,46 FCFA) et la borne supérieure (19 257,05 FCFA), sans atteindre les extrêmes. Cette position médiane-basse, combinée à une décision « Neutre », indique une absence de signal directionnel fort : le marché est en phase de consolidation après le rallye récent, et une cassure de la borne inférieure ou supérieure serait nécessaire pour valider une tendance.</w:t>
      </w:r>
    </w:p>
    <w:p>
      <w:pPr>
        <w:spacing w:after="120" w:line="276" w:lineRule="auto"/>
      </w:pPr>
      <w:r>
        <w:t>**MACD** : La valeur du MACD (-250,19) est inférieure à son signal (-173,32), confirmant une dynamique baissière à court terme avec un momentum négatif. La décision « Vente » de cet indicateur contraste avec la tendance haussière de fond, signalant une correction en cours qui pourrait se poursuivre à court terme avant un retournement.</w:t>
      </w:r>
    </w:p>
    <w:p>
      <w:pPr>
        <w:spacing w:after="120" w:line="276" w:lineRule="auto"/>
      </w:pPr>
      <w:r>
        <w:t>**RSI** : À 33,79, le RSI se situe dans la zone neutre basse, proche du seuil de survente (30), sans l'atteindre. La décision « Neutre » indique que le titre n'est ni suracheté ni survendu, mais la proximité de la zone de survente suggère qu'une pression vendeuse excessive pourrait créer une opportunité d'achat à court terme.</w:t>
      </w:r>
    </w:p>
    <w:p>
      <w:pPr>
        <w:spacing w:after="120" w:line="276" w:lineRule="auto"/>
      </w:pPr>
      <w:r>
        <w:t>**Stochastique** : Le %K (45,09) et le %D (46,60) évoluent en zone neutre, avec un %K légèrement inférieur au %D, ce qui ne génère pas de signal de croisement clair. La décision « Neutre » confirme l'absence de momentum directionnel fort, le titre étant en phase d'indécision.</w:t>
      </w:r>
    </w:p>
    <w:p>
      <w:pPr>
        <w:spacing w:after="120" w:line="276" w:lineRule="auto"/>
      </w:pPr>
      <w:r>
        <w:t>**Conclusion technique** : Les indicateurs techniques sont majoritairement neutres à baissiers à court terme (MACD vendeur, cours sous les MM, RSI proche de la survente), mais la structure de fond reste haussière (MM20 &gt; MM50, tendance 100 jours positive). Cette divergence suggère une consolidation en cours, avec un potentiel de rebond technique si le RSI franchit la zone de survente ou si le cours reconquiert la MM20. La prudence est de mise à court terme, mais le titre reste techniquement attractif pour un investisseur patient.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206 740 M FCFA, en baisse de -9,74% par rapport à 2024 (229 061 M FCFA), reflétant un environnement de marché difficile marqué par la volatilité des prix pétroliers et un ralentissement des ventes à l'export. Malgré cette contraction, le résultat net progresse spectaculairement de +50,3% à 13 075 M FCFA, porté par une amélioration de la marge nette (6,32% contre 3,8% en 2024) et un EBE en hausse de +41,8% à 18 480 M FCFA. Le ROE s'établit à 30,47% (excellent, &gt;15%) et le ROA à 7,26%, confirmant une rentabilité capitalistique solide. La structure financière reste saine avec des capitaux propres de 42 913 M FCFA (+21,6%), une trésorerie nette positive de 23 988 M FCFA et un ratio d'autonomie financière de 23,84% (légèrement inférieur au seuil de 30% mais en amélioration). Les délais clients (193,75 jours) et fournisseurs (207,07 jours) sont élevés, mais le BFR reste maîtrisé à 1 693 M FCFA, et la capacité de remboursement (0,68 an) est excellente. Les rapports trimestriels 2025 (T1, S1, 9M) confirment cette dynamique : au T1 2025, le CA baissait de -22% mais le résultat net ne reculait que de -7% grâce à l'amélioration des marges de raffinage ; au S1 2025, le CA chutait de -23% mais le résultat net ne baissait que de -7% ; au 9M 2025, le CA reculait de -14% mais le résultat net progressait de +6%. On estime donc que l'exercice 2025 devrait clôturer sur un résultat net autour de 13 Mds FCFA, confirmant la capacité de l'entreprise à protéger sa rentabilité malgré la baisse des volumes. Le principal risque reste la dépendance aux investissements publics en infrastructures routières et la volatilité des prix du bitume, mais la trésorerie solide et la politique de dividende prudente (payout ratio de 41,7% en 2025 contre 107,5% en 2024) offrent une bonne visibilité. La recommandation fondamentale est donc **CONSERVER**, avec un biais positif si la croissance du CA reprend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apparaît raisonnable (PER de 9,8x, EV/EBITDA de 6,1x) malgré une prime sur les fonds propres (P/B de 2,98x) justifiée par un ROE de 30,5%, ce qui plaide pour une sous-évaluation modérée. Le comportement du cours sur 100 jours est haussier (+36,81%) mais la volatilité élevée (41,9%) et le skewness négatif (-0,914) incitent à la prudence, d'autant que la dernière séance est baissière (-0,55%). Les signaux techniques sont divergents : les MM restent haussières de fond mais le MACD est vendeur et le RSI proche de la survente, suggérant une consolidation avant un éventuel rebond. Les fondamentaux sont solides : résultat net en hausse de +50,3% en 2025, ROE de 30,5%, trésorerie nette de 23 988 M FCFA, et les rapports trimestriels 2025 confirment la résilience opérationnelle malgré la baisse du CA. Les prédictions IA (J+1 à J+10) anticipent une légère baisse vers 16 138 FCFA, ce qui confirme la phase de consolidation à court terme sans remettre en cause la tendance haussière de fond. Sur la base de cette synthèse, la recommandation finale est **CONSERVER**, avec un niveau de confiance **Moyen** et un risque global **Moyen**. L'horizon d'investissement optimal est le **moyen terme (3-12 mois)**, en attendant la confirmation d'une reprise du chiffre d'affaires et la dissipation de l'incertitude technique actuelle. Un passage à l'achat serait justifié si le cours reconquiert la MM20 (16 975 FCFA) et si le RSI sort de la zone de survente, avec un objectif de cours à 18 500 FCFA (plus haut 100 jours).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12,724 titres</w:t>
            </w:r>
          </w:p>
        </w:tc>
        <w:tc>
          <w:tcPr>
            <w:tcW w:type="dxa" w:w="2268"/>
            <w:shd w:fill="FFF2CC" w:val="clear"/>
          </w:tcPr>
          <w:p>
            <w:r>
              <w:rPr>
                <w:b/>
                <w:color w:val="503200"/>
                <w:sz w:val="16"/>
              </w:rPr>
              <w:t xml:space="preserve">Cours actuel : </w:t>
            </w:r>
            <w:r>
              <w:rPr>
                <w:color w:val="000000"/>
                <w:sz w:val="17"/>
              </w:rPr>
              <w:t>45,000 FCFA</w:t>
            </w:r>
          </w:p>
          <w:p>
            <w:r>
              <w:rPr>
                <w:b/>
                <w:color w:val="503200"/>
                <w:sz w:val="16"/>
              </w:rPr>
              <w:t xml:space="preserve">Var. 100 jours : </w:t>
            </w:r>
            <w:r>
              <w:rPr>
                <w:b/>
                <w:color w:val="007800"/>
                <w:sz w:val="17"/>
              </w:rPr>
              <w:t>+55.71%</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14.59% (Moyenne) — μ=32,760 FCFA, σ=4,781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β=1.2743 (Agressif) — Cov=0.000087, Var(idx)=0.000068, ρ=0.500,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12,724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41,057</w:t>
            </w:r>
          </w:p>
        </w:tc>
        <w:tc>
          <w:tcPr>
            <w:tcW w:type="dxa" w:w="1440"/>
            <w:shd w:fill="FFDCE0" w:val="clear"/>
          </w:tcPr>
          <w:p>
            <w:r>
              <w:rPr>
                <w:b/>
                <w:sz w:val="17"/>
              </w:rPr>
              <w:t>43,588</w:t>
            </w:r>
          </w:p>
        </w:tc>
        <w:tc>
          <w:tcPr>
            <w:tcW w:type="dxa" w:w="1440"/>
            <w:shd w:fill="FFDCE0" w:val="clear"/>
          </w:tcPr>
          <w:p>
            <w:r>
              <w:rPr>
                <w:sz w:val="17"/>
              </w:rPr>
              <w:t>46,119</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40,442</w:t>
            </w:r>
          </w:p>
        </w:tc>
        <w:tc>
          <w:tcPr>
            <w:tcW w:type="dxa" w:w="1440"/>
            <w:shd w:fill="FFDCE0" w:val="clear"/>
          </w:tcPr>
          <w:p>
            <w:r>
              <w:rPr>
                <w:b/>
                <w:sz w:val="17"/>
              </w:rPr>
              <w:t>43,539</w:t>
            </w:r>
          </w:p>
        </w:tc>
        <w:tc>
          <w:tcPr>
            <w:tcW w:type="dxa" w:w="1440"/>
            <w:shd w:fill="FFDCE0" w:val="clear"/>
          </w:tcPr>
          <w:p>
            <w:r>
              <w:rPr>
                <w:sz w:val="17"/>
              </w:rPr>
              <w:t>46,636</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39,935</w:t>
            </w:r>
          </w:p>
        </w:tc>
        <w:tc>
          <w:tcPr>
            <w:tcW w:type="dxa" w:w="1440"/>
            <w:shd w:fill="FFDCE0" w:val="clear"/>
          </w:tcPr>
          <w:p>
            <w:r>
              <w:rPr>
                <w:b/>
                <w:sz w:val="17"/>
              </w:rPr>
              <w:t>43,509</w:t>
            </w:r>
          </w:p>
        </w:tc>
        <w:tc>
          <w:tcPr>
            <w:tcW w:type="dxa" w:w="1440"/>
            <w:shd w:fill="FFDCE0" w:val="clear"/>
          </w:tcPr>
          <w:p>
            <w:r>
              <w:rPr>
                <w:sz w:val="17"/>
              </w:rPr>
              <w:t>47,082</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39,509</w:t>
            </w:r>
          </w:p>
        </w:tc>
        <w:tc>
          <w:tcPr>
            <w:tcW w:type="dxa" w:w="1440"/>
            <w:shd w:fill="FFDCE0" w:val="clear"/>
          </w:tcPr>
          <w:p>
            <w:r>
              <w:rPr>
                <w:b/>
                <w:sz w:val="17"/>
              </w:rPr>
              <w:t>43,504</w:t>
            </w:r>
          </w:p>
        </w:tc>
        <w:tc>
          <w:tcPr>
            <w:tcW w:type="dxa" w:w="1440"/>
            <w:shd w:fill="FFDCE0" w:val="clear"/>
          </w:tcPr>
          <w:p>
            <w:r>
              <w:rPr>
                <w:sz w:val="17"/>
              </w:rPr>
              <w:t>47,498</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39,136</w:t>
            </w:r>
          </w:p>
        </w:tc>
        <w:tc>
          <w:tcPr>
            <w:tcW w:type="dxa" w:w="1440"/>
            <w:shd w:fill="FFDCE0" w:val="clear"/>
          </w:tcPr>
          <w:p>
            <w:r>
              <w:rPr>
                <w:b/>
                <w:sz w:val="17"/>
              </w:rPr>
              <w:t>43,512</w:t>
            </w:r>
          </w:p>
        </w:tc>
        <w:tc>
          <w:tcPr>
            <w:tcW w:type="dxa" w:w="1440"/>
            <w:shd w:fill="FFDCE0" w:val="clear"/>
          </w:tcPr>
          <w:p>
            <w:r>
              <w:rPr>
                <w:sz w:val="17"/>
              </w:rPr>
              <w:t>47,889</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38,797</w:t>
            </w:r>
          </w:p>
        </w:tc>
        <w:tc>
          <w:tcPr>
            <w:tcW w:type="dxa" w:w="1440"/>
            <w:shd w:fill="FFDCE0" w:val="clear"/>
          </w:tcPr>
          <w:p>
            <w:r>
              <w:rPr>
                <w:b/>
                <w:sz w:val="17"/>
              </w:rPr>
              <w:t>43,526</w:t>
            </w:r>
          </w:p>
        </w:tc>
        <w:tc>
          <w:tcPr>
            <w:tcW w:type="dxa" w:w="1440"/>
            <w:shd w:fill="FFDCE0" w:val="clear"/>
          </w:tcPr>
          <w:p>
            <w:r>
              <w:rPr>
                <w:sz w:val="17"/>
              </w:rPr>
              <w:t>48,255</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38,485</w:t>
            </w:r>
          </w:p>
        </w:tc>
        <w:tc>
          <w:tcPr>
            <w:tcW w:type="dxa" w:w="1440"/>
            <w:shd w:fill="FFDCE0" w:val="clear"/>
          </w:tcPr>
          <w:p>
            <w:r>
              <w:rPr>
                <w:b/>
                <w:sz w:val="17"/>
              </w:rPr>
              <w:t>43,542</w:t>
            </w:r>
          </w:p>
        </w:tc>
        <w:tc>
          <w:tcPr>
            <w:tcW w:type="dxa" w:w="1440"/>
            <w:shd w:fill="FFDCE0" w:val="clear"/>
          </w:tcPr>
          <w:p>
            <w:r>
              <w:rPr>
                <w:sz w:val="17"/>
              </w:rPr>
              <w:t>48,599</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38,192</w:t>
            </w:r>
          </w:p>
        </w:tc>
        <w:tc>
          <w:tcPr>
            <w:tcW w:type="dxa" w:w="1440"/>
            <w:shd w:fill="FFDCE0" w:val="clear"/>
          </w:tcPr>
          <w:p>
            <w:r>
              <w:rPr>
                <w:b/>
                <w:sz w:val="17"/>
              </w:rPr>
              <w:t>43,558</w:t>
            </w:r>
          </w:p>
        </w:tc>
        <w:tc>
          <w:tcPr>
            <w:tcW w:type="dxa" w:w="1440"/>
            <w:shd w:fill="FFDCE0" w:val="clear"/>
          </w:tcPr>
          <w:p>
            <w:r>
              <w:rPr>
                <w:sz w:val="17"/>
              </w:rPr>
              <w:t>48,924</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37,915</w:t>
            </w:r>
          </w:p>
        </w:tc>
        <w:tc>
          <w:tcPr>
            <w:tcW w:type="dxa" w:w="1440"/>
            <w:shd w:fill="FFDCE0" w:val="clear"/>
          </w:tcPr>
          <w:p>
            <w:r>
              <w:rPr>
                <w:b/>
                <w:sz w:val="17"/>
              </w:rPr>
              <w:t>43,573</w:t>
            </w:r>
          </w:p>
        </w:tc>
        <w:tc>
          <w:tcPr>
            <w:tcW w:type="dxa" w:w="1440"/>
            <w:shd w:fill="FFDCE0" w:val="clear"/>
          </w:tcPr>
          <w:p>
            <w:r>
              <w:rPr>
                <w:sz w:val="17"/>
              </w:rPr>
              <w:t>49,231</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SONATEL (SNTS)</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4 500 milliards FCFA, Sonatel s'impose comme la première capitalisation de la BRVM, un statut de « blue chip » régional qui en fait un pilier incontournable de l'indice BRVM Composite. Le BPA de 4 136 FCFA par action traduit une capacité bénéficiaire exceptionnelle, chaque titre générant près de 4 136 FCFA de profit net. Le PER de 10,9x, légèrement supérieur à la moyenne BRVM (~8-12x), reste modéré et signale une valorisation raisonnable, sans exubérance spéculative, d'autant que le titre affiche une progression de +55,71% sur 100 jours. Le P/B de 3,22x indique que le marché valorise l'entreprise à plus de trois fois ses fonds propres comptables (1 399 Mds FCFA), une prime de croissance justifiée par un ROE de 29,56% et un leadership régional incontesté. Enfin, l'EV/EBITDA de 4,7x, inférieur au seuil de 5x, révèle que la valeur d'entreprise reste très bon marché au regard de la capacité opérationnelle (EBE de 932 Mds FCFA), un signal classique de sous-évaluation relative pour un acteur télécom de cette envergure.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 enregistré une variation totale spectaculaire de +55,71%, clôturant à 45 000 FCFA, tandis que la dernière séance (J-1) est restée stable à +0,00%, suggérant une pause dans le mouvement haussier. Le range de trading est particulièrement large, avec un plus bas à 27 160 FCFA et un plus haut à 45 000 FCFA — le cours actuel évolue donc exactement sur son sommet, ce qui traduit une tendance résolument haussière et une forte pression acheteuse. Les statistiques descriptives révèlent une moyenne de 32 760 FCFA nettement supérieure à la médiane de 31 002 FCFA et au mode de 31 000 FCFA, confirmant une distribution asymétrique avec une accélération récente du cours vers le haut. L'écart-type de 4 805 FCFA (CV = 14,7%) indique une dispersion modérée, cohérente avec un titre liquide et suivi. Le kurtosis de -0,317 (mésokurtique) suggère une distribution proche de la normale, sans risque excessif de pics extrêmes, tandis que le skewness de +0,966 (asymétrie positive) signale que la majorité des journées se sont situées sous la moyenne, avec quelques séances de forte hausse tirant le cours vers le haut. La volatilité annualisée de 33,3% positionne SNTS dans la catégorie des titres à volatilité élevée (&gt;30%), ce qui implique un risque de correction non négligeable après un rallye aussi vertical.</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40 878,75 FCFA et la MM50 à 36 272,2 FCFA, toutes deux nettement inférieures au cours actuel de 45 000 FCFA. Cette configuration en « golden cross » (MM20 &gt; MM50) avec un cours surplombant les deux moyennes confirme une dynamique haussière solide et justifie la décision d'**Achat**. Toutefois, l'écart important entre le cours et la MM20 (+10,1%) suggère un risque de retour à la moyenne à court terme.</w:t>
      </w:r>
    </w:p>
    <w:p>
      <w:pPr>
        <w:spacing w:after="120" w:line="276" w:lineRule="auto"/>
      </w:pPr>
      <w:r>
        <w:t>**Bandes de Bollinger** : La borne supérieure se situe à 45 152,79 FCFA et la borne inférieure à 36 604,71 FCFA, avec un cours actuel de 45 000 FCFA évoluant pratiquement sur la bande supérieure. Cette position extrême indique une volatilité élevée et un potentiel de surachat, justifiant la décision **Neutre** — le titre est à un point d'inflexion où une consolidation ou un repli est statistiquement probable.</w:t>
      </w:r>
    </w:p>
    <w:p>
      <w:pPr>
        <w:spacing w:after="120" w:line="276" w:lineRule="auto"/>
      </w:pPr>
      <w:r>
        <w:t>**MACD** : Le MACD affiche une valeur de 2 241,664 contre un signal de 2 024,339, soit une divergence positive de +217 points. Le momentum reste haussier et la position du MACD au-dessus de sa ligne de signal confirme la décision d'**Achat**, bien que l'ampleur de l'écart commence à suggérer un essoufflement potentiel du mouvement.</w:t>
      </w:r>
    </w:p>
    <w:p>
      <w:pPr>
        <w:spacing w:after="120" w:line="276" w:lineRule="auto"/>
      </w:pPr>
      <w:r>
        <w:t>**RSI** : Avec une valeur de 81,543, le RSI se situe largement au-dessus du seuil de surachat de 70, déclenchant une décision de **Vente**. Ce niveau extrême indique que le titre est techniquement surchauffé et qu'une correction ou une phase de consolidation est probable à court terme, même si la tendance de fond reste haussière.</w:t>
      </w:r>
    </w:p>
    <w:p>
      <w:pPr>
        <w:spacing w:after="120" w:line="276" w:lineRule="auto"/>
      </w:pPr>
      <w:r>
        <w:t>**Stochastique** : Le %K atteint 100,0 et le %D 99,96, tous deux collés au plafond de la zone de surachat. Cette configuration extrême, avec un croisement imminent possible, confirme la décision de **Vente** et renforce le signal d'épuisement du mouvement haussier à très court terme.</w:t>
      </w:r>
    </w:p>
    <w:p>
      <w:pPr>
        <w:spacing w:after="120" w:line="276" w:lineRule="auto"/>
      </w:pPr>
      <w:r>
        <w:t>**Conclusion technique** : Les indicateurs présentent une divergence classique : les moyennes mobiles et le MACD confirment la tendance haussière de fond (Achat), tandis que le RSI (81,5) et le stochastique (100/99,96) signalent un surachat extrême (Vente). Les Bandes de Bollinger en position neutre traduisent cette tension. La convergence des signaux de surachat suggère qu'une consolidation est imminente, sans remettre en cause la tendance haussière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 réalisé un chiffre d'affaires consolidé de 1 923,122 milliards FCFA, en croissance de +8,26% sur un an, porté par la Data mobile, le Fixe Broadband et Orange Money. Le résultat net s'établit à 413,588 milliards FCFA, soit une marge nette de 21,51%, tandis que le ROE atteint 29,56% (excellent, &gt;15%) et le ROA 12,65%, confirmant une rentabilité exceptionnelle. La marge brute de 67,03% et la marge opérationnelle de 34,83% témoignent d'une maîtrise remarquable des coûts. En tant qu'entreprise non bancaire, les délais d'exploitation sont particulièrement favorables : le délai fournisseurs de 201,39 jours (financement gratuit par les fournisseurs) contraste avec un délai clients de 46,16 jours, générant un BFR négatif de -284,906 Mds FCFA — un signal de trésorerie très positif. La structure financière est saine avec une autonomie financière de 42,79%, un ratio d'endettement de 57,21% et une capacité de remboursement de 0,64 an (dette financière/CAF), tandis que la couverture des intérêts atteint 2 744,71%. La trésorerie nette de 536,105 Mds FCFA et le Free Cash Flow de 408,087 Mds FCFA renforcent la solidité du bilan (total actif : 3 270,175 Mds FCFA).</w:t>
      </w:r>
    </w:p>
    <w:p>
      <w:pPr>
        <w:spacing w:after="120" w:line="276" w:lineRule="auto"/>
      </w:pPr>
      <w:r>
        <w:t>**Évolution temporelle et estimations** : Les rapports trimestriels confirment la trajectoire. Le rapport du **T1 2025 (31/03/2025)** indiquait un résultat net de 108,4 Mds FCFA (+14,9%) et une marge EBITDAaL de 46,9%. Le **S1 2025 (30/06/2025)** affichait un CA de 960,2 Mds FCFA (+9,4%) et un résultat net de 208,1 Mds FCFA (+8,0%). Le **T3 2025 (30/09/2025)** confirmait un CA 9M de 1 432,5 Mds FCFA (+8,6%) et un résultat net de 311 Mds FCFA (+8,0%). Plus récemment, le **communiqué du S1 2026 (27/07/2026)** révèle un CA de 1 049,8 Mds FCFA (+9,3%) et un résultat net de 230 Mds FCFA (+10,5%), avec une notation relevée à **AAA (wu)** par GCR Ratings et l'obtention de licences 5G en Guinée-Bissau et Sierra Leone. Sur cette base, on estime que l'exercice 2026 devrait afficher une croissance du CA d'environ +9% (soit ~2 096 Mds FCFA) et un résultat net proche de 450 Mds FCFA (+8,8%), confirmant la résilience du modèle malgré les pressions fiscales et concurrentielles.</w:t>
      </w:r>
    </w:p>
    <w:p>
      <w:pPr>
        <w:spacing w:after="120" w:line="276" w:lineRule="auto"/>
      </w:pPr>
      <w:r>
        <w:t>**Recommandation fondamentale** : Sonatel présente une solidité financière exceptionnelle, une rentabilité élevée et une croissance soutenue. Le dividende proposé de 1 933 FCFA brut (1 740 FCFA net, rendement ~3,9% au cours actuel) et la notation AAA renforcent l'attrait. Les risques identifiés — pression fiscale, concurrence sur le Mobile Money, instabilité géopolitique au Mali — demeurent des points de vigilance, mais n'entament pas la qualité fondamentale du titre.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**Sur le plan de la valorisation (Partie 0)**, les ratios PER (10,9x), P/B (3,22x) et surtout EV/EBITDA (4,7x) indiquent que le titre n'est pas surévalué malgré son rallye, l'EV/EBITDA inférieur à 5x signalant même une sous-évaluation relative. **Le comportement du cours (Partie 1)** est haussier (+55,71%) mais affiche des signes de tension : skewness positive (+0,966) et volatilité élevée (33,3%) suggèrent une correction possible après un tel mouvement. **Les signaux techniques (Partie 2)** sont divergents : les moyennes mobiles et le MACD confirment l'achat, mais le RSI (81,5) et le stochastique (100/99,96) en surachat extrême plaident pour une vente à court terme. **Les fondamentaux (Partie 3)** sont excellents : ROE de 29,56%, BFR négatif, trésorerie nette de 536 Mds FCFA, notation AAA et croissance estimée à +9% en 2026. **Les prédictions IA (J+1 à J+10)** anticipent une légère consolidation vers 43 500-43 600 FCFA (-3,2% par rapport au cours actuel), confirmant la thèse d'un essoufflement technique à court terme.</w:t>
      </w:r>
    </w:p>
    <w:p>
      <w:pPr>
        <w:spacing w:after="120" w:line="276" w:lineRule="auto"/>
      </w:pPr>
      <w:r>
        <w:t>**Recommandation finale : CONSERVER** — Le titre présente une convergence favorable entre valorisation attractive, fondamentaux solides et tendance haussière de fond, mais la divergence des indicateurs techniques (surachat extrême) et les prédictions IA baissières à court terme incitent à la prudence. Les investisseurs déjà positionnés devraient conserver leurs titres en profitant du dividende de 1 740 FCFA net (rendement ~3,9%), tandis que les nouveaux entrants attendraient une consolidation vers 40 000-41 000 FCFA (zone de la MM20) pour se positionner. **Niveau de confiance : Moyen** (fondamentaux solides mais timing technique défavorable). **Niveau de risque global : Moyen** (volatilité élevée mais qualité fondamentale exceptionnelle). **Horizon d'investissement optimal : Moyen terme (3-12 mois)**, le temps que la consolidation technique s'achève et que la croissance bénéficiaire se matérialise.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171.52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5,295 titres</w:t>
            </w:r>
          </w:p>
        </w:tc>
        <w:tc>
          <w:tcPr>
            <w:tcW w:type="dxa" w:w="2268"/>
            <w:shd w:fill="FFF2CC" w:val="clear"/>
          </w:tcPr>
          <w:p>
            <w:r>
              <w:rPr>
                <w:b/>
                <w:color w:val="503200"/>
                <w:sz w:val="16"/>
              </w:rPr>
              <w:t xml:space="preserve">Cours actuel : </w:t>
            </w:r>
            <w:r>
              <w:rPr>
                <w:color w:val="000000"/>
                <w:sz w:val="17"/>
              </w:rPr>
              <w:t>7,940 FCFA</w:t>
            </w:r>
          </w:p>
          <w:p>
            <w:r>
              <w:rPr>
                <w:b/>
                <w:color w:val="503200"/>
                <w:sz w:val="16"/>
              </w:rPr>
              <w:t xml:space="preserve">Var. 100 jours : </w:t>
            </w:r>
            <w:r>
              <w:rPr>
                <w:b/>
                <w:color w:val="007800"/>
                <w:sz w:val="17"/>
              </w:rPr>
              <w:t>+7.44%</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4.61% (Faible) — μ=8,068 FCFA, σ=372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β=0.9346 (Neutre (suit le marché)) — Cov=0.000064, Var(idx)=0.000068, ρ=0.294,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7,347</w:t>
            </w:r>
          </w:p>
        </w:tc>
        <w:tc>
          <w:tcPr>
            <w:tcW w:type="dxa" w:w="1440"/>
            <w:shd w:fill="FAFAFA" w:val="clear"/>
          </w:tcPr>
          <w:p>
            <w:r>
              <w:rPr>
                <w:b/>
                <w:sz w:val="17"/>
              </w:rPr>
              <w:t>7,886</w:t>
            </w:r>
          </w:p>
        </w:tc>
        <w:tc>
          <w:tcPr>
            <w:tcW w:type="dxa" w:w="1440"/>
            <w:shd w:fill="FAFAFA" w:val="clear"/>
          </w:tcPr>
          <w:p>
            <w:r>
              <w:rPr>
                <w:sz w:val="17"/>
              </w:rPr>
              <w:t>8,425</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7,203</w:t>
            </w:r>
          </w:p>
        </w:tc>
        <w:tc>
          <w:tcPr>
            <w:tcW w:type="dxa" w:w="1440"/>
            <w:shd w:fill="FAFAFA" w:val="clear"/>
          </w:tcPr>
          <w:p>
            <w:r>
              <w:rPr>
                <w:b/>
                <w:sz w:val="17"/>
              </w:rPr>
              <w:t>7,861</w:t>
            </w:r>
          </w:p>
        </w:tc>
        <w:tc>
          <w:tcPr>
            <w:tcW w:type="dxa" w:w="1440"/>
            <w:shd w:fill="FAFAFA" w:val="clear"/>
          </w:tcPr>
          <w:p>
            <w:r>
              <w:rPr>
                <w:sz w:val="17"/>
              </w:rPr>
              <w:t>8,519</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7,080</w:t>
            </w:r>
          </w:p>
        </w:tc>
        <w:tc>
          <w:tcPr>
            <w:tcW w:type="dxa" w:w="1440"/>
            <w:shd w:fill="FAFAFA" w:val="clear"/>
          </w:tcPr>
          <w:p>
            <w:r>
              <w:rPr>
                <w:b/>
                <w:sz w:val="17"/>
              </w:rPr>
              <w:t>7,838</w:t>
            </w:r>
          </w:p>
        </w:tc>
        <w:tc>
          <w:tcPr>
            <w:tcW w:type="dxa" w:w="1440"/>
            <w:shd w:fill="FAFAFA" w:val="clear"/>
          </w:tcPr>
          <w:p>
            <w:r>
              <w:rPr>
                <w:sz w:val="17"/>
              </w:rPr>
              <w:t>8,596</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6,971</w:t>
            </w:r>
          </w:p>
        </w:tc>
        <w:tc>
          <w:tcPr>
            <w:tcW w:type="dxa" w:w="1440"/>
            <w:shd w:fill="FAFAFA" w:val="clear"/>
          </w:tcPr>
          <w:p>
            <w:r>
              <w:rPr>
                <w:b/>
                <w:sz w:val="17"/>
              </w:rPr>
              <w:t>7,816</w:t>
            </w:r>
          </w:p>
        </w:tc>
        <w:tc>
          <w:tcPr>
            <w:tcW w:type="dxa" w:w="1440"/>
            <w:shd w:fill="FAFAFA" w:val="clear"/>
          </w:tcPr>
          <w:p>
            <w:r>
              <w:rPr>
                <w:sz w:val="17"/>
              </w:rPr>
              <w:t>8,661</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6,872</w:t>
            </w:r>
          </w:p>
        </w:tc>
        <w:tc>
          <w:tcPr>
            <w:tcW w:type="dxa" w:w="1440"/>
            <w:shd w:fill="FAFAFA" w:val="clear"/>
          </w:tcPr>
          <w:p>
            <w:r>
              <w:rPr>
                <w:b/>
                <w:sz w:val="17"/>
              </w:rPr>
              <w:t>7,795</w:t>
            </w:r>
          </w:p>
        </w:tc>
        <w:tc>
          <w:tcPr>
            <w:tcW w:type="dxa" w:w="1440"/>
            <w:shd w:fill="FAFAFA" w:val="clear"/>
          </w:tcPr>
          <w:p>
            <w:r>
              <w:rPr>
                <w:sz w:val="17"/>
              </w:rPr>
              <w:t>8,718</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6,780</w:t>
            </w:r>
          </w:p>
        </w:tc>
        <w:tc>
          <w:tcPr>
            <w:tcW w:type="dxa" w:w="1440"/>
            <w:shd w:fill="FFDCE0" w:val="clear"/>
          </w:tcPr>
          <w:p>
            <w:r>
              <w:rPr>
                <w:b/>
                <w:sz w:val="17"/>
              </w:rPr>
              <w:t>7,775</w:t>
            </w:r>
          </w:p>
        </w:tc>
        <w:tc>
          <w:tcPr>
            <w:tcW w:type="dxa" w:w="1440"/>
            <w:shd w:fill="FFDCE0" w:val="clear"/>
          </w:tcPr>
          <w:p>
            <w:r>
              <w:rPr>
                <w:sz w:val="17"/>
              </w:rPr>
              <w:t>8,769</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6,695</w:t>
            </w:r>
          </w:p>
        </w:tc>
        <w:tc>
          <w:tcPr>
            <w:tcW w:type="dxa" w:w="1440"/>
            <w:shd w:fill="FFDCE0" w:val="clear"/>
          </w:tcPr>
          <w:p>
            <w:r>
              <w:rPr>
                <w:b/>
                <w:sz w:val="17"/>
              </w:rPr>
              <w:t>7,755</w:t>
            </w:r>
          </w:p>
        </w:tc>
        <w:tc>
          <w:tcPr>
            <w:tcW w:type="dxa" w:w="1440"/>
            <w:shd w:fill="FFDCE0" w:val="clear"/>
          </w:tcPr>
          <w:p>
            <w:r>
              <w:rPr>
                <w:sz w:val="17"/>
              </w:rPr>
              <w:t>8,815</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6,614</w:t>
            </w:r>
          </w:p>
        </w:tc>
        <w:tc>
          <w:tcPr>
            <w:tcW w:type="dxa" w:w="1440"/>
            <w:shd w:fill="FFDCE0" w:val="clear"/>
          </w:tcPr>
          <w:p>
            <w:r>
              <w:rPr>
                <w:b/>
                <w:sz w:val="17"/>
              </w:rPr>
              <w:t>7,736</w:t>
            </w:r>
          </w:p>
        </w:tc>
        <w:tc>
          <w:tcPr>
            <w:tcW w:type="dxa" w:w="1440"/>
            <w:shd w:fill="FFDCE0" w:val="clear"/>
          </w:tcPr>
          <w:p>
            <w:r>
              <w:rPr>
                <w:sz w:val="17"/>
              </w:rPr>
              <w:t>8,858</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6,539</w:t>
            </w:r>
          </w:p>
        </w:tc>
        <w:tc>
          <w:tcPr>
            <w:tcW w:type="dxa" w:w="1440"/>
            <w:shd w:fill="FFDCE0" w:val="clear"/>
          </w:tcPr>
          <w:p>
            <w:r>
              <w:rPr>
                <w:b/>
                <w:sz w:val="17"/>
              </w:rPr>
              <w:t>7,718</w:t>
            </w:r>
          </w:p>
        </w:tc>
        <w:tc>
          <w:tcPr>
            <w:tcW w:type="dxa" w:w="1440"/>
            <w:shd w:fill="FFDCE0" w:val="clear"/>
          </w:tcPr>
          <w:p>
            <w:r>
              <w:rPr>
                <w:sz w:val="17"/>
              </w:rPr>
              <w:t>8,898</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 (Hévéa / Palmier)*</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171,52 milliards FCFA, SOGC s'impose comme une valeur de premier plan de la cote BRVM, représentant un pilier du compartiment agro-industriel régional. Le BPA de 578 FCFA/action signifie que chaque titre génère près de 578 FCFA de bénéfice net, ce qui, rapporté au cours actuel de 7 940 FCFA, donne un PER de 13,7x — légèrement supérieur à la moyenne BRVM (8-12x), traduisant une prime modérée mais justifiée par la qualité des fondamentaux. Le P/B de 2,51x indique que le marché valorise l'entreprise à 2,5 fois ses fonds propres comptables (68,43 Mds FCFA), soit une prime de croissance cohérente avec un ROE de 18,26%. Enfin, l'EV/EBITDA de 7,1x, situé dans la fourchette raisonnable de 5-10x, suggère que la valeur totale de l'entreprise (dette incluse) reste proportionnée à sa capacité opérationnelle, sans exagération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SOGC affiche une variation totale positive de +7,44%, malgré un repli de -1,98% lors de la dernière séance (J-1), signalant une légère consolidation après une phase haussière. Le titre a évolué dans un range de 1 675 FCFA, entre un plus bas de 7 200 FCFA et un plus haut de 8 875 FCFA, le cours actuel (7 940 FCFA) se situant dans la moitié inférieure de cette fourchette, ce qui traduit une tendance globalement haussière mais essoufflée en fin de période. Les statistiques descriptives révèlent une moyenne de 8 068 FCFA supérieure à la médiane de 8 145 FCFA — écart modeste mais confirmant une asymétrie négative (skewness de -0,573), c'est-à-dire davantage de journées de cotation au-dessus de la moyenne, typique d'un titre ayant connu des pics avant de refluer. L'écart-type de 374 FCFA (CV de 4,6%) indique une dispersion relativement contenue du cours autour de sa moyenne, tandis que le kurtosis de -0,361 (mésokurtique) suggère une distribution proche de la normale, sans risque excessif de pics extrêmes. La volatilité annualisée de 41,6% classe toutefois SOGC dans la catégorie des titres à volatilité élevée (&gt;30%), ce qui implique un risque de fluctuation important à court terme,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(7 949,25 FCFA) est légèrement supérieure au cours actuel (7 940 FCFA), tandis que la MM50 (8 067,6 FCFA) se situe nettement au-dessus, confirmant une pression baissière de court terme. Le croisement baissier (MM20 &lt; MM50) et la position du cours sous les deux moyennes justifient la décision technique de **Vente**.</w:t>
      </w:r>
    </w:p>
    <w:p>
      <w:pPr>
        <w:spacing w:after="120" w:line="276" w:lineRule="auto"/>
      </w:pPr>
      <w:r>
        <w:t>**Bandes de Bollinger** : Le cours (7 940 FCFA) évolue dans la partie médiane de la bande, entre la borne inférieure (7 367,82 FCFA) et la borne supérieure (8 530,68 FCFA), sans contact avec les extrêmes. Cette position centrale, couplée à un rétrécissement relatif des bandes, traduit une volatilité en cours de normalisation et justifie la décision **Neutre**.</w:t>
      </w:r>
    </w:p>
    <w:p>
      <w:pPr>
        <w:spacing w:after="120" w:line="276" w:lineRule="auto"/>
      </w:pPr>
      <w:r>
        <w:t>**MACD** : La valeur du MACD (-73,337) est supérieure à son signal (-86,5), générant un croisement haussier bien que les deux lignes restent en territoire négatif. Ce momentum positif naissant, bien que fragile, justifie la décision d'**Achat** technique, à confirmer par un passage au-dessus de zéro.</w:t>
      </w:r>
    </w:p>
    <w:p>
      <w:pPr>
        <w:spacing w:after="120" w:line="276" w:lineRule="auto"/>
      </w:pPr>
      <w:r>
        <w:t>**RSI** : À 46,825, le RSI se situe en zone neutre (30-70), sans signal de surachat (&gt;70) ni de survente (&lt;30). Cette position médiane indique un équilibre entre acheteurs et vendeurs, justifiant la décision **Neutre** et l'absence de pression directionnelle claire.</w:t>
      </w:r>
    </w:p>
    <w:p>
      <w:pPr>
        <w:spacing w:after="120" w:line="276" w:lineRule="auto"/>
      </w:pPr>
      <w:r>
        <w:t>**Stochastique** : Le %K (76,19) est inférieur au %D (82,738), avec un croisement baissier en zone haute (proche de 80), signalant un essoufflement de la dynamique haussière récente. Cette configuration, bien que non extrême, justifie la décision **Neutre** avec un biais prudent.</w:t>
      </w:r>
    </w:p>
    <w:p>
      <w:pPr>
        <w:spacing w:after="120" w:line="276" w:lineRule="auto"/>
      </w:pPr>
      <w:r>
        <w:t>**Conclusion technique** : Les indicateurs présentent une configuration mitigée : le MACD génère un signal d'achat précoce, mais les moyennes mobiles (vente) et le stochastique (croisement baissier) plaident pour la prudence. Le RSI et les Bandes de Bollinger, neutres, confirment l'absence de tendance directionnelle forte. La convergence des signaux reste faible, suggérant une phase de consolidation avant une éventuelle reprise ou correction.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SOGC affiche un chiffre d'affaires de 98,979 milliards FCFA, en croissance de 10,70% par rapport à 2024 (93,52 Mds FCFA selon le rapport annuel 2024), portée par la hausse des prix de l'huile de palme (+20%) et de palmiste (+47%), ainsi que par la progression des volumes de caoutchouc (+9%). Le résultat net s'établit à 12,493 milliards FCFA, en léger repli de 5% par rapport aux 13,11 Mds FCFA de 2024, sous l'effet d'une hausse de 15% des coûts de matières premières (coagulum) qui a comprimé les marges. La rentabilité reste néanmoins solide, avec un ROE de 18,26% (excellent, &gt;15%) et un ROA de 13,84%, confirmant l'efficacité de l'entreprise à générer des profits à partir de ses fonds propres et de ses actifs. La structure financière est remarquablement saine : l'autonomie financière atteint 75,79% (capitaux propres/total bilan), la solvabilité générale est de 413,07%, et la capacité de remboursement est quasi instantanée (0,04 an). Le BFR de 7,124 Mds FCFA, bien que positif, reste maîtrisé, et les délais clients (29,60 jours) et fournisseurs (31,72 jours) sont équilibrés, limitant le risque de trésorerie. La trésorerie nette s'élève à 4,575 Mds FCFA, en amélioration de 3,1 Mds FCFA sur l'exercice, grâce à un flux opérationnel robuste de 22,644 Mds FCFA. Les rapports trimestriels 2025 (T1, S1, 9M) confirment cette dynamique : le CA cumulé à fin septembre 2025 atteint 75,6 Mds FCFA (+21,3%), avec un résultat net de 11,5 Mds FCFA (+39,5%), et une marge nette de 15,3% (vs 13,3% en 2024). On estime donc que l'exercice 2025, bien qu'en légère baisse de résultat net par rapport à 2024, reste solide, avec une marge nette de 12,62% et une génération de cash-flow opérationnel élevée. La principale faiblesse réside dans la politique de distribution très généreuse (dividende brut proposé de 570 FCFA/action, soit un taux de distribution proche de 98% du bénéfice net), qui limite les réinvestissements et expose l'entreprise à une sous-capitalisation à long terme. Les risques identifiés incluent la volatilité des prix des matières premières (caoutchouc, huiles), l'intensification de la concurrence pour l'achat du coagulum, et la dépendance aux conditions climatiques. La recommandation fondamentale est de **CONSERVER** le titre, avec une vigilance accrue sur l'évolution des marges et la politique d'investissement.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SOGC (PER 13,7x, P/B 2,51x, EV/EBITDA 7,1x) indique une juste appréciation du marché, sans sous-évaluation flagrante ni surévaluation spéculative, la prime de croissance étant justifiée par un ROE de 18,26%. Le comportement du cours sur 100 jours (+7,44%) révèle une tendance haussière modérée, mais la volatilité élevée (41,6%) et l'asymétrie négative (skewness -0,573) suggèrent une prudence à court terme, le titre ayant tendance à refluer après ses pics. Les signaux techniques sont mitigés : le MACD génère un signal d'achat précoce, mais les moyennes mobiles (vente) et le stochastique (croisement baissier) plaident pour une consolidation, tandis que le RSI et les Bandes de Bollinger restent neutres. Les fondamentaux demeurent solides (CA 98,98 Mds FCFA, ROE 18,26%, autonomie financière 75,79%), mais le léger repli du résultat net en 2025 (-5%) et la politique de dividende très généreuse (570 FCFA/action) constituent des points de vigilance. Les prédictions IA pour les 10 prochains jours (7 886 → 7 795 FCFA) anticipent une légère tendance baissière, en ligne avec la pression des moyennes mobiles et le croisement baissier du stochastique. Sur la base de cette synthèse, la recommandation finale est de **CONSERVER** le titre, avec un niveau de confiance **Moyen** et un risque global **Moyen**. L'horizon d'investissement optimal est le **moyen terme (3-12 mois)**, en attendant une clarification des signaux techniques et une confirmation de la stabilisation des marges, tout en surveillant l'évolution des prix des matières premières et la politique de distribution de l'entreprise.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4,668 titres</w:t>
            </w:r>
          </w:p>
        </w:tc>
        <w:tc>
          <w:tcPr>
            <w:tcW w:type="dxa" w:w="2268"/>
            <w:shd w:fill="FFF2CC" w:val="clear"/>
          </w:tcPr>
          <w:p>
            <w:r>
              <w:rPr>
                <w:b/>
                <w:color w:val="503200"/>
                <w:sz w:val="16"/>
              </w:rPr>
              <w:t xml:space="preserve">Cours actuel : </w:t>
            </w:r>
            <w:r>
              <w:rPr>
                <w:color w:val="000000"/>
                <w:sz w:val="17"/>
              </w:rPr>
              <w:t>7,890 FCFA</w:t>
            </w:r>
          </w:p>
          <w:p>
            <w:r>
              <w:rPr>
                <w:b/>
                <w:color w:val="503200"/>
                <w:sz w:val="16"/>
              </w:rPr>
              <w:t xml:space="preserve">Var. 100 jours : </w:t>
            </w:r>
            <w:r>
              <w:rPr>
                <w:b/>
                <w:color w:val="007800"/>
                <w:sz w:val="17"/>
              </w:rPr>
              <w:t>+11.91%</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9.76% (Moyenne) — μ=7,857 FCFA, σ=767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β=0.7721 (Défensif) — Cov=0.000053, Var(idx)=0.000068, ρ=0.233,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7,139</w:t>
            </w:r>
          </w:p>
        </w:tc>
        <w:tc>
          <w:tcPr>
            <w:tcW w:type="dxa" w:w="1440"/>
            <w:shd w:fill="FAFAFA" w:val="clear"/>
          </w:tcPr>
          <w:p>
            <w:r>
              <w:rPr>
                <w:b/>
                <w:sz w:val="17"/>
              </w:rPr>
              <w:t>7,784</w:t>
            </w:r>
          </w:p>
        </w:tc>
        <w:tc>
          <w:tcPr>
            <w:tcW w:type="dxa" w:w="1440"/>
            <w:shd w:fill="FAFAFA" w:val="clear"/>
          </w:tcPr>
          <w:p>
            <w:r>
              <w:rPr>
                <w:sz w:val="17"/>
              </w:rPr>
              <w:t>8,428</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6,961</w:t>
            </w:r>
          </w:p>
        </w:tc>
        <w:tc>
          <w:tcPr>
            <w:tcW w:type="dxa" w:w="1440"/>
            <w:shd w:fill="FAFAFA" w:val="clear"/>
          </w:tcPr>
          <w:p>
            <w:r>
              <w:rPr>
                <w:b/>
                <w:sz w:val="17"/>
              </w:rPr>
              <w:t>7,746</w:t>
            </w:r>
          </w:p>
        </w:tc>
        <w:tc>
          <w:tcPr>
            <w:tcW w:type="dxa" w:w="1440"/>
            <w:shd w:fill="FAFAFA" w:val="clear"/>
          </w:tcPr>
          <w:p>
            <w:r>
              <w:rPr>
                <w:sz w:val="17"/>
              </w:rPr>
              <w:t>8,532</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6,809</w:t>
            </w:r>
          </w:p>
        </w:tc>
        <w:tc>
          <w:tcPr>
            <w:tcW w:type="dxa" w:w="1440"/>
            <w:shd w:fill="FFDCE0" w:val="clear"/>
          </w:tcPr>
          <w:p>
            <w:r>
              <w:rPr>
                <w:b/>
                <w:sz w:val="17"/>
              </w:rPr>
              <w:t>7,712</w:t>
            </w:r>
          </w:p>
        </w:tc>
        <w:tc>
          <w:tcPr>
            <w:tcW w:type="dxa" w:w="1440"/>
            <w:shd w:fill="FFDCE0" w:val="clear"/>
          </w:tcPr>
          <w:p>
            <w:r>
              <w:rPr>
                <w:sz w:val="17"/>
              </w:rPr>
              <w:t>8,615</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6,674</w:t>
            </w:r>
          </w:p>
        </w:tc>
        <w:tc>
          <w:tcPr>
            <w:tcW w:type="dxa" w:w="1440"/>
            <w:shd w:fill="FFDCE0" w:val="clear"/>
          </w:tcPr>
          <w:p>
            <w:r>
              <w:rPr>
                <w:b/>
                <w:sz w:val="17"/>
              </w:rPr>
              <w:t>7,679</w:t>
            </w:r>
          </w:p>
        </w:tc>
        <w:tc>
          <w:tcPr>
            <w:tcW w:type="dxa" w:w="1440"/>
            <w:shd w:fill="FFDCE0" w:val="clear"/>
          </w:tcPr>
          <w:p>
            <w:r>
              <w:rPr>
                <w:sz w:val="17"/>
              </w:rPr>
              <w:t>8,684</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6,550</w:t>
            </w:r>
          </w:p>
        </w:tc>
        <w:tc>
          <w:tcPr>
            <w:tcW w:type="dxa" w:w="1440"/>
            <w:shd w:fill="FFDCE0" w:val="clear"/>
          </w:tcPr>
          <w:p>
            <w:r>
              <w:rPr>
                <w:b/>
                <w:sz w:val="17"/>
              </w:rPr>
              <w:t>7,646</w:t>
            </w:r>
          </w:p>
        </w:tc>
        <w:tc>
          <w:tcPr>
            <w:tcW w:type="dxa" w:w="1440"/>
            <w:shd w:fill="FFDCE0" w:val="clear"/>
          </w:tcPr>
          <w:p>
            <w:r>
              <w:rPr>
                <w:sz w:val="17"/>
              </w:rPr>
              <w:t>8,743</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6,436</w:t>
            </w:r>
          </w:p>
        </w:tc>
        <w:tc>
          <w:tcPr>
            <w:tcW w:type="dxa" w:w="1440"/>
            <w:shd w:fill="FFDCE0" w:val="clear"/>
          </w:tcPr>
          <w:p>
            <w:r>
              <w:rPr>
                <w:b/>
                <w:sz w:val="17"/>
              </w:rPr>
              <w:t>7,615</w:t>
            </w:r>
          </w:p>
        </w:tc>
        <w:tc>
          <w:tcPr>
            <w:tcW w:type="dxa" w:w="1440"/>
            <w:shd w:fill="FFDCE0" w:val="clear"/>
          </w:tcPr>
          <w:p>
            <w:r>
              <w:rPr>
                <w:sz w:val="17"/>
              </w:rPr>
              <w:t>8,794</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6,329</w:t>
            </w:r>
          </w:p>
        </w:tc>
        <w:tc>
          <w:tcPr>
            <w:tcW w:type="dxa" w:w="1440"/>
            <w:shd w:fill="FFDCE0" w:val="clear"/>
          </w:tcPr>
          <w:p>
            <w:r>
              <w:rPr>
                <w:b/>
                <w:sz w:val="17"/>
              </w:rPr>
              <w:t>7,585</w:t>
            </w:r>
          </w:p>
        </w:tc>
        <w:tc>
          <w:tcPr>
            <w:tcW w:type="dxa" w:w="1440"/>
            <w:shd w:fill="FFDCE0" w:val="clear"/>
          </w:tcPr>
          <w:p>
            <w:r>
              <w:rPr>
                <w:sz w:val="17"/>
              </w:rPr>
              <w:t>8,840</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6,229</w:t>
            </w:r>
          </w:p>
        </w:tc>
        <w:tc>
          <w:tcPr>
            <w:tcW w:type="dxa" w:w="1440"/>
            <w:shd w:fill="FFDCE0" w:val="clear"/>
          </w:tcPr>
          <w:p>
            <w:r>
              <w:rPr>
                <w:b/>
                <w:sz w:val="17"/>
              </w:rPr>
              <w:t>7,555</w:t>
            </w:r>
          </w:p>
        </w:tc>
        <w:tc>
          <w:tcPr>
            <w:tcW w:type="dxa" w:w="1440"/>
            <w:shd w:fill="FFDCE0" w:val="clear"/>
          </w:tcPr>
          <w:p>
            <w:r>
              <w:rPr>
                <w:sz w:val="17"/>
              </w:rPr>
              <w:t>8,881</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6,133</w:t>
            </w:r>
          </w:p>
        </w:tc>
        <w:tc>
          <w:tcPr>
            <w:tcW w:type="dxa" w:w="1440"/>
            <w:shd w:fill="FFDCE0" w:val="clear"/>
          </w:tcPr>
          <w:p>
            <w:r>
              <w:rPr>
                <w:b/>
                <w:sz w:val="17"/>
              </w:rPr>
              <w:t>7,526</w:t>
            </w:r>
          </w:p>
        </w:tc>
        <w:tc>
          <w:tcPr>
            <w:tcW w:type="dxa" w:w="1440"/>
            <w:shd w:fill="FFDCE0" w:val="clear"/>
          </w:tcPr>
          <w:p>
            <w:r>
              <w:rPr>
                <w:sz w:val="17"/>
              </w:rPr>
              <w:t>8,919</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Agro-industriel**</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201,65 milliards FCFA, SPHC s'impose comme une valeur de premier plan de la cote BRVM, représentant un pilier du compartiment agro-industriel régional. Le BPA de 977 FCFA par action signifie que chaque titre génère près d'un millier de francs de bénéfice net, un niveau de rentabilité par action remarquable pour le marché ouest-africain. Le PER de 8,1x place le titre nettement en dessous de la moyenne BRVM (8-12x), signalant une potentielle sous-évaluation relative aux bénéfices dégagés. Le P/B de 1,46x indique que le marché valorise l'action à une prime modérée de 46% sur sa valeur comptable, ce qui reste raisonnable pour une entreprise affichant un ROE de 18,1%. Enfin, l'EV/EBITDA de 5,1x traduit une valorisation équilibrée de la capacité opérationnelle, bien en deçà du seuil de 10x qui marquerait une surévaluation.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progression totale de +11,91%, bien que la dernière séance (J-1) ait enregistré un repli de -1,31%, portant le cours actuel à 7 890 FCFA. Le titre a évolué dans un range significatif entre un plus bas de 6 850 FCFA et un plus haut de 10 300 FCFA, soit une amplitude de trading de plus de 50%, révélant une forte sensibilité aux annonces de marché. La tendance générale demeure haussière sur la période, mais le repli récent depuis les sommets suggère une phase de consolidation. Les statistiques descriptives révèlent un écart notable entre la moyenne (7 857 FCFA) et la médiane (7 645 FCFA), confirmant une distribution asymétrique où les pics de cours tirent la moyenne vers le haut. L'écart-type de 771 FCFA avec un coefficient de variation de 9,8% indique une dispersion modérée autour de la moyenne, tandis que le kurtosis de 1,624 (leptokurtique) signale des queues épaisses et un risque accru de pics de volatilité. Le skewness positif de 1,435 confirme cette asymétrie avec davantage de journées de cotation sous la moyenne. La volatilité annualisée de 43,3% classe le titre dans la catégorie à volatilité élevée (&gt;30%), ce qui est cohérent avec la nature cyclique du secteur du caoutchouc naturel.</w:t>
      </w:r>
    </w:p>
    <w:p>
      <w:pPr>
        <w:spacing w:after="120" w:line="276" w:lineRule="auto"/>
      </w:pPr>
      <w:r>
        <w:t>---</w:t>
      </w:r>
    </w:p>
    <w:p>
      <w:pPr>
        <w:spacing w:after="120" w:line="276" w:lineRule="auto"/>
      </w:pPr>
      <w:r>
        <w:t>## PARTIE 2 : ANALYSE TECHNIQUE DÉTAILLÉE</w:t>
      </w:r>
    </w:p>
    <w:p>
      <w:pPr>
        <w:spacing w:after="120" w:line="276" w:lineRule="auto"/>
      </w:pPr>
      <w:r>
        <w:t>**Moyennes Mobiles** : La MM20 (8 119,5 FCFA) et la MM50 (8 289,9 FCFA) se situent toutes deux au-dessus du cours actuel (7 890 FCFA), configurant une structure baissière où le prix évolue sous ses moyennes de référence. La MM20 étant inférieure à la MM50, cela confirme un momentum négatif de court terme, justifiant la décision technique de **Vente**.</w:t>
      </w:r>
    </w:p>
    <w:p>
      <w:pPr>
        <w:spacing w:after="120" w:line="276" w:lineRule="auto"/>
      </w:pPr>
      <w:r>
        <w:t>**Bandes de Bollinger** : Le cours actuel (7 890 FCFA) se positionne dans la moitié inférieure de la bande, entre la borne inférieure (6 940,77 FCFA) et la borne supérieure (9 298,23 FCFA), sans atteindre les extrêmes. Cette position médiane traduit une absence de signal directionnel fort, d'où la décision **Neutre** avec une volatilité contenue dans les bandes.</w:t>
      </w:r>
    </w:p>
    <w:p>
      <w:pPr>
        <w:spacing w:after="120" w:line="276" w:lineRule="auto"/>
      </w:pPr>
      <w:r>
        <w:t>**MACD** : La ligne MACD (-219,245) est inférieure à sa ligne de signal (-200,201), générant un croisement baissier caractéristique d'un momentum négatif. L'écart négatif entre les deux lignes indique que la pression vendeuse persiste, justifiant la décision de **Vente**.</w:t>
      </w:r>
    </w:p>
    <w:p>
      <w:pPr>
        <w:spacing w:after="120" w:line="276" w:lineRule="auto"/>
      </w:pPr>
      <w:r>
        <w:t>**RSI** : À 40,049, le RSI se situe dans la zone neutre basse (30-70), sans atteindre le seuil de survente (&lt;30). Cette position suggère que le titre n'est ni suracheté ni survendu, mais penche légèrement vers la faiblesse, d'où la décision **Neutre** avec une orientation baissière modérée.</w:t>
      </w:r>
    </w:p>
    <w:p>
      <w:pPr>
        <w:spacing w:after="120" w:line="276" w:lineRule="auto"/>
      </w:pPr>
      <w:r>
        <w:t>**Stochastique** : Le %K (57,353) et le %D (56,409) évoluent proches l'un de l'autre, sans croisement significatif, dans la zone médiane. Cette configuration indique une absence de signal clair de retournement, justifiant la décision **Neutre**.</w:t>
      </w:r>
    </w:p>
    <w:p>
      <w:pPr>
        <w:spacing w:after="120" w:line="276" w:lineRule="auto"/>
      </w:pPr>
      <w:r>
        <w:t>**Conclusion technique** : La convergence des signaux baissiers (MM, MACD) et neutres (Bollinger, RSI, Stochastique) dresse un tableau technique mitigé à tendance baissière. Le cours évolue sous ses moyennes mobiles avec un momentum négatif confirmé par le MACD, tandis que le RSI et le stochastique n'offrent pas de signal de rebond imminent. La prudence est de mise à court terme, avec une surveillance des niveaux de support autour de 6 940 FCFA (borne inférieure de Bollinger).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 milliards FCFA, en croissance de 21,97% par rapport à 2024, portée par une hausse des volumes et des prix du caoutchouc naturel. Le résultat net s'établit à 24,97 milliards FCFA, en progression de 32,9%, avec une marge nette de 7,33%. La rentabilité des fonds propres (ROE) atteint 18,10%, un niveau excellent (&gt;15%), tandis que le ROA de 11,06% témoigne d'une bonne efficacité dans l'utilisation des actifs. La structure financière est solide avec une autonomie financière de 61,08% et un ratio d'endettement maîtrisé de 25,81%. Cependant, la trésorerie nette reste négative à -15,41 milliards FCFA, et le BFR de 65,39 milliards FCFA (positif) constitue un point de vigilance, bien que le délai client de 35 jours et la durée de stockage de 72,33 jours restent gérables pour le secteur.</w:t>
      </w:r>
    </w:p>
    <w:p>
      <w:pPr>
        <w:spacing w:after="120" w:line="276" w:lineRule="auto"/>
      </w:pPr>
      <w:r>
        <w:t>**Estimations basées sur les rapports trimestriels** : Le rapport T1 2026 (publié en 2026) révèle une dégradation marquée avec un chiffre d'affaires de 71,8 milliards FCFA (-24%) et un résultat net de 2,6 milliards FCFA (-78%), pénalisé par la chute des cours mondiaux du caoutchouc, l'engorgement du port de San Pedro et la concurrence accrue sur l'achat de matière première. Le résultat d'exploitation chute à 4,5 milliards FCFA (-73%), avec une marge nette réduite à 4%. Sur la base de ce rapport T1 2026, on peut estimer que l'exercice 2026 devrait afficher une contraction significative de la rentabilité par rapport à 2025, sauf redressement des cours au second semestre. À l'inverse, le rapport S1 2025 (publié en 2025) montrait une dynamique exceptionnelle avec un CA de 171,4 milliards FCFA (+51%) et un résultat net de 18,1 milliards FCFA (+449%), confirmant la volatilité extrême des performances de SPHC liée aux cycles du caoutchouc. Le rapport 3ème trimestre 2025 (publié en 2025) confirmait cette tendance avec un CA de 253,7 milliards FCFA (+36%) et un résultat net de 23,2 milliards FCFA (+131%). La politique de dividende reste attractive avec un DPA proposé de 489 FCFA brut par action (12,50 milliards FCFA au total), soit un rendement de 6,2% au cours actuel de 7 890 FCFA.</w:t>
      </w:r>
    </w:p>
    <w:p>
      <w:pPr>
        <w:spacing w:after="120" w:line="276" w:lineRule="auto"/>
      </w:pPr>
      <w:r>
        <w:t>**Recommandation fondamentale** : SPHC présente une solidité financière indéniable (ROE 18,1%, autonomie financière 61%), mais fait face à un cycle baissier en 2026 qui devrait peser sur les résultats annuels. La valorisation actuelle (PER 8,1x) intègre déjà une partie de cette dégradation, offrant un point d'entrée potentiel pour les investisseurs à long terme, à condition d'accepter la volatilité cyclique du secteur.</w:t>
      </w:r>
    </w:p>
    <w:p>
      <w:pPr>
        <w:spacing w:after="120" w:line="276" w:lineRule="auto"/>
      </w:pPr>
      <w:r>
        <w:t>---</w:t>
      </w:r>
    </w:p>
    <w:p>
      <w:pPr>
        <w:spacing w:after="120" w:line="276" w:lineRule="auto"/>
      </w:pPr>
      <w:r>
        <w:t>## PARTIE 4 : CONCLUSION D'INVESTISSEMENT</w:t>
      </w:r>
    </w:p>
    <w:p>
      <w:pPr>
        <w:spacing w:after="120" w:line="276" w:lineRule="auto"/>
      </w:pPr>
      <w:r>
        <w:t>La valorisation de SPHC (PER 8,1x, P/B 1,46x, EV/EBITDA 5,1x) plaide pour une sous-évaluation relative aux bénéfices passés, mais le marché anticipe déjà la dégradation des résultats 2026. Le comportement du cours sur 100 jours (+11,91%) masque une forte volatilité (43,3% annualisée) et une asymétrie positive (skewness 1,435) avec des risques de pics (kurtosis 1,624), ce qui est préoccupant pour les investisseurs averses au risque. Les signaux techniques sont majoritairement baissiers (MM, MACD) ou neutres (Bollinger, RSI, Stochastique), suggérant une poursuite de la consolidation à court terme. Les fondamentaux révèlent une entreprise solide (ROE 18,1%, autonomie financière 61%) mais cyclique, avec un T1 2026 en forte baisse (-78% de résultat net) qui devrait peser sur l'exercice en cours. Les prédictions IA (J+1 à J+10) anticipent une poursuite de la baisse vers 7 646 FCFA d'ici le 9 octobre 2026, confirmant les signaux techniques baissiers. **Recommandation finale : CONSERVER** — La convergence entre valorisation attractive, fondamentaux solides mais dégradation cyclique en cours, et signaux techniques baissiers justifie une position d'attente. Le niveau de confiance est **Moyen** (incertitude sur l'ampleur de la baisse des cours du caoutchouc), le risque global est **Élevé** (volatilité sectorielle), et l'horizon optimal est **long terme (&gt;1 an)** pour capitaliser sur le cycle haussier suivant et le rendement du dividende (6,2%).</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6,194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-19.17%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61.6%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14.15% (Moyenne) — μ=2,865 FCFA, σ=405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β=0.0494 (Défensif) — Cov=0.000003, Var(idx)=0.000068, ρ=0.011,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1,918</w:t>
            </w:r>
          </w:p>
        </w:tc>
        <w:tc>
          <w:tcPr>
            <w:tcW w:type="dxa" w:w="1440"/>
            <w:shd w:fill="FAFAFA" w:val="clear"/>
          </w:tcPr>
          <w:p>
            <w:r>
              <w:rPr>
                <w:b/>
                <w:sz w:val="17"/>
              </w:rPr>
              <w:t>2,111</w:t>
            </w:r>
          </w:p>
        </w:tc>
        <w:tc>
          <w:tcPr>
            <w:tcW w:type="dxa" w:w="1440"/>
            <w:shd w:fill="FAFAFA" w:val="clear"/>
          </w:tcPr>
          <w:p>
            <w:r>
              <w:rPr>
                <w:sz w:val="17"/>
              </w:rPr>
              <w:t>2,303</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1,861</w:t>
            </w:r>
          </w:p>
        </w:tc>
        <w:tc>
          <w:tcPr>
            <w:tcW w:type="dxa" w:w="1440"/>
            <w:shd w:fill="FFDCE0" w:val="clear"/>
          </w:tcPr>
          <w:p>
            <w:r>
              <w:rPr>
                <w:b/>
                <w:sz w:val="17"/>
              </w:rPr>
              <w:t>2,095</w:t>
            </w:r>
          </w:p>
        </w:tc>
        <w:tc>
          <w:tcPr>
            <w:tcW w:type="dxa" w:w="1440"/>
            <w:shd w:fill="FFDCE0" w:val="clear"/>
          </w:tcPr>
          <w:p>
            <w:r>
              <w:rPr>
                <w:sz w:val="17"/>
              </w:rPr>
              <w:t>2,329</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1,820</w:t>
            </w:r>
          </w:p>
        </w:tc>
        <w:tc>
          <w:tcPr>
            <w:tcW w:type="dxa" w:w="1440"/>
            <w:shd w:fill="FFDCE0" w:val="clear"/>
          </w:tcPr>
          <w:p>
            <w:r>
              <w:rPr>
                <w:b/>
                <w:sz w:val="17"/>
              </w:rPr>
              <w:t>2,090</w:t>
            </w:r>
          </w:p>
        </w:tc>
        <w:tc>
          <w:tcPr>
            <w:tcW w:type="dxa" w:w="1440"/>
            <w:shd w:fill="FFDCE0" w:val="clear"/>
          </w:tcPr>
          <w:p>
            <w:r>
              <w:rPr>
                <w:sz w:val="17"/>
              </w:rPr>
              <w:t>2,360</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1,789</w:t>
            </w:r>
          </w:p>
        </w:tc>
        <w:tc>
          <w:tcPr>
            <w:tcW w:type="dxa" w:w="1440"/>
            <w:shd w:fill="FFDCE0" w:val="clear"/>
          </w:tcPr>
          <w:p>
            <w:r>
              <w:rPr>
                <w:b/>
                <w:sz w:val="17"/>
              </w:rPr>
              <w:t>2,090</w:t>
            </w:r>
          </w:p>
        </w:tc>
        <w:tc>
          <w:tcPr>
            <w:tcW w:type="dxa" w:w="1440"/>
            <w:shd w:fill="FFDCE0" w:val="clear"/>
          </w:tcPr>
          <w:p>
            <w:r>
              <w:rPr>
                <w:sz w:val="17"/>
              </w:rPr>
              <w:t>2,392</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1,762</w:t>
            </w:r>
          </w:p>
        </w:tc>
        <w:tc>
          <w:tcPr>
            <w:tcW w:type="dxa" w:w="1440"/>
            <w:shd w:fill="FFDCE0" w:val="clear"/>
          </w:tcPr>
          <w:p>
            <w:r>
              <w:rPr>
                <w:b/>
                <w:sz w:val="17"/>
              </w:rPr>
              <w:t>2,093</w:t>
            </w:r>
          </w:p>
        </w:tc>
        <w:tc>
          <w:tcPr>
            <w:tcW w:type="dxa" w:w="1440"/>
            <w:shd w:fill="FFDCE0" w:val="clear"/>
          </w:tcPr>
          <w:p>
            <w:r>
              <w:rPr>
                <w:sz w:val="17"/>
              </w:rPr>
              <w:t>2,424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1,739</w:t>
            </w:r>
          </w:p>
        </w:tc>
        <w:tc>
          <w:tcPr>
            <w:tcW w:type="dxa" w:w="1440"/>
            <w:shd w:fill="FFDCE0" w:val="clear"/>
          </w:tcPr>
          <w:p>
            <w:r>
              <w:rPr>
                <w:b/>
                <w:sz w:val="17"/>
              </w:rPr>
              <w:t>2,097</w:t>
            </w:r>
          </w:p>
        </w:tc>
        <w:tc>
          <w:tcPr>
            <w:tcW w:type="dxa" w:w="1440"/>
            <w:shd w:fill="FFDCE0" w:val="clear"/>
          </w:tcPr>
          <w:p>
            <w:r>
              <w:rPr>
                <w:sz w:val="17"/>
              </w:rPr>
              <w:t>2,455</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1,717</w:t>
            </w:r>
          </w:p>
        </w:tc>
        <w:tc>
          <w:tcPr>
            <w:tcW w:type="dxa" w:w="1440"/>
            <w:shd w:fill="FFDCE0" w:val="clear"/>
          </w:tcPr>
          <w:p>
            <w:r>
              <w:rPr>
                <w:b/>
                <w:sz w:val="17"/>
              </w:rPr>
              <w:t>2,101</w:t>
            </w:r>
          </w:p>
        </w:tc>
        <w:tc>
          <w:tcPr>
            <w:tcW w:type="dxa" w:w="1440"/>
            <w:shd w:fill="FFDCE0" w:val="clear"/>
          </w:tcPr>
          <w:p>
            <w:r>
              <w:rPr>
                <w:sz w:val="17"/>
              </w:rPr>
              <w:t>2,484</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1,697</w:t>
            </w:r>
          </w:p>
        </w:tc>
        <w:tc>
          <w:tcPr>
            <w:tcW w:type="dxa" w:w="1440"/>
            <w:shd w:fill="FFDCE0" w:val="clear"/>
          </w:tcPr>
          <w:p>
            <w:r>
              <w:rPr>
                <w:b/>
                <w:sz w:val="17"/>
              </w:rPr>
              <w:t>2,104</w:t>
            </w:r>
          </w:p>
        </w:tc>
        <w:tc>
          <w:tcPr>
            <w:tcW w:type="dxa" w:w="1440"/>
            <w:shd w:fill="FFDCE0" w:val="clear"/>
          </w:tcPr>
          <w:p>
            <w:r>
              <w:rPr>
                <w:sz w:val="17"/>
              </w:rPr>
              <w:t>2,512</w:t>
            </w:r>
          </w:p>
        </w:tc>
        <w:tc>
          <w:tcPr>
            <w:tcW w:type="dxa" w:w="1440"/>
            <w:shd w:fill="FFDCE0" w:val="clear"/>
          </w:tcPr>
          <w:p>
            <w:r>
              <w:rPr>
                <w:b/>
                <w:color w:val="C00000"/>
                <w:sz w:val="17"/>
              </w:rPr>
              <w:t>-2.1%</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1,678</w:t>
            </w:r>
          </w:p>
        </w:tc>
        <w:tc>
          <w:tcPr>
            <w:tcW w:type="dxa" w:w="1440"/>
            <w:shd w:fill="FAFAFA" w:val="clear"/>
          </w:tcPr>
          <w:p>
            <w:r>
              <w:rPr>
                <w:b/>
                <w:sz w:val="17"/>
              </w:rPr>
              <w:t>2,108</w:t>
            </w:r>
          </w:p>
        </w:tc>
        <w:tc>
          <w:tcPr>
            <w:tcW w:type="dxa" w:w="1440"/>
            <w:shd w:fill="FAFAFA" w:val="clear"/>
          </w:tcPr>
          <w:p>
            <w:r>
              <w:rPr>
                <w:sz w:val="17"/>
              </w:rPr>
              <w:t>2,538</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 RAPPORT D'ANALYSE FINANCIÈRE — SETAO (STAC)</w:t>
        <w:br/>
        <w:t>### Bourse Régionale des Valeurs Mobilières (BRVM) — Secteur BTP/Construction</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SETAO s'établit à **28,90 milliards FCFA**, un niveau qui reste modeste à l'échelle de la BRVM mais non négligeable pour une valeur du compartiment BTP. Le **BPA est négatif à -7 FCFA/action**, conséquence directe de la perte nette de 96,56 M FCFA enregistrée en 2025, ce qui rend le **PER inexploitable (-299,3x)** — un ratio négatif qui signale simplement une société déficitaire et non une opportunité de rendement. Le **P/B de 81,00x** constitue le signal le plus préoccupant : le marché valorise l'action à 81 fois la valeur comptable de ses fonds propres (356,75 M FCFA), soit une prime spéculative extrême qui traduit davantage un pari sur le carnet de commandes futur (chantier aéroportuaire d'Abidjan) qu'une valorisation fondée sur les actifs. En l'absence d'EV/EBITDA exploitable (EBE négatif à -650,13 M FCFA), la valorisation actuelle ne peut se justifier que par une anticipation de retournement opérationnel, ce qui la rend particulièrement fragile.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-19,17%**, avec une chute brutale de **-6,52% sur la seule séance J-1**, confirmant une pression vendeuse récente et un momentum baissier marqué. Le titre évolue dans un **range de 2 085 à 3 640 FCFA**, le cours actuel (2 150 FCFA) se situant dangereusement proche du plus bas de la période, ce qui traduit une tendance clairement baissière. Les statistiques descriptives révèlent une **moyenne de 2 865 FCFA** supérieure à la **médiane de 2 808 FCFA**, écart modéré suggérant une légère asymétrie positive, cohérente avec le **skewness de 0,236** (distribution quasi symétrique). L'**écart-type de 407 FCFA (CV=14,2%)** indique une dispersion significative du cours autour de sa moyenne, tandis que le **kurtosis de -0,760 (mésokurtique)** signale une distribution proche de la normale, sans risque majeur de pics extrêmes. La **volatilité annualisée de 61,6%** classe ce titre dans la catégorie **très volatile (&gt;30%)**, ce qui est caractéristique d'une petite capitalisation en difficulté opérationnelle, exposée aux annonces de contrats et aux décalages de trésorerie.</w:t>
      </w:r>
    </w:p>
    <w:p>
      <w:pPr>
        <w:spacing w:after="120" w:line="276" w:lineRule="auto"/>
      </w:pPr>
      <w:r>
        <w:t>---</w:t>
      </w:r>
    </w:p>
    <w:p>
      <w:pPr>
        <w:spacing w:after="120" w:line="276" w:lineRule="auto"/>
      </w:pPr>
      <w:r>
        <w:t>## PARTIE 2 : ANALYSE TECHNIQUE DÉTAILLÉE</w:t>
      </w:r>
    </w:p>
    <w:p>
      <w:pPr>
        <w:spacing w:after="120" w:line="276" w:lineRule="auto"/>
      </w:pPr>
      <w:r>
        <w:t>**Moyennes Mobiles** : La MM20 (2 361 FCFA) et la MM50 (2 566,8 FCFA) se situent toutes deux **au-dessus du cours actuel (2 150 FCFA)**, configuration baissière classique où le prix évolue sous ses moyennes. La MM20 étant elle-même inférieure à la MM50, on observe un croisement baissier confirmé, justifiant la **décision de Vente**.</w:t>
      </w:r>
    </w:p>
    <w:p>
      <w:pPr>
        <w:spacing w:after="120" w:line="276" w:lineRule="auto"/>
      </w:pPr>
      <w:r>
        <w:t>**Bandes de Bollinger** : Le cours (2 150 FCFA) évolue dans la moitié basse du canal, entre la borne inférieure (1 993,22 FCFA) et la borne supérieure (2 728,78 FCFA), sans franchissement des extrêmes. La largeur du canal traduit une volatilité élevée mais stabilisée, d'où la **décision Neutre** — ni signal d'achat sur rebond, ni signal de vente sur cassure.</w:t>
      </w:r>
    </w:p>
    <w:p>
      <w:pPr>
        <w:spacing w:after="120" w:line="276" w:lineRule="auto"/>
      </w:pPr>
      <w:r>
        <w:t>**MACD** : Le MACD (-121,97) est **légèrement supérieur à son signal (-125,61)**, générant un croisement haussier marginal en territoire négatif. Ce signal d'**Achat** reste toutefois faible, car il intervient sous la ligne zéro, ce qui limite sa portée à un simple rebond technique.</w:t>
      </w:r>
    </w:p>
    <w:p>
      <w:pPr>
        <w:spacing w:after="120" w:line="276" w:lineRule="auto"/>
      </w:pPr>
      <w:r>
        <w:t>**RSI** : À **34,08**, le RSI se situe dans la zone neutre basse, proche du seuil de survente (30) sans l'atteindre. La **décision Neutre** reflète l'absence de signal extrême, mais la proximité de la survente suggère un potentiel de rebond limité.</w:t>
      </w:r>
    </w:p>
    <w:p>
      <w:pPr>
        <w:spacing w:after="120" w:line="276" w:lineRule="auto"/>
      </w:pPr>
      <w:r>
        <w:t>**Stochastique** : Le %K (13,83) est très bas et inférieur au %D (39,10), configuration de **survente marquée** avec un croisement potentiellement haussier à venir. La **décision Achat** est cohérente avec cette lecture, mais reste un signal contrarien de court terme.</w:t>
      </w:r>
    </w:p>
    <w:p>
      <w:pPr>
        <w:spacing w:after="120" w:line="276" w:lineRule="auto"/>
      </w:pPr>
      <w:r>
        <w:t>**Conclusion technique** : Les indicateurs sont **divergents** — les moyennes mobiles confirment une tendance baissière structurelle, tandis que le MACD et le stochastique suggèrent un rebond technique imminent depuis une zone de survente. Le RSI et les Bollinger restent neutres, ne confirmant ni l'un ni l'autre scénario. Cette configuration plaide pour une **prudence accrue** : tout rebond technique serait fragile tant que le cours reste sous la MM20 (2 361 FCFA), et la tendance de fond demeure baissière.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SETAO a réalisé un **chiffre d'affaires de 3,878 Mds FCFA**, en croissance spectaculaire de **+116,26%** par rapport à 2024 (1,793 Md FCFA), portée par le démarrage des travaux de l'aéroport d'Abidjan. Malgré cette dynamique commerciale, la société reste **déficitaire avec un résultat net de -96,56 M FCFA**, un **ROE de -27,07%** et un **ROA de -1,77%**, confirmant une rentabilité structurellement négative. L'**EBE est fortement négatif à -650,13 M FCFA** et le **résultat d'exploitation à -771,95 M FCFA**, signe que la structure de coûts reste inadaptée au niveau d'activité. La **marge nette de -2,49%** et la **marge opérationnelle de -19,90%** traduisent une destruction de valeur persistante. En tant qu'entreprise du BTP, les points critiques sont : un **BFR négatif de -930,47 M FCFA** (favorable, financement par les clients/fournisseurs), une **autonomie financière très faible de 6,55%** (capitaux propres = 356,75 M FCFA seulement), un **ratio d'endettement de 93,45%** et une **capacité de remboursement de 77,53 années** — des niveaux alarmants. La **trésorerie nette de 1,330 Md FCFA** constitue le principal point d'appui, mais elle est grignotée par les **flux opérationnels négatifs de -2,212 Mds FCFA**.</w:t>
      </w:r>
    </w:p>
    <w:p>
      <w:pPr>
        <w:spacing w:after="120" w:line="276" w:lineRule="auto"/>
      </w:pPr>
      <w:r>
        <w:t>**Estimations basées sur les rapports trimestriels** : Le rapport du **T3 2025 (30/09/2025)** indique un CA cumulé de 3 456 M FCFA (+176%) et une perte nette réduite à -477 M FCFA (-22% vs T3 2024), avec une perte d'exploitation ramenée à -456 M FCFA (-50%). Le rapport **S1 2025 (30/06/2025)** faisait état d'un CA de 2 271 M FCFA (+290%) mais d'une perte nette de -557 M FCFA. La direction maintient une prévision de CA annuel 2025 à **4 Mds FCFA**, impliquant un T4 très faible (~544 M FCFA). On estime donc que la trajectoire vers la rentabilité n'est pas encore atteinte, mais la réduction des pertes d'exploitation constitue un premier signe encourageant. Le rapport **2024 (31/12/2024)** rappelle que la société n'a versé **aucun dividende** depuis 2018, et que les capitaux propres étaient déjà sous tension (453 M FCFA, soit 6,1% du bilan).</w:t>
      </w:r>
    </w:p>
    <w:p>
      <w:pPr>
        <w:spacing w:after="120" w:line="276" w:lineRule="auto"/>
      </w:pPr>
      <w:r>
        <w:t>**Recommandation fondamentale** : SETAO reste une **société en redressement fragile**, dont la survie dépend de la poursuite du chantier aéroportuaire et de la sécurisation de nouveaux contrats. La solidité financière est **très préoccupante** (autonomie financière 6,55%, endettement 93,45%), et la rentabilité opérationnelle n'est pas encore rétablie. Le risque de dilution ou de recapitalisation reste élevé.</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**surévaluée** : un P/B de 81x pour une société déficitaire avec des fonds propres de 356,75 M FCFA relève d'une prime spéculative injustifiable par les fondamentaux. Le **comportement du cours (Partie 1)** est **préoccupant** : tendance baissière (-19,17% sur 100 jours), volatilité très élevée (61,6%), cours proche du plus bas, et chute de -6,52% en J-1. Les **signaux techniques (Partie 2)** sont **divergents** : les moyennes mobiles confirment la tendance baissière, tandis que le MACD et le stochastique suggèrent un rebond technique fragile depuis la zone de survente. Les **fondamentaux (Partie 3)** restent **fragiles** : malgré une croissance du CA de +116%, la société demeure déficitaire (résultat net -96,56 M FCFA), avec un ROE de -27,07% et une structure financière très dégradée (autonomie financière 6,55%). Les **prédictions IA (J+1 à J+10)** anticipent une **poursuite de la baisse** vers 2 090-2 111 FCFA, confirmant la tendance baissière et contredisant les signaux d'achat techniques à court terme. **En synthèse**, la convergence entre valorisation extrême, fondamentaux dégradés, tendance baissière et prédictions négatives l'emporte sur les signaux techniques contrariens. **Recommandation finale : VENTE** (ou **VENTE FORTE** pour les investisseurs averses au risque). Le niveau de confiance est **Moyen** (les signaux techniques divergents introduisent une incertitude), et le niveau de risque global est **Élevé**. L'horizon d'investissement optimal est **court terme (&lt;3 mois)** pour les spéculateurs cherchant un rebond technique, mais **à éviter** pour les investisseurs long terme tant que la rentabilité opérationnelle n'est pas rétablie et que la structure financière n'est pas assainie.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3,650 titres</w:t>
            </w:r>
          </w:p>
        </w:tc>
        <w:tc>
          <w:tcPr>
            <w:tcW w:type="dxa" w:w="2268"/>
            <w:shd w:fill="FFF2CC" w:val="clear"/>
          </w:tcPr>
          <w:p>
            <w:r>
              <w:rPr>
                <w:b/>
                <w:color w:val="503200"/>
                <w:sz w:val="16"/>
              </w:rPr>
              <w:t xml:space="preserve">Cours actuel : </w:t>
            </w:r>
            <w:r>
              <w:rPr>
                <w:color w:val="000000"/>
                <w:sz w:val="17"/>
              </w:rPr>
              <w:t>21,970 FCFA</w:t>
            </w:r>
          </w:p>
          <w:p>
            <w:r>
              <w:rPr>
                <w:b/>
                <w:color w:val="503200"/>
                <w:sz w:val="16"/>
              </w:rPr>
              <w:t xml:space="preserve">Var. 100 jours : </w:t>
            </w:r>
            <w:r>
              <w:rPr>
                <w:b/>
                <w:color w:val="007800"/>
                <w:sz w:val="17"/>
              </w:rPr>
              <w:t>+2.19%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5.03% (Moyenne) — μ=22,544 FCFA, σ=1,134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β=0.4516 (Défensif) — Cov=0.000031, Var(idx)=0.000068, ρ=0.160,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2026-10-05</w:t>
            </w:r>
          </w:p>
        </w:tc>
        <w:tc>
          <w:tcPr>
            <w:tcW w:type="dxa" w:w="1440"/>
            <w:shd w:fill="C6EFCE" w:val="clear"/>
          </w:tcPr>
          <w:p>
            <w:r>
              <w:rPr>
                <w:sz w:val="17"/>
              </w:rPr>
              <w:t>21,731</w:t>
            </w:r>
          </w:p>
        </w:tc>
        <w:tc>
          <w:tcPr>
            <w:tcW w:type="dxa" w:w="1440"/>
            <w:shd w:fill="C6EFCE" w:val="clear"/>
          </w:tcPr>
          <w:p>
            <w:r>
              <w:rPr>
                <w:b/>
                <w:sz w:val="17"/>
              </w:rPr>
              <w:t>23,067</w:t>
            </w:r>
          </w:p>
        </w:tc>
        <w:tc>
          <w:tcPr>
            <w:tcW w:type="dxa" w:w="1440"/>
            <w:shd w:fill="C6EFCE" w:val="clear"/>
          </w:tcPr>
          <w:p>
            <w:r>
              <w:rPr>
                <w:sz w:val="17"/>
              </w:rPr>
              <w:t>24,403</w:t>
            </w:r>
          </w:p>
        </w:tc>
        <w:tc>
          <w:tcPr>
            <w:tcW w:type="dxa" w:w="1440"/>
            <w:shd w:fill="C6EFCE" w:val="clear"/>
          </w:tcPr>
          <w:p>
            <w:r>
              <w:rPr>
                <w:b/>
                <w:color w:val="008000"/>
                <w:sz w:val="17"/>
              </w:rPr>
              <w:t>+5.0%</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21,711</w:t>
            </w:r>
          </w:p>
        </w:tc>
        <w:tc>
          <w:tcPr>
            <w:tcW w:type="dxa" w:w="1440"/>
            <w:shd w:fill="C6EFCE" w:val="clear"/>
          </w:tcPr>
          <w:p>
            <w:r>
              <w:rPr>
                <w:b/>
                <w:sz w:val="17"/>
              </w:rPr>
              <w:t>23,369</w:t>
            </w:r>
          </w:p>
        </w:tc>
        <w:tc>
          <w:tcPr>
            <w:tcW w:type="dxa" w:w="1440"/>
            <w:shd w:fill="C6EFCE" w:val="clear"/>
          </w:tcPr>
          <w:p>
            <w:r>
              <w:rPr>
                <w:sz w:val="17"/>
              </w:rPr>
              <w:t>25,027</w:t>
            </w:r>
          </w:p>
        </w:tc>
        <w:tc>
          <w:tcPr>
            <w:tcW w:type="dxa" w:w="1440"/>
            <w:shd w:fill="C6EFCE" w:val="clear"/>
          </w:tcPr>
          <w:p>
            <w:r>
              <w:rPr>
                <w:b/>
                <w:color w:val="008000"/>
                <w:sz w:val="17"/>
              </w:rPr>
              <w:t>+6.4%</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21,693</w:t>
            </w:r>
          </w:p>
        </w:tc>
        <w:tc>
          <w:tcPr>
            <w:tcW w:type="dxa" w:w="1440"/>
            <w:shd w:fill="C6EFCE" w:val="clear"/>
          </w:tcPr>
          <w:p>
            <w:r>
              <w:rPr>
                <w:b/>
                <w:sz w:val="17"/>
              </w:rPr>
              <w:t>23,628</w:t>
            </w:r>
          </w:p>
        </w:tc>
        <w:tc>
          <w:tcPr>
            <w:tcW w:type="dxa" w:w="1440"/>
            <w:shd w:fill="C6EFCE" w:val="clear"/>
          </w:tcPr>
          <w:p>
            <w:r>
              <w:rPr>
                <w:sz w:val="17"/>
              </w:rPr>
              <w:t>25,564</w:t>
            </w:r>
          </w:p>
        </w:tc>
        <w:tc>
          <w:tcPr>
            <w:tcW w:type="dxa" w:w="1440"/>
            <w:shd w:fill="C6EFCE" w:val="clear"/>
          </w:tcPr>
          <w:p>
            <w:r>
              <w:rPr>
                <w:b/>
                <w:color w:val="008000"/>
                <w:sz w:val="17"/>
              </w:rPr>
              <w:t>+7.5%</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21,629</w:t>
            </w:r>
          </w:p>
        </w:tc>
        <w:tc>
          <w:tcPr>
            <w:tcW w:type="dxa" w:w="1440"/>
            <w:shd w:fill="C6EFCE" w:val="clear"/>
          </w:tcPr>
          <w:p>
            <w:r>
              <w:rPr>
                <w:b/>
                <w:sz w:val="17"/>
              </w:rPr>
              <w:t>23,810</w:t>
            </w:r>
          </w:p>
        </w:tc>
        <w:tc>
          <w:tcPr>
            <w:tcW w:type="dxa" w:w="1440"/>
            <w:shd w:fill="C6EFCE" w:val="clear"/>
          </w:tcPr>
          <w:p>
            <w:r>
              <w:rPr>
                <w:sz w:val="17"/>
              </w:rPr>
              <w:t>25,991</w:t>
            </w:r>
          </w:p>
        </w:tc>
        <w:tc>
          <w:tcPr>
            <w:tcW w:type="dxa" w:w="1440"/>
            <w:shd w:fill="C6EFCE" w:val="clear"/>
          </w:tcPr>
          <w:p>
            <w:r>
              <w:rPr>
                <w:b/>
                <w:color w:val="008000"/>
                <w:sz w:val="17"/>
              </w:rPr>
              <w:t>+8.4%</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21,508</w:t>
            </w:r>
          </w:p>
        </w:tc>
        <w:tc>
          <w:tcPr>
            <w:tcW w:type="dxa" w:w="1440"/>
            <w:shd w:fill="C6EFCE" w:val="clear"/>
          </w:tcPr>
          <w:p>
            <w:r>
              <w:rPr>
                <w:b/>
                <w:sz w:val="17"/>
              </w:rPr>
              <w:t>23,907</w:t>
            </w:r>
          </w:p>
        </w:tc>
        <w:tc>
          <w:tcPr>
            <w:tcW w:type="dxa" w:w="1440"/>
            <w:shd w:fill="C6EFCE" w:val="clear"/>
          </w:tcPr>
          <w:p>
            <w:r>
              <w:rPr>
                <w:sz w:val="17"/>
              </w:rPr>
              <w:t>26,305</w:t>
            </w:r>
          </w:p>
        </w:tc>
        <w:tc>
          <w:tcPr>
            <w:tcW w:type="dxa" w:w="1440"/>
            <w:shd w:fill="C6EFCE" w:val="clear"/>
          </w:tcPr>
          <w:p>
            <w:r>
              <w:rPr>
                <w:b/>
                <w:color w:val="008000"/>
                <w:sz w:val="17"/>
              </w:rPr>
              <w:t>+8.8%</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21,437</w:t>
            </w:r>
          </w:p>
        </w:tc>
        <w:tc>
          <w:tcPr>
            <w:tcW w:type="dxa" w:w="1440"/>
            <w:shd w:fill="C6EFCE" w:val="clear"/>
          </w:tcPr>
          <w:p>
            <w:r>
              <w:rPr>
                <w:b/>
                <w:sz w:val="17"/>
              </w:rPr>
              <w:t>24,042</w:t>
            </w:r>
          </w:p>
        </w:tc>
        <w:tc>
          <w:tcPr>
            <w:tcW w:type="dxa" w:w="1440"/>
            <w:shd w:fill="C6EFCE" w:val="clear"/>
          </w:tcPr>
          <w:p>
            <w:r>
              <w:rPr>
                <w:sz w:val="17"/>
              </w:rPr>
              <w:t>26,647</w:t>
            </w:r>
          </w:p>
        </w:tc>
        <w:tc>
          <w:tcPr>
            <w:tcW w:type="dxa" w:w="1440"/>
            <w:shd w:fill="C6EFCE" w:val="clear"/>
          </w:tcPr>
          <w:p>
            <w:r>
              <w:rPr>
                <w:b/>
                <w:color w:val="008000"/>
                <w:sz w:val="17"/>
              </w:rPr>
              <w:t>+9.4%</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21,449</w:t>
            </w:r>
          </w:p>
        </w:tc>
        <w:tc>
          <w:tcPr>
            <w:tcW w:type="dxa" w:w="1440"/>
            <w:shd w:fill="C6EFCE" w:val="clear"/>
          </w:tcPr>
          <w:p>
            <w:r>
              <w:rPr>
                <w:b/>
                <w:sz w:val="17"/>
              </w:rPr>
              <w:t>24,259</w:t>
            </w:r>
          </w:p>
        </w:tc>
        <w:tc>
          <w:tcPr>
            <w:tcW w:type="dxa" w:w="1440"/>
            <w:shd w:fill="C6EFCE" w:val="clear"/>
          </w:tcPr>
          <w:p>
            <w:r>
              <w:rPr>
                <w:sz w:val="17"/>
              </w:rPr>
              <w:t>27,070</w:t>
            </w:r>
          </w:p>
        </w:tc>
        <w:tc>
          <w:tcPr>
            <w:tcW w:type="dxa" w:w="1440"/>
            <w:shd w:fill="C6EFCE" w:val="clear"/>
          </w:tcPr>
          <w:p>
            <w:r>
              <w:rPr>
                <w:b/>
                <w:color w:val="008000"/>
                <w:sz w:val="17"/>
              </w:rPr>
              <w:t>+10.4%</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21,369</w:t>
            </w:r>
          </w:p>
        </w:tc>
        <w:tc>
          <w:tcPr>
            <w:tcW w:type="dxa" w:w="1440"/>
            <w:shd w:fill="C6EFCE" w:val="clear"/>
          </w:tcPr>
          <w:p>
            <w:r>
              <w:rPr>
                <w:b/>
                <w:sz w:val="17"/>
              </w:rPr>
              <w:t>24,363</w:t>
            </w:r>
          </w:p>
        </w:tc>
        <w:tc>
          <w:tcPr>
            <w:tcW w:type="dxa" w:w="1440"/>
            <w:shd w:fill="C6EFCE" w:val="clear"/>
          </w:tcPr>
          <w:p>
            <w:r>
              <w:rPr>
                <w:sz w:val="17"/>
              </w:rPr>
              <w:t>27,356</w:t>
            </w:r>
          </w:p>
        </w:tc>
        <w:tc>
          <w:tcPr>
            <w:tcW w:type="dxa" w:w="1440"/>
            <w:shd w:fill="C6EFCE" w:val="clear"/>
          </w:tcPr>
          <w:p>
            <w:r>
              <w:rPr>
                <w:b/>
                <w:color w:val="008000"/>
                <w:sz w:val="17"/>
              </w:rPr>
              <w:t>+10.9%</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21,296</w:t>
            </w:r>
          </w:p>
        </w:tc>
        <w:tc>
          <w:tcPr>
            <w:tcW w:type="dxa" w:w="1440"/>
            <w:shd w:fill="C6EFCE" w:val="clear"/>
          </w:tcPr>
          <w:p>
            <w:r>
              <w:rPr>
                <w:b/>
                <w:sz w:val="17"/>
              </w:rPr>
              <w:t>24,464</w:t>
            </w:r>
          </w:p>
        </w:tc>
        <w:tc>
          <w:tcPr>
            <w:tcW w:type="dxa" w:w="1440"/>
            <w:shd w:fill="C6EFCE" w:val="clear"/>
          </w:tcPr>
          <w:p>
            <w:r>
              <w:rPr>
                <w:sz w:val="17"/>
              </w:rPr>
              <w:t>27,633</w:t>
            </w:r>
          </w:p>
        </w:tc>
        <w:tc>
          <w:tcPr>
            <w:tcW w:type="dxa" w:w="1440"/>
            <w:shd w:fill="C6EFCE" w:val="clear"/>
          </w:tcPr>
          <w:p>
            <w:r>
              <w:rPr>
                <w:b/>
                <w:color w:val="008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(Distribution de tabac)*</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394,47 Mds FCFA, STBC s'impose comme l'une des valeurs les plus importantes de la cote BRVM, ce qui en fait un pilier de l'indice composite. Le BPA de 2 014 FCFA/action signifie que chaque titre génère un bénéfice net de plus de deux mille francs, un niveau remarquable qui traduit la forte rentabilité de la société. Le PER de 10,9x se situe dans la fourchette modérée de la BRVM (moyenne ~8-12x), indiquant que les investisseurs ne paient pas une prime excessive pour les bénéfices actuels — une valorisation raisonnable. En revanche, le P/B de 8,70x est très élevé (largement supérieur au seuil de 4x), ce qui signifie que le marché valorise l'action près de neuf fois sa valeur comptable : cette prime traduit la confiance dans la capacité bénéficiaire future mais constitue un risque de correction si les résultats déçoivent. Enfin, l'EV/EBITDA de 7,8x, dans la fourchette raisonnable de 5-10x, confirme que la valeur d'entreprise reste cohérente avec la capacité opérationnelle de la société,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 enregistré une variation totale de +2,19%, tandis que la dernière séance (J-1) est restée stable à +0,00%, le titre clôturant à 21 970 FCFA. Le range de trading s'établit entre un plus haut de 25 000 FCFA et un plus bas de 20 895 FCFA, soit une amplitude d'environ 4 100 FCFA qui témoigne d'une certaine nervosité sur la période. La tendance générale est donc légèrement haussière mais sans conviction, le titre évoluant dans une fourchette relativement étroite après avoir probablement corrigé depuis son sommet. Les statistiques descriptives révèlent une moyenne de 22 544 FCFA supérieure à la médiane de 22 218 FCFA, avec un mode à 22 000 FCFA : cet écart indique une asymétrie positive (skewness de 0,538), confirmant que davantage de journées se sont négociées sous la moyenne, avec quelques pics haussiers tirant la moyenne vers le haut. L'écart-type de 1 139 FCFA et le coefficient de variation de 5,1% traduisent une dispersion modérée du cours autour de sa moyenne, tandis que le kurtosis de -0,754 (mésokurtique) suggère une distribution proche de la normale, sans risque majeur de pics extrêmes. La volatilité annualisée de 36,7% positionne le titre dans la catégorie des valeurs à volatilité élevée (&gt;30%), ce qui implique un risque de fluctuation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21 744,25 FCFA et la MM50 à 22 583,30 FCFA, tandis que le cours actuel (21 970 FCFA) se situe au-dessus de la MM20 mais en dessous de la MM50. Cette configuration — cours sous la MM50 mais au-dessus de la MM20 — signale une pression baissière de moyen terme, justifiant la décision technique de **Vente** : le titre n'a pas encore retrouvé sa tendance haussière de fond.</w:t>
      </w:r>
    </w:p>
    <w:p>
      <w:pPr>
        <w:spacing w:after="120" w:line="276" w:lineRule="auto"/>
      </w:pPr>
      <w:r>
        <w:t>**Bandes de Bollinger** : La borne supérieure est à 22 502,39 FCFA et la borne inférieure à 20 986,11 FCFA, avec le cours actuel (21 970 FCFA) positionné légèrement au-dessus du milieu de bande. Cette position centrale, sans contact avec les extrêmes, traduit une absence de signal directionnel fort et justifie la décision **Neutre** : le marché est en phase de consolidation, sans momentum clair.</w:t>
      </w:r>
    </w:p>
    <w:p>
      <w:pPr>
        <w:spacing w:after="120" w:line="276" w:lineRule="auto"/>
      </w:pPr>
      <w:r>
        <w:t>**MACD** : La valeur du MACD (-230,677) est supérieure à son signal (-334,749), ce qui génère un croisement haussier (MACD au-dessus du signal) bien que les deux restent en territoire négatif. Ce différentiel positif indique un début de redressement du momentum, justifiant la décision d'**Achat** : la pression baissière s'estompe progressivement.</w:t>
      </w:r>
    </w:p>
    <w:p>
      <w:pPr>
        <w:spacing w:after="120" w:line="276" w:lineRule="auto"/>
      </w:pPr>
      <w:r>
        <w:t>**RSI** : À 47,569, le RSI se situe parfaitement dans la zone neutre (30-70), sans signal de surachat ni de survente. Cette position médiane confirme l'absence de tension sur le titre et justifie la décision **Neutre** : ni les acheteurs ni les vendeurs ne dominent clairement.</w:t>
      </w:r>
    </w:p>
    <w:p>
      <w:pPr>
        <w:spacing w:after="120" w:line="276" w:lineRule="auto"/>
      </w:pPr>
      <w:r>
        <w:t>**Stochastique** : Le %K (99,537) est très proche de son maximum et nettement supérieur au %D (88,224), ce qui place l'indicateur en zone de surachat extrême. Ce niveau élevé suggère une probabilité de correction à court terme, justifiant la décision de **Vente** : le titre pourrait subir un repli après cette poussée haussière.</w:t>
      </w:r>
    </w:p>
    <w:p>
      <w:pPr>
        <w:spacing w:after="120" w:line="276" w:lineRule="auto"/>
      </w:pPr>
      <w:r>
        <w:t>**Conclusion technique** : Les indicateurs présentent un tableau mitigé, avec une divergence notable entre le MACD (signal d'achat) et le Stochastique (signal de vente), tandis que les Moyennes Mobiles, les Bandes de Bollinger et le RSI restent neutres ou légèrement baissiers. Cette absence de convergence suggère une phase d'incertitude, avec un risque de correction à court terme (stochastique en surachat) mais un potentiel de redressement à moyen terme (MACD haussier). La prudence est de mise avant toute décision d'investissement.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SITAB a réalisé un chiffre d'affaires de 268,537 Mds FCFA, en croissance de +25,3% par rapport à 2024 (213,8 Mds FCFA), portée par une hausse des volumes de +5,6% et un effet prix favorable. Le résultat net s'établit à 36,158 Mds FCFA, en baisse de -17,5% par rapport à 2024 (44,17 Mds FCFA), sous l'effet de la hausse des droits d'accises (passés de 49% à 70% en janvier 2025) et d'un contrôle fiscal. La marge nette se dégrade à 13,46% (contre 20,6% en 2024), tandis que le ROE reste exceptionnel à 79,75% et le ROA à 48,09%, témoignant d'une rentabilité des fonds propres et des actifs toujours très élevée. La structure financière est remarquablement saine : autonomie financière de 60,3%, dettes financières quasi nulles (1,4 M FCFA), trésorerie nette de 30,763 Mds FCFA et liquidité générale de 225%. Le BFR est positif à 5,639 Mds FCFA, avec un délai client de 42,57 jours (risque de trésorerie modéré) et une durée de stockage très faible de 5,73 jours, typique d'une activité de distribution. Les rapports trimestriels de 2026 confirment une reprise : le T1 2026 (rapport du 31/03/2026) affiche un CA de 68,8 Mds FCFA (+12%) et un résultat net de 9,3 Mds FCFA (-1%), tandis que le T2 2026 (rapport du 30/06/2026) montre un CA de 70,05 Mds FCFA (+1%) et un résultat net de 8,64 Mds FCFA (-0,2%), avec une marge nette de 12,3%. Sur la base de ces tendances, on estime que l'exercice 2026 devrait enregistrer un chiffre d'affaires annuel d'environ 275-280 Mds FCFA (+2-4%) et un résultat net de l'ordre de 35-37 Mds FCFA, soit une stabilisation de la rentabilité après la correction de 2025. La politique de dividende reste généreuse avec un DPA proposé de 1 940 FCFA (rendement d'environ 8,8% au cours actuel), mais le taux de distribution de 84,9% limite les capacités de réinvestissement. En synthèse, SITAB demeure une valeur fondamentalement solide (zéro dette, trésorerie abondante, rentabilité élevée) mais confrontée à des défis structurels : pression fiscale, érosion des marges et dépendance au secteur du tabac. La recommandation fondamentale est de **Conserver**, en attendant des signaux plus clairs de maîtrise des coûts et de redressement durable de la rentabilité.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présente un profil contrasté : si le PER de 10,9x et l'EV/EBITDA de 7,8x indiquent une valorisation raisonnable, le P/B de 8,70x traduit une prime excessive qui expose le titre à un risque de correction en cas de déception sur les bénéfices. Le comportement du cours sur 100 jours (+2,19%) révèle une tendance légèrement haussière mais sans conviction, avec une volatilité élevée (36,7%) et une asymétrie positive (skewness de 0,538) qui suggère que les investisseurs ont tendance à acheter les replis — un signal plutôt favorable. Les indicateurs techniques sont mitigés : le MACD génère un signal d'achat, mais le Stochastique en surachat (%K=99,5) et la position du cours sous la MM50 plaident pour la prudence à court terme, avec un risque de consolidation. Les fondamentaux restent solides (ROE de 79,75%, trésorerie nette de 30,8 Mds FCFA, absence de dette), mais la dégradation de la marge nette (13,46% en 2025 contre 20,6% en 2024) et la pression fiscale persistante constituent des vents contraires. Les prédictions IA pour les 10 prochains jours ouvrables anticipent une hausse progressive du cours, de 23 067 FCFA (J+1) à 23 907 FCFA (J+5), ce qui contredit le signal baissier du Stochastique mais confirme le momentum haussier du MACD. Sur la base de cette synthèse globale, la recommandation finale est de **CONSERVER** : la convergence entre une valorisation raisonnable (PER, EV/EBITDA), des fondamentaux solides (zéro dette, rentabilité élevée) et des prédictions haussières à court terme soutient le maintien de la position, mais l'absence de signal technique fort et les risques structurels (fiscalité, marges) empêchent un passage à l'achat. Le niveau de confiance est **Moyen**, en raison de la divergence entre les indicateurs techniques et de l'incertitude sur la capacité de la société à restaurer ses marges. Le niveau de risque global est **Moyen**, avec une volatilité élevée mais une structure financière très saine. L'horizon d'investissement optimal est le **moyen terme (3-12 mois)**, en attendant les résultats du second semestre 2026 pour vérifier si la stabilisation de la rentabilité se confirme et si la direction parvient à maîtriser ses coûts dans un environnement fiscal contraint.</w:t>
      </w:r>
    </w:p>
    <w:p>
      <w:pPr>
        <w:spacing w:after="120" w:line="276" w:lineRule="auto"/>
      </w:pPr>
      <w:r>
        <w: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189.51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7,039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007800"/>
                <w:sz w:val="17"/>
              </w:rPr>
              <w:t>+9.45%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2,750 FCFA</w:t>
            </w:r>
          </w:p>
          <w:p>
            <w:r>
              <w:rPr>
                <w:b/>
                <w:color w:val="503200"/>
                <w:sz w:val="16"/>
              </w:rPr>
              <w:t xml:space="preserve">Volatilité ann. : </w:t>
            </w:r>
            <w:r>
              <w:rPr>
                <w:color w:val="000000"/>
                <w:sz w:val="17"/>
              </w:rPr>
              <w:t>42.9%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6.39% (Moyenne) — μ=3,020 FCFA, σ=193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β=0.0901 (Défensif) — Cov=0.000006, Var(idx)=0.000068, ρ=0.028,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2,830</w:t>
            </w:r>
          </w:p>
        </w:tc>
        <w:tc>
          <w:tcPr>
            <w:tcW w:type="dxa" w:w="1440"/>
            <w:shd w:fill="FAFAFA" w:val="clear"/>
          </w:tcPr>
          <w:p>
            <w:r>
              <w:rPr>
                <w:b/>
                <w:sz w:val="17"/>
              </w:rPr>
              <w:t>3,005</w:t>
            </w:r>
          </w:p>
        </w:tc>
        <w:tc>
          <w:tcPr>
            <w:tcW w:type="dxa" w:w="1440"/>
            <w:shd w:fill="FAFAFA" w:val="clear"/>
          </w:tcPr>
          <w:p>
            <w:r>
              <w:rPr>
                <w:sz w:val="17"/>
              </w:rPr>
              <w:t>3,180</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2,790</w:t>
            </w:r>
          </w:p>
        </w:tc>
        <w:tc>
          <w:tcPr>
            <w:tcW w:type="dxa" w:w="1440"/>
            <w:shd w:fill="FAFAFA" w:val="clear"/>
          </w:tcPr>
          <w:p>
            <w:r>
              <w:rPr>
                <w:b/>
                <w:sz w:val="17"/>
              </w:rPr>
              <w:t>3,004</w:t>
            </w:r>
          </w:p>
        </w:tc>
        <w:tc>
          <w:tcPr>
            <w:tcW w:type="dxa" w:w="1440"/>
            <w:shd w:fill="FAFAFA" w:val="clear"/>
          </w:tcPr>
          <w:p>
            <w:r>
              <w:rPr>
                <w:sz w:val="17"/>
              </w:rPr>
              <w:t>3,219</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2,754</w:t>
            </w:r>
          </w:p>
        </w:tc>
        <w:tc>
          <w:tcPr>
            <w:tcW w:type="dxa" w:w="1440"/>
            <w:shd w:fill="FAFAFA" w:val="clear"/>
          </w:tcPr>
          <w:p>
            <w:r>
              <w:rPr>
                <w:b/>
                <w:sz w:val="17"/>
              </w:rPr>
              <w:t>3,001</w:t>
            </w:r>
          </w:p>
        </w:tc>
        <w:tc>
          <w:tcPr>
            <w:tcW w:type="dxa" w:w="1440"/>
            <w:shd w:fill="FAFAFA" w:val="clear"/>
          </w:tcPr>
          <w:p>
            <w:r>
              <w:rPr>
                <w:sz w:val="17"/>
              </w:rPr>
              <w:t>3,249</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2,721</w:t>
            </w:r>
          </w:p>
        </w:tc>
        <w:tc>
          <w:tcPr>
            <w:tcW w:type="dxa" w:w="1440"/>
            <w:shd w:fill="FAFAFA" w:val="clear"/>
          </w:tcPr>
          <w:p>
            <w:r>
              <w:rPr>
                <w:b/>
                <w:sz w:val="17"/>
              </w:rPr>
              <w:t>2,997</w:t>
            </w:r>
          </w:p>
        </w:tc>
        <w:tc>
          <w:tcPr>
            <w:tcW w:type="dxa" w:w="1440"/>
            <w:shd w:fill="FAFAFA" w:val="clear"/>
          </w:tcPr>
          <w:p>
            <w:r>
              <w:rPr>
                <w:sz w:val="17"/>
              </w:rPr>
              <w:t>3,273</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2,690</w:t>
            </w:r>
          </w:p>
        </w:tc>
        <w:tc>
          <w:tcPr>
            <w:tcW w:type="dxa" w:w="1440"/>
            <w:shd w:fill="FAFAFA" w:val="clear"/>
          </w:tcPr>
          <w:p>
            <w:r>
              <w:rPr>
                <w:b/>
                <w:sz w:val="17"/>
              </w:rPr>
              <w:t>2,992</w:t>
            </w:r>
          </w:p>
        </w:tc>
        <w:tc>
          <w:tcPr>
            <w:tcW w:type="dxa" w:w="1440"/>
            <w:shd w:fill="FAFAFA" w:val="clear"/>
          </w:tcPr>
          <w:p>
            <w:r>
              <w:rPr>
                <w:sz w:val="17"/>
              </w:rPr>
              <w:t>3,294</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2,662</w:t>
            </w:r>
          </w:p>
        </w:tc>
        <w:tc>
          <w:tcPr>
            <w:tcW w:type="dxa" w:w="1440"/>
            <w:shd w:fill="FAFAFA" w:val="clear"/>
          </w:tcPr>
          <w:p>
            <w:r>
              <w:rPr>
                <w:b/>
                <w:sz w:val="17"/>
              </w:rPr>
              <w:t>2,987</w:t>
            </w:r>
          </w:p>
        </w:tc>
        <w:tc>
          <w:tcPr>
            <w:tcW w:type="dxa" w:w="1440"/>
            <w:shd w:fill="FAFAFA" w:val="clear"/>
          </w:tcPr>
          <w:p>
            <w:r>
              <w:rPr>
                <w:sz w:val="17"/>
              </w:rPr>
              <w:t>3,312</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2,635</w:t>
            </w:r>
          </w:p>
        </w:tc>
        <w:tc>
          <w:tcPr>
            <w:tcW w:type="dxa" w:w="1440"/>
            <w:shd w:fill="FAFAFA" w:val="clear"/>
          </w:tcPr>
          <w:p>
            <w:r>
              <w:rPr>
                <w:b/>
                <w:sz w:val="17"/>
              </w:rPr>
              <w:t>2,982</w:t>
            </w:r>
          </w:p>
        </w:tc>
        <w:tc>
          <w:tcPr>
            <w:tcW w:type="dxa" w:w="1440"/>
            <w:shd w:fill="FAFAFA" w:val="clear"/>
          </w:tcPr>
          <w:p>
            <w:r>
              <w:rPr>
                <w:sz w:val="17"/>
              </w:rPr>
              <w:t>3,329</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2,609</w:t>
            </w:r>
          </w:p>
        </w:tc>
        <w:tc>
          <w:tcPr>
            <w:tcW w:type="dxa" w:w="1440"/>
            <w:shd w:fill="FAFAFA" w:val="clear"/>
          </w:tcPr>
          <w:p>
            <w:r>
              <w:rPr>
                <w:b/>
                <w:sz w:val="17"/>
              </w:rPr>
              <w:t>2,977</w:t>
            </w:r>
          </w:p>
        </w:tc>
        <w:tc>
          <w:tcPr>
            <w:tcW w:type="dxa" w:w="1440"/>
            <w:shd w:fill="FAFAFA" w:val="clear"/>
          </w:tcPr>
          <w:p>
            <w:r>
              <w:rPr>
                <w:sz w:val="17"/>
              </w:rPr>
              <w:t>3,345</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2,585</w:t>
            </w:r>
          </w:p>
        </w:tc>
        <w:tc>
          <w:tcPr>
            <w:tcW w:type="dxa" w:w="1440"/>
            <w:shd w:fill="FAFAFA" w:val="clear"/>
          </w:tcPr>
          <w:p>
            <w:r>
              <w:rPr>
                <w:b/>
                <w:sz w:val="17"/>
              </w:rPr>
              <w:t>2,972</w:t>
            </w:r>
          </w:p>
        </w:tc>
        <w:tc>
          <w:tcPr>
            <w:tcW w:type="dxa" w:w="1440"/>
            <w:shd w:fill="FAFAFA" w:val="clear"/>
          </w:tcPr>
          <w:p>
            <w:r>
              <w:rPr>
                <w:sz w:val="17"/>
              </w:rPr>
              <w:t>3,359</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 et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189,51 milliards FCFA, TTLC figure parmi les valeurs les plus importantes de la cote BRVM, ce qui en fait un pilier de l'indice BRVM Composite et un titre de référence pour les investisseurs institutionnels régionaux. Le BPA de 144 FCFA/action signifie que chaque titre génère 144 FCFA de bénéfice net, mais le PER de 20,9x traduit un prix payé très supérieur à la moyenne du marché (8-12x), signalant soit une anticipation de croissance forte, soit une surévaluation relative. Le P/B de 5,23x confirme cette prime exigeante : le marché valorise l'entreprise à plus de cinq fois sa valeur comptable, ce qui est élevé pour un distributeur à faible marge. Enfin, l'EV/EBITDA de 10,9x, situé dans la fourchette haute (10-15x), indique que la valeur d'entreprise intègre déjà une bonne partie de la capacité opérationnelle,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totale de +9,45%, mais la dernière séance a été marquée par une chute brutale de -5,94%, ramenant le cours à 3 010 FCFA. Le range de trading s'étend de 2 750 FCFA (plus bas) à 3 595 FCFA (plus haut), soit une amplitude de 30,7% qui témoigne d'une réelle nervosité du titre. La tendance générale reste haussière sur la période, mais le décrochage récent suggère une prise de bénéfices ou une réaction à des nouvelles défavorables. Les statistiques descriptives révèlent une moyenne (3 020 FCFA) légèrement supérieure à la médiane (2 950 FCFA) et au mode (2 900 FCFA), confirmant une asymétrie positive (skewness de 0,882) : le cours a passé plus de journées sous sa moyenne, avec quelques pics haussiers qui tirent la moyenne vers le haut. L'écart-type de 194 FCFA (CV de 6,4%) indique une dispersion modérée autour de la moyenne, tandis que le kurtosis de -0,313 (mésokurtique) suggère une distribution proche de la normale, sans risque extrême de pics violents. La volatilité annualisée de 42,9% classe le titre dans la catégorie des valeurs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(3 187 FCFA) et la MM50 (3 158,7 FCFA) se situent toutes deux au-dessus du cours actuel (3 010 FCFA), ce qui place le titre en position baissière par rapport à ses moyennes. Cependant, la MM20 reste légèrement supérieure à la MM50, maintenant une configuration haussière de fond. La décision « Achat » fournie par l'indicateur suggère que le croisement des moyennes reste favorable, mais la pression baissière récente invite à la prudence.</w:t>
      </w:r>
    </w:p>
    <w:p>
      <w:pPr>
        <w:spacing w:after="120" w:line="276" w:lineRule="auto"/>
      </w:pPr>
      <w:r>
        <w:t>**Bandes de Bollinger** : Le cours actuel (3 010 FCFA) se situe dans la partie basse de la bande, proche de la borne inférieure (2 968,65 FCFA) et loin de la borne supérieure (3 405,35 FCFA). Cette position indique que le titre évolue dans une zone de survente relative, mais la décision « Neutre » suggère que la volatilité actuelle ne justifie pas encore un signal d'achat agressif. La largeur des bandes reflète une volatilité élevée, cohérente avec la volatilité annualisée de 42,9%.</w:t>
      </w:r>
    </w:p>
    <w:p>
      <w:pPr>
        <w:spacing w:after="120" w:line="276" w:lineRule="auto"/>
      </w:pPr>
      <w:r>
        <w:t>**MACD** : La valeur du MACD (-33,391) est inférieure à son signal (-16,497), confirmant un momentum baissier. La divergence négative entre les deux lignes indique que la pression vendeuse l'emporte sur la dynamique acheteuse, justifiant la décision « Vente ». Ce signal est cohérent avec la chute récente du cours et suggère que la correction n'est pas encore terminée.</w:t>
      </w:r>
    </w:p>
    <w:p>
      <w:pPr>
        <w:spacing w:after="120" w:line="276" w:lineRule="auto"/>
      </w:pPr>
      <w:r>
        <w:t>**RSI** : À 32,692, le RSI se situe juste au-dessus du seuil de survente (30), ce qui place le titre en zone neutre basse. La décision « Neutre » indique que le marché n'est ni suracheté ni survendu, mais la proximité du seuil de 30 suggère qu'une poursuite de la baisse pourrait déclencher un signal d'achat technique à court terme.</w:t>
      </w:r>
    </w:p>
    <w:p>
      <w:pPr>
        <w:spacing w:after="120" w:line="276" w:lineRule="auto"/>
      </w:pPr>
      <w:r>
        <w:t>**Stochastique** : Le %K (8,333) est très bas, tandis que le %D (47,778) reste élevé, créant un croisement baissier potentiel. Cependant, la décision « Achat » fournie par l'indicateur suggère que le %K en zone de survente pourrait rebondir vers le %D, offrant une opportunité d'achat contrarien. Cette divergence entre les deux lignes appelle à la prudence.</w:t>
      </w:r>
    </w:p>
    <w:p>
      <w:pPr>
        <w:spacing w:after="120" w:line="276" w:lineRule="auto"/>
      </w:pPr>
      <w:r>
        <w:t>**Conclusion technique** : Les indicateurs sont globalement divergents : les moyennes mobiles et le stochastique suggèrent un potentiel d'achat, tandis que le MACD et les bandes de Bollinger confirment une pression baissière à court terme. Le RSI en zone neutre basse et la position du cours près de la borne inférieure des bandes de Bollinger indiquent que le titre pourrait approcher d'un point de retournement, mais la confirmation n'est pas encore acquise. Dans l'ensemble, la configuration technique plaide pour une attente ou un renforcement progressif plutôt qu'un achat massif.</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Sur la base des états financiers définitifs de l'exercice 2025 (rapport du 31 décembre 2025, analysé le 2 juin 2026), TotalEnergies Marketing Côte d'Ivoire affiche un chiffre d'affaires de 588,709 milliards FCFA, en repli de 5,2% par rapport à 2024 (621,042 milliards FCFA), et un résultat net de 9,087 milliards FCFA, en baisse de 3% (contre 9,374 milliards en 2024). Le ROE s'établit à 25,10%, un niveau excellent (&gt;15%), et le ROA à 4,82%, confirmant la bonne rentabilité des actifs malgré la contraction du chiffre d'affaires. La marge nette reste stable à 1,54%, tandis que la marge opérationnelle progresse à 2,09% et l'EBE bondit de 12% à 22,347 milliards FCFA, témoignant d'une meilleure maîtrise des coûts. En tant qu'entreprise de distribution, TTLC présente un BFR négatif de -9,662 milliards FCFA (favorable), un délai fournisseurs de 49,72 jours (bon pour la trésorerie) et une durée de stockage de 13,80 jours (rotation rapide). Cependant, la trésorerie nette est négative à -21,926 milliards FCFA et le ratio d'endettement atteint 90,23%, ce qui constitue un point de vigilance. Le rapport du T1 2026 (publié en 2026) indique un chiffre d'affaires de 154,392 milliards FCFA (+4,3%) et un résultat net de 2,329 milliards FCFA (+5,5%), suggérant une reprise de la croissance. Sur cette base, on estime que l'exercice 2026 devrait renouer avec une croissance modérée du chiffre d'affaires et une amélioration du résultat net, portée par l'expansion du réseau (182 stations) et la diversification énergétique. La politique de dividende reste généreuse avec 10 milliards FCFA distribués en 2025 (taux de distribution &gt;100%), mais cette générosité pourrait peser sur la trésorerie si les résultats ne s'améliorent pas durablement. En synthèse, TTLC est une entreprise solide et rentable, mais sa structure financière (endettement élevé, trésorerie négative) et la pression sur les marges appellent à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 le PER de 20,9x et le P/B de 5,23x traduisent une prime significative par rapport au marché BRVM, ce qui limite le potentiel de revalorisation à court terme. Le comportement du cours sur 100 jours montre une tendance haussière (+9,45%) mais une volatilité élevée (42,9%) et une asymétrie positive (skewness 0,882), avec une chute récente de -5,94% qui pèse sur le sentiment. Les signaux techniques sont mitigés : les moyennes mobiles et le stochastique suggèrent un potentiel d'achat, mais le MACD et les bandes de Bollinger confirment une pression baissière persistante. Les fondamentaux restent solides (ROE de 25,10%, EBE en hausse de 12%, BFR négatif), mais la baisse du chiffre d'affaires (-5,2% en 2025) et la trésorerie nette négative (-21,926 milliards FCFA) constituent des risques. Les prédictions IA pour les 10 prochains jours (3 005 FCFA à 2 992 FCFA) anticipent une légère poursuite de la baisse, en ligne avec le momentum baissier actuel. Compte tenu de la convergence entre une valorisation tendue, des signaux techniques divergents et des fondamentaux solides mais sous pression, la recommandation finale est **CONSERVER**. Le niveau de confiance est **Moyen**, car si la solidité opérationnelle est avérée, les risques financiers et la cherté du titre limitent le potentiel haussier. Le niveau de risque global est **Moyen à Élevé**, en raison de la volatilité du titre et de l'endettement. L'horizon d'investissement optimal est le **moyen terme (3-12 mois)**, en attendant la confirmation d'une reprise durable de la croissance et d'une amélioration de la structure financière.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2,643 titres</w:t>
            </w:r>
          </w:p>
        </w:tc>
        <w:tc>
          <w:tcPr>
            <w:tcW w:type="dxa" w:w="2268"/>
            <w:shd w:fill="FFF2CC" w:val="clear"/>
          </w:tcPr>
          <w:p>
            <w:r>
              <w:rPr>
                <w:b/>
                <w:color w:val="503200"/>
                <w:sz w:val="16"/>
              </w:rPr>
              <w:t xml:space="preserve">Cours actuel : </w:t>
            </w:r>
            <w:r>
              <w:rPr>
                <w:color w:val="000000"/>
                <w:sz w:val="17"/>
              </w:rPr>
              <w:t>3,690 FCFA</w:t>
            </w:r>
          </w:p>
          <w:p>
            <w:r>
              <w:rPr>
                <w:b/>
                <w:color w:val="503200"/>
                <w:sz w:val="16"/>
              </w:rPr>
              <w:t xml:space="preserve">Var. 100 jours : </w:t>
            </w:r>
            <w:r>
              <w:rPr>
                <w:b/>
                <w:color w:val="007800"/>
                <w:sz w:val="17"/>
              </w:rPr>
              <w:t>+25.08%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9.00% (Moyenne) — μ=3,661 FCFA, σ=329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β=0.4747 (Défensif) — Cov=0.000032, Var(idx)=0.000068, ρ=0.144,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3,462</w:t>
            </w:r>
          </w:p>
        </w:tc>
        <w:tc>
          <w:tcPr>
            <w:tcW w:type="dxa" w:w="1440"/>
            <w:shd w:fill="FAFAFA" w:val="clear"/>
          </w:tcPr>
          <w:p>
            <w:r>
              <w:rPr>
                <w:b/>
                <w:sz w:val="17"/>
              </w:rPr>
              <w:t>3,654</w:t>
            </w:r>
          </w:p>
        </w:tc>
        <w:tc>
          <w:tcPr>
            <w:tcW w:type="dxa" w:w="1440"/>
            <w:shd w:fill="FAFAFA" w:val="clear"/>
          </w:tcPr>
          <w:p>
            <w:r>
              <w:rPr>
                <w:sz w:val="17"/>
              </w:rPr>
              <w:t>3,845</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3,410</w:t>
            </w:r>
          </w:p>
        </w:tc>
        <w:tc>
          <w:tcPr>
            <w:tcW w:type="dxa" w:w="1440"/>
            <w:shd w:fill="FAFAFA" w:val="clear"/>
          </w:tcPr>
          <w:p>
            <w:r>
              <w:rPr>
                <w:b/>
                <w:sz w:val="17"/>
              </w:rPr>
              <w:t>3,645</w:t>
            </w:r>
          </w:p>
        </w:tc>
        <w:tc>
          <w:tcPr>
            <w:tcW w:type="dxa" w:w="1440"/>
            <w:shd w:fill="FAFAFA" w:val="clear"/>
          </w:tcPr>
          <w:p>
            <w:r>
              <w:rPr>
                <w:sz w:val="17"/>
              </w:rPr>
              <w:t>3,879</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3,366</w:t>
            </w:r>
          </w:p>
        </w:tc>
        <w:tc>
          <w:tcPr>
            <w:tcW w:type="dxa" w:w="1440"/>
            <w:shd w:fill="FAFAFA" w:val="clear"/>
          </w:tcPr>
          <w:p>
            <w:r>
              <w:rPr>
                <w:b/>
                <w:sz w:val="17"/>
              </w:rPr>
              <w:t>3,636</w:t>
            </w:r>
          </w:p>
        </w:tc>
        <w:tc>
          <w:tcPr>
            <w:tcW w:type="dxa" w:w="1440"/>
            <w:shd w:fill="FAFAFA" w:val="clear"/>
          </w:tcPr>
          <w:p>
            <w:r>
              <w:rPr>
                <w:sz w:val="17"/>
              </w:rPr>
              <w:t>3,906</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3,328</w:t>
            </w:r>
          </w:p>
        </w:tc>
        <w:tc>
          <w:tcPr>
            <w:tcW w:type="dxa" w:w="1440"/>
            <w:shd w:fill="FAFAFA" w:val="clear"/>
          </w:tcPr>
          <w:p>
            <w:r>
              <w:rPr>
                <w:b/>
                <w:sz w:val="17"/>
              </w:rPr>
              <w:t>3,629</w:t>
            </w:r>
          </w:p>
        </w:tc>
        <w:tc>
          <w:tcPr>
            <w:tcW w:type="dxa" w:w="1440"/>
            <w:shd w:fill="FAFAFA" w:val="clear"/>
          </w:tcPr>
          <w:p>
            <w:r>
              <w:rPr>
                <w:sz w:val="17"/>
              </w:rPr>
              <w:t>3,930</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3,292</w:t>
            </w:r>
          </w:p>
        </w:tc>
        <w:tc>
          <w:tcPr>
            <w:tcW w:type="dxa" w:w="1440"/>
            <w:shd w:fill="FAFAFA" w:val="clear"/>
          </w:tcPr>
          <w:p>
            <w:r>
              <w:rPr>
                <w:b/>
                <w:sz w:val="17"/>
              </w:rPr>
              <w:t>3,621</w:t>
            </w:r>
          </w:p>
        </w:tc>
        <w:tc>
          <w:tcPr>
            <w:tcW w:type="dxa" w:w="1440"/>
            <w:shd w:fill="FAFAFA" w:val="clear"/>
          </w:tcPr>
          <w:p>
            <w:r>
              <w:rPr>
                <w:sz w:val="17"/>
              </w:rPr>
              <w:t>3,951</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3,260</w:t>
            </w:r>
          </w:p>
        </w:tc>
        <w:tc>
          <w:tcPr>
            <w:tcW w:type="dxa" w:w="1440"/>
            <w:shd w:fill="FFDCE0" w:val="clear"/>
          </w:tcPr>
          <w:p>
            <w:r>
              <w:rPr>
                <w:b/>
                <w:sz w:val="17"/>
              </w:rPr>
              <w:t>3,614</w:t>
            </w:r>
          </w:p>
        </w:tc>
        <w:tc>
          <w:tcPr>
            <w:tcW w:type="dxa" w:w="1440"/>
            <w:shd w:fill="FFDCE0" w:val="clear"/>
          </w:tcPr>
          <w:p>
            <w:r>
              <w:rPr>
                <w:sz w:val="17"/>
              </w:rPr>
              <w:t>3,969</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3,229</w:t>
            </w:r>
          </w:p>
        </w:tc>
        <w:tc>
          <w:tcPr>
            <w:tcW w:type="dxa" w:w="1440"/>
            <w:shd w:fill="FFDCE0" w:val="clear"/>
          </w:tcPr>
          <w:p>
            <w:r>
              <w:rPr>
                <w:b/>
                <w:sz w:val="17"/>
              </w:rPr>
              <w:t>3,608</w:t>
            </w:r>
          </w:p>
        </w:tc>
        <w:tc>
          <w:tcPr>
            <w:tcW w:type="dxa" w:w="1440"/>
            <w:shd w:fill="FFDCE0" w:val="clear"/>
          </w:tcPr>
          <w:p>
            <w:r>
              <w:rPr>
                <w:sz w:val="17"/>
              </w:rPr>
              <w:t>3,986</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3,200</w:t>
            </w:r>
          </w:p>
        </w:tc>
        <w:tc>
          <w:tcPr>
            <w:tcW w:type="dxa" w:w="1440"/>
            <w:shd w:fill="FFDCE0" w:val="clear"/>
          </w:tcPr>
          <w:p>
            <w:r>
              <w:rPr>
                <w:b/>
                <w:sz w:val="17"/>
              </w:rPr>
              <w:t>3,601</w:t>
            </w:r>
          </w:p>
        </w:tc>
        <w:tc>
          <w:tcPr>
            <w:tcW w:type="dxa" w:w="1440"/>
            <w:shd w:fill="FFDCE0" w:val="clear"/>
          </w:tcPr>
          <w:p>
            <w:r>
              <w:rPr>
                <w:sz w:val="17"/>
              </w:rPr>
              <w:t>4,002</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3,173</w:t>
            </w:r>
          </w:p>
        </w:tc>
        <w:tc>
          <w:tcPr>
            <w:tcW w:type="dxa" w:w="1440"/>
            <w:shd w:fill="FFDCE0" w:val="clear"/>
          </w:tcPr>
          <w:p>
            <w:r>
              <w:rPr>
                <w:b/>
                <w:sz w:val="17"/>
              </w:rPr>
              <w:t>3,595</w:t>
            </w:r>
          </w:p>
        </w:tc>
        <w:tc>
          <w:tcPr>
            <w:tcW w:type="dxa" w:w="1440"/>
            <w:shd w:fill="FFDCE0" w:val="clear"/>
          </w:tcPr>
          <w:p>
            <w:r>
              <w:rPr>
                <w:sz w:val="17"/>
              </w:rPr>
              <w:t>4,017</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TTLS (TotalEnergies Marketing Sénégal)**</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120,21 Mds FCFA, TTLS s'impose comme une valeur de premier plan de la cote BRVM, représentative d'une entreprise leader sur son marché domestique. Le BPA de 208 FCFA/action signifie que chaque titre génère 208 FCFA de bénéfice net, ce qui, rapporté au cours de 3 690 FCFA, donne un PER de 17,7x — soit un niveau modéré mais supérieur à la moyenne du marché BRVM (8-12x), traduisant une prime de qualité liée au statut de leader et à l'actionnariat TotalEnergies (69,1%). Le P/B de 4,26x indique que le marché valorise la société à plus de quatre fois sa valeur comptable, une prime exigeante qui se justifie par la solidité du réseau (140 stations) et la génération de cash-flow, mais qui limite la marge de sécurité. Enfin, l'EV/EBITDA de 7,5x, situé dans la fourchette raisonnable de 5-10x, montre que la valeur d'entreprise reste cohérente avec la capacité opérationnelle de la société,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TTLS affiche une performance remarquable de +25,08%, avec une dernière séance en hausse de +1,37%, confirmant un momentum haussier de court terme. Le titre a évolué dans un range large de 2 845 FCFA (plus bas) à 4 500 FCFA (plus haut), soit une amplitude de plus de 58%, avant de se stabiliser à 3 690 FCFA — ce qui place le cours actuel dans la partie médiane-haute du range, à environ 30% sous son sommet. La tendance générale est donc haussière sur la période, portée par la résilience opérationnelle de la société malgré la baisse du chiffre d'affaires. Les statistiques descriptives révèlent une moyenne de 3 661 FCFA très proche de la médiane (3 688 FCFA), signe d'une distribution équilibrée sans asymétrie marquée, confirmée par un skewness de -0,158 (distribution symétrique). L'écart-type de 331 FCFA et le coefficient de variation de 9,0% indiquent une dispersion modérée du cours autour de sa moyenne, tandis que le kurtosis de 0,236 (mésokurtique) suggère une distribution proche de la normale, sans risque excessif de pics extrêmes. Avec une volatilité annualisée de 43,0%, le titre se positionne clairement dans la catégorie des valeurs à volatilité élevée (&gt;30%), ce qui implique un risque de marché significatif mais aussi des opportunités de trading.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(3 816 FCFA) et la MM50 (3 753,5 FCFA) se situent toutes deux au-dessus du cours actuel (3 690 FCFA), ce qui place le titre en position de faiblesse relative à court terme. Cependant, la MM20 étant supérieure à la MM50, la configuration reste haussière de fond, et la décision fournie est "Achat" — le cours évoluant sous ses moyennes, un rebond technique vers 3 750-3 800 FCFA est envisageable.</w:t>
      </w:r>
    </w:p>
    <w:p>
      <w:pPr>
        <w:spacing w:after="120" w:line="276" w:lineRule="auto"/>
      </w:pPr>
      <w:r>
        <w:t>**Bandes de Bollinger** : Le cours (3 690 FCFA) évolue dans la partie basse de la bande, entre la borne inférieure (3 592,64 FCFA) et la borne supérieure (4 039,36 FCFA), sans atteindre les extrêmes. Cette position médiane-basse traduit une volatilité contenue et une absence de signal directionnel fort, justifiant la décision "Neutre" — le titre n'est ni suracheté ni survendu selon ce indicateur.</w:t>
      </w:r>
    </w:p>
    <w:p>
      <w:pPr>
        <w:spacing w:after="120" w:line="276" w:lineRule="auto"/>
      </w:pPr>
      <w:r>
        <w:t>**MACD** : La valeur du MACD (-35,252) est nettement inférieure à son signal (-5,62), générant un histogramme négatif et une configuration baissière. Ce croisement à la baisse indique un momentum négatif de court terme, avec une pression vendeuse persistante, justifiant la décision "Vente" — la dynamique actuelle plaide pour la prudence avant tout rebond.</w:t>
      </w:r>
    </w:p>
    <w:p>
      <w:pPr>
        <w:spacing w:after="120" w:line="276" w:lineRule="auto"/>
      </w:pPr>
      <w:r>
        <w:t>**RSI** : À 38,506, le RSI se situe dans la zone neutre basse (30-70), sans atteindre le seuil de survente (30). Cela suggère que le titre n'est pas encore techniquement survendu, mais que la pression baissière reste modérée, justifiant la décision "Neutre" — un retournement haussier n'est pas imminent mais pourrait se préparer.</w:t>
      </w:r>
    </w:p>
    <w:p>
      <w:pPr>
        <w:spacing w:after="120" w:line="276" w:lineRule="auto"/>
      </w:pPr>
      <w:r>
        <w:t>**Stochastique** : Le %K (19,481) et le %D (8,658) sont tous deux en zone de survente (&lt;20), avec un %K supérieur au %D, ce qui constitue un signal d'achat technique (croisement haussier en zone basse). Cette configuration suggère qu'un rebond à court terme est probable, justifiant la décision "Achat" — les vendeurs semblent s'épuiser.</w:t>
      </w:r>
    </w:p>
    <w:p>
      <w:pPr>
        <w:spacing w:after="120" w:line="276" w:lineRule="auto"/>
      </w:pPr>
      <w:r>
        <w:t>**Conclusion technique** : Les indicateurs sont divergents — le MACD est baissier, les Moyennes Mobiles sont haussières de fond mais le cours évolue en dessous, le RSI est neutre et le Stochastique donne un signal d'achat en survente. Cette divergence suggère un marché en phase de consolidation, avec un potentiel rebond technique à court terme (Stochastique, MM) mais une pression baissière persistante (MACD). La prudence est de mise avant confirmation d'un retournement.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TTLS a réalisé un chiffre d'affaires de 455,209 Mds FCFA, en baisse de 6,13% par rapport à 2024 (484,945 Mds FCFA), principalement en raison de l'arrêt stratégique de la commercialisation du fuel lourd (39,5 Mds FCFA de CA en 2024). Le résultat net s'établit à 6,779 Mds FCFA (contre 7,140 Mds en 2024, soit -5,1%), avec une marge nette de 1,49% — typique du secteur de distribution pétrolière. Le ROE atteint 24,01%, un niveau excellent (&gt;15%), témoignant d'une rentabilité des fonds propres solide malgré la faiblesse des marges, tandis que le ROA de 3,95% reflète la rotation élevée des actifs (265%). La structure financière est saine : autonomie financière de 16,44%, ratio d'endettement de 52,16%, et capacité de remboursement de 0,94 an (dettes financières/CAF), ce qui est très confortable. Le BFR est négatif (-36,899 Mds FCFA), un point favorable qui signifie que l'exploitation génère de la trésorerie plutôt qu'elle n'en consomme, et la trésorerie nette s'élève à 13,941 Mds FCFA. Les délais clients (47,43 jours) et fournisseurs (97,76 jours) sont bien gérés, le délai fournisseurs élevé constituant une source de financement gratuite.</w:t>
      </w:r>
    </w:p>
    <w:p>
      <w:pPr>
        <w:spacing w:after="120" w:line="276" w:lineRule="auto"/>
      </w:pPr>
      <w:r>
        <w:t>**Estimations basées sur les rapports trimestriels** : Le rapport T1 2026 (publié le 31/03/2026) révèle un chiffre d'affaires de 99,9 Mds FCFA (-10% vs T1 2025), impacté par la révision à la baisse des prix à la pompe par l'État en décembre 2025. Malgré cela, le résultat net progresse de +5% à 1,585 Mds FCFA, et le résultat d'exploitation bondit de +28% à 2,6 Mds FCFA, grâce à l'amélioration des marges sur les lubrifiants. On estime donc que l'exercice 2026 devrait bénéficier d'un effet mix-produit favorable, avec une marge nette en amélioration (1,59% au T1 2026 vs 1,37% au T1 2025), compensant partiellement la pression sur les volumes. Le rapport annuel 2025 (publié le 31/12/2025) confirme la stratégie de recentrage sur les segments à forte valeur ajoutée (GPL, lubrifiants, export) et la solidité du réseau de 140 stations.</w:t>
      </w:r>
    </w:p>
    <w:p>
      <w:pPr>
        <w:spacing w:after="120" w:line="276" w:lineRule="auto"/>
      </w:pPr>
      <w:r>
        <w:t>**Recommandation fondamentale** : TTLS présente un profil défensif de qualité, avec une position de leader, un actionnariat stable (TotalEnergies 69,1%), une génération de cash-flow robuste (FCF 17,483 Mds FCFA) et une politique de dividende généreuse (7,691 Mds FCFA versés en 2025, soit un rendement estimé à ~6,4% sur la base du cours actuel). Les risques principaux sont la dépendance aux décisions réglementaires de l'État sénégalais sur les prix des carburants, la baisse structurelle du chiffre d'affaires et la volatilité des dividendes des participations. La valorisation (PER 17,7x, P/B 4,26x) intègre déjà une prime de qualité, limitant le potentiel de revalorisation à court terme. **Recommandation fondamentale : CONSERVER**, avec un biais positif pour les investisseurs de long terme recherchant un rendement stable.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**En termes de valorisation (Partie 0)**, le PER de 17,7x et le P/B de 4,26x indiquent une surévaluation relative par rapport à la moyenne du marché BRVM (8-12x), bien que l'EV/EBITDA de 7,5x reste raisonnable — le marché paie une prime pour la qualité et la stabilité, mais la marge de sécurité est limitée. **Le comportement du cours (Partie 1)** est haussier sur 100 jours (+25,08%), avec une volatilité élevée (43%) et une distribution symétrique (skewness -0,158, kurtosis 0,236), ce qui suggère un risque de marché significatif mais sans asymétrie extrême. **Les signaux techniques (Partie 2)** sont divergents : le MACD est baissier, les MM sont haussières de fond mais le cours évolue en dessous, le RSI est neutre et le Stochastique donne un signal d'achat en survente — cette configuration plaide pour une consolidation avant un éventuel rebond. **Les fondamentaux (Partie 3)** sont solides : ROE de 24%, BFR négatif, trésorerie nette positive, et les rapports trimestriels (T1 2026) montrent une résilience opérationnelle avec une amélioration des marges (+28% de résultat d'exploitation). **Les prédictions IA (J+1 à J+10)** anticipent une légère baisse du cours de 3 654 FCFA à 3 621 FCFA, confirmant la pression baissière de court terme identifiée par le MACD.</w:t>
      </w:r>
    </w:p>
    <w:p>
      <w:pPr>
        <w:spacing w:after="120" w:line="276" w:lineRule="auto"/>
      </w:pPr>
      <w:r>
        <w:t>**Recommandation finale : CONSERVER**. La convergence entre une valorisation exigeante, des signaux techniques mitigés (MACD baissier vs Stochastique haussier) et des fondamentaux solides mais sans catalyseur majeur à court terme justifie une position attentiste. Le niveau de confiance est **Moyen** — les fondamentaux sont rassurants mais la technique est incertaine. Le risque global est **Moyen** — volatilité élevée (43%) mais structure financière saine. L'horizon d'investissement optimal est le **long terme (&gt;1 an)** pour bénéficier du rendement du dividende (~6,4%) et de la résilience de l'activité, en attendant une clarification sur la politique de prix de l'État et une reprise des volumes. Un achat spéculatif à court terme n'est pas justifié tant que le MACD ne s'inverse pas et que le cours ne repasse pas au-dessus de la MM20 (3 816 FCFA).</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-15.70%</w:t>
            </w:r>
          </w:p>
          <w:p>
            <w:r>
              <w:rPr>
                <w:b/>
                <w:color w:val="503200"/>
                <w:sz w:val="16"/>
              </w:rPr>
              <w:t xml:space="preserve">Plus haut 100j : </w:t>
            </w:r>
            <w:r>
              <w:rPr>
                <w:color w:val="000000"/>
                <w:sz w:val="17"/>
              </w:rPr>
              <w:t>60,500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5.50% (Moyenne) — μ=54,676 FCFA, σ=3,007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β=0.5331 (Défensif) — Cov=0.000037, Var(idx)=0.000069, ρ=0.120,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σ_j=3.73%/j (Modérée) — Vol. annualisée≈59.1%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44,606</w:t>
            </w:r>
          </w:p>
        </w:tc>
        <w:tc>
          <w:tcPr>
            <w:tcW w:type="dxa" w:w="1440"/>
            <w:shd w:fill="FFDCE0" w:val="clear"/>
          </w:tcPr>
          <w:p>
            <w:r>
              <w:rPr>
                <w:b/>
                <w:sz w:val="17"/>
              </w:rPr>
              <w:t>49,195</w:t>
            </w:r>
          </w:p>
        </w:tc>
        <w:tc>
          <w:tcPr>
            <w:tcW w:type="dxa" w:w="1440"/>
            <w:shd w:fill="FFDCE0" w:val="clear"/>
          </w:tcPr>
          <w:p>
            <w:r>
              <w:rPr>
                <w:sz w:val="17"/>
              </w:rPr>
              <w:t>53,785</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43,579</w:t>
            </w:r>
          </w:p>
        </w:tc>
        <w:tc>
          <w:tcPr>
            <w:tcW w:type="dxa" w:w="1440"/>
            <w:shd w:fill="FFDCE0" w:val="clear"/>
          </w:tcPr>
          <w:p>
            <w:r>
              <w:rPr>
                <w:b/>
                <w:sz w:val="17"/>
              </w:rPr>
              <w:t>49,201</w:t>
            </w:r>
          </w:p>
        </w:tc>
        <w:tc>
          <w:tcPr>
            <w:tcW w:type="dxa" w:w="1440"/>
            <w:shd w:fill="FFDCE0" w:val="clear"/>
          </w:tcPr>
          <w:p>
            <w:r>
              <w:rPr>
                <w:sz w:val="17"/>
              </w:rPr>
              <w:t>54,823</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42,694</w:t>
            </w:r>
          </w:p>
        </w:tc>
        <w:tc>
          <w:tcPr>
            <w:tcW w:type="dxa" w:w="1440"/>
            <w:shd w:fill="FFDCE0" w:val="clear"/>
          </w:tcPr>
          <w:p>
            <w:r>
              <w:rPr>
                <w:b/>
                <w:sz w:val="17"/>
              </w:rPr>
              <w:t>49,183</w:t>
            </w:r>
          </w:p>
        </w:tc>
        <w:tc>
          <w:tcPr>
            <w:tcW w:type="dxa" w:w="1440"/>
            <w:shd w:fill="FFDCE0" w:val="clear"/>
          </w:tcPr>
          <w:p>
            <w:r>
              <w:rPr>
                <w:sz w:val="17"/>
              </w:rPr>
              <w:t>55,672</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41,908</w:t>
            </w:r>
          </w:p>
        </w:tc>
        <w:tc>
          <w:tcPr>
            <w:tcW w:type="dxa" w:w="1440"/>
            <w:shd w:fill="FFDCE0" w:val="clear"/>
          </w:tcPr>
          <w:p>
            <w:r>
              <w:rPr>
                <w:b/>
                <w:sz w:val="17"/>
              </w:rPr>
              <w:t>49,160</w:t>
            </w:r>
          </w:p>
        </w:tc>
        <w:tc>
          <w:tcPr>
            <w:tcW w:type="dxa" w:w="1440"/>
            <w:shd w:fill="FFDCE0" w:val="clear"/>
          </w:tcPr>
          <w:p>
            <w:r>
              <w:rPr>
                <w:sz w:val="17"/>
              </w:rPr>
              <w:t>56,411</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41,196</w:t>
            </w:r>
          </w:p>
        </w:tc>
        <w:tc>
          <w:tcPr>
            <w:tcW w:type="dxa" w:w="1440"/>
            <w:shd w:fill="FFDCE0" w:val="clear"/>
          </w:tcPr>
          <w:p>
            <w:r>
              <w:rPr>
                <w:b/>
                <w:sz w:val="17"/>
              </w:rPr>
              <w:t>49,135</w:t>
            </w:r>
          </w:p>
        </w:tc>
        <w:tc>
          <w:tcPr>
            <w:tcW w:type="dxa" w:w="1440"/>
            <w:shd w:fill="FFDCE0" w:val="clear"/>
          </w:tcPr>
          <w:p>
            <w:r>
              <w:rPr>
                <w:sz w:val="17"/>
              </w:rPr>
              <w:t>57,075</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40,540</w:t>
            </w:r>
          </w:p>
        </w:tc>
        <w:tc>
          <w:tcPr>
            <w:tcW w:type="dxa" w:w="1440"/>
            <w:shd w:fill="FFDCE0" w:val="clear"/>
          </w:tcPr>
          <w:p>
            <w:r>
              <w:rPr>
                <w:b/>
                <w:sz w:val="17"/>
              </w:rPr>
              <w:t>49,111</w:t>
            </w:r>
          </w:p>
        </w:tc>
        <w:tc>
          <w:tcPr>
            <w:tcW w:type="dxa" w:w="1440"/>
            <w:shd w:fill="FFDCE0" w:val="clear"/>
          </w:tcPr>
          <w:p>
            <w:r>
              <w:rPr>
                <w:sz w:val="17"/>
              </w:rPr>
              <w:t>57,683</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39,928</w:t>
            </w:r>
          </w:p>
        </w:tc>
        <w:tc>
          <w:tcPr>
            <w:tcW w:type="dxa" w:w="1440"/>
            <w:shd w:fill="FFDCE0" w:val="clear"/>
          </w:tcPr>
          <w:p>
            <w:r>
              <w:rPr>
                <w:b/>
                <w:sz w:val="17"/>
              </w:rPr>
              <w:t>49,087</w:t>
            </w:r>
          </w:p>
        </w:tc>
        <w:tc>
          <w:tcPr>
            <w:tcW w:type="dxa" w:w="1440"/>
            <w:shd w:fill="FFDCE0" w:val="clear"/>
          </w:tcPr>
          <w:p>
            <w:r>
              <w:rPr>
                <w:sz w:val="17"/>
              </w:rPr>
              <w:t>58,246</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39,354</w:t>
            </w:r>
          </w:p>
        </w:tc>
        <w:tc>
          <w:tcPr>
            <w:tcW w:type="dxa" w:w="1440"/>
            <w:shd w:fill="FFDCE0" w:val="clear"/>
          </w:tcPr>
          <w:p>
            <w:r>
              <w:rPr>
                <w:b/>
                <w:sz w:val="17"/>
              </w:rPr>
              <w:t>49,064</w:t>
            </w:r>
          </w:p>
        </w:tc>
        <w:tc>
          <w:tcPr>
            <w:tcW w:type="dxa" w:w="1440"/>
            <w:shd w:fill="FFDCE0" w:val="clear"/>
          </w:tcPr>
          <w:p>
            <w:r>
              <w:rPr>
                <w:sz w:val="17"/>
              </w:rPr>
              <w:t>58,774</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38,811</w:t>
            </w:r>
          </w:p>
        </w:tc>
        <w:tc>
          <w:tcPr>
            <w:tcW w:type="dxa" w:w="1440"/>
            <w:shd w:fill="FFDCE0" w:val="clear"/>
          </w:tcPr>
          <w:p>
            <w:r>
              <w:rPr>
                <w:b/>
                <w:sz w:val="17"/>
              </w:rPr>
              <w:t>49,041</w:t>
            </w:r>
          </w:p>
        </w:tc>
        <w:tc>
          <w:tcPr>
            <w:tcW w:type="dxa" w:w="1440"/>
            <w:shd w:fill="FFDCE0" w:val="clear"/>
          </w:tcPr>
          <w:p>
            <w:r>
              <w:rPr>
                <w:sz w:val="17"/>
              </w:rPr>
              <w:t>59,271</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468,35 milliards FCFA, un niveau significatif qui place la valeur parmi les capitalisations moyennes à supérieures de la cote BRVM, bien que très en deçà des poids lourds comme SONATEL. Les ratios de valorisation classiques (BPA, PER, P/B, EV/EBITDA) ne sont pas calculables en l'état, faute de données financières structurées exploitables dans la base — notamment parce que le résultat net 2023 (640,3 millions FCFA) rapporté à la capitalisation actuelle impliquerait un PER théorique très élevé, ce qui traduit une décorrélation entre le prix de marché et la rentabilité effective. En l'absence de PER et de P/B fiables, l'investisseur ne peut s'appuyer sur une lecture traditionnelle de la valorisation relative ; il doit donc privilégier l'analyse fondamentale narrative (Partie 3) et la dynamique technique (Partie 2) pour évaluer le risque. Le niveau de capitalisation élevé, couplé à des capitaux propres négatifs (-10 658 millions FCFA en 2023), suggère que le marché valorise davantage la marque Unilever et son potentiel de redressement que les fondamentaux comptables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UNLC affiche une variation totale de -15,70%, matérialisant une tendance baissière de fond, malgré un rebond spectaculaire de +7,37% lors de la dernière séance (J-1). Le cours actuel de 51 000 FCFA se situe dans la moitié basse du range de trading, le plus haut ayant atteint 60 500 FCFA et le plus bas 47 215 FCFA, soit un écart de plus de 13 000 FCFA qui témoigne d'une amplitude significative. La moyenne (54 676 FCFA) est très proche de la médiane (54 595 FCFA), confirmant une distribution quasi symétrique du cours sur la période, sans biais directionnel marqué. L'écart-type de 3 022 FCFA et le coefficient de variation de 5,5% indiquent une dispersion modérée autour de la moyenne, tandis que le kurtosis de -0,579 (mésokurtique) suggère une distribution proche de la normale, sans risque excessif de pics extrêmes. Le skewness de -0,088 confirme cette symétrie, avec une très légère asymétrie négative. La volatilité annualisée de 59,1% classe le titre dans la catégorie des valeurs à volatilité élevée (&gt;30%), ce qui implique un risque de prix important et justifie une approche prudente, d'autant que le volume moyen quotidien de seulement 21 titres révèle une liquidité très faible, facteur aggravant de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(51 528 FCFA) et la MM50 (52 856,5 FCFA) se situent toutes deux au-dessus du cours actuel (51 000 FCFA), avec une MM20 inférieure à la MM50 — configuration baissière caractéristique. Le cours évolue sous ses deux moyennes, confirmant la pression vendeuse ; la décision technique est donc logiquement **Vente**.</w:t>
      </w:r>
    </w:p>
    <w:p>
      <w:pPr>
        <w:spacing w:after="120" w:line="276" w:lineRule="auto"/>
      </w:pPr>
      <w:r>
        <w:t>**Bandes de Bollinger** : Le cours (51 000 FCFA) se situe dans la partie médiane de la bande, entre la borne inférieure (47 327,8 FCFA) et la borne supérieure (55 728,2 FCFA), sans contact avec les extrêmes. Cette position centrale, couplée à un écart-type modéré, traduit une absence de signal directionnel fort ; la décision est **Neutre**.</w:t>
      </w:r>
    </w:p>
    <w:p>
      <w:pPr>
        <w:spacing w:after="120" w:line="276" w:lineRule="auto"/>
      </w:pPr>
      <w:r>
        <w:t>**MACD** : La valeur du MACD (-1 141,274) est inférieure à son signal (-907,262), avec un histogramme négatif qui confirme un momentum baissier persistant. La divergence négative entre les deux lignes plaide pour une poursuite de la faiblesse à court terme ; la décision est **Vente**.</w:t>
      </w:r>
    </w:p>
    <w:p>
      <w:pPr>
        <w:spacing w:after="120" w:line="276" w:lineRule="auto"/>
      </w:pPr>
      <w:r>
        <w:t>**RSI** : À 43,157, le RSI se situe dans la zone neutre (30-70), sans atteindre la zone de survente (&lt;30) ni de surachat (&gt;70). Cette position médiane indique un équilibre relatif entre acheteurs et vendeurs, sans signal d'achat ou de vente imminent ; la décision est **Neutre**.</w:t>
      </w:r>
    </w:p>
    <w:p>
      <w:pPr>
        <w:spacing w:after="120" w:line="276" w:lineRule="auto"/>
      </w:pPr>
      <w:r>
        <w:t>**Stochastique** : Le %K (55,785) est nettement supérieur au %D (19,995), ce qui pourrait suggérer un début de croisement haussier, mais le %D reste très bas, traduisant une faiblesse de fond. Cette configuration divergente appelle à la prudence ; la décision reste **Neutre**.</w:t>
      </w:r>
    </w:p>
    <w:p>
      <w:pPr>
        <w:spacing w:after="120" w:line="276" w:lineRule="auto"/>
      </w:pPr>
      <w:r>
        <w:t>**Conclusion technique** : Les indicateurs sont majoritairement baissiers (MM et MACD en Vente) ou neutres (Bollinger, RSI, Stochastique), sans convergence haussière claire. Le rebond de +7,37% en J-1 apparaît isolé et non confirmé par les moyennes mobiles ni par le MACD. La configuration technique globale reste défavorable, avec un risque de reprise de la tendance baissière tant que le cours ne repasse pas au-dessus de la MM20 (51 528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**En 2023**, le chiffre d'affaires s'établit à 24 336 millions FCFA, stable par rapport à 2022, tandis que le résultat net redevient positif à 640,3 millions FCFA, contre une perte nette de 6 908,4 millions FCFA en 2022 — une amélioration spectaculaire mais fragile, la marge nette ne ressortant qu'à 2,63%, très en deçà de la moyenne sectorielle des biens de consommation (5-10%). Le résultat d'exploitation passe de -6 258 millions FCFA en 2022 à +3 340 millions FCFA en 2023, porté par une réduction des charges et une hausse des produits accessoires. **En 2022**, la perte nette de 6 382,6 millions FCFA (selon le rapport 2022) ou 6 908,4 millions FCFA (selon le rapport 2023) reflétait la disparition des produits exceptionnels liés à la cession de l'activité Thé (Lipton) en 2021, ainsi que la hausse des coûts logistiques. **En 2021**, le résultat net était bénéficiaire de 6 090,8 millions FCFA, avec une marge nette de 25%, mais cet exercice incluait des produits exceptionnels non récurrents. La structure financière reste préoccupante : les capitaux propres sont négatifs à -10 658 millions FCFA en 2023, le report à nouveau s'élève à -35 635 millions FCFA, et les dettes financières atteignent 4 379 millions FCFA (contre 3 827 millions en 2022). Aucun dividende n'a été versé en 2023 ni en 2022, la priorité étant donnée à la reconstitution des fonds propres. Les risques identifiés incluent la dépendance au marché ivoirien, la concurrence accrue (Nestlé, P&amp;G, marques locales), un endettement élevé et une trésorerie tendue. Les opportunités résident dans l'expansion régionale (UEMOA), l'innovation produit et l'optimisation des coûts. **En synthèse**, la recommandation fondamentale est de **CONSERVER avec vigilance** : le redressement opérationnel de 2023 est encourageant, mais la fragilité des capitaux propres et l'absence de croissance du chiffre d'affaires imposent une prudence extrême. Les rapports datant de 2023 (publiés en 2024), il conviendra de surveiller les prochains états financiers pour confirmer ou infirmer la tendance.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de **VENTE** pour UNLC, avec un niveau de confiance **Moyen** et un risque global **Élevé**. La **valorisation (Partie 0)** est ininterprétable faute de ratios fiables, mais la capitalisation élevée (468,35 milliards FCFA) contraste avec des capitaux propres négatifs, suggérant une surévaluation relative. Le **comportement du cours (Partie 1)** est baissier (-15,70% sur 100 jours), avec une volatilité élevée (59,1%) et une liquidité très faible (21 titres/jour), ce qui accroît le risque de sortie. Les **signaux techniques (Partie 2)** sont majoritairement baissiers (MM et MACD en Vente), sans convergence haussière, le rebond de J-1 apparaissant comme un sursaut isolé. Les **fondamentaux (Partie 3)** montrent un redressement fragile en 2023 (résultat net de 640,3 millions FCFA, marge nette de 2,63%), mais des capitaux propres négatifs et une absence de dividende. Les **prédictions IA (J+1 à J+10)** anticipent une stabilisation autour de 49 200 FCFA, soit une baisse de -3,5% par rapport au cours actuel de 51 000 FCFA, ce qui confirme la tendance baissière et contredit l'hypothèse d'un rebond durable. La convergence des signaux baissiers (technique, fondamental fragile, prédictions) justifie une recommandation de **VENTE**, avec un horizon d'investissement **court terme** (&lt;3 mois) pour limiter l'exposition. Les investisseurs détenant le titre pourraient envisager de réduire leurs positions, tandis que les acheteurs potentiels devraient attendre une stabilisation des capitaux propres et une confirmation de la rentabilité avant toute entrée.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48.97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13,702 titres</w:t>
            </w:r>
          </w:p>
        </w:tc>
        <w:tc>
          <w:tcPr>
            <w:tcW w:type="dxa" w:w="2268"/>
            <w:shd w:fill="FFF2CC" w:val="clear"/>
          </w:tcPr>
          <w:p>
            <w:r>
              <w:rPr>
                <w:b/>
                <w:color w:val="503200"/>
                <w:sz w:val="16"/>
              </w:rPr>
              <w:t xml:space="preserve">Cours actuel : </w:t>
            </w:r>
            <w:r>
              <w:rPr>
                <w:color w:val="000000"/>
                <w:sz w:val="17"/>
              </w:rPr>
              <w:t>2,360 FCFA</w:t>
            </w:r>
          </w:p>
          <w:p>
            <w:r>
              <w:rPr>
                <w:b/>
                <w:color w:val="503200"/>
                <w:sz w:val="16"/>
              </w:rPr>
              <w:t xml:space="preserve">Var. 100 jours : </w:t>
            </w:r>
            <w:r>
              <w:rPr>
                <w:b/>
                <w:color w:val="007800"/>
                <w:sz w:val="17"/>
              </w:rPr>
              <w:t>+30.75%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15.11% (Élevée) — μ=2,000 FCFA, σ=302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β=0.5087 (Défensif) — Cov=0.000035, Var(idx)=0.000068, ρ=0.134,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13,702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2,215</w:t>
            </w:r>
          </w:p>
        </w:tc>
        <w:tc>
          <w:tcPr>
            <w:tcW w:type="dxa" w:w="1440"/>
            <w:shd w:fill="FAFAFA" w:val="clear"/>
          </w:tcPr>
          <w:p>
            <w:r>
              <w:rPr>
                <w:b/>
                <w:sz w:val="17"/>
              </w:rPr>
              <w:t>2,329</w:t>
            </w:r>
          </w:p>
        </w:tc>
        <w:tc>
          <w:tcPr>
            <w:tcW w:type="dxa" w:w="1440"/>
            <w:shd w:fill="FAFAFA" w:val="clear"/>
          </w:tcPr>
          <w:p>
            <w:r>
              <w:rPr>
                <w:sz w:val="17"/>
              </w:rPr>
              <w:t>2,443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2,171</w:t>
            </w:r>
          </w:p>
        </w:tc>
        <w:tc>
          <w:tcPr>
            <w:tcW w:type="dxa" w:w="1440"/>
            <w:shd w:fill="FFDCE0" w:val="clear"/>
          </w:tcPr>
          <w:p>
            <w:r>
              <w:rPr>
                <w:b/>
                <w:sz w:val="17"/>
              </w:rPr>
              <w:t>2,309</w:t>
            </w:r>
          </w:p>
        </w:tc>
        <w:tc>
          <w:tcPr>
            <w:tcW w:type="dxa" w:w="1440"/>
            <w:shd w:fill="FFDCE0" w:val="clear"/>
          </w:tcPr>
          <w:p>
            <w:r>
              <w:rPr>
                <w:sz w:val="17"/>
              </w:rPr>
              <w:t>2,448</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2,132</w:t>
            </w:r>
          </w:p>
        </w:tc>
        <w:tc>
          <w:tcPr>
            <w:tcW w:type="dxa" w:w="1440"/>
            <w:shd w:fill="FFDCE0" w:val="clear"/>
          </w:tcPr>
          <w:p>
            <w:r>
              <w:rPr>
                <w:b/>
                <w:sz w:val="17"/>
              </w:rPr>
              <w:t>2,291</w:t>
            </w:r>
          </w:p>
        </w:tc>
        <w:tc>
          <w:tcPr>
            <w:tcW w:type="dxa" w:w="1440"/>
            <w:shd w:fill="FFDCE0" w:val="clear"/>
          </w:tcPr>
          <w:p>
            <w:r>
              <w:rPr>
                <w:sz w:val="17"/>
              </w:rPr>
              <w:t>2,450</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2,097</w:t>
            </w:r>
          </w:p>
        </w:tc>
        <w:tc>
          <w:tcPr>
            <w:tcW w:type="dxa" w:w="1440"/>
            <w:shd w:fill="FFDCE0" w:val="clear"/>
          </w:tcPr>
          <w:p>
            <w:r>
              <w:rPr>
                <w:b/>
                <w:sz w:val="17"/>
              </w:rPr>
              <w:t>2,274</w:t>
            </w:r>
          </w:p>
        </w:tc>
        <w:tc>
          <w:tcPr>
            <w:tcW w:type="dxa" w:w="1440"/>
            <w:shd w:fill="FFDCE0" w:val="clear"/>
          </w:tcPr>
          <w:p>
            <w:r>
              <w:rPr>
                <w:sz w:val="17"/>
              </w:rPr>
              <w:t>2,450</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2,065</w:t>
            </w:r>
          </w:p>
        </w:tc>
        <w:tc>
          <w:tcPr>
            <w:tcW w:type="dxa" w:w="1440"/>
            <w:shd w:fill="FFDCE0" w:val="clear"/>
          </w:tcPr>
          <w:p>
            <w:r>
              <w:rPr>
                <w:b/>
                <w:sz w:val="17"/>
              </w:rPr>
              <w:t>2,257</w:t>
            </w:r>
          </w:p>
        </w:tc>
        <w:tc>
          <w:tcPr>
            <w:tcW w:type="dxa" w:w="1440"/>
            <w:shd w:fill="FFDCE0" w:val="clear"/>
          </w:tcPr>
          <w:p>
            <w:r>
              <w:rPr>
                <w:sz w:val="17"/>
              </w:rPr>
              <w:t>2,448</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2,035</w:t>
            </w:r>
          </w:p>
        </w:tc>
        <w:tc>
          <w:tcPr>
            <w:tcW w:type="dxa" w:w="1440"/>
            <w:shd w:fill="FFDCE0" w:val="clear"/>
          </w:tcPr>
          <w:p>
            <w:r>
              <w:rPr>
                <w:b/>
                <w:sz w:val="17"/>
              </w:rPr>
              <w:t>2,240</w:t>
            </w:r>
          </w:p>
        </w:tc>
        <w:tc>
          <w:tcPr>
            <w:tcW w:type="dxa" w:w="1440"/>
            <w:shd w:fill="FFDCE0" w:val="clear"/>
          </w:tcPr>
          <w:p>
            <w:r>
              <w:rPr>
                <w:sz w:val="17"/>
              </w:rPr>
              <w:t>2,446</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2,006</w:t>
            </w:r>
          </w:p>
        </w:tc>
        <w:tc>
          <w:tcPr>
            <w:tcW w:type="dxa" w:w="1440"/>
            <w:shd w:fill="FFDCE0" w:val="clear"/>
          </w:tcPr>
          <w:p>
            <w:r>
              <w:rPr>
                <w:b/>
                <w:sz w:val="17"/>
              </w:rPr>
              <w:t>2,224</w:t>
            </w:r>
          </w:p>
        </w:tc>
        <w:tc>
          <w:tcPr>
            <w:tcW w:type="dxa" w:w="1440"/>
            <w:shd w:fill="FFDCE0" w:val="clear"/>
          </w:tcPr>
          <w:p>
            <w:r>
              <w:rPr>
                <w:sz w:val="17"/>
              </w:rPr>
              <w:t>2,443</w:t>
            </w:r>
          </w:p>
        </w:tc>
        <w:tc>
          <w:tcPr>
            <w:tcW w:type="dxa" w:w="1440"/>
            <w:shd w:fill="FFDCE0" w:val="clear"/>
          </w:tcPr>
          <w:p>
            <w:r>
              <w:rPr>
                <w:b/>
                <w:color w:val="C00000"/>
                <w:sz w:val="17"/>
              </w:rPr>
              <w:t>-5.7%</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1,979</w:t>
            </w:r>
          </w:p>
        </w:tc>
        <w:tc>
          <w:tcPr>
            <w:tcW w:type="dxa" w:w="1440"/>
            <w:shd w:fill="FFDCE0" w:val="clear"/>
          </w:tcPr>
          <w:p>
            <w:r>
              <w:rPr>
                <w:b/>
                <w:sz w:val="17"/>
              </w:rPr>
              <w:t>2,209</w:t>
            </w:r>
          </w:p>
        </w:tc>
        <w:tc>
          <w:tcPr>
            <w:tcW w:type="dxa" w:w="1440"/>
            <w:shd w:fill="FFDCE0" w:val="clear"/>
          </w:tcPr>
          <w:p>
            <w:r>
              <w:rPr>
                <w:sz w:val="17"/>
              </w:rPr>
              <w:t>2,439</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1,954</w:t>
            </w:r>
          </w:p>
        </w:tc>
        <w:tc>
          <w:tcPr>
            <w:tcW w:type="dxa" w:w="1440"/>
            <w:shd w:fill="FFDCE0" w:val="clear"/>
          </w:tcPr>
          <w:p>
            <w:r>
              <w:rPr>
                <w:b/>
                <w:sz w:val="17"/>
              </w:rPr>
              <w:t>2,194</w:t>
            </w:r>
          </w:p>
        </w:tc>
        <w:tc>
          <w:tcPr>
            <w:tcW w:type="dxa" w:w="1440"/>
            <w:shd w:fill="FFDCE0" w:val="clear"/>
          </w:tcPr>
          <w:p>
            <w:r>
              <w:rPr>
                <w:sz w:val="17"/>
              </w:rPr>
              <w:t>2,435</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48,97 milliards FCFA, UNIWAX se situe dans la catégorie des valeurs moyennes de la BRVM, ce qui reste significatif pour une valeur industrielle textile ivoirienne. Le BPA ressort à -105 FCFA/action, traduisant une société qui détruit comptablement de la valeur par action sur l'exercice 2024, ce qui rend le PER de -22,4x non exploitable en l'état (un PER négatif signale simplement une perte nette, non une cherté ou un bon marché). Le P/B de 3,14x indique que le marché valorise UNIWAX à plus de trois fois ses fonds propres comptables, soit une prime de croissance notable pour une entreprise encore déficitaire — signe que les investisseurs anticipent un redressement (retour à l'EBE positif en 2025, retour au résultat d'exploitation positif au S1 2026). L'EV/EBITDA n'est pas fourni dans les données, ce qui s'explique par la volatilité récente de l'EBITDA (négatif en 2024, positif en 2025), rendant le multiple peu pertinent sur cet exercice de transition.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progression spectaculaire de +30,75%, portée par un cours actuel de 2 360 FCFA, malgré un repli de -2,68% sur la dernière séance (J-1) qui marque une légère prise de bénéfices. Le range de trading est très large, avec un plus haut à 2 495 FCFA et un plus bas à 1 250 FCFA, soit un écart de près de 100% entre les deux extrêmes — ce qui témoigne d'une forte revalorisation du titre sur la période. La tendance générale est donc nettement haussière, soutenue par l'amélioration des fondamentaux opérationnels (retour à l'EBE positif en 2025, résultat d'exploitation positif au S1 2026). Les statistiques descriptives révèlent une moyenne de 2 000 FCFA légèrement supérieure à la médiane de 1 940 FCFA, signe d'une distribution quasi symétrique (skewness de -0,075), sans biais marqué vers les valeurs extrêmes. L'écart-type de 304 FCFA (CV = 15,2%) indique une dispersion modérée du cours autour de sa moyenne, tandis que le kurtosis de -0,521 (mésokurtique) suggère une distribution proche de la normale, sans risque de pics extrêmes fréquents. La volatilité annualisée de 49,6% classe le titre dans la catégorie des valeurs très volatiles (&gt;30%), ce qui est cohérent avec son statut de valeur de redressement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(2 351,5 FCFA) et la MM50 (2 216,2 FCFA) se situent toutes deux sous le cours actuel (2 360 FCFA), confirmant une configuration haussière de court et moyen terme. La MM20 étant supérieure à la MM50, on observe un croisement haussier (golden cross) qui valide la dynamique positive. La décision technique qui en résulte est logiquement un **Achat**.</w:t>
      </w:r>
    </w:p>
    <w:p>
      <w:pPr>
        <w:spacing w:after="120" w:line="276" w:lineRule="auto"/>
      </w:pPr>
      <w:r>
        <w:t>**Bandes de Bollinger** : Le cours (2 360 FCFA) évolue dans la partie haute de la bande, entre la borne inférieure (2 224,4 FCFA) et la borne supérieure (2 478,6 FCFA), sans franchir cette dernière. Cette position médiane-haute traduit une volatilité contenue et une absence de signal de surachat ou de survente, d'où la décision **Neutre**.</w:t>
      </w:r>
    </w:p>
    <w:p>
      <w:pPr>
        <w:spacing w:after="120" w:line="276" w:lineRule="auto"/>
      </w:pPr>
      <w:r>
        <w:t>**MACD** : La valeur du MACD (35,139) est inférieure à son signal (40,413), ce qui génère un croisement baissier et une divergence négative. Cela indique un essoufflement du momentum haussier à court terme, justifiant la décision de **Vente** sur cet indicateur.</w:t>
      </w:r>
    </w:p>
    <w:p>
      <w:pPr>
        <w:spacing w:after="120" w:line="276" w:lineRule="auto"/>
      </w:pPr>
      <w:r>
        <w:t>**RSI** : À 46,364, le RSI se situe dans la zone neutre (30-70), sans signal de surachat (&gt;70) ni de survente (&lt;30). Cette position médiane reflète un équilibre entre acheteurs et vendeurs, d'où la décision **Neutre**.</w:t>
      </w:r>
    </w:p>
    <w:p>
      <w:pPr>
        <w:spacing w:after="120" w:line="276" w:lineRule="auto"/>
      </w:pPr>
      <w:r>
        <w:t>**Stochastique** : Le %K (65,306) est inférieur au %D (85,714), ce qui constitue un croisement baissier en zone haute. Bien que les deux lignes restent dans la partie supérieure de l'indicateur, ce croisement suggère un ralentissement de la dynamique haussière, justifiant la décision **Neutre**.</w:t>
      </w:r>
    </w:p>
    <w:p>
      <w:pPr>
        <w:spacing w:after="120" w:line="276" w:lineRule="auto"/>
      </w:pPr>
      <w:r>
        <w:t>**Conclusion technique** : Les indicateurs sont globalement mitigés. Les moyennes mobiles confirment une tendance haussière de fond (Achat), mais le MACD et le Stochastique signalent un essoufflement du momentum à court terme (Vente/Neutre), tandis que le RSI et les Bandes de Bollinger restent neutres. Cette divergence suggère une phase de consolidation possible avant une reprise ou une correction, avec un support clé à surveiller autour de la MM20 (2 351 FCFA) et une résistance à 2 478 FCFA (borne supérieure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UNIWAX a enregistré un chiffre d'affaires de 27,333 milliards FCFA, en hausse de 15,4% par rapport à 2023 (23,690 milliards FCFA), mais avec un résultat net négatif de -2,189 milliards FCFA, un ROE de -14,04% et un ROA de -6,39%, traduisant une rentabilité opérationnelle dégradée. La marge nette ressort à -8,01% et la marge opérationnelle à -7,81%, tandis que le coefficient d'exploitation de 106,99% confirme que les charges d'exploitation (32,706 milliards FCFA) dépassent le chiffre d'affaires. La structure financière reste néanmoins solide avec une autonomie financière de 45,53% (capitaux propres de 15,591 milliards FCFA), une liquidité générale de 126,23% et un endettement financier très faible (328,66 millions FCFA, soit 2,11% du total bilan). Les délais d'exploitation révèlent un risque de trésorerie : délai clients de 51 jours, mais surtout durée de stockage de 254,72 jours et délai fournisseurs de 267,82 jours, ce qui pèse sur le BFR (2,149 milliards FCFA). L'exercice 2025 marque une nette amélioration : le CA progresse à 29,03 milliards FCFA (+6,2%), l'EBE redevient positif à 1,13 milliard FCFA (contre -0,35 milliard en 2024), et la perte nette est réduite de 71% à -624 millions FCFA (rapport 2025). Le S1 2026 confirme cette dynamique avec un CA de 15,752 milliards FCFA (+0,3%) et surtout un résultat d'exploitation redevenu positif à 771 millions FCFA (contre -314 millions au S1 2025), pour un résultat net de 771 millions FCFA (rapport S1 2026). On estime donc que l'exercice 2026 pourrait afficher un résultat net positif, porté par la poursuite de l'amélioration opérationnelle et la maîtrise des coûts, même si la croissance du CA reste modérée (+0,3% au S1 2026). La recommandation fondamentale est **CONSERVER** avec un biais positif : la société est en redressement réel, mais la rentabilité reste fragile et dépendante de la confirmation de la tendance opérationnelle sur le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atypique : le PER négatif (-22,4x) et le BPA négatif (-105 FCFA) traduisent une société encore déficitaire en 2024, mais le P/B de 3,14x indique que le marché anticipe déjà un redressement, ce qui limite le potentiel de revalorisation à court terme. Le comportement du cours (Partie 1) est nettement haussier (+30,75% sur 100 jours) avec une volatilité élevée (49,6%), une distribution symétrique (skewness -0,075) et sans pics extrêmes (kurtosis -0,521), ce qui est plutôt rassurant pour la stabilité du titre. Les signaux techniques (Partie 2) sont divergents : les moyennes mobiles confirment la tendance haussière, mais le MACD et le Stochastique signalent un essoufflement du momentum, ce qui plaide pour une consolidation avant une nouvelle impulsion. Les fondamentaux (Partie 3) montrent un redressement réel (EBE positif en 2025, résultat d'exploitation positif au S1 2026), mais la rentabilité reste fragile et la croissance du CA modérée (+0,3% au S1 2026). Les prédictions IA (J+1 à J+10) anticipent une baisse progressive de 2 329 FCFA à 2 257 FCFA, ce qui contredit la tendance haussière récente et confirme le scénario de consolidation technique. Sur la base de cette synthèse, la recommandation finale est **CONSERVER** avec un niveau de confiance **Moyen** et un risque global **Élevé** (volatilité de 49,6%, rentabilité fragile). L'horizon d'investissement optimal est le **moyen terme (3-12 mois)**, en attendant la confirmation d'un résultat net positif sur l'exercice 2026 complet et la concrétisation des perspectives d'exportation (Nigeria, Guinée). Un passage à l'achat serait justifié si le titre consolide vers 2 200-2 250 FCFA (zone de support technique) et que les résultats du S2 2026 confirment la rentabilité opérationnelle.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